
<file path=[Content_Types].xml><?xml version="1.0" encoding="utf-8"?>
<Types xmlns="http://schemas.openxmlformats.org/package/2006/content-types">
  <Default ContentType="image/x-wmf" Extension="w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spacing w:before="0"/>
        <w:ind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ТЕХНОЛОГИЧЕСКАЯ ЧАСТЬ</w:t>
      </w:r>
    </w:p>
    <w:p w14:paraId="08000000"/>
    <w:p w14:paraId="09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2.1 </w:t>
      </w:r>
      <w:r>
        <w:rPr>
          <w:rFonts w:ascii="Times New Roman" w:hAnsi="Times New Roman"/>
          <w:b w:val="1"/>
          <w:color w:val="000000"/>
        </w:rPr>
        <w:t>Служебное назначение</w:t>
      </w:r>
      <w:r>
        <w:rPr>
          <w:rFonts w:ascii="Times New Roman" w:hAnsi="Times New Roman"/>
          <w:b w:val="1"/>
          <w:color w:val="000000"/>
        </w:rPr>
        <w:t xml:space="preserve"> детали</w:t>
      </w:r>
    </w:p>
    <w:p w14:paraId="0A000000">
      <w:pPr>
        <w:ind w:right="227"/>
        <w:rPr>
          <w:color w:val="000000"/>
        </w:rPr>
      </w:pPr>
    </w:p>
    <w:p w14:paraId="0B000000">
      <w:pPr>
        <w:ind w:firstLine="708" w:left="0"/>
      </w:pPr>
      <w:r>
        <w:t xml:space="preserve">Деталь «Корпус ротора» относится к конструктивным элементам узлов вращения и предназначена для обеспечения опорных и защитных функций, а также для формирования требуемого положения ротора в механизме. Основное назначение корпуса заключается в создании жёсткой пространственной системы, внутри которой ротор осуществляет вращение с заданной точностью, без нарушений </w:t>
      </w:r>
      <w:r>
        <w:t>соосности</w:t>
      </w:r>
      <w:r>
        <w:t xml:space="preserve">, вибраций и перекосов. Наличие такого элемента является обязательным условием стабильной работы всего вращательного узла </w:t>
      </w:r>
      <w:r>
        <w:t>корпус ротора</w:t>
      </w:r>
      <w:r>
        <w:t xml:space="preserve"> </w:t>
      </w:r>
      <w:r>
        <w:t>[</w:t>
      </w:r>
      <w:r>
        <w:t>3</w:t>
      </w:r>
      <w:r>
        <w:t>]</w:t>
      </w:r>
      <w:r>
        <w:t>.</w:t>
      </w:r>
    </w:p>
    <w:p w14:paraId="0C000000">
      <w:pPr>
        <w:ind w:firstLine="708" w:left="0"/>
      </w:pPr>
      <w:r>
        <w:t>Деталь «Корпус ротора»  представлена на рисунке 2.1.</w:t>
      </w:r>
    </w:p>
    <w:p w14:paraId="0D000000">
      <w:pPr>
        <w:ind w:firstLine="708" w:left="0"/>
        <w:jc w:val="center"/>
      </w:pPr>
      <w:r>
        <w:drawing>
          <wp:inline>
            <wp:extent cx="4010025" cy="447675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010025" cy="44767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ind w:firstLine="708" w:left="0"/>
      </w:pPr>
      <w:r>
        <w:t xml:space="preserve">Рисунок 2.1 </w:t>
      </w:r>
      <w:r>
        <w:t>-</w:t>
      </w:r>
      <w:r>
        <w:t xml:space="preserve"> Твердотельная модель детали «Корпус ротора»</w:t>
      </w:r>
    </w:p>
    <w:p w14:paraId="0F000000">
      <w:pPr>
        <w:ind w:hanging="142" w:left="142" w:right="310"/>
      </w:pPr>
      <w:r>
        <w:drawing>
          <wp:inline>
            <wp:extent cx="6286500" cy="28194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6286500" cy="2819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ind w:firstLine="283" w:left="142" w:right="310"/>
        <w:jc w:val="center"/>
      </w:pPr>
      <w:r>
        <w:t xml:space="preserve">Рисунок </w:t>
      </w:r>
      <w:r>
        <w:t>1.</w:t>
      </w:r>
      <w:r>
        <w:t>2 – Эскиз детали с указанием поверхностей</w:t>
      </w:r>
    </w:p>
    <w:p w14:paraId="11000000">
      <w:pPr>
        <w:ind w:firstLine="283" w:left="142" w:right="310"/>
        <w:jc w:val="center"/>
      </w:pPr>
    </w:p>
    <w:p w14:paraId="12000000">
      <w:pPr>
        <w:ind w:firstLine="708" w:left="0"/>
      </w:pPr>
      <w:r>
        <w:tab/>
      </w:r>
      <w:r>
        <w:t>Деталь представляет собой цилиндрическое ступенчатое тело вращения с фланцевой поверхностью. В детали имеются две основные внутренние посадочные поверхности  - Ø70Н7 (22) и Ø62Н7 (18). К этим поверхностям посредством отверстия Ø8 мм (29), расположенного под углом к торцевой поверхности (14) поступает смазочный материал и распределяется по канавке Ø30 шириной 25 мм (30). В детали присутствует канавка под уплотнение 4,7Н12 (12), расположенная на наружной поверхности Ø105</w:t>
      </w:r>
      <w:r>
        <w:t>h</w:t>
      </w:r>
      <w:r>
        <w:t xml:space="preserve">6 (13). К ответной детали </w:t>
      </w:r>
      <w:bookmarkStart w:id="1" w:name="_GoBack"/>
      <w:bookmarkEnd w:id="1"/>
      <w:r>
        <w:t>насаживается посадочной поверхностью Ø105</w:t>
      </w:r>
      <w:r>
        <w:t>h</w:t>
      </w:r>
      <w:r>
        <w:t>6</w:t>
      </w:r>
      <w:r>
        <w:t xml:space="preserve"> (13) до упора в торец (10)</w:t>
      </w:r>
      <w:r>
        <w:t xml:space="preserve"> </w:t>
      </w:r>
      <w:r>
        <w:t>и крепится болтовым соединением посредством отверстий Ø8,5 мм (25), на одном из которых выполнена посадочная поверхность под крепеж (28). В детали также присутствуют две внутренние цилиндрические поверхности Ø66</w:t>
      </w:r>
      <w:r>
        <w:t xml:space="preserve"> </w:t>
      </w:r>
      <w:r>
        <w:t>мм (20)  длиной 1,84 мм (23) и Ø78 мм (24) длиной 25 мм (19). В детали имеется левый фланец (1) наружным диаметром Ø100</w:t>
      </w:r>
      <w:r>
        <w:t>h</w:t>
      </w:r>
      <w:r>
        <w:t>8 (2)</w:t>
      </w:r>
      <w:r>
        <w:t>. Тыльная сторона фланца (1) имеет плоский поясок (3), переходящий в наклонную поверхность (4) под углом 15</w:t>
      </w:r>
      <w:r>
        <w:rPr>
          <w:vertAlign w:val="superscript"/>
        </w:rPr>
        <w:t>0</w:t>
      </w:r>
      <w:r>
        <w:t xml:space="preserve">. Данная наклонная поверхность (4) сопрягается с наружной цилиндрической поверхностью Ø66 мм (6) радиусом </w:t>
      </w:r>
      <w:r>
        <w:t>R</w:t>
      </w:r>
      <w:r>
        <w:t>2 (5)</w:t>
      </w:r>
      <w:r>
        <w:t xml:space="preserve">. Деталь имеет также наружный центральный фасонный фланец (9) с торцевыми </w:t>
      </w:r>
      <w:r>
        <w:t xml:space="preserve">поверхностями (8) и (10) толщиной 8 мм. На поверхности (16) выполнено отверстие Ø15 мм (15) </w:t>
      </w:r>
      <w:r>
        <w:t>под углом 450. На торце (1) имеется отверстие Ø4,5 мм (26). На торце (10) имеются два резьбовых отверстия М8 (27).</w:t>
      </w:r>
    </w:p>
    <w:p w14:paraId="13000000">
      <w:pPr>
        <w:ind w:firstLine="708" w:left="0"/>
      </w:pPr>
      <w:r>
        <w:t>После анализа конструкторского чертежа можно сделать вывод, что число проекции, сечений, разрезов достаточно. Оценена простановка размеров и предельных отклонений, расположения поверхностей и шероховатости.</w:t>
      </w:r>
    </w:p>
    <w:p w14:paraId="14000000">
      <w:pPr>
        <w:ind w:firstLine="708" w:left="0"/>
      </w:pPr>
      <w:r>
        <w:t>Рабочий чертеж, данный по заданию, соответствует требованиям ЕСКД и технологичности изготовления изделия:</w:t>
      </w:r>
    </w:p>
    <w:p w14:paraId="15000000">
      <w:pPr>
        <w:ind w:firstLine="708" w:left="0"/>
      </w:pPr>
      <w:r>
        <w:t>- шероховатость проставлена в соответствии с последними изменениями ГОСТ 2789-73;</w:t>
      </w:r>
    </w:p>
    <w:p w14:paraId="16000000">
      <w:pPr>
        <w:ind w:firstLine="708" w:left="0"/>
      </w:pPr>
      <w:r>
        <w:t>Шероховатость свободных поверхностей, не указанных на чертеже соответствуют необработанным поверхностям. Неуказанные предельные отклонения размеров охватывающих по H14, охватываемых по h14, остальных по IT14/2.</w:t>
      </w:r>
    </w:p>
    <w:p w14:paraId="17000000">
      <w:pPr>
        <w:pStyle w:val="Style_3"/>
        <w:widowControl w:val="0"/>
        <w:tabs>
          <w:tab w:leader="none" w:pos="993" w:val="left"/>
        </w:tabs>
        <w:spacing w:after="0" w:line="360" w:lineRule="auto"/>
        <w:ind w:firstLine="709" w:left="0"/>
        <w:jc w:val="both"/>
        <w:rPr>
          <w:sz w:val="28"/>
        </w:rPr>
      </w:pPr>
      <w:r>
        <w:rPr>
          <w:sz w:val="28"/>
        </w:rPr>
        <w:t xml:space="preserve">Деталь изготавливается из магниевого сплава </w:t>
      </w:r>
      <w:bookmarkStart w:id="2" w:name="OLE_LINK1"/>
      <w:bookmarkStart w:id="3" w:name="OLE_LINK2"/>
      <w:r>
        <w:rPr>
          <w:sz w:val="28"/>
        </w:rPr>
        <w:t>Мл-5пч</w:t>
      </w:r>
      <w:bookmarkEnd w:id="2"/>
      <w:bookmarkEnd w:id="3"/>
      <w:r>
        <w:rPr>
          <w:sz w:val="28"/>
        </w:rPr>
        <w:t>.</w:t>
      </w:r>
    </w:p>
    <w:p w14:paraId="18000000">
      <w:pPr>
        <w:ind w:firstLine="567" w:left="142"/>
      </w:pPr>
      <w:r>
        <w:t xml:space="preserve">Химический состав </w:t>
      </w:r>
      <w:r>
        <w:t xml:space="preserve">приведен в таблице </w:t>
      </w:r>
      <w:r>
        <w:t>2</w:t>
      </w:r>
      <w:r>
        <w:t>.1, а механические свойства</w:t>
      </w:r>
      <w:r>
        <w:t xml:space="preserve"> в таблице </w:t>
      </w:r>
      <w:r>
        <w:t>2</w:t>
      </w:r>
      <w:r>
        <w:t>.2.</w:t>
      </w:r>
    </w:p>
    <w:p w14:paraId="19000000">
      <w:pPr>
        <w:spacing w:line="276" w:lineRule="auto"/>
        <w:ind w:firstLine="567" w:left="142" w:right="-1"/>
        <w:jc w:val="right"/>
      </w:pPr>
      <w:r>
        <w:t xml:space="preserve">Таблица </w:t>
      </w:r>
      <w:r>
        <w:t>2</w:t>
      </w:r>
      <w:r>
        <w:t>.1</w:t>
      </w:r>
    </w:p>
    <w:p w14:paraId="1A000000">
      <w:pPr>
        <w:spacing w:line="276" w:lineRule="auto"/>
        <w:ind w:firstLine="567" w:left="142" w:right="-1"/>
        <w:jc w:val="center"/>
      </w:pPr>
      <w:r>
        <w:t xml:space="preserve">Химический состав </w:t>
      </w:r>
      <w:r>
        <w:t>Мл-5пч</w:t>
      </w:r>
    </w:p>
    <w:tbl>
      <w:tblPr>
        <w:tblStyle w:val="Style_4"/>
        <w:tblInd w:type="dxa" w:w="14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02"/>
        <w:gridCol w:w="1192"/>
        <w:gridCol w:w="1168"/>
        <w:gridCol w:w="1152"/>
        <w:gridCol w:w="1221"/>
        <w:gridCol w:w="1163"/>
        <w:gridCol w:w="1159"/>
        <w:gridCol w:w="1171"/>
      </w:tblGrid>
      <w:tr>
        <w:tc>
          <w:tcPr>
            <w:tcW w:type="dxa" w:w="1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Fe,%</w:t>
            </w:r>
          </w:p>
        </w:tc>
        <w:tc>
          <w:tcPr>
            <w:tcW w:type="dxa" w:w="11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М</w:t>
            </w:r>
            <w:r>
              <w:t>n</w:t>
            </w:r>
            <w:r>
              <w:t>, %</w:t>
            </w: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Si</w:t>
            </w:r>
            <w:r>
              <w:t>, %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Al, %</w:t>
            </w:r>
          </w:p>
        </w:tc>
        <w:tc>
          <w:tcPr>
            <w:tcW w:type="dxa" w:w="1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Mg, %</w:t>
            </w:r>
          </w:p>
        </w:tc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Cu, %</w:t>
            </w:r>
          </w:p>
        </w:tc>
        <w:tc>
          <w:tcPr>
            <w:tcW w:type="dxa" w:w="11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Zn, %</w:t>
            </w:r>
          </w:p>
        </w:tc>
        <w:tc>
          <w:tcPr>
            <w:tcW w:type="dxa" w:w="1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Cu, %</w:t>
            </w:r>
          </w:p>
        </w:tc>
      </w:tr>
      <w:tr>
        <w:tc>
          <w:tcPr>
            <w:tcW w:type="dxa" w:w="1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0.007</w:t>
            </w:r>
          </w:p>
        </w:tc>
        <w:tc>
          <w:tcPr>
            <w:tcW w:type="dxa" w:w="11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0,15-0,5</w:t>
            </w:r>
          </w:p>
        </w:tc>
        <w:tc>
          <w:tcPr>
            <w:tcW w:type="dxa" w:w="1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0,08</w:t>
            </w:r>
          </w:p>
        </w:tc>
        <w:tc>
          <w:tcPr>
            <w:tcW w:type="dxa" w:w="11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7.5-9</w:t>
            </w:r>
          </w:p>
        </w:tc>
        <w:tc>
          <w:tcPr>
            <w:tcW w:type="dxa" w:w="12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89.57-92.15</w:t>
            </w:r>
          </w:p>
        </w:tc>
        <w:tc>
          <w:tcPr>
            <w:tcW w:type="dxa" w:w="11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до 0,04</w:t>
            </w:r>
          </w:p>
        </w:tc>
        <w:tc>
          <w:tcPr>
            <w:tcW w:type="dxa" w:w="11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0.2-0.8</w:t>
            </w:r>
          </w:p>
        </w:tc>
        <w:tc>
          <w:tcPr>
            <w:tcW w:type="dxa" w:w="11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до 0,04</w:t>
            </w:r>
          </w:p>
        </w:tc>
      </w:tr>
    </w:tbl>
    <w:p w14:paraId="2B000000">
      <w:pPr>
        <w:spacing w:line="276" w:lineRule="auto"/>
        <w:ind/>
      </w:pPr>
    </w:p>
    <w:p w14:paraId="2C000000">
      <w:pPr>
        <w:spacing w:line="276" w:lineRule="auto"/>
        <w:ind w:firstLine="567" w:left="142"/>
        <w:jc w:val="right"/>
      </w:pPr>
      <w:r>
        <w:t xml:space="preserve">Таблица </w:t>
      </w:r>
      <w:r>
        <w:t>2</w:t>
      </w:r>
      <w:r>
        <w:t>.2</w:t>
      </w:r>
    </w:p>
    <w:p w14:paraId="2D000000">
      <w:pPr>
        <w:spacing w:line="276" w:lineRule="auto"/>
        <w:ind w:firstLine="567" w:left="142"/>
        <w:jc w:val="center"/>
      </w:pPr>
      <w:r>
        <w:t xml:space="preserve">Механические свойства </w:t>
      </w:r>
      <w:r>
        <w:t>Мл-5пч</w:t>
      </w: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1418"/>
        <w:gridCol w:w="1417"/>
        <w:gridCol w:w="1276"/>
        <w:gridCol w:w="1276"/>
      </w:tblGrid>
      <w:tr>
        <w:trPr>
          <w:trHeight w:hRule="exact" w:val="684"/>
        </w:trPr>
        <w:tc>
          <w:tcPr>
            <w:tcW w:type="dxa" w:w="14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2E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σт</w:t>
            </w:r>
            <w:r>
              <w:t>, МПа</w:t>
            </w:r>
          </w:p>
        </w:tc>
        <w:tc>
          <w:tcPr>
            <w:tcW w:type="dxa" w:w="14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2F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σВ</w:t>
            </w:r>
            <w:r>
              <w:t>, МПа</w:t>
            </w:r>
          </w:p>
        </w:tc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0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δ , %</w:t>
            </w:r>
          </w:p>
        </w:tc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1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Ψ,%</w:t>
            </w:r>
          </w:p>
        </w:tc>
      </w:tr>
      <w:tr>
        <w:trPr>
          <w:trHeight w:hRule="exact" w:val="425"/>
        </w:trPr>
        <w:tc>
          <w:tcPr>
            <w:tcW w:type="dxa" w:w="5387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2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не менее</w:t>
            </w:r>
          </w:p>
        </w:tc>
      </w:tr>
      <w:tr>
        <w:trPr>
          <w:trHeight w:hRule="exact" w:val="289"/>
        </w:trPr>
        <w:tc>
          <w:tcPr>
            <w:tcW w:type="dxa" w:w="141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3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90</w:t>
            </w:r>
          </w:p>
        </w:tc>
        <w:tc>
          <w:tcPr>
            <w:tcW w:type="dxa" w:w="141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4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160</w:t>
            </w:r>
          </w:p>
        </w:tc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5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5</w:t>
            </w:r>
          </w:p>
        </w:tc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0"/>
              <w:right w:type="dxa" w:w="0"/>
            </w:tcMar>
            <w:vAlign w:val="center"/>
          </w:tcPr>
          <w:p w14:paraId="36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>8.5</w:t>
            </w:r>
          </w:p>
        </w:tc>
      </w:tr>
    </w:tbl>
    <w:p w14:paraId="37000000">
      <w:pPr>
        <w:ind w:firstLine="567" w:left="142" w:right="142"/>
      </w:pPr>
    </w:p>
    <w:p w14:paraId="38000000">
      <w:pPr>
        <w:ind w:firstLine="567" w:left="142" w:right="142"/>
      </w:pPr>
      <w:r>
        <w:t>Технические требования:</w:t>
      </w:r>
    </w:p>
    <w:p w14:paraId="39000000">
      <w:pPr>
        <w:ind w:firstLine="567" w:left="142" w:right="142"/>
      </w:pPr>
      <w:r>
        <w:t>1</w:t>
      </w:r>
      <w:r>
        <w:t xml:space="preserve">. </w:t>
      </w:r>
      <w:r>
        <w:t>Предельные отклонения размеров отливки по ГОСТ...</w:t>
      </w:r>
    </w:p>
    <w:p w14:paraId="3A000000">
      <w:pPr>
        <w:ind w:firstLine="567" w:left="142" w:right="142"/>
      </w:pPr>
      <w:r>
        <w:t>2</w:t>
      </w:r>
      <w:r>
        <w:t xml:space="preserve">. </w:t>
      </w:r>
      <w:r>
        <w:t>Неуказанные литейные уклоны не более 3 . Литейные радиусы 5 мм.</w:t>
      </w:r>
    </w:p>
    <w:p w14:paraId="3B000000">
      <w:pPr>
        <w:ind w:firstLine="567" w:left="142" w:right="142"/>
      </w:pPr>
      <w:r>
        <w:t>3</w:t>
      </w:r>
      <w:r>
        <w:t xml:space="preserve">. </w:t>
      </w:r>
      <w:r>
        <w:t>* Размеры обеспечиваются инструментом.</w:t>
      </w:r>
    </w:p>
    <w:p w14:paraId="3C000000">
      <w:pPr>
        <w:ind w:firstLine="567" w:left="142" w:right="142"/>
      </w:pPr>
      <w:r>
        <w:t>4</w:t>
      </w:r>
      <w:r>
        <w:t xml:space="preserve">. </w:t>
      </w:r>
      <w:r>
        <w:t xml:space="preserve">Покрытие </w:t>
      </w:r>
      <w:r>
        <w:t>Хим</w:t>
      </w:r>
      <w:r>
        <w:t>.О</w:t>
      </w:r>
      <w:r>
        <w:t>кс</w:t>
      </w:r>
      <w:r>
        <w:t xml:space="preserve">. до и после </w:t>
      </w:r>
      <w:r>
        <w:t>мехобработки</w:t>
      </w:r>
      <w:r>
        <w:t>.</w:t>
      </w:r>
    </w:p>
    <w:p w14:paraId="3D000000">
      <w:pPr>
        <w:ind w:firstLine="567" w:left="142" w:right="142"/>
      </w:pPr>
      <w:r>
        <w:t>5</w:t>
      </w:r>
      <w:r>
        <w:t xml:space="preserve">. </w:t>
      </w:r>
      <w:r>
        <w:t xml:space="preserve">Неуказанная шероховатость поверхностей фасок, выполняемых механической обработкой, </w:t>
      </w:r>
      <w:r>
        <w:t>Rz</w:t>
      </w:r>
      <w:r>
        <w:t xml:space="preserve"> 40.</w:t>
      </w:r>
    </w:p>
    <w:p w14:paraId="3E000000">
      <w:pPr>
        <w:ind w:firstLine="567" w:left="142" w:right="142"/>
      </w:pPr>
      <w:r>
        <w:t>6</w:t>
      </w:r>
      <w:r>
        <w:t xml:space="preserve">. </w:t>
      </w:r>
      <w:r>
        <w:t>Маркировать шрифтом ПО-3 ГОСТ 2930-62 до покрытия.</w:t>
      </w:r>
    </w:p>
    <w:p w14:paraId="3F000000">
      <w:pPr>
        <w:ind w:firstLine="567" w:left="142" w:right="142"/>
      </w:pPr>
      <w:r>
        <w:t>7</w:t>
      </w:r>
      <w:r>
        <w:t xml:space="preserve">. </w:t>
      </w:r>
      <w:r>
        <w:t>Клеймить по ОСТ141026-70 до покрытия.</w:t>
      </w:r>
    </w:p>
    <w:p w14:paraId="40000000">
      <w:pPr>
        <w:ind w:firstLine="567" w:left="142" w:right="142"/>
      </w:pPr>
      <w:r>
        <w:t>8</w:t>
      </w:r>
      <w:r>
        <w:t xml:space="preserve">. </w:t>
      </w:r>
      <w:r>
        <w:t>h14, H14,  IT14/2.</w:t>
      </w:r>
    </w:p>
    <w:p w14:paraId="41000000">
      <w:pPr>
        <w:ind w:firstLine="708" w:left="0"/>
      </w:pPr>
      <w:r>
        <w:t xml:space="preserve">Специальные требования к точности формы и расположению </w:t>
      </w:r>
      <w:r>
        <w:t>поверхностей детали заданы на чертеже:</w:t>
      </w:r>
    </w:p>
    <w:p w14:paraId="42000000">
      <w:pPr>
        <w:ind w:firstLine="708" w:left="0"/>
      </w:pPr>
      <w:r>
        <w:t xml:space="preserve">- </w:t>
      </w:r>
      <w:r>
        <w:t xml:space="preserve">наружная поверхность  </w:t>
      </w:r>
      <w:r>
        <w:rPr>
          <w:rFonts w:ascii="Symbol" w:hAnsi="Symbol"/>
        </w:rPr>
        <w:t>Æ</w:t>
      </w:r>
      <w:r>
        <w:t>105h6. Эта поверхность должна быть выполнена в пределах указанных отклонений;</w:t>
      </w:r>
    </w:p>
    <w:p w14:paraId="43000000">
      <w:pPr>
        <w:ind w:firstLine="708" w:left="0"/>
      </w:pPr>
      <w:r>
        <w:t xml:space="preserve">- </w:t>
      </w:r>
      <w:r>
        <w:t xml:space="preserve">поверхность </w:t>
      </w:r>
      <w:r>
        <w:rPr>
          <w:rFonts w:ascii="Symbol" w:hAnsi="Symbol"/>
        </w:rPr>
        <w:t>Æ</w:t>
      </w:r>
      <w:r>
        <w:t>70H7.  Эта поверхность должна быть выполнена в пределах указанных отклонений;</w:t>
      </w:r>
    </w:p>
    <w:p w14:paraId="44000000">
      <w:pPr>
        <w:ind w:firstLine="708" w:left="0"/>
      </w:pPr>
      <w:r>
        <w:t xml:space="preserve">- </w:t>
      </w:r>
      <w:r>
        <w:t xml:space="preserve">поверхность </w:t>
      </w:r>
      <w:r>
        <w:rPr>
          <w:rFonts w:ascii="Symbol" w:hAnsi="Symbol"/>
        </w:rPr>
        <w:t>Æ</w:t>
      </w:r>
      <w:r>
        <w:t>62H7.  Эта поверхность должна быть выполнена в пределах указанных отклонений;</w:t>
      </w:r>
    </w:p>
    <w:p w14:paraId="45000000">
      <w:pPr>
        <w:ind w:firstLine="708" w:left="0"/>
      </w:pPr>
      <w:r>
        <w:t xml:space="preserve">- </w:t>
      </w:r>
      <w:r>
        <w:t xml:space="preserve"> торцы детали в размер 75 мм. Эти поверхности должна быть выполнены в пределах указанных отклонений, а также торцевое биение не должно превышать 0,025 мм относительно наружного диаметра.</w:t>
      </w:r>
    </w:p>
    <w:p w14:paraId="46000000">
      <w:pPr>
        <w:ind w:firstLine="708" w:left="0"/>
      </w:pPr>
      <w:r>
        <w:t xml:space="preserve">- </w:t>
      </w:r>
      <w:r>
        <w:t>Позиционый</w:t>
      </w:r>
      <w:r>
        <w:t xml:space="preserve"> допуск 6 отв. </w:t>
      </w:r>
      <w:r>
        <w:rPr>
          <w:rFonts w:ascii="Symbol" w:hAnsi="Symbol"/>
        </w:rPr>
        <w:t>Æ</w:t>
      </w:r>
      <w:r>
        <w:t xml:space="preserve">8,5 – зависимый, не более 0,088 мм относительно </w:t>
      </w:r>
      <w:r>
        <w:t>бызы</w:t>
      </w:r>
      <w:r>
        <w:t xml:space="preserve"> Г.</w:t>
      </w:r>
    </w:p>
    <w:p w14:paraId="47000000">
      <w:pPr>
        <w:ind w:firstLine="708" w:left="0"/>
      </w:pPr>
    </w:p>
    <w:p w14:paraId="48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>2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Анализ технологичности конструкции детали</w:t>
      </w:r>
    </w:p>
    <w:p w14:paraId="49000000">
      <w:pPr>
        <w:ind w:firstLine="708" w:left="0"/>
      </w:pPr>
    </w:p>
    <w:p w14:paraId="4A000000">
      <w:pPr>
        <w:ind w:firstLine="708" w:left="0"/>
      </w:pPr>
      <w:r>
        <w:t>Деталь является технологичной, т.к. отвечает следующим требованиям:</w:t>
      </w:r>
    </w:p>
    <w:p w14:paraId="4B000000">
      <w:pPr>
        <w:ind w:firstLine="708" w:left="0"/>
      </w:pPr>
      <w:r>
        <w:t>- формы и размеры заготовки максимально приближены к форме и размерам детали;</w:t>
      </w:r>
    </w:p>
    <w:p w14:paraId="4C000000">
      <w:pPr>
        <w:ind w:firstLine="708" w:left="0"/>
      </w:pPr>
      <w:r>
        <w:t>- при обработке есть возможность использовать проходные, подрезные и расточные резцы;</w:t>
      </w:r>
    </w:p>
    <w:p w14:paraId="4D000000">
      <w:pPr>
        <w:ind w:firstLine="708" w:left="0"/>
      </w:pPr>
      <w:r>
        <w:t>- жесткость обеспечивает достижение необходимой точности при обработке, так как l/d меньше 10…12.</w:t>
      </w:r>
    </w:p>
    <w:p w14:paraId="4E000000">
      <w:pPr>
        <w:ind w:firstLine="708" w:left="0"/>
      </w:pPr>
      <w:r>
        <w:t>Форма детали вызовет незначительные трудности при получении заготовки.</w:t>
      </w:r>
    </w:p>
    <w:p w14:paraId="4F000000">
      <w:pPr>
        <w:ind w:firstLine="708" w:left="0"/>
      </w:pPr>
      <w:r>
        <w:t>Мало технологичными в данной конструкции являются:</w:t>
      </w:r>
    </w:p>
    <w:p w14:paraId="50000000">
      <w:pPr>
        <w:ind w:firstLine="708" w:left="0"/>
      </w:pPr>
      <w:r>
        <w:t xml:space="preserve">- </w:t>
      </w:r>
      <w:r>
        <w:t xml:space="preserve">наружная поверхность  </w:t>
      </w:r>
      <w:r>
        <w:rPr>
          <w:rFonts w:ascii="Symbol" w:hAnsi="Symbol"/>
        </w:rPr>
        <w:t>Æ</w:t>
      </w:r>
      <w:r>
        <w:t>105h6. Эта поверхность должна быть выполнена в пределах указанных отклонений;</w:t>
      </w:r>
    </w:p>
    <w:p w14:paraId="51000000">
      <w:pPr>
        <w:ind w:firstLine="708" w:left="0"/>
      </w:pPr>
      <w:r>
        <w:t xml:space="preserve">- </w:t>
      </w:r>
      <w:r>
        <w:t xml:space="preserve">две поверхности </w:t>
      </w:r>
      <w:r>
        <w:rPr>
          <w:rFonts w:ascii="Symbol" w:hAnsi="Symbol"/>
        </w:rPr>
        <w:t>Æ</w:t>
      </w:r>
      <w:r>
        <w:t xml:space="preserve">70H7 и </w:t>
      </w:r>
      <w:r>
        <w:rPr>
          <w:rFonts w:ascii="Symbol" w:hAnsi="Symbol"/>
        </w:rPr>
        <w:t>Æ</w:t>
      </w:r>
      <w:r>
        <w:t xml:space="preserve">62H7  </w:t>
      </w:r>
      <w:r>
        <w:t>Ra</w:t>
      </w:r>
      <w:r>
        <w:t xml:space="preserve"> 2,5. Эти поверхности, с заданной точностью и </w:t>
      </w:r>
      <w:r>
        <w:t>шероховатостью</w:t>
      </w:r>
      <w:r>
        <w:t xml:space="preserve"> возможно получить на станках токарной группы только при помощи специальной геометрии сменной многогранной пластинки;</w:t>
      </w:r>
    </w:p>
    <w:p w14:paraId="52000000">
      <w:pPr>
        <w:ind w:firstLine="708" w:left="0"/>
      </w:pPr>
      <w:r>
        <w:t xml:space="preserve">- </w:t>
      </w:r>
      <w:r>
        <w:t>торцы детали в размер 75 мм. Эти поверхности должна быть выполнены в пределах указанных отклонений, а также торцевое биение не должно превышать 0,025 мм относительно наружного диаметра</w:t>
      </w:r>
    </w:p>
    <w:p w14:paraId="53000000">
      <w:pPr>
        <w:ind w:firstLine="708" w:left="0"/>
      </w:pPr>
      <w:r>
        <w:t xml:space="preserve">- </w:t>
      </w:r>
      <w:r>
        <w:t xml:space="preserve">Отверстие </w:t>
      </w:r>
      <w:r>
        <w:rPr>
          <w:rFonts w:ascii="Symbol" w:hAnsi="Symbol"/>
        </w:rPr>
        <w:t>Æ</w:t>
      </w:r>
      <w:r>
        <w:t>8 мм под углом 300.</w:t>
      </w:r>
    </w:p>
    <w:p w14:paraId="54000000">
      <w:pPr>
        <w:ind w:firstLine="708" w:left="0"/>
      </w:pPr>
      <w:r>
        <w:t xml:space="preserve">- </w:t>
      </w:r>
      <w:r>
        <w:t xml:space="preserve">Внутренняя канавка </w:t>
      </w:r>
      <w:r>
        <w:rPr>
          <w:rFonts w:ascii="Symbol" w:hAnsi="Symbol"/>
        </w:rPr>
        <w:t>Æ</w:t>
      </w:r>
      <w:r>
        <w:t>30 мм длиной 45 мм.</w:t>
      </w:r>
    </w:p>
    <w:p w14:paraId="55000000">
      <w:pPr>
        <w:ind w:firstLine="708" w:left="0"/>
      </w:pPr>
      <w:r>
        <w:t>Далее выполняем количественную оценку технологичности конструкции детали. Составляем таблицу точнос</w:t>
      </w:r>
      <w:r>
        <w:t>ти поверхности детали (таблица 2</w:t>
      </w:r>
      <w:r>
        <w:t>.3</w:t>
      </w:r>
      <w:r>
        <w:t>) и таблицу шероховатост</w:t>
      </w:r>
      <w:r>
        <w:t>и поверхностей детали (таблица 2</w:t>
      </w:r>
      <w:r>
        <w:t>.4</w:t>
      </w:r>
      <w:r>
        <w:t>).</w:t>
      </w:r>
    </w:p>
    <w:p w14:paraId="56000000">
      <w:pPr>
        <w:ind w:firstLine="708" w:left="0"/>
        <w:jc w:val="right"/>
      </w:pPr>
      <w:r>
        <w:t xml:space="preserve">Таблица </w:t>
      </w:r>
      <w:r>
        <w:t>2</w:t>
      </w:r>
      <w:r>
        <w:t>.3</w:t>
      </w:r>
    </w:p>
    <w:p w14:paraId="57000000">
      <w:pPr>
        <w:ind w:firstLine="708" w:left="0"/>
        <w:jc w:val="center"/>
      </w:pPr>
      <w:r>
        <w:t xml:space="preserve">Точность </w:t>
      </w:r>
      <w:r>
        <w:t>поверхности детали</w:t>
      </w:r>
    </w:p>
    <w:tbl>
      <w:tblPr>
        <w:tblStyle w:val="Style_4"/>
        <w:tblInd w:type="dxa" w:w="-360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74"/>
        <w:gridCol w:w="720"/>
        <w:gridCol w:w="450"/>
        <w:gridCol w:w="416"/>
        <w:gridCol w:w="537"/>
        <w:gridCol w:w="577"/>
        <w:gridCol w:w="577"/>
      </w:tblGrid>
      <w:tr>
        <w:trPr>
          <w:trHeight w:hRule="atLeast" w:val="360"/>
        </w:trPr>
        <w:tc>
          <w:tcPr>
            <w:tcW w:type="dxa" w:w="3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tabs>
                <w:tab w:leader="none" w:pos="3039" w:val="left"/>
              </w:tabs>
              <w:ind w:firstLine="0" w:left="-94" w:right="310"/>
              <w:jc w:val="center"/>
            </w:pPr>
            <w:r>
              <w:t xml:space="preserve">Квалитет точности </w:t>
            </w:r>
            <w:r>
              <w:rPr>
                <w:i w:val="1"/>
              </w:rPr>
              <w:t>I</w:t>
            </w:r>
            <w:r>
              <w:rPr>
                <w:i w:val="1"/>
              </w:rPr>
              <w:t>T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ind w:firstLine="0" w:left="0" w:right="-80"/>
              <w:jc w:val="center"/>
            </w:pPr>
            <w:r>
              <w:t>6</w:t>
            </w:r>
          </w:p>
        </w:tc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ind w:firstLine="0" w:left="-39" w:right="-80"/>
              <w:jc w:val="center"/>
            </w:pPr>
            <w:r>
              <w:t>7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ind w:firstLine="0" w:left="0" w:right="-80"/>
              <w:jc w:val="center"/>
            </w:pPr>
            <w:r>
              <w:t>8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ind w:firstLine="0" w:left="0" w:right="-80"/>
              <w:jc w:val="center"/>
            </w:pPr>
            <w:r>
              <w:t>12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ind w:firstLine="0" w:left="-39" w:right="-80"/>
              <w:jc w:val="center"/>
            </w:pPr>
            <w:r>
              <w:t>14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-39" w:right="-80"/>
              <w:jc w:val="center"/>
            </w:pPr>
            <w:r>
              <w:t>15</w:t>
            </w:r>
          </w:p>
        </w:tc>
      </w:tr>
      <w:tr>
        <w:trPr>
          <w:trHeight w:hRule="atLeast" w:val="360"/>
        </w:trPr>
        <w:tc>
          <w:tcPr>
            <w:tcW w:type="dxa" w:w="3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ind w:firstLine="0" w:left="-94" w:right="-127"/>
              <w:jc w:val="center"/>
            </w:pPr>
            <w:r>
              <w:t xml:space="preserve">Количество размеров </w:t>
            </w:r>
            <w:r>
              <w:rPr>
                <w:i w:val="1"/>
              </w:rPr>
              <w:t>n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ind w:firstLine="0" w:left="0" w:right="-80"/>
              <w:jc w:val="center"/>
            </w:pPr>
            <w:r>
              <w:t>8</w:t>
            </w:r>
          </w:p>
        </w:tc>
        <w:tc>
          <w:tcPr>
            <w:tcW w:type="dxa" w:w="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ind w:firstLine="0" w:left="-39" w:right="-80"/>
              <w:jc w:val="center"/>
            </w:pPr>
            <w:r>
              <w:t>2</w:t>
            </w:r>
          </w:p>
        </w:tc>
        <w:tc>
          <w:tcPr>
            <w:tcW w:type="dxa" w:w="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ind w:firstLine="0" w:left="0" w:right="-80"/>
              <w:jc w:val="center"/>
            </w:pPr>
            <w:r>
              <w:t>2</w:t>
            </w:r>
          </w:p>
        </w:tc>
        <w:tc>
          <w:tcPr>
            <w:tcW w:type="dxa" w:w="5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ind w:firstLine="0" w:left="0" w:right="-80"/>
              <w:jc w:val="center"/>
            </w:pPr>
            <w:r>
              <w:t>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ind w:firstLine="0" w:left="-39" w:right="-80"/>
              <w:jc w:val="center"/>
            </w:pPr>
            <w:r>
              <w:t>11</w:t>
            </w:r>
          </w:p>
        </w:tc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ind w:firstLine="0" w:left="-39" w:right="-80"/>
              <w:jc w:val="center"/>
            </w:pPr>
            <w:r>
              <w:t>5</w:t>
            </w:r>
          </w:p>
        </w:tc>
      </w:tr>
    </w:tbl>
    <w:p w14:paraId="66000000">
      <w:pPr>
        <w:ind w:firstLine="708" w:left="0"/>
      </w:pPr>
    </w:p>
    <w:p w14:paraId="67000000">
      <w:pPr>
        <w:ind w:firstLine="708" w:left="0"/>
      </w:pPr>
      <w:r>
        <w:t>По формуле вычислим средний коэффициент точности обработки</w:t>
      </w:r>
    </w:p>
    <w:p w14:paraId="68000000">
      <w:pPr>
        <w:ind w:firstLine="0" w:left="2832"/>
      </w:pPr>
      <w:r>
        <w:drawing>
          <wp:inline>
            <wp:extent cx="1057275" cy="57150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1057275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,                                                     </w:t>
      </w:r>
      <w:r>
        <w:t>(2</w:t>
      </w:r>
      <w:r>
        <w:t>.1)</w:t>
      </w:r>
    </w:p>
    <w:p w14:paraId="69000000">
      <w:pPr>
        <w:ind w:firstLine="708" w:left="0"/>
      </w:pPr>
      <w:r>
        <w:t xml:space="preserve">где </w:t>
      </w:r>
      <w:r>
        <w:t>I</w:t>
      </w:r>
      <w:r>
        <w:t>Т</w:t>
      </w:r>
      <w:r>
        <w:t>i</w:t>
      </w:r>
      <w:r>
        <w:t xml:space="preserve"> – квалитет точности i-ой поверхности;</w:t>
      </w:r>
    </w:p>
    <w:p w14:paraId="6A000000">
      <w:pPr>
        <w:ind w:firstLine="708" w:left="0"/>
      </w:pPr>
      <w:r>
        <w:t xml:space="preserve">n – количество поверхностей, имеющих </w:t>
      </w:r>
      <w:r>
        <w:t>I</w:t>
      </w:r>
      <w:r>
        <w:t>Т</w:t>
      </w:r>
      <w:r>
        <w:t>i</w:t>
      </w:r>
      <w:r>
        <w:t xml:space="preserve"> квалитет.</w:t>
      </w:r>
    </w:p>
    <w:p w14:paraId="6B000000">
      <w:pPr>
        <w:ind w:firstLine="708" w:left="0"/>
      </w:pPr>
      <w:r>
        <w:drawing>
          <wp:inline>
            <wp:extent cx="3086100" cy="390525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3086100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</w:p>
    <w:p w14:paraId="6C000000">
      <w:pPr>
        <w:ind w:firstLine="708" w:left="0"/>
      </w:pPr>
      <w:r>
        <w:t xml:space="preserve">Определим коэффициент точности обработки по формуле </w:t>
      </w:r>
      <w:r>
        <w:drawing>
          <wp:inline>
            <wp:extent cx="304800" cy="22860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304800" cy="228600"/>
                    </a:xfrm>
                    <a:prstGeom prst="rect"/>
                  </pic:spPr>
                </pic:pic>
              </a:graphicData>
            </a:graphic>
          </wp:inline>
        </w:drawing>
      </w:r>
      <w:r>
        <w:t>:</w:t>
      </w:r>
    </w:p>
    <w:p w14:paraId="6D000000">
      <w:pPr>
        <w:ind w:firstLine="708" w:left="1416"/>
      </w:pPr>
      <w:r>
        <w:drawing>
          <wp:inline>
            <wp:extent cx="1943100" cy="447675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1943100" cy="4476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>
        <w:t xml:space="preserve">            (2</w:t>
      </w:r>
      <w:r>
        <w:t>.2)</w:t>
      </w:r>
    </w:p>
    <w:p w14:paraId="6E000000">
      <w:pPr>
        <w:ind w:firstLine="708" w:left="0"/>
      </w:pPr>
      <w:r>
        <w:t xml:space="preserve">По данному показателю деталь технологична, т.к. </w:t>
      </w:r>
      <w:r>
        <w:drawing>
          <wp:inline>
            <wp:extent cx="304800" cy="22860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304800" cy="228600"/>
                    </a:xfrm>
                    <a:prstGeom prst="rect"/>
                  </pic:spPr>
                </pic:pic>
              </a:graphicData>
            </a:graphic>
          </wp:inline>
        </w:drawing>
      </w:r>
      <w:r>
        <w:t>&gt;0,8</w:t>
      </w:r>
    </w:p>
    <w:p w14:paraId="6F000000">
      <w:pPr>
        <w:ind w:firstLine="708" w:left="0"/>
      </w:pPr>
      <w:r>
        <w:t xml:space="preserve">Определим среднюю шероховатость поверхности детали </w:t>
      </w:r>
      <w:r>
        <w:drawing>
          <wp:inline>
            <wp:extent cx="676275" cy="238125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676275" cy="238125"/>
                    </a:xfrm>
                    <a:prstGeom prst="rect"/>
                  </pic:spPr>
                </pic:pic>
              </a:graphicData>
            </a:graphic>
          </wp:inline>
        </w:drawing>
      </w:r>
      <w:r>
        <w:t>:</w:t>
      </w:r>
    </w:p>
    <w:p w14:paraId="70000000">
      <w:pPr>
        <w:ind w:firstLine="708" w:left="2832"/>
      </w:pPr>
      <w:r>
        <w:drawing>
          <wp:inline>
            <wp:extent cx="1228725" cy="561975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1228725" cy="5619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</w:t>
      </w:r>
      <w:r>
        <w:t xml:space="preserve">                              (2</w:t>
      </w:r>
      <w:r>
        <w:t>.3)</w:t>
      </w:r>
    </w:p>
    <w:p w14:paraId="71000000">
      <w:pPr>
        <w:ind w:firstLine="708" w:left="0"/>
      </w:pPr>
      <w:r>
        <w:t xml:space="preserve">где </w:t>
      </w:r>
      <w:r>
        <w:t>Rai</w:t>
      </w:r>
      <w:r>
        <w:t xml:space="preserve"> – значение шероховатости i-той поверхности детали, </w:t>
      </w:r>
      <w:r>
        <w:t>мкм</w:t>
      </w:r>
      <w:r>
        <w:t>;</w:t>
      </w:r>
    </w:p>
    <w:p w14:paraId="72000000">
      <w:pPr>
        <w:ind w:firstLine="708" w:left="0"/>
      </w:pPr>
      <w:r>
        <w:t>ni</w:t>
      </w:r>
      <w:r>
        <w:t xml:space="preserve"> – количество поверхностей, имеющих шероховатость </w:t>
      </w:r>
      <w:r>
        <w:t>Rai</w:t>
      </w:r>
      <w:r>
        <w:t>.</w:t>
      </w:r>
    </w:p>
    <w:p w14:paraId="73000000">
      <w:pPr>
        <w:ind w:firstLine="708" w:left="0"/>
      </w:pPr>
      <w:r>
        <w:t>Для расчета коэффициента шероховатости составим расчетную табли</w:t>
      </w:r>
      <w:r>
        <w:t>цу 2</w:t>
      </w:r>
      <w:r>
        <w:t>.2.</w:t>
      </w:r>
    </w:p>
    <w:p w14:paraId="74000000">
      <w:pPr>
        <w:ind w:firstLine="708" w:left="0"/>
        <w:jc w:val="right"/>
      </w:pPr>
      <w:r>
        <w:t>Таблица 2</w:t>
      </w:r>
      <w:r>
        <w:t>.4</w:t>
      </w:r>
    </w:p>
    <w:p w14:paraId="75000000">
      <w:pPr>
        <w:ind w:firstLine="708" w:left="0"/>
        <w:jc w:val="center"/>
      </w:pPr>
      <w:r>
        <w:t>Ше</w:t>
      </w:r>
      <w:r>
        <w:t>роховатость поверхностей детали</w:t>
      </w:r>
    </w:p>
    <w:tbl>
      <w:tblPr>
        <w:tblStyle w:val="Style_4"/>
        <w:tblInd w:type="dxa" w:w="816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  <w:tblCellMar>
          <w:left w:type="dxa" w:w="107"/>
          <w:right w:type="dxa" w:w="107"/>
        </w:tblCellMar>
      </w:tblPr>
      <w:tblGrid>
        <w:gridCol w:w="3569"/>
        <w:gridCol w:w="1127"/>
        <w:gridCol w:w="895"/>
      </w:tblGrid>
      <w:tr>
        <w:trPr>
          <w:trHeight w:hRule="atLeast" w:val="571"/>
        </w:trPr>
        <w:tc>
          <w:tcPr>
            <w:tcW w:type="dxa" w:w="35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107"/>
              <w:right w:type="dxa" w:w="107"/>
            </w:tcMar>
            <w:vAlign w:val="center"/>
          </w:tcPr>
          <w:p w14:paraId="76000000">
            <w:pPr>
              <w:widowControl w:val="0"/>
              <w:ind w:hanging="28" w:left="141" w:right="-107"/>
              <w:jc w:val="center"/>
            </w:pPr>
            <w:r>
              <w:t xml:space="preserve">Шероховатость </w:t>
            </w:r>
            <w:r>
              <w:rPr>
                <w:i w:val="1"/>
              </w:rPr>
              <w:t>R</w:t>
            </w:r>
            <w:r>
              <w:rPr>
                <w:i w:val="1"/>
              </w:rPr>
              <w:t>а</w:t>
            </w:r>
            <w:r>
              <w:t>, мкм</w:t>
            </w:r>
          </w:p>
        </w:tc>
        <w:tc>
          <w:tcPr>
            <w:tcW w:type="dxa" w:w="1127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left w:type="dxa" w:w="107"/>
              <w:right w:type="dxa" w:w="107"/>
            </w:tcMar>
            <w:vAlign w:val="center"/>
          </w:tcPr>
          <w:p w14:paraId="77000000">
            <w:pPr>
              <w:widowControl w:val="0"/>
              <w:ind w:hanging="28" w:left="141" w:right="310"/>
              <w:jc w:val="center"/>
            </w:pPr>
            <w:r>
              <w:t>2</w:t>
            </w:r>
            <w:r>
              <w:t>,5</w:t>
            </w:r>
          </w:p>
        </w:tc>
        <w:tc>
          <w:tcPr>
            <w:tcW w:type="dxa" w:w="895"/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left w:type="dxa" w:w="107"/>
              <w:right w:type="dxa" w:w="107"/>
            </w:tcMar>
            <w:vAlign w:val="center"/>
          </w:tcPr>
          <w:p w14:paraId="78000000">
            <w:pPr>
              <w:widowControl w:val="0"/>
              <w:ind w:firstLine="0" w:left="0" w:right="310"/>
              <w:jc w:val="center"/>
            </w:pPr>
            <w:r>
              <w:t>40</w:t>
            </w:r>
          </w:p>
        </w:tc>
      </w:tr>
      <w:tr>
        <w:trPr>
          <w:trHeight w:hRule="atLeast" w:val="386"/>
        </w:trPr>
        <w:tc>
          <w:tcPr>
            <w:tcW w:type="dxa" w:w="35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107"/>
              <w:right w:type="dxa" w:w="107"/>
            </w:tcMar>
            <w:vAlign w:val="center"/>
          </w:tcPr>
          <w:p w14:paraId="79000000">
            <w:pPr>
              <w:widowControl w:val="0"/>
              <w:ind w:hanging="28" w:left="141" w:right="-107"/>
              <w:jc w:val="center"/>
            </w:pPr>
            <w:r>
              <w:t xml:space="preserve">Количество поверхностей </w:t>
            </w:r>
            <w:r>
              <w:rPr>
                <w:i w:val="1"/>
              </w:rPr>
              <w:t>n</w:t>
            </w:r>
          </w:p>
        </w:tc>
        <w:tc>
          <w:tcPr>
            <w:tcW w:type="dxa" w:w="1127"/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tcMar>
              <w:left w:type="dxa" w:w="107"/>
              <w:right w:type="dxa" w:w="107"/>
            </w:tcMar>
            <w:vAlign w:val="center"/>
          </w:tcPr>
          <w:p w14:paraId="7A000000">
            <w:pPr>
              <w:widowControl w:val="0"/>
              <w:ind w:hanging="28" w:left="141" w:right="310"/>
              <w:jc w:val="left"/>
            </w:pPr>
            <w:r>
              <w:t>11</w:t>
            </w:r>
          </w:p>
        </w:tc>
        <w:tc>
          <w:tcPr>
            <w:tcW w:type="dxa" w:w="895"/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tcMar>
              <w:left w:type="dxa" w:w="107"/>
              <w:right w:type="dxa" w:w="107"/>
            </w:tcMar>
            <w:vAlign w:val="center"/>
          </w:tcPr>
          <w:p w14:paraId="7B000000">
            <w:pPr>
              <w:widowControl w:val="0"/>
              <w:ind w:firstLine="0" w:left="0" w:right="310"/>
              <w:jc w:val="center"/>
            </w:pPr>
            <w:r>
              <w:t>18</w:t>
            </w:r>
          </w:p>
        </w:tc>
      </w:tr>
    </w:tbl>
    <w:p w14:paraId="7C000000">
      <w:pPr>
        <w:ind w:firstLine="708" w:left="0"/>
      </w:pPr>
    </w:p>
    <w:p w14:paraId="7D000000">
      <w:pPr>
        <w:ind w:firstLine="708" w:left="0"/>
      </w:pPr>
      <w:r>
        <w:t>Тогда:</w:t>
      </w:r>
    </w:p>
    <w:p w14:paraId="7E000000">
      <w:pPr>
        <w:ind w:firstLine="708" w:left="0"/>
      </w:pPr>
      <w:r>
        <w:drawing>
          <wp:inline>
            <wp:extent cx="2324100" cy="390525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2324100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>.</w:t>
      </w:r>
    </w:p>
    <w:p w14:paraId="7F000000">
      <w:pPr>
        <w:ind w:firstLine="708" w:left="0"/>
      </w:pPr>
      <w:r>
        <w:t xml:space="preserve">Коэффициент шероховатости поверхностей </w:t>
      </w:r>
      <w:r>
        <w:drawing>
          <wp:inline>
            <wp:extent cx="276225" cy="219075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276225" cy="219075"/>
                    </a:xfrm>
                    <a:prstGeom prst="rect"/>
                  </pic:spPr>
                </pic:pic>
              </a:graphicData>
            </a:graphic>
          </wp:inline>
        </w:drawing>
      </w:r>
      <w:r>
        <w:t>:</w:t>
      </w:r>
    </w:p>
    <w:p w14:paraId="80000000">
      <w:pPr>
        <w:ind w:firstLine="708" w:left="2124"/>
      </w:pPr>
      <w:r>
        <w:drawing>
          <wp:inline>
            <wp:extent cx="1800225" cy="447675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1800225" cy="447675"/>
                    </a:xfrm>
                    <a:prstGeom prst="rect"/>
                  </pic:spPr>
                </pic:pic>
              </a:graphicData>
            </a:graphic>
          </wp:inline>
        </w:drawing>
      </w:r>
      <w:r>
        <w:t>.                                      (</w:t>
      </w:r>
      <w:r>
        <w:t>2</w:t>
      </w:r>
      <w:r>
        <w:t>.4)</w:t>
      </w:r>
    </w:p>
    <w:p w14:paraId="81000000">
      <w:pPr>
        <w:ind w:firstLine="708" w:left="0"/>
      </w:pPr>
      <w:r>
        <w:t xml:space="preserve">  По данному показателю деталь технологична, т.к. Кш&lt;0,82</w:t>
      </w:r>
    </w:p>
    <w:p w14:paraId="82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>3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Определение типа производства</w:t>
      </w:r>
    </w:p>
    <w:p w14:paraId="83000000">
      <w:pPr>
        <w:ind w:firstLine="708" w:left="0"/>
      </w:pPr>
    </w:p>
    <w:p w14:paraId="84000000">
      <w:pPr>
        <w:ind w:firstLine="708" w:left="0"/>
      </w:pPr>
      <w:r>
        <w:t xml:space="preserve">В машиностроительной отрасли выделяют три базовых типа организации производства: массовое, серийное и единичное. Массовый тип характеризуется ограниченной номенклатурой изделий при значительных объёмах выпуска. Серийный тип предполагает расширенный перечень продукции и меньшие объёмы изготовления. Единичный тип отличается максимально широкой номенклатурой при минимальном количестве выпускаемых изделий </w:t>
      </w:r>
      <w:r>
        <w:t>классификация производства</w:t>
      </w:r>
      <w:r>
        <w:t>.</w:t>
      </w:r>
    </w:p>
    <w:p w14:paraId="85000000">
      <w:pPr>
        <w:ind w:firstLine="708" w:left="0"/>
      </w:pPr>
      <w:r>
        <w:t>Согласно ГОСТ 14.004</w:t>
      </w:r>
      <w:r>
        <w:t>83, тип производства определяется коэффициентом закрепления операций за рабочим местом или единицей оборудования. Данный коэффициент рассчитывается как отношение количества различных технологических операций, выполняемых или планируемых к выполнению в течение месяца, к числу рабочих мест. В соответствии с ГОСТ 3.11.0</w:t>
      </w:r>
      <w:r>
        <w:t>74 коэффициент закрепления операций (</w:t>
      </w:r>
      <w:r>
        <w:t>Кз</w:t>
      </w:r>
      <w:r>
        <w:t>.о</w:t>
      </w:r>
      <w:r>
        <w:t>) принимается равным отношению числа технологических переходов, выполняемых на участке за месяц, к количеству рабочих мест.</w:t>
      </w:r>
    </w:p>
    <w:p w14:paraId="86000000">
      <w:pPr>
        <w:ind w:firstLine="708" w:left="0"/>
      </w:pPr>
      <w:r>
        <w:t xml:space="preserve">Диапазоны значений </w:t>
      </w:r>
      <w:r>
        <w:t>Кз</w:t>
      </w:r>
      <w:r>
        <w:t>.о</w:t>
      </w:r>
      <w:r>
        <w:t>:</w:t>
      </w:r>
    </w:p>
    <w:p w14:paraId="87000000">
      <w:pPr>
        <w:ind w:firstLine="708" w:left="0"/>
      </w:pPr>
      <w:r>
        <w:t>Кз</w:t>
      </w:r>
      <w:r>
        <w:t>.о</w:t>
      </w:r>
      <w:r>
        <w:t xml:space="preserve"> = 1</w:t>
      </w:r>
      <w:r>
        <w:t xml:space="preserve"> </w:t>
      </w:r>
      <w:r>
        <w:t>-</w:t>
      </w:r>
      <w:r>
        <w:t xml:space="preserve"> массовое производство;</w:t>
      </w:r>
    </w:p>
    <w:p w14:paraId="88000000">
      <w:pPr>
        <w:ind w:firstLine="708" w:left="0"/>
      </w:pPr>
      <w:r>
        <w:t xml:space="preserve">1 &lt; </w:t>
      </w:r>
      <w:r>
        <w:t>Кз</w:t>
      </w:r>
      <w:r>
        <w:t>.о</w:t>
      </w:r>
      <w:r>
        <w:t xml:space="preserve"> &lt; 10</w:t>
      </w:r>
      <w:r>
        <w:t xml:space="preserve"> </w:t>
      </w:r>
      <w:r>
        <w:t>-</w:t>
      </w:r>
      <w:r>
        <w:t xml:space="preserve"> крупносерийное производство;</w:t>
      </w:r>
    </w:p>
    <w:p w14:paraId="89000000">
      <w:pPr>
        <w:ind w:firstLine="708" w:left="0"/>
      </w:pPr>
      <w:r>
        <w:t xml:space="preserve">10 &lt; </w:t>
      </w:r>
      <w:r>
        <w:t>Кз</w:t>
      </w:r>
      <w:r>
        <w:t>.о</w:t>
      </w:r>
      <w:r>
        <w:t xml:space="preserve"> &lt; 20</w:t>
      </w:r>
      <w:r>
        <w:t xml:space="preserve"> </w:t>
      </w:r>
      <w:r>
        <w:t>-</w:t>
      </w:r>
      <w:r>
        <w:t xml:space="preserve"> среднесерийное производство;</w:t>
      </w:r>
    </w:p>
    <w:p w14:paraId="8A000000">
      <w:pPr>
        <w:ind w:firstLine="708" w:left="0"/>
      </w:pPr>
      <w:r>
        <w:t xml:space="preserve">20 &lt; </w:t>
      </w:r>
      <w:r>
        <w:t>Кз</w:t>
      </w:r>
      <w:r>
        <w:t>.о</w:t>
      </w:r>
      <w:r>
        <w:t xml:space="preserve"> &lt; 40</w:t>
      </w:r>
      <w:r>
        <w:t xml:space="preserve"> </w:t>
      </w:r>
      <w:r>
        <w:t>-</w:t>
      </w:r>
      <w:r>
        <w:t xml:space="preserve"> мелкосерийное производство;</w:t>
      </w:r>
    </w:p>
    <w:p w14:paraId="8B000000">
      <w:pPr>
        <w:ind w:firstLine="708" w:left="0"/>
      </w:pPr>
      <w:r>
        <w:t>Кз</w:t>
      </w:r>
      <w:r>
        <w:t>.о</w:t>
      </w:r>
      <w:r>
        <w:t xml:space="preserve"> &gt; 40</w:t>
      </w:r>
      <w:r>
        <w:t xml:space="preserve"> </w:t>
      </w:r>
      <w:r>
        <w:t>-</w:t>
      </w:r>
      <w:r>
        <w:t xml:space="preserve"> единичное производство.</w:t>
      </w:r>
    </w:p>
    <w:p w14:paraId="8C000000">
      <w:pPr>
        <w:ind w:firstLine="708" w:left="0"/>
      </w:pPr>
      <w:r>
        <w:t>В данной работе, ввиду отсутствия исходных данных по базовому варианту (число операций и рабочих мест), тип производства определяется на основе годового объёма выпуска и массы деталей (таблица 2.5).</w:t>
      </w:r>
    </w:p>
    <w:p w14:paraId="8D000000">
      <w:pPr>
        <w:ind w:firstLine="708" w:left="0"/>
      </w:pPr>
    </w:p>
    <w:p w14:paraId="8E000000">
      <w:pPr>
        <w:ind w:firstLine="708" w:left="0"/>
        <w:jc w:val="right"/>
      </w:pPr>
    </w:p>
    <w:p w14:paraId="8F000000">
      <w:pPr>
        <w:ind w:firstLine="708" w:left="0"/>
        <w:jc w:val="right"/>
      </w:pPr>
    </w:p>
    <w:p w14:paraId="90000000">
      <w:pPr>
        <w:ind w:firstLine="708" w:left="0"/>
        <w:jc w:val="right"/>
      </w:pPr>
      <w:r>
        <w:t>Таблица 2.5</w:t>
      </w:r>
    </w:p>
    <w:p w14:paraId="91000000">
      <w:pPr>
        <w:ind w:firstLine="708" w:left="0"/>
        <w:jc w:val="center"/>
      </w:pPr>
      <w:r>
        <w:t>Определение типа производства</w:t>
      </w:r>
    </w:p>
    <w:p w14:paraId="92000000">
      <w:pPr>
        <w:ind w:firstLine="708" w:left="0"/>
      </w:pPr>
      <w:r>
        <w:drawing>
          <wp:inline>
            <wp:extent cx="5210175" cy="1724025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6"/>
                    <a:srcRect b="0" l="0" r="0" t="0"/>
                    <a:stretch/>
                  </pic:blipFill>
                  <pic:spPr>
                    <a:xfrm flipH="false" flipV="false" rot="0">
                      <a:ext cx="5210175" cy="17240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3000000">
      <w:pPr>
        <w:ind w:firstLine="708" w:left="0"/>
      </w:pPr>
      <w:r>
        <w:t>Т.</w:t>
      </w:r>
      <w:r>
        <w:t>к</w:t>
      </w:r>
      <w:r>
        <w:t xml:space="preserve"> </w:t>
      </w:r>
      <w:r>
        <w:t>масса</w:t>
      </w:r>
      <w:r>
        <w:t xml:space="preserve"> детали составляет </w:t>
      </w:r>
      <w:r>
        <w:t>5,4 кг</w:t>
      </w:r>
      <w:r>
        <w:t>., а годовая программа выпуска 500 шт., то тип производства ориентировочно будет среднесерийным.</w:t>
      </w:r>
    </w:p>
    <w:p w14:paraId="94000000">
      <w:pPr>
        <w:ind w:firstLine="708" w:left="0"/>
      </w:pPr>
      <w:r>
        <w:t>Рассчитаем количество деталей в партии единовременного запуска n, шт.</w:t>
      </w:r>
    </w:p>
    <w:p w14:paraId="95000000">
      <w:pPr>
        <w:ind w:firstLine="0" w:left="3540"/>
      </w:pPr>
      <w:r>
        <w:t xml:space="preserve">       </w:t>
      </w:r>
      <w:r>
        <w:drawing>
          <wp:inline>
            <wp:extent cx="647700" cy="390525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7"/>
                    <a:srcRect b="0" l="0" r="0" t="0"/>
                    <a:stretch/>
                  </pic:blipFill>
                  <pic:spPr>
                    <a:xfrm flipH="false" flipV="false" rot="0">
                      <a:ext cx="647700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                  </w:t>
      </w:r>
      <w:r>
        <w:t xml:space="preserve">   (2.5</w:t>
      </w:r>
      <w:r>
        <w:t>)</w:t>
      </w:r>
    </w:p>
    <w:p w14:paraId="96000000">
      <w:pPr>
        <w:ind w:firstLine="708" w:left="0"/>
      </w:pPr>
      <w:r>
        <w:t>где N = 500 шт. – годовой объем выпуска деталей;</w:t>
      </w:r>
    </w:p>
    <w:p w14:paraId="97000000">
      <w:pPr>
        <w:ind w:firstLine="708" w:left="0"/>
      </w:pPr>
      <w:r>
        <w:t xml:space="preserve">а = 8 </w:t>
      </w:r>
      <w:r>
        <w:t>дн</w:t>
      </w:r>
      <w:r>
        <w:t>. – периодичность запуска в днях;</w:t>
      </w:r>
    </w:p>
    <w:p w14:paraId="98000000">
      <w:pPr>
        <w:ind w:firstLine="708" w:left="0"/>
      </w:pPr>
      <w:r>
        <w:t xml:space="preserve">Ф = 252 </w:t>
      </w:r>
      <w:r>
        <w:t>дн</w:t>
      </w:r>
      <w:r>
        <w:t>. – количество рабочих дней в году.</w:t>
      </w:r>
    </w:p>
    <w:p w14:paraId="99000000">
      <w:pPr>
        <w:ind w:firstLine="708" w:left="0"/>
      </w:pPr>
      <w:r>
        <w:drawing>
          <wp:inline>
            <wp:extent cx="1438275" cy="390525"/>
            <wp:docPr hidden="false" id="30" name="Picture 30"/>
            <a:graphic>
              <a:graphicData uri="http://schemas.openxmlformats.org/drawingml/2006/picture">
                <pic:pic>
                  <pic:nvPicPr>
                    <pic:cNvPr hidden="false" id="29" name="Picture 29"/>
                    <pic:cNvPicPr preferRelativeResize="true"/>
                  </pic:nvPicPr>
                  <pic:blipFill>
                    <a:blip r:embed="rId18"/>
                    <a:srcRect b="0" l="0" r="0" t="0"/>
                    <a:stretch/>
                  </pic:blipFill>
                  <pic:spPr>
                    <a:xfrm flipH="false" flipV="false" rot="0">
                      <a:ext cx="1438275" cy="390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A000000">
      <w:pPr>
        <w:ind w:firstLine="708" w:left="0"/>
      </w:pPr>
      <w:r>
        <w:t>принимаем n = 16 шт.</w:t>
      </w:r>
    </w:p>
    <w:p w14:paraId="9B000000">
      <w:pPr>
        <w:ind w:firstLine="708" w:left="0"/>
      </w:pPr>
      <w:r>
        <w:t xml:space="preserve">Для среднесерийного типа производства рассчитываем такт выпуска </w:t>
      </w:r>
      <w:r>
        <w:t>t</w:t>
      </w:r>
      <w:r>
        <w:t>в, мин:</w:t>
      </w:r>
    </w:p>
    <w:p w14:paraId="9C000000">
      <w:pPr>
        <w:ind w:firstLine="0" w:left="2832"/>
      </w:pPr>
      <w:r>
        <w:t xml:space="preserve">        </w:t>
      </w:r>
      <w:r>
        <w:drawing>
          <wp:inline>
            <wp:extent cx="752475" cy="390525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19"/>
                    <a:srcRect b="0" l="0" r="0" t="0"/>
                    <a:stretch/>
                  </pic:blipFill>
                  <pic:spPr>
                    <a:xfrm flipH="false" flipV="false" rot="0">
                      <a:ext cx="752475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                           (</w:t>
      </w:r>
      <w:r>
        <w:t>2.6</w:t>
      </w:r>
      <w:r>
        <w:t>)</w:t>
      </w:r>
    </w:p>
    <w:p w14:paraId="9D000000">
      <w:pPr>
        <w:ind w:firstLine="708" w:left="0"/>
      </w:pPr>
      <w:r>
        <w:t xml:space="preserve">где </w:t>
      </w:r>
      <w:r>
        <w:t>F</w:t>
      </w:r>
      <w:r>
        <w:t xml:space="preserve">д = 4015 ч. – годовой фонд времени работы оборудования. </w:t>
      </w:r>
    </w:p>
    <w:p w14:paraId="9E000000">
      <w:pPr>
        <w:ind w:firstLine="708" w:left="0"/>
      </w:pPr>
      <w:r>
        <w:drawing>
          <wp:inline>
            <wp:extent cx="1752600" cy="390525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20"/>
                    <a:srcRect b="0" l="0" r="0" t="0"/>
                    <a:stretch/>
                  </pic:blipFill>
                  <pic:spPr>
                    <a:xfrm flipH="false" flipV="false" rot="0">
                      <a:ext cx="1752600" cy="390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F000000">
      <w:pPr>
        <w:ind w:firstLine="708" w:left="0"/>
      </w:pPr>
      <w:r>
        <w:t>С</w:t>
      </w:r>
      <w:r>
        <w:t xml:space="preserve">ерийный тип производства является доминирующим в современном машиностроении: предприятия такого профиля обеспечивают около 75–80 % общего объёма выпуска продукции. По технологическим характеристикам серийное производство занимает промежуточное положение </w:t>
      </w:r>
      <w:r>
        <w:t>между</w:t>
      </w:r>
      <w:r>
        <w:t xml:space="preserve"> </w:t>
      </w:r>
      <w:r>
        <w:t>массовым и единичным. Объёмы выпуска варьируются от нескольких сотен до нескольких тысяч изделий, регулярно повторяющихся в производственной программе.</w:t>
      </w:r>
    </w:p>
    <w:p w14:paraId="A0000000">
      <w:pPr>
        <w:ind w:firstLine="708" w:left="0"/>
      </w:pPr>
      <w:r>
        <w:t>Персонал</w:t>
      </w:r>
    </w:p>
    <w:p w14:paraId="A1000000">
      <w:pPr>
        <w:ind w:firstLine="708" w:left="0"/>
      </w:pPr>
      <w:r>
        <w:t>В серийном производстве задействованы рабочие средней квалификации. Наряду с ними применяются специалисты высокой квалификации, операторы универсальных станков и наладчики, обеспечивающие стабильную работу оборудования. Значительная часть операций выполняется рабочими</w:t>
      </w:r>
      <w:r>
        <w:t>операторами на предварительно настроенных станках.</w:t>
      </w:r>
    </w:p>
    <w:p w14:paraId="A2000000">
      <w:pPr>
        <w:ind w:firstLine="708" w:left="0"/>
      </w:pPr>
      <w:r>
        <w:t>Заготовки</w:t>
      </w:r>
    </w:p>
    <w:p w14:paraId="A3000000">
      <w:pPr>
        <w:ind w:firstLine="708" w:left="0"/>
      </w:pPr>
      <w:r>
        <w:t>Используются заготовки средней точности: горячекатаный и холоднокатаный прокат, литьё в землю и под давлением, точное литьё, поковки, штамповки и прессовки. Достижение требуемой точности обеспечивается как автоматизированными методами получения размеров, так и пробными проходами с последующими промерами, частично включая разметочные операции.</w:t>
      </w:r>
    </w:p>
    <w:p w14:paraId="A4000000">
      <w:pPr>
        <w:ind w:firstLine="708" w:left="0"/>
      </w:pPr>
      <w:r>
        <w:t>Оборудование</w:t>
      </w:r>
    </w:p>
    <w:p w14:paraId="A5000000">
      <w:pPr>
        <w:ind w:firstLine="708" w:left="0"/>
      </w:pPr>
      <w:r>
        <w:t>В серийном производстве применяется универсальное, специализированное и частично специализированное оборудование. Широко используются станки с ЧПУ, обрабатывающие центры, а также гибкие автоматизированные системы, объединённые с транспортирующими устройствами и управляемые от ЭВМ. Расстановка оборудования осуществляется по технологическим группам с учётом направления основных грузопотоков и формированием предметно</w:t>
      </w:r>
      <w:r>
        <w:t>замкнутых участков. Параллельно применяются групповые поточные линии и переменно</w:t>
      </w:r>
      <w:r>
        <w:t>поточные автоматизированные линии.</w:t>
      </w:r>
    </w:p>
    <w:p w14:paraId="A6000000">
      <w:pPr>
        <w:ind w:firstLine="708" w:left="0"/>
      </w:pPr>
      <w:r>
        <w:t>Важным элементом является универсально</w:t>
      </w:r>
      <w:r>
        <w:t>сборная переналаживаемая технологическая оснастка, позволяющая повысить коэффициент оснащённости и адаптивность серийного производства.</w:t>
      </w:r>
    </w:p>
    <w:p w14:paraId="A7000000">
      <w:pPr>
        <w:ind w:firstLine="708" w:left="0"/>
      </w:pPr>
      <w:r>
        <w:t xml:space="preserve">Серийное производство отличается высокой устойчивостью, гибкостью и хорошей адаптацией к автоматизации, что делает его наиболее распространённым типом организации технологических процессов </w:t>
      </w:r>
      <w:r>
        <w:t>серийное производство</w:t>
      </w:r>
      <w:r>
        <w:t>.</w:t>
      </w:r>
    </w:p>
    <w:p w14:paraId="A8000000">
      <w:pPr>
        <w:ind w:firstLine="708" w:left="0"/>
      </w:pPr>
    </w:p>
    <w:p w14:paraId="A9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>4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Выбор заготовки</w:t>
      </w:r>
    </w:p>
    <w:p w14:paraId="AA000000">
      <w:pPr>
        <w:ind w:firstLine="708" w:left="0"/>
      </w:pPr>
    </w:p>
    <w:p w14:paraId="AB000000">
      <w:pPr>
        <w:ind w:firstLine="708" w:left="0"/>
      </w:pPr>
      <w:r>
        <w:t xml:space="preserve">Выбор способа получения заготовки для приборных деталей определяется функциональным назначением изделия, особенностями его конструкции, видом применяемого материала, установленными техническими требованиями, масштабом выпуска и экономическими показателями производства. Определение рационального варианта заготовки включает установление метода её получения, назначение припусков на обработку всех поверхностей, расчёт исходных размеров и указание допустимых отклонений, связанных с точностью изготовления. Поскольку перечисленные факторы взаимосвязаны, выбор заготовки должен осуществляться комплексно. Окончательное решение принимается после проведения экономического анализа, учитывающего суммарные затраты на изготовление заготовки и последующую механическую обработку </w:t>
      </w:r>
      <w:r>
        <w:t>выбор заготовки</w:t>
      </w:r>
      <w:r>
        <w:t>.</w:t>
      </w:r>
    </w:p>
    <w:p w14:paraId="AC000000">
      <w:pPr>
        <w:ind w:firstLine="708" w:left="0"/>
      </w:pPr>
      <w:r>
        <w:t>Для рассматриваемого типа производства могут быть использованы методы получения заготовок литьём по выплавляемым моделям или литьём под давлением.</w:t>
      </w:r>
    </w:p>
    <w:p w14:paraId="AD000000">
      <w:pPr>
        <w:ind w:firstLine="708" w:left="0"/>
      </w:pPr>
      <w:r>
        <w:t xml:space="preserve">Литьё по выплавляемым моделям является экономически оправданным при изготовлении деталей сложной конфигурации из различных сплавов при объёме партии более 100 шт. Метод позволяет получать отливки массой до 50 кг с минимальной толщиной стенки 0,5 мм, точностью 11–12-го квалитета по </w:t>
      </w:r>
      <w:r>
        <w:t>СТ</w:t>
      </w:r>
      <w:r>
        <w:t xml:space="preserve"> СЭВ 144</w:t>
      </w:r>
      <w:r>
        <w:t xml:space="preserve">75 и параметром шероховатости поверхности </w:t>
      </w:r>
      <w:r>
        <w:t>Rz</w:t>
      </w:r>
      <w:r>
        <w:t xml:space="preserve"> 40–10.</w:t>
      </w:r>
    </w:p>
    <w:p w14:paraId="AE000000">
      <w:pPr>
        <w:ind w:firstLine="708" w:left="0"/>
      </w:pPr>
      <w:r>
        <w:t xml:space="preserve">Литьё под давлением применяется преимущественно для фасонных отливок из цинковых, алюминиевых, магниевых и латунных сплавов. Метод целесообразен при объёме выпуска 1000 и более деталей. Производительность достигает 1000 отливок в час. Возможна изготовление изделий массой до 100 кг с минимальной толщиной стенки 0,5 мм, точностью 11–12-го квалитета по </w:t>
      </w:r>
      <w:r>
        <w:t>СТ</w:t>
      </w:r>
      <w:r>
        <w:t xml:space="preserve"> СЭВ 144</w:t>
      </w:r>
      <w:r>
        <w:t xml:space="preserve">75 и шероховатостью поверхности не выше </w:t>
      </w:r>
      <w:r>
        <w:t>Rz</w:t>
      </w:r>
      <w:r>
        <w:t xml:space="preserve"> 20.</w:t>
      </w:r>
    </w:p>
    <w:p w14:paraId="AF000000">
      <w:pPr>
        <w:ind w:firstLine="708" w:left="0"/>
      </w:pPr>
      <w:r>
        <w:t xml:space="preserve">Для объективного выбора метода получения заготовки требуется сравнение технологической себестоимости различных вариантов. Стоимость заготовок, получаемых литьём по выплавляемым моделям и литьём под давлением, определяется по соответствующей расчётной формуле </w:t>
      </w:r>
      <w:r>
        <w:t>себестоимость заготовки</w:t>
      </w:r>
      <w:r>
        <w:t>.</w:t>
      </w:r>
    </w:p>
    <w:p w14:paraId="B0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а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d>
            <m:dPr>
              <m:sepChr m:val=","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w:rPr>
                          <w:rFonts w:ascii="Cambria Math" w:hAnsi="Cambria Math"/>
                          <w:sz w:val="22"/>
                        </w:rPr>
                        <m:rPr>
                          <m:sty m:val="p"/>
                        </m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rPr>
                          <m:sty m:val="p"/>
                        </m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2"/>
                    </w:rPr>
                    <m:t>1000</m:t>
                  </m:r>
                </m:den>
              </m:f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Q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T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C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B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M</m:t>
                  </m:r>
                </m:sub>
              </m:s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*</m:t>
              </m:r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k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П</m:t>
                  </m:r>
                </m:sub>
              </m:sSub>
            </m:e>
          </m:d>
          <m:r>
            <w:rPr>
              <w:rFonts w:ascii="Cambria Math" w:hAnsi="Cambria Math"/>
              <w:sz w:val="22"/>
            </w:rPr>
            <m:t>-</m:t>
          </m:r>
          <m:d>
            <m:dPr>
              <m:sepChr m:val=","/>
            </m:dPr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Q</m:t>
              </m:r>
              <m:r>
                <w:rPr>
                  <w:rFonts w:ascii="Cambria Math" w:hAnsi="Cambria Math"/>
                  <w:sz w:val="22"/>
                </w:rPr>
                <m:t>-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q</m:t>
              </m:r>
            </m:e>
          </m:d>
          <m:r>
            <w:rPr>
              <w:rFonts w:ascii="Cambria Math" w:hAnsi="Cambria Math"/>
              <w:sz w:val="22"/>
            </w:rPr>
            <m:rPr>
              <m:sty m:val="p"/>
            </m:rPr>
            <m:t>*</m:t>
          </m:r>
          <m:f>
            <m:fPr>
              <m:type m:val="bar"/>
            </m:fPr>
            <m:num>
              <m:sSub>
                <m:e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S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о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т</m:t>
                  </m:r>
                  <m:r>
                    <w:rPr>
                      <w:rFonts w:ascii="Cambria Math" w:hAnsi="Cambria Math"/>
                      <w:sz w:val="22"/>
                    </w:rPr>
                    <m:rPr>
                      <m:sty m:val="p"/>
                    </m:rPr>
                    <m:t>х</m:t>
                  </m:r>
                </m:sub>
              </m:sSub>
            </m:num>
            <m:den>
              <m:r>
                <w:rPr>
                  <w:rFonts w:ascii="Cambria Math" w:hAnsi="Cambria Math"/>
                  <w:sz w:val="22"/>
                </w:rPr>
                <m:t>1000</m:t>
              </m:r>
            </m:den>
          </m:f>
        </m:oMath>
      </m:oMathPara>
      <w:r>
        <w:t xml:space="preserve">                  (2.7</w:t>
      </w:r>
      <w:r>
        <w:t>)</w:t>
      </w:r>
    </w:p>
    <w:p w14:paraId="B1000000">
      <w:pPr>
        <w:ind w:firstLine="708" w:left="0"/>
      </w:pPr>
      <w:r>
        <w:t xml:space="preserve">где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i</m:t>
              </m:r>
            </m:sub>
          </m:sSub>
          <m:r>
            <w:rPr>
              <w:rFonts w:ascii="Cambria Math" w:hAnsi="Cambria Math"/>
              <w:sz w:val="22"/>
            </w:rPr>
            <m:t>-</m:t>
          </m:r>
        </m:oMath>
      </m:oMathPara>
      <w:r>
        <w:t xml:space="preserve"> базовая стоимость 1 т заготовок, руб.;</w:t>
      </w:r>
    </w:p>
    <w:p w14:paraId="B2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</m:t>
              </m:r>
            </m:sub>
          </m:sSub>
          <m:r>
            <w:rPr>
              <w:rFonts w:ascii="Cambria Math" w:hAnsi="Cambria Math"/>
              <w:sz w:val="22"/>
            </w:rPr>
            <m:t>,</m:t>
          </m:r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sub>
          </m:sSub>
          <m:r>
            <w:rPr>
              <w:rFonts w:ascii="Cambria Math" w:hAnsi="Cambria Math"/>
              <w:sz w:val="22"/>
            </w:rPr>
            <m:t>,</m:t>
          </m:r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B</m:t>
              </m:r>
            </m:sub>
          </m:sSub>
          <m:r>
            <w:rPr>
              <w:rFonts w:ascii="Cambria Math" w:hAnsi="Cambria Math"/>
              <w:sz w:val="22"/>
            </w:rPr>
            <m:t>,</m:t>
          </m:r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M</m:t>
              </m:r>
            </m:sub>
          </m:sSub>
          <m:r>
            <w:rPr>
              <w:rFonts w:ascii="Cambria Math" w:hAnsi="Cambria Math"/>
              <w:sz w:val="22"/>
            </w:rPr>
            <m:t>,</m:t>
          </m:r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-</m:t>
          </m:r>
        </m:oMath>
      </m:oMathPara>
      <w:r>
        <w:t>коэффициенты, зависящие от класса точности, группы сложности, массы, марки материала и объёма производства заготовок соответственно;</w:t>
      </w:r>
    </w:p>
    <w:p w14:paraId="B3000000">
      <w:pPr>
        <w:ind w:firstLine="708" w:left="0"/>
      </w:pPr>
      <m:oMathPara>
        <m:oMath>
          <m:r>
            <w:rPr>
              <w:rFonts w:ascii="Cambria Math" w:hAnsi="Cambria Math"/>
              <w:sz w:val="22"/>
            </w:rPr>
            <m:rPr>
              <m:sty m:val="p"/>
            </m:rPr>
            <m:t>Q</m:t>
          </m:r>
          <m:r>
            <w:rPr>
              <w:rFonts w:ascii="Cambria Math" w:hAnsi="Cambria Math"/>
              <w:sz w:val="22"/>
            </w:rPr>
            <m:t>-</m:t>
          </m:r>
        </m:oMath>
      </m:oMathPara>
      <w:r>
        <w:t xml:space="preserve"> масса заготовки, </w:t>
      </w:r>
      <w:r>
        <w:t>кг</w:t>
      </w:r>
      <w:r>
        <w:t xml:space="preserve">;    </w:t>
      </w:r>
      <m:oMathPara>
        <m:oMath>
          <m:r>
            <w:rPr>
              <w:rFonts w:ascii="Cambria Math" w:hAnsi="Cambria Math"/>
              <w:sz w:val="22"/>
            </w:rPr>
            <m:rPr>
              <m:sty m:val="p"/>
            </m:rPr>
            <m:t>q</m:t>
          </m:r>
          <m:r>
            <w:rPr>
              <w:rFonts w:ascii="Cambria Math" w:hAnsi="Cambria Math"/>
              <w:sz w:val="22"/>
            </w:rPr>
            <m:t>-</m:t>
          </m:r>
        </m:oMath>
      </m:oMathPara>
      <w:r>
        <w:t xml:space="preserve"> масса готовой детали, кг; </w:t>
      </w:r>
    </w:p>
    <w:p w14:paraId="B4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т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х</m:t>
              </m:r>
            </m:sub>
          </m:sSub>
          <m:r>
            <w:rPr>
              <w:rFonts w:ascii="Cambria Math" w:hAnsi="Cambria Math"/>
              <w:sz w:val="22"/>
            </w:rPr>
            <m:t>-</m:t>
          </m:r>
        </m:oMath>
      </m:oMathPara>
      <w:r>
        <w:t>цена 1 т отходов, руб.</w:t>
      </w:r>
    </w:p>
    <w:p w14:paraId="B5000000">
      <w:pPr>
        <w:ind w:firstLine="708" w:left="0"/>
      </w:pPr>
      <w:r>
        <w:t>Для заготовок, получаемых литьем по выплавляемым моделям:</w:t>
      </w:r>
    </w:p>
    <w:p w14:paraId="B6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i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29750руб.;</w:t>
      </w:r>
    </w:p>
    <w:p w14:paraId="B7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B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0,45;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0,83;</w:t>
      </w:r>
    </w:p>
    <w:p w14:paraId="B8000000">
      <w:pPr>
        <w:ind w:firstLine="708" w:left="0"/>
      </w:pPr>
      <w:r>
        <w:t>Q=6,7 кг;</w:t>
      </w:r>
      <w:r>
        <w:t xml:space="preserve"> q=5,4 кг; </w:t>
      </w:r>
      <w:r>
        <w:t xml:space="preserve">кг;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т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х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4200 руб.</w:t>
      </w:r>
    </w:p>
    <w:p w14:paraId="B9000000">
      <w:pPr>
        <w:ind w:firstLine="708" w:left="0"/>
      </w:pPr>
      <w:r>
        <w:drawing>
          <wp:inline>
            <wp:extent cx="3667125" cy="428625"/>
            <wp:docPr hidden="false" id="36" name="Picture 36"/>
            <a:graphic>
              <a:graphicData uri="http://schemas.openxmlformats.org/drawingml/2006/picture">
                <pic:pic>
                  <pic:nvPicPr>
                    <pic:cNvPr hidden="false" id="35" name="Picture 35"/>
                    <pic:cNvPicPr preferRelativeResize="true"/>
                  </pic:nvPicPr>
                  <pic:blipFill>
                    <a:blip r:embed="rId21"/>
                    <a:srcRect b="0" l="0" r="0" t="0"/>
                    <a:stretch/>
                  </pic:blipFill>
                  <pic:spPr>
                    <a:xfrm flipH="false" flipV="false" rot="0">
                      <a:ext cx="3667125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>74.4 (р)</w:t>
      </w:r>
    </w:p>
    <w:p w14:paraId="BA000000">
      <w:pPr>
        <w:ind w:firstLine="708" w:left="0"/>
      </w:pPr>
      <w:r>
        <w:t>Для заготовок, получаемых литьем под давлением:</w:t>
      </w:r>
    </w:p>
    <w:p w14:paraId="BB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i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18950 руб.;</w:t>
      </w:r>
    </w:p>
    <w:p w14:paraId="BC000000">
      <w:pPr>
        <w:ind w:firstLine="708" w:left="0"/>
      </w:pP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T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C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1;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B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 xml:space="preserve">0,69;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1,09;</w:t>
      </w:r>
    </w:p>
    <w:p w14:paraId="BD000000">
      <w:pPr>
        <w:ind w:firstLine="708" w:left="0"/>
      </w:pPr>
      <w:r>
        <w:t>Q=6,7 кг;</w:t>
      </w:r>
      <w:r>
        <w:t xml:space="preserve"> q=5,4 кг; </w:t>
      </w:r>
      <w:r>
        <w:t xml:space="preserve">кг; </w:t>
      </w:r>
      <m:oMathPara>
        <m:oMath>
          <m:sSub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о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т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х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</m:oMath>
      </m:oMathPara>
      <w:r>
        <w:t>42 руб.</w:t>
      </w:r>
    </w:p>
    <w:p w14:paraId="BE000000">
      <w:pPr>
        <w:ind w:firstLine="708" w:left="0"/>
      </w:pPr>
      <w:r>
        <w:drawing>
          <wp:inline>
            <wp:extent cx="3629025" cy="428625"/>
            <wp:docPr hidden="false" id="38" name="Picture 38"/>
            <a:graphic>
              <a:graphicData uri="http://schemas.openxmlformats.org/drawingml/2006/picture">
                <pic:pic>
                  <pic:nvPicPr>
                    <pic:cNvPr hidden="false" id="37" name="Picture 37"/>
                    <pic:cNvPicPr preferRelativeResize="true"/>
                  </pic:nvPicPr>
                  <pic:blipFill>
                    <a:blip r:embed="rId22"/>
                    <a:srcRect b="0" l="0" r="0" t="0"/>
                    <a:stretch/>
                  </pic:blipFill>
                  <pic:spPr>
                    <a:xfrm flipH="false" flipV="false" rot="0">
                      <a:ext cx="3629025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>95.4 (р)</w:t>
      </w:r>
    </w:p>
    <w:p w14:paraId="BF000000">
      <w:pPr>
        <w:ind w:firstLine="708" w:left="0"/>
      </w:pPr>
      <w:r>
        <w:t>Принимаем метод получения заготовки – литье по выплавляемым моделям, исходя из меньшей технологической себестоимости детали.</w:t>
      </w:r>
    </w:p>
    <w:p w14:paraId="C0000000">
      <w:pPr>
        <w:ind w:firstLine="708" w:left="0"/>
      </w:pPr>
      <w:r>
        <w:t xml:space="preserve"> Определяем годовой экономический эффект от внедрения нового метода получения заготовки – литье по выплавляемым моделям:</w:t>
      </w:r>
    </w:p>
    <w:p w14:paraId="C1000000">
      <w:pPr>
        <w:ind w:firstLine="708" w:left="0"/>
      </w:pPr>
      <w:r>
        <w:t xml:space="preserve">                                     </w:t>
      </w:r>
      <w:r>
        <w:drawing>
          <wp:inline>
            <wp:extent cx="1323975" cy="238125"/>
            <wp:docPr hidden="false" id="40" name="Picture 40"/>
            <a:graphic>
              <a:graphicData uri="http://schemas.openxmlformats.org/drawingml/2006/picture">
                <pic:pic>
                  <pic:nvPicPr>
                    <pic:cNvPr hidden="false" id="39" name="Picture 39"/>
                    <pic:cNvPicPr preferRelativeResize="true"/>
                  </pic:nvPicPr>
                  <pic:blipFill>
                    <a:blip r:embed="rId23"/>
                    <a:srcRect b="0" l="0" r="0" t="0"/>
                    <a:stretch/>
                  </pic:blipFill>
                  <pic:spPr>
                    <a:xfrm flipH="false" flipV="false" rot="0">
                      <a:ext cx="1323975" cy="2381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t xml:space="preserve">                            (2.8</w:t>
      </w:r>
      <w:r>
        <w:t>)</w:t>
      </w:r>
    </w:p>
    <w:p w14:paraId="C2000000">
      <w:pPr>
        <w:ind w:firstLine="708" w:left="0"/>
      </w:pPr>
      <w:r>
        <w:t xml:space="preserve">где </w:t>
      </w:r>
      <m:oMathPara>
        <m:oMath>
          <m:sSubSup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а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</m:sub>
            <m:sup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а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</m:sup>
          </m:sSubSup>
        </m:oMath>
      </m:oMathPara>
      <w:r>
        <w:t xml:space="preserve"> – стоимость заготовки по базовому варианту;</w:t>
      </w:r>
    </w:p>
    <w:p w14:paraId="C3000000">
      <w:pPr>
        <w:ind w:firstLine="708" w:left="0"/>
      </w:pPr>
      <m:oMathPara>
        <m:oMath>
          <m:sSubSup>
            <m:e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S</m:t>
              </m:r>
            </m:e>
            <m:sub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з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а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г</m:t>
              </m:r>
            </m:sub>
            <m:sup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п</m:t>
              </m:r>
              <m:r>
                <w:rPr>
                  <w:rFonts w:ascii="Cambria Math" w:hAnsi="Cambria Math"/>
                  <w:sz w:val="22"/>
                </w:rPr>
                <m:rPr>
                  <m:sty m:val="p"/>
                </m:rPr>
                <m:t>р</m:t>
              </m:r>
            </m:sup>
          </m:sSubSup>
        </m:oMath>
      </m:oMathPara>
      <w:r>
        <w:t xml:space="preserve"> – стоимость заготовки по принятому варианту.</w:t>
      </w:r>
    </w:p>
    <w:p w14:paraId="C4000000">
      <w:pPr>
        <w:ind w:firstLine="708" w:left="0"/>
      </w:pPr>
      <w:r>
        <w:drawing>
          <wp:inline>
            <wp:extent cx="2057400" cy="228600"/>
            <wp:docPr hidden="false" id="42" name="Picture 42"/>
            <a:graphic>
              <a:graphicData uri="http://schemas.openxmlformats.org/drawingml/2006/picture">
                <pic:pic>
                  <pic:nvPicPr>
                    <pic:cNvPr hidden="false" id="41" name="Picture 41"/>
                    <pic:cNvPicPr preferRelativeResize="true"/>
                  </pic:nvPicPr>
                  <pic:blipFill>
                    <a:blip r:embed="rId24"/>
                    <a:srcRect b="0" l="0" r="0" t="0"/>
                    <a:stretch/>
                  </pic:blipFill>
                  <pic:spPr>
                    <a:xfrm flipH="false" flipV="false" rot="0">
                      <a:ext cx="2057400" cy="228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t>руб</w:t>
      </w:r>
    </w:p>
    <w:p w14:paraId="C5000000">
      <w:pPr>
        <w:ind w:firstLine="708" w:left="0"/>
      </w:pPr>
    </w:p>
    <w:p w14:paraId="C600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>5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Разработка технологической карты</w:t>
      </w:r>
    </w:p>
    <w:p w14:paraId="C7000000">
      <w:pPr>
        <w:ind w:firstLine="708" w:left="0"/>
      </w:pPr>
    </w:p>
    <w:p w14:paraId="C8000000">
      <w:pPr>
        <w:ind w:firstLine="708" w:left="0"/>
      </w:pPr>
      <w:r>
        <w:t xml:space="preserve">Маршрутный технологический процесс представляет собой документ, в котором фиксируются состав и последовательность технологических операций, а также указывается тип оборудования, предназначенного для их выполнения. На этапе предварительной разработки требуется также определить применяемую технологическую оснастку </w:t>
      </w:r>
      <w:r>
        <w:t>маршрутный процесс</w:t>
      </w:r>
      <w:r>
        <w:t>.</w:t>
      </w:r>
    </w:p>
    <w:p w14:paraId="C9000000">
      <w:pPr>
        <w:ind w:firstLine="708" w:left="0"/>
      </w:pPr>
      <w:r>
        <w:t>Выбор станочного оборудования является ключевым элементом при формировании технологического процесса механической обработки заготовки. От корректности принятого решения зависит производительность изготовления детали, рациональное использование производственных площадей, уровень механизации и автоматизации операций, расход электроэнергии и, в конечном итоге, себестоимость изделия. С учётом объёма выпуска изделий в данном случае целесообразно применение универсальных станков.</w:t>
      </w:r>
    </w:p>
    <w:p w14:paraId="CA000000">
      <w:pPr>
        <w:ind w:firstLine="708" w:left="0"/>
      </w:pPr>
      <w:r>
        <w:t>Выбор приспособлений</w:t>
      </w:r>
    </w:p>
    <w:p w14:paraId="CB000000">
      <w:pPr>
        <w:ind w:firstLine="708" w:left="0"/>
      </w:pPr>
      <w:r>
        <w:t xml:space="preserve">При разработке технологического процесса необходимо определить приспособления, обеспечивающие повышение производительности, </w:t>
      </w:r>
      <w:r>
        <w:t xml:space="preserve">исключение предварительной разметки и сокращение времени на </w:t>
      </w:r>
      <w:r>
        <w:t>установку</w:t>
      </w:r>
      <w:r>
        <w:t xml:space="preserve"> и выверку заготовки на станке. Использование станочных приспособлений и вспомогательного инструмента даёт следующие преимущества:</w:t>
      </w:r>
    </w:p>
    <w:p w14:paraId="CC000000">
      <w:pPr>
        <w:ind w:firstLine="708" w:left="0"/>
      </w:pPr>
      <w:r>
        <w:t xml:space="preserve">- </w:t>
      </w:r>
      <w:r>
        <w:t>повышение точности и качества обработки;</w:t>
      </w:r>
    </w:p>
    <w:p w14:paraId="CD000000">
      <w:pPr>
        <w:ind w:firstLine="708" w:left="0"/>
      </w:pPr>
      <w:r>
        <w:t xml:space="preserve">- </w:t>
      </w:r>
      <w:r>
        <w:t>снижение трудоёмкости за счёт уменьшения времени установки, выверки и закрепления;</w:t>
      </w:r>
    </w:p>
    <w:p w14:paraId="CE000000">
      <w:pPr>
        <w:ind w:firstLine="708" w:left="0"/>
      </w:pPr>
      <w:r>
        <w:t xml:space="preserve">- </w:t>
      </w:r>
      <w:r>
        <w:t>возможность одновременной обработки нескольких заготовок, размещённых в одном приспособлении.</w:t>
      </w:r>
    </w:p>
    <w:p w14:paraId="CF000000">
      <w:pPr>
        <w:ind w:firstLine="708" w:left="0"/>
      </w:pPr>
      <w:r>
        <w:t>Выбор режущего инструмента</w:t>
      </w:r>
    </w:p>
    <w:p w14:paraId="D0000000">
      <w:pPr>
        <w:ind w:firstLine="708" w:left="0"/>
      </w:pPr>
      <w:r>
        <w:t xml:space="preserve">При формировании технологического процесса механической обработки заготовки выбор режущего инструмента определяется методом обработки, свойствами материала, требованиями к точности и качеству поверхности. В первую очередь рекомендуется применять стандартный инструмент, однако при необходимости допускается использование специального, комбинированного или фасонного инструмента, позволяющего выполнять обработку нескольких поверхностей за один </w:t>
      </w:r>
      <w:r>
        <w:t>установ</w:t>
      </w:r>
      <w:r>
        <w:t>.</w:t>
      </w:r>
    </w:p>
    <w:p w14:paraId="D1000000">
      <w:pPr>
        <w:ind w:firstLine="708" w:left="0"/>
      </w:pPr>
      <w:r>
        <w:t xml:space="preserve">Корректный выбор режущей части инструмента оказывает существенное влияние на производительность и себестоимость обработки. Материал инструмента определяется его конструкцией, размерами, характеристиками обрабатываемой заготовки, режимами резания и типом производства </w:t>
      </w:r>
      <w:r>
        <w:t>режущий инструмент</w:t>
      </w:r>
      <w:r>
        <w:t>.</w:t>
      </w:r>
    </w:p>
    <w:p w14:paraId="D2000000">
      <w:pPr>
        <w:ind w:firstLine="708" w:left="0"/>
      </w:pPr>
      <w:r>
        <w:t xml:space="preserve">На основании выполненного анализа составляется </w:t>
      </w:r>
      <w:r>
        <w:t xml:space="preserve">технологическая карта </w:t>
      </w:r>
      <w:r>
        <w:t>изготовления детали «</w:t>
      </w:r>
      <w:r>
        <w:t>Корпус ротора</w:t>
      </w:r>
      <w:r>
        <w:t>».</w:t>
      </w:r>
    </w:p>
    <w:p w14:paraId="D3000000">
      <w:pPr>
        <w:widowControl w:val="0"/>
        <w:spacing w:line="276" w:lineRule="auto"/>
        <w:ind/>
        <w:jc w:val="right"/>
      </w:pPr>
    </w:p>
    <w:p w14:paraId="D4000000">
      <w:pPr>
        <w:widowControl w:val="0"/>
        <w:spacing w:line="276" w:lineRule="auto"/>
        <w:ind/>
        <w:jc w:val="right"/>
      </w:pPr>
    </w:p>
    <w:p w14:paraId="D5000000">
      <w:pPr>
        <w:widowControl w:val="0"/>
        <w:spacing w:line="276" w:lineRule="auto"/>
        <w:ind/>
        <w:jc w:val="right"/>
      </w:pPr>
    </w:p>
    <w:p w14:paraId="D6000000">
      <w:pPr>
        <w:widowControl w:val="0"/>
        <w:spacing w:line="276" w:lineRule="auto"/>
        <w:ind/>
        <w:jc w:val="right"/>
      </w:pPr>
    </w:p>
    <w:p w14:paraId="D7000000">
      <w:pPr>
        <w:widowControl w:val="0"/>
        <w:spacing w:line="276" w:lineRule="auto"/>
        <w:ind/>
        <w:jc w:val="right"/>
      </w:pPr>
    </w:p>
    <w:p w14:paraId="D8000000">
      <w:pPr>
        <w:widowControl w:val="0"/>
        <w:spacing w:line="276" w:lineRule="auto"/>
        <w:ind/>
        <w:jc w:val="right"/>
      </w:pPr>
    </w:p>
    <w:p w14:paraId="D9000000">
      <w:pPr>
        <w:widowControl w:val="0"/>
        <w:spacing w:line="276" w:lineRule="auto"/>
        <w:ind/>
        <w:jc w:val="right"/>
      </w:pPr>
    </w:p>
    <w:p w14:paraId="DA000000">
      <w:pPr>
        <w:widowControl w:val="0"/>
        <w:spacing w:line="276" w:lineRule="auto"/>
        <w:ind/>
        <w:jc w:val="right"/>
      </w:pPr>
      <w:r>
        <w:t>Таблица 2.6</w:t>
      </w:r>
    </w:p>
    <w:p w14:paraId="DB000000">
      <w:pPr>
        <w:widowControl w:val="0"/>
        <w:spacing w:line="276" w:lineRule="auto"/>
        <w:ind/>
        <w:jc w:val="center"/>
      </w:pPr>
      <w:r>
        <w:t>Технологическая карта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3"/>
        <w:gridCol w:w="3831"/>
        <w:gridCol w:w="1555"/>
        <w:gridCol w:w="1843"/>
        <w:gridCol w:w="1678"/>
      </w:tblGrid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0"/>
              <w:spacing w:line="276" w:lineRule="auto"/>
              <w:ind w:firstLine="0" w:left="0"/>
              <w:jc w:val="center"/>
            </w:pPr>
            <w:r>
              <w:t xml:space="preserve">№ </w:t>
            </w:r>
            <w:r>
              <w:t>п</w:t>
            </w:r>
            <w:r>
              <w:t>/п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spacing w:line="276" w:lineRule="auto"/>
              <w:ind w:firstLine="0" w:left="0"/>
              <w:jc w:val="center"/>
            </w:pPr>
            <w:r>
              <w:t>Наименование</w:t>
            </w:r>
          </w:p>
          <w:p w14:paraId="DE000000">
            <w:pPr>
              <w:widowControl w:val="0"/>
              <w:spacing w:line="276" w:lineRule="auto"/>
              <w:ind w:firstLine="0" w:left="0"/>
              <w:jc w:val="center"/>
            </w:pPr>
            <w:r>
              <w:t>операции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0"/>
              <w:spacing w:line="276" w:lineRule="auto"/>
              <w:ind w:firstLine="0" w:left="0"/>
              <w:jc w:val="center"/>
            </w:pPr>
            <w:r>
              <w:t>Оборудование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0"/>
              <w:spacing w:line="276" w:lineRule="auto"/>
              <w:ind w:firstLine="0" w:left="0"/>
              <w:jc w:val="center"/>
            </w:pPr>
            <w:r>
              <w:t>Режущий      инструмент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0"/>
              <w:spacing w:line="276" w:lineRule="auto"/>
              <w:ind w:firstLine="0" w:left="0"/>
              <w:jc w:val="center"/>
            </w:pPr>
            <w:r>
              <w:t>Мерительный</w:t>
            </w:r>
          </w:p>
          <w:p w14:paraId="E2000000">
            <w:pPr>
              <w:widowControl w:val="0"/>
              <w:spacing w:line="276" w:lineRule="auto"/>
              <w:ind w:firstLine="0" w:left="0"/>
              <w:jc w:val="center"/>
            </w:pPr>
            <w:r>
              <w:t>инструмент</w:t>
            </w: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widowControl w:val="0"/>
              <w:spacing w:line="276" w:lineRule="auto"/>
              <w:ind w:firstLine="0" w:left="0"/>
              <w:jc w:val="center"/>
            </w:pPr>
            <w:r>
              <w:t>1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0"/>
              <w:spacing w:line="276" w:lineRule="auto"/>
              <w:ind w:firstLine="0" w:left="0"/>
              <w:jc w:val="center"/>
            </w:pPr>
            <w:r>
              <w:t>2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0"/>
              <w:spacing w:line="276" w:lineRule="auto"/>
              <w:ind w:firstLine="0" w:left="0"/>
              <w:jc w:val="center"/>
            </w:pPr>
            <w: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0"/>
              <w:spacing w:line="276" w:lineRule="auto"/>
              <w:ind w:firstLine="0" w:left="0"/>
              <w:jc w:val="center"/>
            </w:pPr>
            <w:r>
              <w:t>4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widowControl w:val="0"/>
              <w:spacing w:line="276" w:lineRule="auto"/>
              <w:ind w:firstLine="0" w:left="0"/>
              <w:jc w:val="center"/>
            </w:pPr>
            <w:r>
              <w:t>5</w:t>
            </w: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0"/>
              <w:spacing w:line="276" w:lineRule="auto"/>
              <w:ind w:firstLine="0" w:left="0"/>
              <w:jc w:val="center"/>
            </w:pPr>
            <w:r>
              <w:t>005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0"/>
              <w:spacing w:line="276" w:lineRule="auto"/>
              <w:ind w:firstLine="0" w:left="0"/>
            </w:pPr>
            <w:r>
              <w:t>Заготовительная</w:t>
            </w:r>
          </w:p>
          <w:p w14:paraId="EA000000">
            <w:pPr>
              <w:widowControl w:val="0"/>
              <w:spacing w:line="276" w:lineRule="auto"/>
              <w:ind w:firstLine="0" w:left="0"/>
            </w:pPr>
            <w:r>
              <w:t>1. Отлить заготовку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0"/>
              <w:spacing w:line="276" w:lineRule="auto"/>
              <w:ind w:firstLine="0" w:left="0"/>
              <w:jc w:val="center"/>
            </w:pPr>
            <w:r>
              <w:t>Печь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0"/>
              <w:spacing w:line="276" w:lineRule="auto"/>
              <w:ind w:firstLine="0" w:left="0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0"/>
              <w:spacing w:line="276" w:lineRule="auto"/>
              <w:ind w:firstLine="0" w:left="0"/>
            </w:pPr>
            <w:r>
              <w:t>ШЦ-III-125-0,05 ГОСТ 166-80</w:t>
            </w: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widowControl w:val="0"/>
              <w:spacing w:line="276" w:lineRule="auto"/>
              <w:ind w:firstLine="0" w:left="0"/>
              <w:jc w:val="center"/>
            </w:pPr>
            <w:r>
              <w:t>010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spacing w:line="276" w:lineRule="auto"/>
              <w:ind w:firstLine="0" w:left="0"/>
              <w:jc w:val="center"/>
            </w:pPr>
            <w:r>
              <w:t>Токарно-фрезерная</w:t>
            </w:r>
          </w:p>
          <w:p w14:paraId="F0000000">
            <w:pPr>
              <w:widowControl w:val="0"/>
              <w:spacing w:line="276" w:lineRule="auto"/>
              <w:ind w:firstLine="0" w:left="0"/>
              <w:jc w:val="left"/>
            </w:pPr>
            <w:r>
              <w:t>Обработка по программе</w:t>
            </w:r>
          </w:p>
          <w:p w14:paraId="F1000000">
            <w:pPr>
              <w:widowControl w:val="0"/>
              <w:spacing w:line="276" w:lineRule="auto"/>
              <w:ind w:firstLine="0" w:left="0"/>
              <w:jc w:val="left"/>
            </w:pPr>
          </w:p>
          <w:p w14:paraId="F2000000">
            <w:pPr>
              <w:widowControl w:val="0"/>
              <w:spacing w:line="276" w:lineRule="auto"/>
              <w:ind w:firstLine="0" w:left="0"/>
              <w:jc w:val="left"/>
            </w:pPr>
            <w:r>
              <w:t>1. Подрезать торец в размер 77±</w:t>
            </w:r>
            <w:r>
              <w:t>0,5 мм</w:t>
            </w:r>
            <w:r>
              <w:t xml:space="preserve">  предварительно и окончательно;</w:t>
            </w:r>
          </w:p>
          <w:p w14:paraId="F300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2. Точить Ø66 мм на длину </w:t>
            </w:r>
            <w:r>
              <w:t>25 мм</w:t>
            </w:r>
            <w:r>
              <w:t xml:space="preserve"> с подрезкой торца предварительно и окончательно; </w:t>
            </w:r>
          </w:p>
          <w:p w14:paraId="F400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3. Точить Ø70Н7  мм на длину </w:t>
            </w:r>
            <w:r>
              <w:t>5,5 мм</w:t>
            </w:r>
            <w:r>
              <w:t xml:space="preserve"> предварительно и окончательно, </w:t>
            </w:r>
          </w:p>
          <w:p w14:paraId="F5000000">
            <w:pPr>
              <w:widowControl w:val="0"/>
              <w:spacing w:line="276" w:lineRule="auto"/>
              <w:ind w:firstLine="0" w:left="0"/>
              <w:jc w:val="left"/>
            </w:pPr>
            <w:r>
              <w:t>4. Точить Ø78</w:t>
            </w:r>
            <w:r>
              <w:rPr>
                <w:vertAlign w:val="subscript"/>
              </w:rPr>
              <w:t xml:space="preserve"> </w:t>
            </w:r>
            <w:r>
              <w:t xml:space="preserve">мм с образованием R0,3, выдерживая размер </w:t>
            </w:r>
            <w:r>
              <w:t>1,84 мм</w:t>
            </w:r>
            <w:r>
              <w:t>, окончательно;</w:t>
            </w:r>
          </w:p>
          <w:p w14:paraId="F600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5. Точить Ø100h8 мм на длину </w:t>
            </w:r>
            <w:r>
              <w:t>7 мм</w:t>
            </w:r>
            <w:r>
              <w:t xml:space="preserve"> с образованием   </w:t>
            </w:r>
            <w:r>
              <w:t>c</w:t>
            </w:r>
            <w:r>
              <w:t xml:space="preserve"> подрезкой торца предварительно и окончательно.</w:t>
            </w:r>
          </w:p>
          <w:p w14:paraId="F7000000">
            <w:pPr>
              <w:widowControl w:val="0"/>
              <w:spacing w:line="276" w:lineRule="auto"/>
              <w:ind w:firstLine="0" w:left="0"/>
              <w:jc w:val="left"/>
            </w:pPr>
            <w:r>
              <w:t>6. Подрезать торец, под &lt;15</w:t>
            </w:r>
            <w:r>
              <w:rPr>
                <w:vertAlign w:val="superscript"/>
              </w:rPr>
              <w:t>0</w:t>
            </w:r>
            <w:r>
              <w:t>, окончательно;</w:t>
            </w:r>
          </w:p>
          <w:p w14:paraId="F800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7.Точить Ø82 мм с </w:t>
            </w:r>
            <w:r>
              <w:t>R</w:t>
            </w:r>
            <w:r>
              <w:t>5.</w:t>
            </w:r>
          </w:p>
          <w:p w14:paraId="F9000000">
            <w:pPr>
              <w:widowControl w:val="0"/>
              <w:spacing w:line="276" w:lineRule="auto"/>
              <w:ind w:firstLine="0" w:left="0"/>
              <w:jc w:val="left"/>
            </w:pPr>
            <w:r>
              <w:t>8. Точить торец 34 мм;</w:t>
            </w:r>
          </w:p>
          <w:p w14:paraId="FA000000">
            <w:pPr>
              <w:widowControl w:val="0"/>
              <w:spacing w:line="276" w:lineRule="auto"/>
              <w:ind w:firstLine="0" w:left="0"/>
              <w:jc w:val="left"/>
            </w:pPr>
            <w:r>
              <w:t>9. Подрезать торец в размер 75±</w:t>
            </w:r>
            <w:r>
              <w:t>0,5 мм</w:t>
            </w:r>
            <w:r>
              <w:t xml:space="preserve">  предварительно и </w:t>
            </w:r>
            <w:r>
              <w:t>окончательно;</w:t>
            </w:r>
          </w:p>
          <w:p w14:paraId="FB000000">
            <w:pPr>
              <w:widowControl w:val="0"/>
              <w:spacing w:line="276" w:lineRule="auto"/>
              <w:ind w:firstLine="0" w:left="0"/>
              <w:jc w:val="left"/>
            </w:pPr>
            <w:r>
              <w:t>10. Расточить Ø62Н7 мм на проход предварительно и окончательно;</w:t>
            </w:r>
          </w:p>
          <w:p w14:paraId="FC000000">
            <w:pPr>
              <w:widowControl w:val="0"/>
              <w:spacing w:line="276" w:lineRule="auto"/>
              <w:ind w:firstLine="0" w:left="0"/>
              <w:jc w:val="left"/>
            </w:pPr>
            <w:r>
              <w:t>11. Точить Ø72 под &lt;10</w:t>
            </w:r>
            <w:r>
              <w:rPr>
                <w:vertAlign w:val="superscript"/>
              </w:rPr>
              <w:t>0</w:t>
            </w:r>
            <w:r>
              <w:t xml:space="preserve"> с подрезкой торца в размер 19 мм.</w:t>
            </w:r>
          </w:p>
          <w:p w14:paraId="FD00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12. Точить Ø105h6 с подрезкой торца в размер </w:t>
            </w:r>
            <w:r>
              <w:t>8 мм</w:t>
            </w:r>
            <w:r>
              <w:t xml:space="preserve"> предварительно и окончательно.</w:t>
            </w:r>
          </w:p>
          <w:p w14:paraId="FE000000">
            <w:pPr>
              <w:widowControl w:val="0"/>
              <w:spacing w:line="276" w:lineRule="auto"/>
              <w:ind w:firstLine="0" w:left="0"/>
              <w:jc w:val="left"/>
            </w:pPr>
            <w:r>
              <w:t>13. Точить канавку Ø99,4</w:t>
            </w:r>
            <w:r>
              <w:t>h</w:t>
            </w:r>
            <w:r>
              <w:t>8.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widowControl w:val="0"/>
              <w:spacing w:line="276" w:lineRule="auto"/>
              <w:ind w:firstLine="0" w:left="0"/>
              <w:jc w:val="center"/>
            </w:pPr>
            <w:r>
              <w:t>Токарно-револьверный</w:t>
            </w:r>
            <w:r>
              <w:t xml:space="preserve"> с ЧПУ </w:t>
            </w:r>
            <w:r>
              <w:t>Haas</w:t>
            </w:r>
            <w:r>
              <w:t>-</w:t>
            </w:r>
            <w:r>
              <w:t>ST</w:t>
            </w:r>
            <w:r>
              <w:t>10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widowControl w:val="0"/>
              <w:spacing w:line="276" w:lineRule="auto"/>
              <w:ind w:firstLine="0" w:left="0"/>
            </w:pPr>
            <w:r>
              <w:t xml:space="preserve">Инструмент </w:t>
            </w:r>
            <w:r>
              <w:t>Seco</w:t>
            </w:r>
            <w:r>
              <w:t xml:space="preserve"> </w:t>
            </w:r>
            <w:r>
              <w:t>Tools</w:t>
            </w:r>
            <w:r>
              <w:t>:</w:t>
            </w:r>
          </w:p>
          <w:p w14:paraId="01010000">
            <w:pPr>
              <w:spacing w:line="276" w:lineRule="auto"/>
              <w:ind w:firstLine="0" w:left="38"/>
            </w:pPr>
            <w:r>
              <w:t xml:space="preserve">державка наружная </w:t>
            </w:r>
            <w:r>
              <w:t>Jetsteam</w:t>
            </w:r>
            <w:r>
              <w:t xml:space="preserve"> </w:t>
            </w:r>
            <w:r>
              <w:t>Tooling</w:t>
            </w:r>
            <w:r>
              <w:t xml:space="preserve"> </w:t>
            </w:r>
            <w:r>
              <w:t>PCLNL</w:t>
            </w:r>
            <w:r>
              <w:t xml:space="preserve"> 2020</w:t>
            </w:r>
            <w:r>
              <w:t>K</w:t>
            </w:r>
            <w:r>
              <w:t>12</w:t>
            </w:r>
            <w:r>
              <w:t>JETL</w:t>
            </w:r>
            <w:r>
              <w:t xml:space="preserve">; твердосплавная пластина </w:t>
            </w:r>
            <w:r>
              <w:t>CNMA</w:t>
            </w:r>
            <w:r>
              <w:t xml:space="preserve">1204408 </w:t>
            </w:r>
            <w:r>
              <w:t>TK</w:t>
            </w:r>
            <w:r>
              <w:t xml:space="preserve">1001; внутренняя державка </w:t>
            </w:r>
            <w:r>
              <w:t>Seco</w:t>
            </w:r>
            <w:r>
              <w:t xml:space="preserve"> </w:t>
            </w:r>
            <w:r>
              <w:t>Capto</w:t>
            </w:r>
            <w:r>
              <w:t xml:space="preserve"> </w:t>
            </w:r>
            <w:r>
              <w:t>C</w:t>
            </w:r>
            <w:r>
              <w:t>4-</w:t>
            </w:r>
            <w:r>
              <w:t>SCLCR</w:t>
            </w:r>
            <w:r>
              <w:t xml:space="preserve">-11070-09; твердосплавная пластина </w:t>
            </w:r>
            <w:r>
              <w:t>CCMT</w:t>
            </w:r>
            <w:r>
              <w:t xml:space="preserve"> 09</w:t>
            </w:r>
            <w:r>
              <w:t>T</w:t>
            </w:r>
            <w:r>
              <w:t>302-</w:t>
            </w:r>
            <w:r>
              <w:t>F</w:t>
            </w:r>
            <w:r>
              <w:t xml:space="preserve">1 </w:t>
            </w:r>
            <w:r>
              <w:t>T</w:t>
            </w:r>
            <w:r>
              <w:t xml:space="preserve">1501; державка для обработки наружных канавок </w:t>
            </w:r>
            <w:r>
              <w:t>CER</w:t>
            </w:r>
            <w:r>
              <w:t xml:space="preserve"> </w:t>
            </w:r>
            <w:r>
              <w:t>1212</w:t>
            </w:r>
            <w:r>
              <w:t>H</w:t>
            </w:r>
            <w:r>
              <w:t>10</w:t>
            </w:r>
            <w:r>
              <w:t>D</w:t>
            </w:r>
            <w:r>
              <w:t xml:space="preserve">; </w:t>
            </w:r>
          </w:p>
          <w:p w14:paraId="02010000">
            <w:pPr>
              <w:spacing w:line="276" w:lineRule="auto"/>
              <w:ind w:firstLine="0" w:left="38"/>
            </w:pPr>
            <w:r>
              <w:t>твердосплавная</w:t>
            </w:r>
            <w:r>
              <w:t xml:space="preserve"> пластины для обработки канавок</w:t>
            </w:r>
          </w:p>
          <w:p w14:paraId="03010000">
            <w:pPr>
              <w:spacing w:line="276" w:lineRule="auto"/>
              <w:ind w:firstLine="0" w:left="38"/>
            </w:pPr>
            <w:r>
              <w:t>10</w:t>
            </w:r>
            <w:r>
              <w:t>ER</w:t>
            </w:r>
            <w:r>
              <w:t xml:space="preserve"> 1,0</w:t>
            </w:r>
            <w:r>
              <w:t>D</w:t>
            </w:r>
            <w:r>
              <w:t xml:space="preserve">76; </w:t>
            </w:r>
          </w:p>
          <w:p w14:paraId="04010000">
            <w:pPr>
              <w:spacing w:line="276" w:lineRule="auto"/>
              <w:ind w:firstLine="0" w:left="0" w:right="29"/>
              <w:jc w:val="left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0"/>
              <w:spacing w:line="276" w:lineRule="auto"/>
              <w:ind w:firstLine="0" w:left="0"/>
            </w:pPr>
            <w:r>
              <w:t>ШЦ-III-125-0,05 ГОСТ 166-80; угломер, калибр-пробка Ø42</w:t>
            </w:r>
            <w:r>
              <w:t>R</w:t>
            </w:r>
            <w:r>
              <w:t>6; калибры-скобы ГОСТ 18360-93; шаблон специальный для контроля канавки</w:t>
            </w:r>
          </w:p>
          <w:p w14:paraId="06010000">
            <w:pPr>
              <w:widowControl w:val="0"/>
              <w:spacing w:line="276" w:lineRule="auto"/>
              <w:ind w:firstLine="0" w:left="0"/>
              <w:jc w:val="center"/>
            </w:pP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0"/>
              <w:spacing w:line="276" w:lineRule="auto"/>
              <w:ind w:firstLine="0" w:left="0"/>
              <w:jc w:val="center"/>
            </w:pPr>
            <w:r>
              <w:t>015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14. Фрезеровать </w:t>
            </w:r>
            <w:r>
              <w:t>поднутрение</w:t>
            </w:r>
            <w:r>
              <w:t xml:space="preserve"> Ø30±5мм на длину 25 мм, выдерживая размер 68</w:t>
            </w:r>
            <w:r>
              <w:rPr>
                <w:vertAlign w:val="superscript"/>
              </w:rPr>
              <w:t>+</w:t>
            </w:r>
            <w:r>
              <w:rPr>
                <w:vertAlign w:val="superscript"/>
              </w:rPr>
              <w:t>1</w:t>
            </w:r>
            <w:r>
              <w:t xml:space="preserve"> мм</w:t>
            </w:r>
            <w:r>
              <w:t xml:space="preserve">; </w:t>
            </w:r>
          </w:p>
          <w:p w14:paraId="0901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15. Сверлить 6 отв. Ø </w:t>
            </w:r>
            <w:r>
              <w:t>8,5 мм</w:t>
            </w:r>
            <w:r>
              <w:t xml:space="preserve"> во фланце, выдерживая размеры Ø125 мм;</w:t>
            </w:r>
          </w:p>
          <w:p w14:paraId="0A01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16. </w:t>
            </w:r>
            <w:r>
              <w:t>Цековать</w:t>
            </w:r>
            <w:r>
              <w:t xml:space="preserve"> Ø15 мм на глубину 1,4 мм.</w:t>
            </w:r>
          </w:p>
          <w:p w14:paraId="0B010000">
            <w:pPr>
              <w:widowControl w:val="0"/>
              <w:spacing w:line="276" w:lineRule="auto"/>
              <w:ind w:firstLine="0" w:left="0"/>
              <w:jc w:val="left"/>
            </w:pPr>
            <w:r>
              <w:t xml:space="preserve">17. Сверлить  отв. Ø15 мм, выдерживая размеры </w:t>
            </w:r>
            <w:r>
              <w:t>25 мм</w:t>
            </w:r>
            <w:r>
              <w:t>, 45</w:t>
            </w:r>
            <w:r>
              <w:rPr>
                <w:vertAlign w:val="superscript"/>
              </w:rPr>
              <w:t>0</w:t>
            </w:r>
            <w:r>
              <w:t>;</w:t>
            </w:r>
          </w:p>
          <w:p w14:paraId="0C010000">
            <w:pPr>
              <w:widowControl w:val="0"/>
              <w:spacing w:line="276" w:lineRule="auto"/>
              <w:ind w:firstLine="0" w:left="0"/>
              <w:jc w:val="center"/>
            </w:pPr>
            <w:r>
              <w:t xml:space="preserve">18. Сверлить  отв. Ø8 мм выдерживая размеры </w:t>
            </w:r>
            <w:r>
              <w:t>45 мм</w:t>
            </w:r>
            <w:r>
              <w:t>, 30</w:t>
            </w:r>
            <w:r>
              <w:rPr>
                <w:vertAlign w:val="superscript"/>
              </w:rPr>
              <w:t>0</w:t>
            </w:r>
            <w:r>
              <w:t>;</w:t>
            </w:r>
          </w:p>
          <w:p w14:paraId="0D010000">
            <w:pPr>
              <w:widowControl w:val="0"/>
              <w:spacing w:line="276" w:lineRule="auto"/>
              <w:ind w:firstLine="0" w:left="0"/>
              <w:jc w:val="left"/>
            </w:pPr>
            <w:r>
              <w:t>19. Сверлить 2 отв. Ø7,2 мм;</w:t>
            </w:r>
          </w:p>
          <w:p w14:paraId="0E010000">
            <w:pPr>
              <w:widowControl w:val="0"/>
              <w:spacing w:line="276" w:lineRule="auto"/>
              <w:ind w:firstLine="0" w:left="0"/>
              <w:jc w:val="left"/>
            </w:pPr>
            <w:r>
              <w:t>20. Нарезать резьбу М8 в 2-х отв. Ø7,2 мм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widowControl w:val="0"/>
              <w:spacing w:line="276" w:lineRule="auto"/>
              <w:ind w:firstLine="0" w:left="0"/>
              <w:jc w:val="center"/>
            </w:pPr>
            <w:r>
              <w:t>Фрезерный</w:t>
            </w:r>
            <w:r>
              <w:t xml:space="preserve"> с ЧПУ FERRARI-S620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line="276" w:lineRule="auto"/>
              <w:ind w:firstLine="0" w:left="38"/>
            </w:pPr>
            <w:r>
              <w:t>сверла спиральные Ø3,5</w:t>
            </w:r>
          </w:p>
          <w:p w14:paraId="11010000">
            <w:pPr>
              <w:spacing w:line="276" w:lineRule="auto"/>
              <w:ind w:firstLine="0" w:left="0" w:right="29"/>
              <w:jc w:val="left"/>
            </w:pPr>
            <w:r>
              <w:t>SD1105А-0500-035-0,6R1;</w:t>
            </w:r>
          </w:p>
          <w:p w14:paraId="12010000">
            <w:pPr>
              <w:spacing w:line="276" w:lineRule="auto"/>
              <w:ind w:firstLine="0" w:left="0" w:right="29"/>
              <w:jc w:val="left"/>
            </w:pPr>
            <w:r>
              <w:t xml:space="preserve"> Ø7 SD1105А-0500-070-0,6R1;  </w:t>
            </w:r>
          </w:p>
          <w:p w14:paraId="13010000">
            <w:pPr>
              <w:widowControl w:val="0"/>
              <w:spacing w:line="276" w:lineRule="auto"/>
              <w:ind w:firstLine="0" w:left="0"/>
            </w:pPr>
            <w:r>
              <w:t>Ø8 SD1105А-0500-080-0,6R1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widowControl w:val="0"/>
              <w:spacing w:line="276" w:lineRule="auto"/>
              <w:ind w:firstLine="0" w:left="0"/>
            </w:pP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widowControl w:val="0"/>
              <w:spacing w:line="276" w:lineRule="auto"/>
              <w:ind w:firstLine="0" w:left="0"/>
              <w:jc w:val="center"/>
            </w:pPr>
            <w:r>
              <w:t>020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widowControl w:val="0"/>
              <w:spacing w:line="276" w:lineRule="auto"/>
              <w:ind w:firstLine="0" w:left="0"/>
              <w:jc w:val="center"/>
            </w:pPr>
            <w:r>
              <w:t>Слесарная</w:t>
            </w:r>
          </w:p>
          <w:p w14:paraId="17010000">
            <w:pPr>
              <w:widowControl w:val="0"/>
              <w:spacing w:line="276" w:lineRule="auto"/>
              <w:ind w:firstLine="0" w:left="0"/>
            </w:pPr>
            <w:r>
              <w:t>1. Острые кромки притупить, заусенцы зачистить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widowControl w:val="0"/>
              <w:spacing w:line="276" w:lineRule="auto"/>
              <w:ind w:firstLine="0" w:left="0"/>
              <w:jc w:val="center"/>
            </w:pPr>
            <w:r>
              <w:t>Верстак</w:t>
            </w:r>
          </w:p>
          <w:p w14:paraId="19010000">
            <w:pPr>
              <w:widowControl w:val="0"/>
              <w:spacing w:line="276" w:lineRule="auto"/>
              <w:ind w:firstLine="0" w:left="0"/>
              <w:jc w:val="center"/>
            </w:pPr>
            <w:r>
              <w:t xml:space="preserve"> слесарный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widowControl w:val="0"/>
              <w:spacing w:line="276" w:lineRule="auto"/>
              <w:ind w:firstLine="0" w:left="0"/>
              <w:jc w:val="center"/>
            </w:pPr>
            <w:r>
              <w:t>Комплект слесарного инструмента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widowControl w:val="0"/>
              <w:spacing w:line="276" w:lineRule="auto"/>
              <w:ind w:firstLine="0" w:left="0"/>
              <w:jc w:val="center"/>
            </w:pPr>
          </w:p>
        </w:tc>
      </w:tr>
      <w:tr>
        <w:tc>
          <w:tcPr>
            <w:tcW w:type="dxa" w:w="8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widowControl w:val="0"/>
              <w:spacing w:line="276" w:lineRule="auto"/>
              <w:ind w:firstLine="0" w:left="0"/>
              <w:jc w:val="center"/>
            </w:pPr>
            <w:r>
              <w:t>025</w:t>
            </w:r>
          </w:p>
        </w:tc>
        <w:tc>
          <w:tcPr>
            <w:tcW w:type="dxa" w:w="38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widowControl w:val="0"/>
              <w:spacing w:line="276" w:lineRule="auto"/>
              <w:ind w:firstLine="0" w:left="0"/>
              <w:jc w:val="center"/>
            </w:pPr>
            <w:r>
              <w:t>Контрольная</w:t>
            </w:r>
          </w:p>
          <w:p w14:paraId="1E010000">
            <w:pPr>
              <w:widowControl w:val="0"/>
              <w:spacing w:line="276" w:lineRule="auto"/>
              <w:ind w:firstLine="0" w:left="0"/>
              <w:jc w:val="left"/>
            </w:pPr>
            <w:r>
              <w:t>1. Контролировать размеры; допуски взаимного расположения, пар-</w:t>
            </w:r>
            <w:r>
              <w:t>ры</w:t>
            </w:r>
            <w:r>
              <w:t xml:space="preserve"> шероховатости.</w:t>
            </w:r>
          </w:p>
        </w:tc>
        <w:tc>
          <w:tcPr>
            <w:tcW w:type="dxa" w:w="1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widowControl w:val="0"/>
              <w:spacing w:line="276" w:lineRule="auto"/>
              <w:ind w:firstLine="0" w:left="0"/>
              <w:jc w:val="center"/>
            </w:pPr>
            <w:r>
              <w:t>Контрольная плита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widowControl w:val="0"/>
              <w:spacing w:line="276" w:lineRule="auto"/>
              <w:ind w:firstLine="0" w:left="0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0"/>
              <w:spacing w:line="276" w:lineRule="auto"/>
              <w:ind w:firstLine="0" w:left="0"/>
            </w:pPr>
          </w:p>
        </w:tc>
      </w:tr>
    </w:tbl>
    <w:p w14:paraId="22010000">
      <w:pPr>
        <w:ind w:firstLine="708" w:left="0"/>
      </w:pPr>
    </w:p>
    <w:p w14:paraId="23010000">
      <w:pPr>
        <w:pStyle w:val="Style_2"/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>2.</w:t>
      </w:r>
      <w:r>
        <w:rPr>
          <w:rFonts w:ascii="Times New Roman" w:hAnsi="Times New Roman"/>
          <w:b w:val="1"/>
          <w:color w:val="000000"/>
        </w:rPr>
        <w:t>6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Расчет режимов резания и норм времени</w:t>
      </w:r>
    </w:p>
    <w:p w14:paraId="24010000">
      <w:pPr>
        <w:ind w:firstLine="708" w:left="0"/>
      </w:pPr>
    </w:p>
    <w:p w14:paraId="25010000">
      <w:pPr>
        <w:ind w:firstLine="708" w:left="0"/>
      </w:pPr>
      <w:r>
        <w:t>Расчёт режимов резан</w:t>
      </w:r>
      <w:r>
        <w:t>ия представим в виде таблицы 2.7</w:t>
      </w:r>
      <w:r>
        <w:t>.</w:t>
      </w:r>
    </w:p>
    <w:p w14:paraId="26010000">
      <w:pPr>
        <w:ind w:firstLine="708" w:left="0"/>
        <w:jc w:val="right"/>
      </w:pPr>
      <w:r>
        <w:t>Таблица 2.7</w:t>
      </w:r>
    </w:p>
    <w:p w14:paraId="27010000">
      <w:pPr>
        <w:ind w:firstLine="708" w:left="0"/>
        <w:jc w:val="center"/>
      </w:pPr>
      <w:r>
        <w:t xml:space="preserve">Расчёт режимов резания для операции «010 </w:t>
      </w:r>
      <w:r>
        <w:t>Токарно-фрезерная</w:t>
      </w:r>
      <w:r>
        <w:t>»</w:t>
      </w: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8"/>
        <w:gridCol w:w="2834"/>
        <w:gridCol w:w="4503"/>
      </w:tblGrid>
      <w:tr>
        <w:trPr>
          <w:trHeight w:hRule="atLeast" w:val="456"/>
        </w:trPr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10000">
            <w:pPr>
              <w:spacing w:line="276" w:lineRule="auto"/>
              <w:ind w:firstLine="0" w:left="0"/>
              <w:jc w:val="center"/>
            </w:pPr>
            <w:r>
              <w:t>Наименование</w:t>
            </w:r>
          </w:p>
        </w:tc>
        <w:tc>
          <w:tcPr>
            <w:tcW w:type="dxa" w:w="2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spacing w:line="276" w:lineRule="auto"/>
              <w:ind w:firstLine="0" w:left="0"/>
              <w:jc w:val="center"/>
            </w:pPr>
            <w:r>
              <w:t>Формула</w:t>
            </w:r>
          </w:p>
        </w:tc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spacing w:line="276" w:lineRule="auto"/>
              <w:ind w:firstLine="0" w:left="0"/>
              <w:jc w:val="center"/>
            </w:pPr>
            <w:r>
              <w:t>Расчёт</w:t>
            </w:r>
          </w:p>
        </w:tc>
      </w:tr>
      <w:tr>
        <w:trPr>
          <w:trHeight w:hRule="atLeast" w:val="841"/>
        </w:trPr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spacing w:line="276" w:lineRule="auto"/>
              <w:ind w:firstLine="0" w:left="0"/>
              <w:jc w:val="left"/>
            </w:pPr>
            <w:r>
              <w:t>1) Длина рабочего хода суппорта</w:t>
            </w:r>
          </w:p>
        </w:tc>
        <w:tc>
          <w:tcPr>
            <w:tcW w:type="dxa" w:w="2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line="276" w:lineRule="auto"/>
              <w:ind w:firstLine="0" w:left="0"/>
              <w:jc w:val="center"/>
            </w:pPr>
            <m:oMathPara>
              <m:oMath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р.х.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=</m:t>
                </m:r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рез</m:t>
                    </m:r>
                  </m:sub>
                </m:sSub>
                <m:r>
                  <w:rPr>
                    <w:rFonts w:ascii="Cambria Math" w:hAnsi="Cambria Math"/>
                    <w:sz w:val="24"/>
                  </w:rPr>
                  <m:t>+y</m:t>
                </m:r>
              </m:oMath>
            </m:oMathPara>
          </w:p>
          <w:p w14:paraId="2D010000">
            <w:pPr>
              <w:spacing w:line="276" w:lineRule="auto"/>
              <w:ind w:firstLine="0" w:left="0"/>
              <w:jc w:val="center"/>
            </w:pPr>
          </w:p>
        </w:tc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line="276" w:lineRule="auto"/>
              <w:ind w:firstLine="0" w:left="0"/>
              <w:jc w:val="left"/>
            </w:pPr>
            <w:r>
              <w:t xml:space="preserve">Переход 1: </w:t>
            </w:r>
            <w:r>
              <w:t>L</w:t>
            </w:r>
            <w:r>
              <w:t>р.х</w:t>
            </w:r>
            <w:r>
              <w:t>.=</w:t>
            </w:r>
            <w:r>
              <w:t>17+1=18 мм.</w:t>
            </w:r>
          </w:p>
          <w:p w14:paraId="2F010000">
            <w:pPr>
              <w:spacing w:line="276" w:lineRule="auto"/>
              <w:ind w:firstLine="0" w:left="0"/>
              <w:jc w:val="left"/>
            </w:pPr>
            <w:r>
              <w:t xml:space="preserve">Переход 2: </w:t>
            </w:r>
            <w:r>
              <w:t>L</w:t>
            </w:r>
            <w:r>
              <w:t>р.х</w:t>
            </w:r>
            <w:r>
              <w:t>.=</w:t>
            </w:r>
            <w:r>
              <w:t>2,5+1=3,5 мм.</w:t>
            </w:r>
          </w:p>
          <w:p w14:paraId="30010000">
            <w:pPr>
              <w:spacing w:line="276" w:lineRule="auto"/>
              <w:ind w:firstLine="0" w:left="0"/>
              <w:jc w:val="left"/>
            </w:pPr>
            <w:r>
              <w:t xml:space="preserve">Переход 3: </w:t>
            </w:r>
            <w:r>
              <w:t>L</w:t>
            </w:r>
            <w:r>
              <w:t>р.х</w:t>
            </w:r>
            <w:r>
              <w:t>.=</w:t>
            </w:r>
            <w:r>
              <w:t>5,5+1=6,5 мм.</w:t>
            </w:r>
          </w:p>
          <w:p w14:paraId="31010000">
            <w:pPr>
              <w:spacing w:line="276" w:lineRule="auto"/>
              <w:ind w:firstLine="0" w:left="0"/>
              <w:jc w:val="left"/>
            </w:pPr>
            <w:r>
              <w:t xml:space="preserve">Переход 4: </w:t>
            </w:r>
            <w:r>
              <w:t>L</w:t>
            </w:r>
            <w:r>
              <w:t>р.х</w:t>
            </w:r>
            <w:r>
              <w:t>.=</w:t>
            </w:r>
            <w:r>
              <w:t>2+1=3 мм.</w:t>
            </w:r>
          </w:p>
          <w:p w14:paraId="32010000">
            <w:pPr>
              <w:spacing w:line="276" w:lineRule="auto"/>
              <w:ind w:firstLine="0" w:left="0"/>
              <w:jc w:val="left"/>
            </w:pPr>
            <w:r>
              <w:t xml:space="preserve">Переход 5: </w:t>
            </w:r>
            <w:r>
              <w:t>L</w:t>
            </w:r>
            <w:r>
              <w:t>р.х</w:t>
            </w:r>
            <w:r>
              <w:t>.=</w:t>
            </w:r>
            <w:r>
              <w:t>1+1=2 мм.</w:t>
            </w:r>
          </w:p>
          <w:p w14:paraId="33010000">
            <w:pPr>
              <w:spacing w:line="276" w:lineRule="auto"/>
              <w:ind w:firstLine="0" w:left="0"/>
              <w:jc w:val="left"/>
            </w:pPr>
            <w:r>
              <w:t xml:space="preserve">Переход 6: </w:t>
            </w:r>
            <w:r>
              <w:t>L</w:t>
            </w:r>
            <w:r>
              <w:t>р.х</w:t>
            </w:r>
            <w:r>
              <w:t>.=</w:t>
            </w:r>
            <w:r>
              <w:t>7+1=8 мм.</w:t>
            </w:r>
          </w:p>
          <w:p w14:paraId="34010000">
            <w:pPr>
              <w:spacing w:line="276" w:lineRule="auto"/>
              <w:ind w:firstLine="0" w:left="0"/>
              <w:jc w:val="left"/>
            </w:pPr>
            <w:r>
              <w:t xml:space="preserve">Переход 7: </w:t>
            </w:r>
            <w:r>
              <w:t>L</w:t>
            </w:r>
            <w:r>
              <w:t>р.х</w:t>
            </w:r>
            <w:r>
              <w:t>.=</w:t>
            </w:r>
            <w:r>
              <w:t>30+1=31 мм.</w:t>
            </w:r>
          </w:p>
          <w:p w14:paraId="35010000">
            <w:pPr>
              <w:spacing w:line="276" w:lineRule="auto"/>
              <w:ind w:firstLine="0" w:left="0"/>
              <w:jc w:val="left"/>
            </w:pPr>
            <w:r>
              <w:t xml:space="preserve">Переход 8: </w:t>
            </w:r>
            <w:r>
              <w:t>L</w:t>
            </w:r>
            <w:r>
              <w:t>р.х</w:t>
            </w:r>
            <w:r>
              <w:t>.=</w:t>
            </w:r>
            <w:r>
              <w:t>31,5+1=32,5 мм.</w:t>
            </w:r>
          </w:p>
          <w:p w14:paraId="36010000">
            <w:pPr>
              <w:spacing w:line="276" w:lineRule="auto"/>
              <w:ind w:firstLine="0" w:left="0"/>
              <w:jc w:val="left"/>
            </w:pPr>
            <w:r>
              <w:t xml:space="preserve">Переход 9: </w:t>
            </w:r>
            <w:r>
              <w:t>L</w:t>
            </w:r>
            <w:r>
              <w:t>р.х</w:t>
            </w:r>
            <w:r>
              <w:t>.=</w:t>
            </w:r>
            <w:r>
              <w:t>10+1=11 мм.</w:t>
            </w:r>
          </w:p>
          <w:p w14:paraId="37010000">
            <w:pPr>
              <w:spacing w:line="276" w:lineRule="auto"/>
              <w:ind w:firstLine="0" w:left="0"/>
              <w:jc w:val="left"/>
            </w:pPr>
            <w:r>
              <w:t xml:space="preserve">Переход 10: </w:t>
            </w:r>
            <w:r>
              <w:t>L</w:t>
            </w:r>
            <w:r>
              <w:t>р.х</w:t>
            </w:r>
            <w:r>
              <w:t>.=</w:t>
            </w:r>
            <w:r>
              <w:t>50+1=51 мм.</w:t>
            </w:r>
          </w:p>
          <w:p w14:paraId="38010000">
            <w:pPr>
              <w:spacing w:line="276" w:lineRule="auto"/>
              <w:ind w:firstLine="0" w:left="0"/>
              <w:jc w:val="left"/>
            </w:pPr>
            <w:r>
              <w:t xml:space="preserve">Переход 11: </w:t>
            </w:r>
            <w:r>
              <w:t>L</w:t>
            </w:r>
            <w:r>
              <w:t>р.х</w:t>
            </w:r>
            <w:r>
              <w:t>.=</w:t>
            </w:r>
            <w:r>
              <w:t>20+1=21 мм.</w:t>
            </w:r>
          </w:p>
          <w:p w14:paraId="39010000">
            <w:pPr>
              <w:spacing w:line="276" w:lineRule="auto"/>
              <w:ind w:firstLine="0" w:left="0"/>
              <w:jc w:val="left"/>
            </w:pPr>
            <w:r>
              <w:t xml:space="preserve">Переход 12: </w:t>
            </w:r>
            <w:r>
              <w:t>L</w:t>
            </w:r>
            <w:r>
              <w:t>р.х</w:t>
            </w:r>
            <w:r>
              <w:t>.=</w:t>
            </w:r>
            <w:r>
              <w:t>14+1=15 мм.</w:t>
            </w:r>
          </w:p>
          <w:p w14:paraId="3A010000">
            <w:pPr>
              <w:spacing w:line="276" w:lineRule="auto"/>
              <w:ind w:firstLine="0" w:left="0"/>
              <w:jc w:val="left"/>
            </w:pPr>
            <w:r>
              <w:t xml:space="preserve">Переход 13: </w:t>
            </w:r>
            <w:r>
              <w:t>L</w:t>
            </w:r>
            <w:r>
              <w:t>р.х</w:t>
            </w:r>
            <w:r>
              <w:t>.=</w:t>
            </w:r>
            <w:r>
              <w:t>2,8+1=3,8 мм.</w:t>
            </w:r>
          </w:p>
          <w:p w14:paraId="3B010000">
            <w:pPr>
              <w:spacing w:line="276" w:lineRule="auto"/>
              <w:ind w:firstLine="0" w:left="0"/>
              <w:jc w:val="left"/>
            </w:pPr>
            <w:r>
              <w:t xml:space="preserve">Переход 14: </w:t>
            </w:r>
            <w:r>
              <w:t>L</w:t>
            </w:r>
            <w:r>
              <w:t>р.х</w:t>
            </w:r>
            <w:r>
              <w:t>.=</w:t>
            </w:r>
            <w:r>
              <w:t>25+1=26 мм.</w:t>
            </w:r>
          </w:p>
          <w:p w14:paraId="3C010000">
            <w:pPr>
              <w:spacing w:line="276" w:lineRule="auto"/>
              <w:ind w:firstLine="0" w:left="0"/>
              <w:jc w:val="left"/>
            </w:pPr>
            <w:r>
              <w:t xml:space="preserve">Переход 15: </w:t>
            </w:r>
            <w:r>
              <w:t>L</w:t>
            </w:r>
            <w:r>
              <w:t>р.х</w:t>
            </w:r>
            <w:r>
              <w:t>.=</w:t>
            </w:r>
            <w:r>
              <w:t>8+1=9 мм.</w:t>
            </w:r>
          </w:p>
          <w:p w14:paraId="3D010000">
            <w:pPr>
              <w:spacing w:line="276" w:lineRule="auto"/>
              <w:ind w:firstLine="0" w:left="0"/>
              <w:jc w:val="left"/>
            </w:pPr>
            <w:r>
              <w:t xml:space="preserve">Переход 16: </w:t>
            </w:r>
            <w:r>
              <w:t>L</w:t>
            </w:r>
            <w:r>
              <w:t>р.х</w:t>
            </w:r>
            <w:r>
              <w:t>.=</w:t>
            </w:r>
            <w:r>
              <w:t>10+1=11 мм.</w:t>
            </w:r>
          </w:p>
          <w:p w14:paraId="3E010000">
            <w:pPr>
              <w:spacing w:line="276" w:lineRule="auto"/>
              <w:ind w:firstLine="0" w:left="0"/>
              <w:jc w:val="left"/>
            </w:pPr>
            <w:r>
              <w:t xml:space="preserve">Переход 17: </w:t>
            </w:r>
            <w:r>
              <w:t>L</w:t>
            </w:r>
            <w:r>
              <w:t>р.х</w:t>
            </w:r>
            <w:r>
              <w:t>.=</w:t>
            </w:r>
            <w:r>
              <w:t>12+1=13 мм.</w:t>
            </w:r>
          </w:p>
          <w:p w14:paraId="3F010000">
            <w:pPr>
              <w:spacing w:line="276" w:lineRule="auto"/>
              <w:ind w:firstLine="0" w:left="0"/>
              <w:jc w:val="left"/>
            </w:pPr>
            <w:r>
              <w:t xml:space="preserve">Переход 18: </w:t>
            </w:r>
            <w:r>
              <w:t>L</w:t>
            </w:r>
            <w:r>
              <w:t>р.х</w:t>
            </w:r>
            <w:r>
              <w:t>.=</w:t>
            </w:r>
            <w:r>
              <w:t>22+1=23 мм.</w:t>
            </w:r>
          </w:p>
          <w:p w14:paraId="40010000">
            <w:pPr>
              <w:spacing w:line="276" w:lineRule="auto"/>
              <w:ind w:firstLine="0" w:left="0"/>
              <w:jc w:val="left"/>
            </w:pPr>
            <w:r>
              <w:t xml:space="preserve">Переход 19: </w:t>
            </w:r>
            <w:r>
              <w:t>L</w:t>
            </w:r>
            <w:r>
              <w:t>р.х</w:t>
            </w:r>
            <w:r>
              <w:t>.=</w:t>
            </w:r>
            <w:r>
              <w:t>8+1=9 мм.</w:t>
            </w:r>
          </w:p>
          <w:p w14:paraId="41010000">
            <w:pPr>
              <w:spacing w:line="276" w:lineRule="auto"/>
              <w:ind w:firstLine="0" w:left="0"/>
              <w:jc w:val="left"/>
            </w:pPr>
            <w:r>
              <w:t xml:space="preserve">Переход 20: </w:t>
            </w:r>
            <w:r>
              <w:t>L</w:t>
            </w:r>
            <w:r>
              <w:t>р.х</w:t>
            </w:r>
            <w:r>
              <w:t>.=</w:t>
            </w:r>
            <w:r>
              <w:t>8+1=9 мм.</w:t>
            </w:r>
          </w:p>
        </w:tc>
      </w:tr>
      <w:tr>
        <w:trPr>
          <w:trHeight w:hRule="atLeast" w:val="1177"/>
        </w:trPr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spacing w:line="276" w:lineRule="auto"/>
              <w:ind w:firstLine="0" w:left="0"/>
              <w:jc w:val="left"/>
            </w:pPr>
            <w:r>
              <w:t xml:space="preserve">2) Подача суппорта на оборот шпинделя </w:t>
            </w:r>
          </w:p>
        </w:tc>
        <w:tc>
          <w:tcPr>
            <w:tcW w:type="dxa" w:w="2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spacing w:line="276" w:lineRule="auto"/>
              <w:ind w:firstLine="0" w:left="0"/>
              <w:jc w:val="center"/>
            </w:pPr>
            <w:r>
              <w:t>S</w:t>
            </w:r>
            <w:r>
              <w:rPr>
                <w:vertAlign w:val="subscript"/>
              </w:rPr>
              <w:t>0</w:t>
            </w:r>
            <w:r>
              <w:t xml:space="preserve"> назначаем по карте Т-2 [7] и уточняем по паспорту станка</w:t>
            </w:r>
          </w:p>
        </w:tc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spacing w:line="276" w:lineRule="auto"/>
              <w:ind w:firstLine="0" w:left="0"/>
              <w:jc w:val="center"/>
            </w:pPr>
            <w:r>
              <w:t xml:space="preserve">На всё переходы назначаем </w:t>
            </w:r>
            <w:r>
              <w:t>S</w:t>
            </w:r>
            <w:r>
              <w:rPr>
                <w:vertAlign w:val="subscript"/>
              </w:rPr>
              <w:t>0</w:t>
            </w:r>
            <w:r>
              <w:t> = 0,4 мм/</w:t>
            </w:r>
            <w:r>
              <w:t>об</w:t>
            </w:r>
          </w:p>
          <w:p w14:paraId="45010000">
            <w:pPr>
              <w:spacing w:line="276" w:lineRule="auto"/>
              <w:ind w:firstLine="0" w:left="0"/>
              <w:jc w:val="center"/>
            </w:pPr>
          </w:p>
        </w:tc>
      </w:tr>
      <w:tr>
        <w:trPr>
          <w:trHeight w:hRule="atLeast" w:val="1177"/>
        </w:trPr>
        <w:tc>
          <w:tcPr>
            <w:tcW w:type="dxa" w:w="21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spacing w:line="276" w:lineRule="auto"/>
              <w:ind w:firstLine="0" w:left="0"/>
              <w:jc w:val="left"/>
            </w:pPr>
            <w:r>
              <w:t xml:space="preserve">3) Скорость резания </w:t>
            </w:r>
            <w:r>
              <w:rPr>
                <w:i w:val="1"/>
              </w:rPr>
              <w:t>V</w:t>
            </w:r>
            <w:r>
              <w:t xml:space="preserve"> и число оборотов шпинделя </w:t>
            </w:r>
            <w:r>
              <w:rPr>
                <w:i w:val="1"/>
              </w:rPr>
              <w:t>n</w:t>
            </w:r>
          </w:p>
        </w:tc>
        <w:tc>
          <w:tcPr>
            <w:tcW w:type="dxa" w:w="2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spacing w:line="276" w:lineRule="auto"/>
              <w:ind w:firstLine="0" w:left="0"/>
              <w:jc w:val="center"/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V=</m:t>
                </m:r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табл</m:t>
                    </m:r>
                  </m:sub>
                </m:sSub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sub>
                </m:sSub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sub>
                </m:sSub>
                <m:sSub>
                  <m:e>
                    <m:r>
                      <w:rPr>
                        <w:rFonts w:ascii="Cambria Math" w:hAnsi="Cambria Math"/>
                        <w:sz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</w:rPr>
                      <m:t>3</m:t>
                    </m:r>
                  </m:sub>
                </m:sSub>
              </m:oMath>
            </m:oMathPara>
            <w:r>
              <w:t>;</w:t>
            </w:r>
          </w:p>
          <w:p w14:paraId="48010000">
            <w:pPr>
              <w:spacing w:line="276" w:lineRule="auto"/>
              <w:ind w:firstLine="0" w:left="0"/>
              <w:jc w:val="center"/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n=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1000∙V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π∙d</m:t>
                    </m:r>
                  </m:den>
                </m:f>
              </m:oMath>
            </m:oMathPara>
            <w:r>
              <w:t>;</w:t>
            </w:r>
          </w:p>
          <w:p w14:paraId="49010000">
            <w:pPr>
              <w:spacing w:line="276" w:lineRule="auto"/>
              <w:ind w:firstLine="0" w:left="0"/>
              <w:jc w:val="center"/>
            </w:pPr>
            <w:r>
              <w:t xml:space="preserve">уточнение </w:t>
            </w:r>
            <w:r>
              <w:rPr>
                <w:i w:val="1"/>
              </w:rPr>
              <w:t>n</w:t>
            </w:r>
            <w:r>
              <w:t xml:space="preserve"> по паспорту станка;</w:t>
            </w:r>
          </w:p>
          <w:p w14:paraId="4A010000">
            <w:pPr>
              <w:spacing w:line="276" w:lineRule="auto"/>
              <w:ind w:firstLine="0" w:left="0"/>
              <w:jc w:val="center"/>
            </w:pPr>
            <w:r>
              <w:t xml:space="preserve">уточнение </w:t>
            </w:r>
            <w:r>
              <w:rPr>
                <w:i w:val="1"/>
              </w:rPr>
              <w:t xml:space="preserve">V </w:t>
            </w:r>
            <w:r>
              <w:t>по формуле</w:t>
            </w:r>
          </w:p>
          <w:p w14:paraId="4B010000">
            <w:pPr>
              <w:spacing w:line="276" w:lineRule="auto"/>
              <w:ind w:firstLine="0" w:left="0"/>
              <w:jc w:val="center"/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V=</m:t>
                </m:r>
                <m:f>
                  <m:fPr>
                    <m:type m:val="bar"/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π</m:t>
                    </m:r>
                    <m:r>
                      <w:rPr>
                        <w:rFonts w:ascii="Cambria Math" w:hAnsi="Cambria Math"/>
                        <w:sz w:val="24"/>
                      </w:rPr>
                      <m:rPr>
                        <m:sty m:val="p"/>
                      </m:rPr>
                      <m:t>dn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1000</m:t>
                    </m:r>
                  </m:den>
                </m:f>
              </m:oMath>
            </m:oMathPara>
          </w:p>
        </w:tc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spacing w:line="276" w:lineRule="auto"/>
              <w:ind w:firstLine="0" w:left="0"/>
              <w:jc w:val="center"/>
            </w:pPr>
            <w:r>
              <w:t>Переход 1:</w:t>
            </w:r>
          </w:p>
          <w:p w14:paraId="4D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4E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44" name="Picture 44"/>
                  <a:graphic>
                    <a:graphicData uri="http://schemas.openxmlformats.org/drawingml/2006/picture">
                      <pic:pic>
                        <pic:nvPicPr>
                          <pic:cNvPr hidden="false" id="43" name="Picture 43"/>
                          <pic:cNvPicPr preferRelativeResize="true"/>
                        </pic:nvPicPr>
                        <pic:blipFill>
                          <a:blip r:embed="rId2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4F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50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28775" cy="390525"/>
                  <wp:docPr hidden="false" id="46" name="Picture 46"/>
                  <a:graphic>
                    <a:graphicData uri="http://schemas.openxmlformats.org/drawingml/2006/picture">
                      <pic:pic>
                        <pic:nvPicPr>
                          <pic:cNvPr hidden="false" id="45" name="Picture 45"/>
                          <pic:cNvPicPr preferRelativeResize="true"/>
                        </pic:nvPicPr>
                        <pic:blipFill>
                          <a:blip r:embed="rId2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28775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51010000">
            <w:pPr>
              <w:spacing w:line="276" w:lineRule="auto"/>
              <w:ind w:firstLine="0" w:left="0"/>
              <w:jc w:val="center"/>
            </w:pPr>
            <w:r>
              <w:t>Переход 2:</w:t>
            </w:r>
          </w:p>
          <w:p w14:paraId="52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53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48" name="Picture 48"/>
                  <a:graphic>
                    <a:graphicData uri="http://schemas.openxmlformats.org/drawingml/2006/picture">
                      <pic:pic>
                        <pic:nvPicPr>
                          <pic:cNvPr hidden="false" id="47" name="Picture 47"/>
                          <pic:cNvPicPr preferRelativeResize="true"/>
                        </pic:nvPicPr>
                        <pic:blipFill>
                          <a:blip r:embed="rId2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54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55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50" name="Picture 50"/>
                  <a:graphic>
                    <a:graphicData uri="http://schemas.openxmlformats.org/drawingml/2006/picture">
                      <pic:pic>
                        <pic:nvPicPr>
                          <pic:cNvPr hidden="false" id="49" name="Picture 49"/>
                          <pic:cNvPicPr preferRelativeResize="true"/>
                        </pic:nvPicPr>
                        <pic:blipFill>
                          <a:blip r:embed="rId2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56010000">
            <w:pPr>
              <w:spacing w:line="276" w:lineRule="auto"/>
              <w:ind w:firstLine="0" w:left="0"/>
              <w:jc w:val="center"/>
            </w:pPr>
            <w:r>
              <w:t>Переход 3:</w:t>
            </w:r>
          </w:p>
          <w:p w14:paraId="57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58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52" name="Picture 52"/>
                  <a:graphic>
                    <a:graphicData uri="http://schemas.openxmlformats.org/drawingml/2006/picture">
                      <pic:pic>
                        <pic:nvPicPr>
                          <pic:cNvPr hidden="false" id="51" name="Picture 51"/>
                          <pic:cNvPicPr preferRelativeResize="true"/>
                        </pic:nvPicPr>
                        <pic:blipFill>
                          <a:blip r:embed="rId2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59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5A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562100" cy="390525"/>
                  <wp:docPr hidden="false" id="54" name="Picture 54"/>
                  <a:graphic>
                    <a:graphicData uri="http://schemas.openxmlformats.org/drawingml/2006/picture">
                      <pic:pic>
                        <pic:nvPicPr>
                          <pic:cNvPr hidden="false" id="53" name="Picture 53"/>
                          <pic:cNvPicPr preferRelativeResize="true"/>
                        </pic:nvPicPr>
                        <pic:blipFill>
                          <a:blip r:embed="rId3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621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5B010000">
            <w:pPr>
              <w:spacing w:line="276" w:lineRule="auto"/>
              <w:ind w:firstLine="0" w:left="0"/>
              <w:jc w:val="center"/>
            </w:pPr>
            <w:r>
              <w:t>Переход 4:</w:t>
            </w:r>
          </w:p>
          <w:p w14:paraId="5C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5D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56" name="Picture 56"/>
                  <a:graphic>
                    <a:graphicData uri="http://schemas.openxmlformats.org/drawingml/2006/picture">
                      <pic:pic>
                        <pic:nvPicPr>
                          <pic:cNvPr hidden="false" id="55" name="Picture 55"/>
                          <pic:cNvPicPr preferRelativeResize="true"/>
                        </pic:nvPicPr>
                        <pic:blipFill>
                          <a:blip r:embed="rId3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5E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5F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58" name="Picture 58"/>
                  <a:graphic>
                    <a:graphicData uri="http://schemas.openxmlformats.org/drawingml/2006/picture">
                      <pic:pic>
                        <pic:nvPicPr>
                          <pic:cNvPr hidden="false" id="57" name="Picture 57"/>
                          <pic:cNvPicPr preferRelativeResize="true"/>
                        </pic:nvPicPr>
                        <pic:blipFill>
                          <a:blip r:embed="rId3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60010000">
            <w:pPr>
              <w:spacing w:line="276" w:lineRule="auto"/>
              <w:ind w:firstLine="0" w:left="0"/>
              <w:jc w:val="center"/>
            </w:pPr>
            <w:r>
              <w:t>Переход 5:</w:t>
            </w:r>
          </w:p>
          <w:p w14:paraId="61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62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60" name="Picture 60"/>
                  <a:graphic>
                    <a:graphicData uri="http://schemas.openxmlformats.org/drawingml/2006/picture">
                      <pic:pic>
                        <pic:nvPicPr>
                          <pic:cNvPr hidden="false" id="59" name="Picture 59"/>
                          <pic:cNvPicPr preferRelativeResize="true"/>
                        </pic:nvPicPr>
                        <pic:blipFill>
                          <a:blip r:embed="rId3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63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64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62" name="Picture 62"/>
                  <a:graphic>
                    <a:graphicData uri="http://schemas.openxmlformats.org/drawingml/2006/picture">
                      <pic:pic>
                        <pic:nvPicPr>
                          <pic:cNvPr hidden="false" id="61" name="Picture 61"/>
                          <pic:cNvPicPr preferRelativeResize="true"/>
                        </pic:nvPicPr>
                        <pic:blipFill>
                          <a:blip r:embed="rId3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65010000">
            <w:pPr>
              <w:spacing w:line="276" w:lineRule="auto"/>
              <w:ind w:firstLine="0" w:left="0"/>
              <w:jc w:val="center"/>
            </w:pPr>
            <w:r>
              <w:t>Переход 6:</w:t>
            </w:r>
          </w:p>
          <w:p w14:paraId="66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67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64" name="Picture 64"/>
                  <a:graphic>
                    <a:graphicData uri="http://schemas.openxmlformats.org/drawingml/2006/picture">
                      <pic:pic>
                        <pic:nvPicPr>
                          <pic:cNvPr hidden="false" id="63" name="Picture 63"/>
                          <pic:cNvPicPr preferRelativeResize="true"/>
                        </pic:nvPicPr>
                        <pic:blipFill>
                          <a:blip r:embed="rId3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68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69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28775" cy="390525"/>
                  <wp:docPr hidden="false" id="66" name="Picture 66"/>
                  <a:graphic>
                    <a:graphicData uri="http://schemas.openxmlformats.org/drawingml/2006/picture">
                      <pic:pic>
                        <pic:nvPicPr>
                          <pic:cNvPr hidden="false" id="65" name="Picture 65"/>
                          <pic:cNvPicPr preferRelativeResize="true"/>
                        </pic:nvPicPr>
                        <pic:blipFill>
                          <a:blip r:embed="rId3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28775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6A010000">
            <w:pPr>
              <w:spacing w:line="276" w:lineRule="auto"/>
              <w:ind w:firstLine="0" w:left="0"/>
              <w:jc w:val="center"/>
            </w:pPr>
            <w:r>
              <w:t>Переход 7:</w:t>
            </w:r>
          </w:p>
          <w:p w14:paraId="6B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6C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68" name="Picture 68"/>
                  <a:graphic>
                    <a:graphicData uri="http://schemas.openxmlformats.org/drawingml/2006/picture">
                      <pic:pic>
                        <pic:nvPicPr>
                          <pic:cNvPr hidden="false" id="67" name="Picture 67"/>
                          <pic:cNvPicPr preferRelativeResize="true"/>
                        </pic:nvPicPr>
                        <pic:blipFill>
                          <a:blip r:embed="rId3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6D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250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6E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70" name="Picture 70"/>
                  <a:graphic>
                    <a:graphicData uri="http://schemas.openxmlformats.org/drawingml/2006/picture">
                      <pic:pic>
                        <pic:nvPicPr>
                          <pic:cNvPr hidden="false" id="69" name="Picture 69"/>
                          <pic:cNvPicPr preferRelativeResize="true"/>
                        </pic:nvPicPr>
                        <pic:blipFill>
                          <a:blip r:embed="rId3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6F010000">
            <w:pPr>
              <w:spacing w:line="276" w:lineRule="auto"/>
              <w:ind w:firstLine="0" w:left="0"/>
              <w:jc w:val="center"/>
            </w:pPr>
            <w:r>
              <w:t>Переход 8:</w:t>
            </w:r>
          </w:p>
          <w:p w14:paraId="70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71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72" name="Picture 72"/>
                  <a:graphic>
                    <a:graphicData uri="http://schemas.openxmlformats.org/drawingml/2006/picture">
                      <pic:pic>
                        <pic:nvPicPr>
                          <pic:cNvPr hidden="false" id="71" name="Picture 71"/>
                          <pic:cNvPicPr preferRelativeResize="true"/>
                        </pic:nvPicPr>
                        <pic:blipFill>
                          <a:blip r:embed="rId3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72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250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73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74" name="Picture 74"/>
                  <a:graphic>
                    <a:graphicData uri="http://schemas.openxmlformats.org/drawingml/2006/picture">
                      <pic:pic>
                        <pic:nvPicPr>
                          <pic:cNvPr hidden="false" id="73" name="Picture 73"/>
                          <pic:cNvPicPr preferRelativeResize="true"/>
                        </pic:nvPicPr>
                        <pic:blipFill>
                          <a:blip r:embed="rId4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74010000">
            <w:pPr>
              <w:spacing w:line="276" w:lineRule="auto"/>
              <w:ind w:firstLine="0" w:left="0"/>
              <w:jc w:val="center"/>
            </w:pPr>
            <w:r>
              <w:t>Переход 9:</w:t>
            </w:r>
          </w:p>
          <w:p w14:paraId="75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76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76" name="Picture 76"/>
                  <a:graphic>
                    <a:graphicData uri="http://schemas.openxmlformats.org/drawingml/2006/picture">
                      <pic:pic>
                        <pic:nvPicPr>
                          <pic:cNvPr hidden="false" id="75" name="Picture 75"/>
                          <pic:cNvPicPr preferRelativeResize="true"/>
                        </pic:nvPicPr>
                        <pic:blipFill>
                          <a:blip r:embed="rId4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77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78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562100" cy="390525"/>
                  <wp:docPr hidden="false" id="78" name="Picture 78"/>
                  <a:graphic>
                    <a:graphicData uri="http://schemas.openxmlformats.org/drawingml/2006/picture">
                      <pic:pic>
                        <pic:nvPicPr>
                          <pic:cNvPr hidden="false" id="77" name="Picture 77"/>
                          <pic:cNvPicPr preferRelativeResize="true"/>
                        </pic:nvPicPr>
                        <pic:blipFill>
                          <a:blip r:embed="rId4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621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79010000">
            <w:pPr>
              <w:spacing w:line="276" w:lineRule="auto"/>
              <w:ind w:firstLine="0" w:left="0"/>
              <w:jc w:val="center"/>
            </w:pPr>
            <w:r>
              <w:t>Переход 10:</w:t>
            </w:r>
          </w:p>
          <w:p w14:paraId="7A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7B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80" name="Picture 80"/>
                  <a:graphic>
                    <a:graphicData uri="http://schemas.openxmlformats.org/drawingml/2006/picture">
                      <pic:pic>
                        <pic:nvPicPr>
                          <pic:cNvPr hidden="false" id="79" name="Picture 79"/>
                          <pic:cNvPicPr preferRelativeResize="true"/>
                        </pic:nvPicPr>
                        <pic:blipFill>
                          <a:blip r:embed="rId43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7C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7D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562100" cy="390525"/>
                  <wp:docPr hidden="false" id="82" name="Picture 82"/>
                  <a:graphic>
                    <a:graphicData uri="http://schemas.openxmlformats.org/drawingml/2006/picture">
                      <pic:pic>
                        <pic:nvPicPr>
                          <pic:cNvPr hidden="false" id="81" name="Picture 81"/>
                          <pic:cNvPicPr preferRelativeResize="true"/>
                        </pic:nvPicPr>
                        <pic:blipFill>
                          <a:blip r:embed="rId4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5621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7E010000">
            <w:pPr>
              <w:spacing w:line="276" w:lineRule="auto"/>
              <w:ind w:firstLine="0" w:left="0"/>
              <w:jc w:val="center"/>
            </w:pPr>
            <w:r>
              <w:t>Переход 11:</w:t>
            </w:r>
          </w:p>
          <w:p w14:paraId="7F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80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84" name="Picture 84"/>
                  <a:graphic>
                    <a:graphicData uri="http://schemas.openxmlformats.org/drawingml/2006/picture">
                      <pic:pic>
                        <pic:nvPicPr>
                          <pic:cNvPr hidden="false" id="83" name="Picture 83"/>
                          <pic:cNvPicPr preferRelativeResize="true"/>
                        </pic:nvPicPr>
                        <pic:blipFill>
                          <a:blip r:embed="rId4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81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300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82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86" name="Picture 86"/>
                  <a:graphic>
                    <a:graphicData uri="http://schemas.openxmlformats.org/drawingml/2006/picture">
                      <pic:pic>
                        <pic:nvPicPr>
                          <pic:cNvPr hidden="false" id="85" name="Picture 85"/>
                          <pic:cNvPicPr preferRelativeResize="true"/>
                        </pic:nvPicPr>
                        <pic:blipFill>
                          <a:blip r:embed="rId4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83010000">
            <w:pPr>
              <w:spacing w:line="276" w:lineRule="auto"/>
              <w:ind w:firstLine="0" w:left="0"/>
              <w:jc w:val="center"/>
            </w:pPr>
            <w:r>
              <w:t>Переход 12:</w:t>
            </w:r>
          </w:p>
          <w:p w14:paraId="84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85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43025" cy="390525"/>
                  <wp:docPr hidden="false" id="88" name="Picture 88"/>
                  <a:graphic>
                    <a:graphicData uri="http://schemas.openxmlformats.org/drawingml/2006/picture">
                      <pic:pic>
                        <pic:nvPicPr>
                          <pic:cNvPr hidden="false" id="87" name="Picture 87"/>
                          <pic:cNvPicPr preferRelativeResize="true"/>
                        </pic:nvPicPr>
                        <pic:blipFill>
                          <a:blip r:embed="rId4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43025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86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87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704975" cy="390525"/>
                  <wp:docPr hidden="false" id="90" name="Picture 90"/>
                  <a:graphic>
                    <a:graphicData uri="http://schemas.openxmlformats.org/drawingml/2006/picture">
                      <pic:pic>
                        <pic:nvPicPr>
                          <pic:cNvPr hidden="false" id="89" name="Picture 89"/>
                          <pic:cNvPicPr preferRelativeResize="true"/>
                        </pic:nvPicPr>
                        <pic:blipFill>
                          <a:blip r:embed="rId4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704975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88010000">
            <w:pPr>
              <w:spacing w:line="276" w:lineRule="auto"/>
              <w:ind w:firstLine="0" w:left="0"/>
              <w:jc w:val="center"/>
            </w:pPr>
            <w:r>
              <w:t>Переход 13:</w:t>
            </w:r>
          </w:p>
          <w:p w14:paraId="89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8A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419100"/>
                  <wp:docPr hidden="false" id="92" name="Picture 92"/>
                  <a:graphic>
                    <a:graphicData uri="http://schemas.openxmlformats.org/drawingml/2006/picture">
                      <pic:pic>
                        <pic:nvPicPr>
                          <pic:cNvPr hidden="false" id="91" name="Picture 91"/>
                          <pic:cNvPicPr preferRelativeResize="true"/>
                        </pic:nvPicPr>
                        <pic:blipFill>
                          <a:blip r:embed="rId4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8B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200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8C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76400" cy="390525"/>
                  <wp:docPr hidden="false" id="94" name="Picture 94"/>
                  <a:graphic>
                    <a:graphicData uri="http://schemas.openxmlformats.org/drawingml/2006/picture">
                      <pic:pic>
                        <pic:nvPicPr>
                          <pic:cNvPr hidden="false" id="93" name="Picture 93"/>
                          <pic:cNvPicPr preferRelativeResize="true"/>
                        </pic:nvPicPr>
                        <pic:blipFill>
                          <a:blip r:embed="rId5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764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8D010000">
            <w:pPr>
              <w:spacing w:line="276" w:lineRule="auto"/>
              <w:ind w:firstLine="0" w:left="0"/>
              <w:jc w:val="center"/>
            </w:pPr>
            <w:r>
              <w:t>Переход 14:</w:t>
            </w:r>
          </w:p>
          <w:p w14:paraId="8E010000">
            <w:pPr>
              <w:spacing w:line="276" w:lineRule="auto"/>
              <w:ind w:firstLine="0" w:left="0"/>
              <w:jc w:val="center"/>
            </w:pPr>
            <w:r>
              <w:t>V</w:t>
            </w:r>
            <w:r>
              <w:t>=130·0.75·0.7·1.05=71.6 м/мин</w:t>
            </w:r>
          </w:p>
          <w:p w14:paraId="8F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333500" cy="390525"/>
                  <wp:docPr hidden="false" id="96" name="Picture 96"/>
                  <a:graphic>
                    <a:graphicData uri="http://schemas.openxmlformats.org/drawingml/2006/picture">
                      <pic:pic>
                        <pic:nvPicPr>
                          <pic:cNvPr hidden="false" id="95" name="Picture 95"/>
                          <pic:cNvPicPr preferRelativeResize="true"/>
                        </pic:nvPicPr>
                        <pic:blipFill>
                          <a:blip r:embed="rId5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3335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>мин</w:t>
            </w:r>
            <w:r>
              <w:rPr>
                <w:vertAlign w:val="superscript"/>
              </w:rPr>
              <w:t>-1</w:t>
            </w:r>
          </w:p>
          <w:p w14:paraId="90010000">
            <w:pPr>
              <w:spacing w:line="276" w:lineRule="auto"/>
              <w:ind w:firstLine="0" w:left="0"/>
              <w:jc w:val="center"/>
            </w:pPr>
            <w:r>
              <w:t xml:space="preserve">по паспорту </w:t>
            </w:r>
            <w:r>
              <w:rPr>
                <w:i w:val="1"/>
              </w:rPr>
              <w:t>n</w:t>
            </w:r>
            <w:r>
              <w:t xml:space="preserve"> = 700 мин</w:t>
            </w:r>
            <w:r>
              <w:rPr>
                <w:vertAlign w:val="superscript"/>
              </w:rPr>
              <w:t>–1</w:t>
            </w:r>
            <w:r>
              <w:t>;</w:t>
            </w:r>
          </w:p>
          <w:p w14:paraId="91010000">
            <w:pPr>
              <w:spacing w:line="276" w:lineRule="auto"/>
              <w:ind w:firstLine="0" w:left="0"/>
              <w:jc w:val="center"/>
            </w:pPr>
            <w:r>
              <w:drawing>
                <wp:inline>
                  <wp:extent cx="1638300" cy="390525"/>
                  <wp:docPr hidden="false" id="98" name="Picture 98"/>
                  <a:graphic>
                    <a:graphicData uri="http://schemas.openxmlformats.org/drawingml/2006/picture">
                      <pic:pic>
                        <pic:nvPicPr>
                          <pic:cNvPr hidden="false" id="97" name="Picture 97"/>
                          <pic:cNvPicPr preferRelativeResize="true"/>
                        </pic:nvPicPr>
                        <pic:blipFill>
                          <a:blip r:embed="rId5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638300" cy="390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>м</w:t>
            </w:r>
            <w:r>
              <w:t>/мин</w:t>
            </w:r>
          </w:p>
          <w:p w14:paraId="92010000">
            <w:pPr>
              <w:spacing w:line="276" w:lineRule="auto"/>
              <w:ind w:firstLine="0" w:left="0"/>
              <w:jc w:val="center"/>
            </w:pPr>
          </w:p>
        </w:tc>
      </w:tr>
    </w:tbl>
    <w:p w14:paraId="93010000">
      <w:pPr>
        <w:rPr>
          <w:sz w:val="24"/>
        </w:rPr>
      </w:pPr>
      <w:r>
        <w:rPr>
          <w:sz w:val="24"/>
        </w:rPr>
        <w:t xml:space="preserve">Примечание —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L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р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е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з</m:t>
              </m:r>
            </m:sub>
          </m:sSub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длина резания, мм; </w:t>
      </w:r>
      <m:oMathPara>
        <m:oMath>
          <m:r>
            <w:rPr>
              <w:rFonts w:ascii="Cambria Math" w:hAnsi="Cambria Math"/>
              <w:sz w:val="24"/>
            </w:rPr>
            <m:rPr>
              <m:sty m:val="p"/>
            </m:rPr>
            <m:t>y</m:t>
          </m:r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длина подвода, врезания и перебега инструмента, мм;</w:t>
      </w:r>
      <w:r>
        <w:rPr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 xml:space="preserve"> — диаметр обрабатываемой поверхности детали, мм; </w:t>
      </w:r>
      <w:r>
        <w:rPr>
          <w:sz w:val="24"/>
        </w:rPr>
        <w:t>T</w:t>
      </w:r>
      <w:r>
        <w:rPr>
          <w:sz w:val="24"/>
          <w:vertAlign w:val="subscript"/>
        </w:rPr>
        <w:t>м</w:t>
      </w:r>
      <w:r>
        <w:rPr>
          <w:sz w:val="24"/>
        </w:rPr>
        <w:t xml:space="preserve"> — стойкость машинной работы станка, мин; λ — коэффициент времени резания;</w:t>
      </w:r>
      <w:r>
        <w:rPr>
          <w:sz w:val="24"/>
        </w:rPr>
        <w:t xml:space="preserve">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коэффициент, зависящий от обрабатываемого материала;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коэффициент, зависящий от стойкости и марки твёрдого сплава; 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K</m:t>
              </m:r>
            </m:e>
            <m:sub>
              <m:r>
                <w:rPr>
                  <w:rFonts w:ascii="Cambria Math" w:hAnsi="Cambria Math"/>
                  <w:sz w:val="24"/>
                </w:rPr>
                <m:t>3</m:t>
              </m:r>
            </m:sub>
          </m:sSub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коэффициент, зависящий от вида обработки; </w:t>
      </w:r>
      <m:oMathPara>
        <m:oMath>
          <m:sSub>
            <m:e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v</m:t>
              </m:r>
            </m:e>
            <m:sub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т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а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б</m:t>
              </m:r>
              <m:r>
                <w:rPr>
                  <w:rFonts w:ascii="Cambria Math" w:hAnsi="Cambria Math"/>
                  <w:sz w:val="24"/>
                </w:rPr>
                <m:rPr>
                  <m:sty m:val="p"/>
                </m:rPr>
                <m:t>л</m:t>
              </m:r>
            </m:sub>
          </m:sSub>
        </m:oMath>
      </m:oMathPara>
      <w:r>
        <w:rPr>
          <w:sz w:val="24"/>
        </w:rPr>
        <w:t> — табличное значение скорости.</w:t>
      </w:r>
    </w:p>
    <w:p w14:paraId="94010000">
      <w:pPr>
        <w:ind w:firstLine="567" w:left="0"/>
        <w:jc w:val="right"/>
      </w:pPr>
      <w:r>
        <w:t>Таблица 2.8</w:t>
      </w:r>
    </w:p>
    <w:p w14:paraId="95010000">
      <w:pPr>
        <w:ind w:firstLine="567" w:left="0"/>
        <w:jc w:val="center"/>
      </w:pPr>
      <w:r>
        <w:t>Режимы резания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054"/>
        <w:gridCol w:w="713"/>
        <w:gridCol w:w="992"/>
        <w:gridCol w:w="850"/>
        <w:gridCol w:w="7"/>
        <w:gridCol w:w="990"/>
      </w:tblGrid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Номер операции</w:t>
            </w:r>
          </w:p>
          <w:p w14:paraId="97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содержание перехода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t</w:t>
            </w:r>
            <w:r>
              <w:rPr>
                <w:sz w:val="27"/>
              </w:rPr>
              <w:t>,</w:t>
            </w:r>
          </w:p>
          <w:p w14:paraId="99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мм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s</w:t>
            </w:r>
            <w:r>
              <w:rPr>
                <w:sz w:val="27"/>
              </w:rPr>
              <w:t>,</w:t>
            </w:r>
          </w:p>
          <w:p w14:paraId="9B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мм/</w:t>
            </w:r>
            <w:r>
              <w:rPr>
                <w:sz w:val="27"/>
              </w:rPr>
              <w:t>об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V</w:t>
            </w:r>
            <w:r>
              <w:rPr>
                <w:sz w:val="27"/>
              </w:rPr>
              <w:t>,</w:t>
            </w:r>
          </w:p>
          <w:p w14:paraId="9D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м</w:t>
            </w:r>
            <w:r>
              <w:rPr>
                <w:sz w:val="27"/>
              </w:rPr>
              <w:t>/мин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n</w:t>
            </w:r>
            <w:r>
              <w:rPr>
                <w:sz w:val="27"/>
              </w:rPr>
              <w:t>,</w:t>
            </w:r>
          </w:p>
          <w:p w14:paraId="9F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об</w:t>
            </w:r>
            <w:r>
              <w:rPr>
                <w:sz w:val="27"/>
              </w:rPr>
              <w:t>/мин</w:t>
            </w:r>
          </w:p>
        </w:tc>
      </w:tr>
      <w:tr>
        <w:tc>
          <w:tcPr>
            <w:tcW w:type="dxa" w:w="960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spacing w:line="276" w:lineRule="auto"/>
              <w:ind w:firstLine="0" w:left="0"/>
              <w:jc w:val="center"/>
              <w:rPr>
                <w:i w:val="1"/>
                <w:sz w:val="27"/>
              </w:rPr>
            </w:pPr>
            <w:r>
              <w:rPr>
                <w:i w:val="1"/>
                <w:sz w:val="27"/>
              </w:rPr>
              <w:t>Операция 010 Токарно-фрезерная с ЧПУ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1.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62,8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62,17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65,9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4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73,47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62,17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62,8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vAlign w:val="center"/>
          </w:tcPr>
          <w:p w14:paraId="C0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C1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7"/>
            <w:gridSpan w:val="2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C2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64,37</w:t>
            </w:r>
          </w:p>
        </w:tc>
        <w:tc>
          <w:tcPr>
            <w:tcW w:type="dxa" w:w="99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C3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250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64,37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250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9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58,4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58,4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11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67,82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widowControl w:val="0"/>
              <w:spacing w:line="276" w:lineRule="auto"/>
              <w:ind w:firstLine="0" w:left="0"/>
              <w:jc w:val="left"/>
              <w:rPr>
                <w:sz w:val="27"/>
              </w:rPr>
            </w:pPr>
            <w:r>
              <w:rPr>
                <w:sz w:val="27"/>
              </w:rPr>
              <w:t>12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65,94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widowControl w:val="0"/>
              <w:spacing w:line="276" w:lineRule="auto"/>
              <w:ind w:firstLine="0" w:left="0"/>
              <w:rPr>
                <w:sz w:val="27"/>
              </w:rPr>
            </w:pPr>
            <w:r>
              <w:rPr>
                <w:sz w:val="27"/>
              </w:rPr>
              <w:t>13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62,4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200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widowControl w:val="0"/>
              <w:spacing w:line="276" w:lineRule="auto"/>
              <w:ind w:firstLine="0" w:left="0"/>
              <w:rPr>
                <w:sz w:val="27"/>
              </w:rPr>
            </w:pPr>
            <w:r>
              <w:rPr>
                <w:sz w:val="27"/>
              </w:rPr>
              <w:t>14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65,94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700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widowControl w:val="0"/>
              <w:spacing w:line="276" w:lineRule="auto"/>
              <w:ind w:firstLine="0" w:left="0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61,8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widowControl w:val="0"/>
              <w:spacing w:line="276" w:lineRule="auto"/>
              <w:ind w:firstLine="0" w:left="0"/>
              <w:rPr>
                <w:sz w:val="27"/>
              </w:rPr>
            </w:pPr>
            <w:r>
              <w:rPr>
                <w:sz w:val="27"/>
              </w:rPr>
              <w:t>16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62,3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  <w:tr>
        <w:tc>
          <w:tcPr>
            <w:tcW w:type="dxa" w:w="6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widowControl w:val="0"/>
              <w:spacing w:line="276" w:lineRule="auto"/>
              <w:ind w:firstLine="0" w:left="0"/>
              <w:rPr>
                <w:sz w:val="27"/>
              </w:rPr>
            </w:pPr>
            <w:r>
              <w:rPr>
                <w:sz w:val="27"/>
              </w:rPr>
              <w:t>17</w:t>
            </w:r>
          </w:p>
        </w:tc>
        <w:tc>
          <w:tcPr>
            <w:tcW w:type="dxa" w:w="7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1,5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0,4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63,3</w:t>
            </w:r>
          </w:p>
        </w:tc>
        <w:tc>
          <w:tcPr>
            <w:tcW w:type="dxa" w:w="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10000">
            <w:pPr>
              <w:spacing w:line="276" w:lineRule="auto"/>
              <w:ind w:firstLine="0" w:left="0"/>
              <w:jc w:val="center"/>
              <w:rPr>
                <w:sz w:val="27"/>
              </w:rPr>
            </w:pPr>
            <w:r>
              <w:rPr>
                <w:sz w:val="27"/>
              </w:rPr>
              <w:t>300</w:t>
            </w:r>
          </w:p>
        </w:tc>
      </w:tr>
    </w:tbl>
    <w:p w14:paraId="F6010000">
      <w:pPr>
        <w:ind w:firstLine="708" w:left="0"/>
      </w:pPr>
    </w:p>
    <w:p w14:paraId="F7010000">
      <w:pPr>
        <w:ind w:firstLine="708" w:left="0"/>
      </w:pPr>
      <w:r>
        <w:t xml:space="preserve">Нормирование времени на выполнение операции 015 </w:t>
      </w:r>
    </w:p>
    <w:p w14:paraId="F8010000">
      <w:pPr>
        <w:ind w:firstLine="708" w:left="0"/>
      </w:pPr>
      <w:r>
        <w:t>Штучное время обработки детали определяется по формуле:</w:t>
      </w:r>
    </w:p>
    <w:p w14:paraId="F9010000">
      <w:pPr>
        <w:ind w:firstLine="720" w:left="0"/>
        <w:jc w:val="center"/>
      </w:pPr>
      <w:r>
        <w:rPr>
          <w:i w:val="1"/>
        </w:rPr>
        <w:t xml:space="preserve">                           </w:t>
      </w:r>
      <w:r>
        <w:rPr>
          <w:i w:val="1"/>
        </w:rPr>
        <w:t>t</w:t>
      </w:r>
      <w:r>
        <w:rPr>
          <w:vertAlign w:val="subscript"/>
        </w:rPr>
        <w:t>ШТ</w:t>
      </w:r>
      <w:r>
        <w:t xml:space="preserve"> = </w:t>
      </w:r>
      <w:r>
        <w:rPr>
          <w:i w:val="1"/>
        </w:rPr>
        <w:t>t</w:t>
      </w:r>
      <w:r>
        <w:rPr>
          <w:vertAlign w:val="subscript"/>
        </w:rPr>
        <w:t>О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>В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>ОБС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 xml:space="preserve">ОТД                                       </w:t>
      </w:r>
      <w:r>
        <w:rPr>
          <w:vertAlign w:val="subscript"/>
        </w:rPr>
        <w:t xml:space="preserve">       </w:t>
      </w:r>
      <w:r>
        <w:rPr>
          <w:vertAlign w:val="subscript"/>
        </w:rPr>
        <w:t xml:space="preserve">   </w:t>
      </w:r>
      <w:r>
        <w:t xml:space="preserve"> (</w:t>
      </w:r>
      <w:r>
        <w:t>2.9</w:t>
      </w:r>
      <w:r>
        <w:t>)</w:t>
      </w:r>
    </w:p>
    <w:p w14:paraId="FA010000">
      <w:pPr>
        <w:ind w:firstLine="708" w:left="0"/>
      </w:pPr>
      <w:r>
        <w:t>Определение основного (технологического) времени</w:t>
      </w:r>
    </w:p>
    <w:p w14:paraId="FB010000">
      <w:pPr>
        <w:ind w:firstLine="708" w:left="0"/>
      </w:pPr>
      <w:r>
        <w:t>Основное (технологическое) время на выполнение j-</w:t>
      </w:r>
      <w:r>
        <w:t>ro</w:t>
      </w:r>
      <w:r>
        <w:t xml:space="preserve"> перехода определяется по формуле:</w:t>
      </w:r>
    </w:p>
    <w:p w14:paraId="FC010000">
      <w:pPr>
        <w:ind w:firstLine="720" w:left="0"/>
        <w:jc w:val="center"/>
      </w:pPr>
      <w:r>
        <w:t xml:space="preserve">                                </w:t>
      </w:r>
      <w:r>
        <w:drawing>
          <wp:inline>
            <wp:extent cx="1190625" cy="428625"/>
            <wp:docPr hidden="false" id="100" name="Picture 100"/>
            <a:graphic>
              <a:graphicData uri="http://schemas.openxmlformats.org/drawingml/2006/picture">
                <pic:pic>
                  <pic:nvPicPr>
                    <pic:cNvPr hidden="false" id="99" name="Picture 99"/>
                    <pic:cNvPicPr preferRelativeResize="true"/>
                  </pic:nvPicPr>
                  <pic:blipFill>
                    <a:blip r:embed="rId53"/>
                    <a:srcRect b="0" l="0" r="0" t="0"/>
                    <a:stretch/>
                  </pic:blipFill>
                  <pic:spPr>
                    <a:xfrm flipH="false" flipV="false" rot="0">
                      <a:ext cx="1190625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</w:t>
      </w:r>
      <w:r>
        <w:t xml:space="preserve">                            (2.10</w:t>
      </w:r>
      <w:r>
        <w:t>)</w:t>
      </w:r>
    </w:p>
    <w:p w14:paraId="FD010000">
      <w:pPr>
        <w:ind w:firstLine="720" w:left="0"/>
      </w:pPr>
      <w:r>
        <w:t>Устанавливаются величины врезания и перебега резца, а также величины на взятие пробной стружки [9]. Для каждой обрабатываемой по</w:t>
      </w:r>
      <w:r>
        <w:t>верхности в соответствии с условиями работы они равны:</w:t>
      </w:r>
    </w:p>
    <w:p w14:paraId="FE010000">
      <w:pPr>
        <w:ind w:firstLine="720" w:left="0"/>
        <w:jc w:val="left"/>
      </w:pPr>
      <w:r>
        <w:t xml:space="preserve">-для перехода 1: </w:t>
      </w:r>
      <w:r>
        <w:t>l</w:t>
      </w:r>
      <w:r>
        <w:rPr>
          <w:vertAlign w:val="subscript"/>
        </w:rPr>
        <w:t>1</w:t>
      </w:r>
      <w:r>
        <w:t xml:space="preserve"> = </w:t>
      </w:r>
      <w:r>
        <w:t>3,00 мм</w:t>
      </w:r>
      <w:r>
        <w:t>, 1</w:t>
      </w:r>
      <w:r>
        <w:rPr>
          <w:vertAlign w:val="subscript"/>
        </w:rPr>
        <w:t>2</w:t>
      </w:r>
      <w:r>
        <w:t xml:space="preserve"> = 0мм;</w:t>
      </w:r>
    </w:p>
    <w:p w14:paraId="FF010000">
      <w:pPr>
        <w:ind w:firstLine="720" w:left="0"/>
        <w:jc w:val="left"/>
      </w:pPr>
      <w:r>
        <w:t xml:space="preserve">- для перехода 2: </w:t>
      </w:r>
      <w:r>
        <w:t>l</w:t>
      </w:r>
      <w:r>
        <w:rPr>
          <w:vertAlign w:val="subscript"/>
        </w:rPr>
        <w:t>1</w:t>
      </w:r>
      <w:r>
        <w:t xml:space="preserve"> = </w:t>
      </w:r>
      <w:r>
        <w:t>3,00 мм</w:t>
      </w:r>
      <w:r>
        <w:t>, 1</w:t>
      </w:r>
      <w:r>
        <w:rPr>
          <w:vertAlign w:val="subscript"/>
        </w:rPr>
        <w:t>2</w:t>
      </w:r>
      <w:r>
        <w:t xml:space="preserve"> = </w:t>
      </w:r>
      <w:r>
        <w:t>0 мм</w:t>
      </w:r>
      <w:r>
        <w:t>;</w:t>
      </w:r>
    </w:p>
    <w:p w14:paraId="00020000">
      <w:pPr>
        <w:ind w:firstLine="720" w:left="0"/>
        <w:jc w:val="left"/>
      </w:pPr>
      <w:r>
        <w:t xml:space="preserve">- для перехода 3: </w:t>
      </w:r>
      <w:r>
        <w:t>l</w:t>
      </w:r>
      <w:r>
        <w:rPr>
          <w:vertAlign w:val="subscript"/>
        </w:rPr>
        <w:t>1</w:t>
      </w:r>
      <w:r>
        <w:t xml:space="preserve"> = </w:t>
      </w:r>
      <w:r>
        <w:t>3,00 мм</w:t>
      </w:r>
      <w:r>
        <w:t>, 1</w:t>
      </w:r>
      <w:r>
        <w:rPr>
          <w:vertAlign w:val="subscript"/>
        </w:rPr>
        <w:t>2</w:t>
      </w:r>
      <w:r>
        <w:t xml:space="preserve"> = </w:t>
      </w:r>
      <w:r>
        <w:t>2,00 мм</w:t>
      </w:r>
      <w:r>
        <w:t>;</w:t>
      </w:r>
    </w:p>
    <w:p w14:paraId="01020000">
      <w:pPr>
        <w:ind w:firstLine="720" w:left="0"/>
        <w:jc w:val="left"/>
      </w:pPr>
      <w:r>
        <w:t xml:space="preserve">- для перехода 4: </w:t>
      </w:r>
      <w:r>
        <w:t>l</w:t>
      </w:r>
      <w:r>
        <w:rPr>
          <w:vertAlign w:val="subscript"/>
        </w:rPr>
        <w:t>1</w:t>
      </w:r>
      <w:r>
        <w:t xml:space="preserve"> = </w:t>
      </w:r>
      <w:r>
        <w:t>3,00 мм</w:t>
      </w:r>
      <w:r>
        <w:t>, 1</w:t>
      </w:r>
      <w:r>
        <w:rPr>
          <w:vertAlign w:val="subscript"/>
        </w:rPr>
        <w:t>2</w:t>
      </w:r>
      <w:r>
        <w:t xml:space="preserve"> = </w:t>
      </w:r>
      <w:r>
        <w:t>0 мм</w:t>
      </w:r>
      <w:r>
        <w:t>;</w:t>
      </w:r>
    </w:p>
    <w:p w14:paraId="02020000">
      <w:pPr>
        <w:ind w:firstLine="720" w:left="0"/>
        <w:jc w:val="left"/>
      </w:pPr>
      <w:r>
        <w:t>Тогда, основное время для каждого перехода равно:</w:t>
      </w:r>
    </w:p>
    <w:p w14:paraId="03020000">
      <w:pPr>
        <w:ind w:firstLine="720" w:left="0"/>
        <w:jc w:val="center"/>
      </w:pPr>
      <w:r>
        <w:drawing>
          <wp:inline>
            <wp:extent cx="1514475" cy="428625"/>
            <wp:docPr hidden="false" id="102" name="Picture 102"/>
            <a:graphic>
              <a:graphicData uri="http://schemas.openxmlformats.org/drawingml/2006/picture">
                <pic:pic>
                  <pic:nvPicPr>
                    <pic:cNvPr hidden="false" id="101" name="Picture 101"/>
                    <pic:cNvPicPr preferRelativeResize="true"/>
                  </pic:nvPicPr>
                  <pic:blipFill>
                    <a:blip r:embed="rId54"/>
                    <a:srcRect b="0" l="0" r="0" t="0"/>
                    <a:stretch/>
                  </pic:blipFill>
                  <pic:spPr>
                    <a:xfrm flipH="false" flipV="false" rot="0">
                      <a:ext cx="1514475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>мин;</w:t>
      </w:r>
    </w:p>
    <w:p w14:paraId="04020000">
      <w:pPr>
        <w:ind w:firstLine="720" w:left="0"/>
        <w:jc w:val="center"/>
      </w:pPr>
      <w:r>
        <w:drawing>
          <wp:inline>
            <wp:extent cx="1543050" cy="428625"/>
            <wp:docPr hidden="false" id="104" name="Picture 104"/>
            <a:graphic>
              <a:graphicData uri="http://schemas.openxmlformats.org/drawingml/2006/picture">
                <pic:pic>
                  <pic:nvPicPr>
                    <pic:cNvPr hidden="false" id="103" name="Picture 103"/>
                    <pic:cNvPicPr preferRelativeResize="true"/>
                  </pic:nvPicPr>
                  <pic:blipFill>
                    <a:blip r:embed="rId55"/>
                    <a:srcRect b="0" l="0" r="0" t="0"/>
                    <a:stretch/>
                  </pic:blipFill>
                  <pic:spPr>
                    <a:xfrm flipH="false" flipV="false" rot="0">
                      <a:ext cx="1543050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мин;</w:t>
      </w:r>
    </w:p>
    <w:p w14:paraId="05020000">
      <w:pPr>
        <w:ind w:firstLine="708" w:left="0"/>
        <w:jc w:val="left"/>
      </w:pPr>
      <w:r>
        <w:t>Основное технологическое время на операцию:</w:t>
      </w:r>
    </w:p>
    <w:p w14:paraId="06020000">
      <w:pPr>
        <w:ind w:firstLine="720" w:left="0"/>
        <w:jc w:val="center"/>
      </w:pPr>
      <w:r>
        <w:t>Т</w:t>
      </w:r>
      <w:r>
        <w:rPr>
          <w:vertAlign w:val="subscript"/>
        </w:rPr>
        <w:t>о</w:t>
      </w:r>
      <w:r>
        <w:t xml:space="preserve"> =0,19+0,13+….=0,46 мин.</w:t>
      </w:r>
    </w:p>
    <w:p w14:paraId="07020000">
      <w:pPr>
        <w:ind w:firstLine="720" w:left="0"/>
        <w:jc w:val="left"/>
        <w:rPr>
          <w:i w:val="1"/>
        </w:rPr>
      </w:pPr>
      <w:r>
        <w:rPr>
          <w:i w:val="1"/>
        </w:rPr>
        <w:t>Определение вспомогательного времени</w:t>
      </w:r>
    </w:p>
    <w:p w14:paraId="08020000">
      <w:pPr>
        <w:ind w:firstLine="720" w:left="0"/>
        <w:jc w:val="left"/>
      </w:pPr>
      <w:r>
        <w:t>Определение вспомогательного времени на установку и снятие детали.</w:t>
      </w:r>
    </w:p>
    <w:p w14:paraId="09020000">
      <w:pPr>
        <w:ind w:firstLine="720" w:left="0"/>
        <w:jc w:val="left"/>
      </w:pPr>
      <w:r>
        <w:t xml:space="preserve">Вспомогательное время </w:t>
      </w:r>
      <w:r>
        <w:t>t</w:t>
      </w:r>
      <w:r>
        <w:rPr>
          <w:vertAlign w:val="subscript"/>
        </w:rPr>
        <w:t>yc</w:t>
      </w:r>
      <w:r>
        <w:rPr>
          <w:vertAlign w:val="subscript"/>
        </w:rPr>
        <w:t>т</w:t>
      </w:r>
      <w:r>
        <w:t xml:space="preserve"> на установку и снятие детали массой </w:t>
      </w:r>
      <w:r>
        <w:t>0,2 кг</w:t>
      </w:r>
      <w:r>
        <w:t xml:space="preserve"> в </w:t>
      </w:r>
      <w:r>
        <w:t>трехкулачковом</w:t>
      </w:r>
      <w:r>
        <w:t xml:space="preserve"> патроне равно 0,35 мин [</w:t>
      </w:r>
      <w:r>
        <w:t>12</w:t>
      </w:r>
      <w:r>
        <w:t>].</w:t>
      </w:r>
    </w:p>
    <w:p w14:paraId="0A020000">
      <w:pPr>
        <w:ind w:firstLine="720" w:left="0"/>
        <w:rPr>
          <w:i w:val="1"/>
        </w:rPr>
      </w:pPr>
      <w:r>
        <w:rPr>
          <w:i w:val="1"/>
        </w:rPr>
        <w:t>Определение вспомогательного времени, связанного с переходом.</w:t>
      </w:r>
    </w:p>
    <w:p w14:paraId="0B020000">
      <w:pPr>
        <w:ind w:firstLine="720" w:left="0"/>
      </w:pPr>
      <w:r>
        <w:t xml:space="preserve">Вспомогательное время </w:t>
      </w:r>
      <w:r>
        <w:t>t</w:t>
      </w:r>
      <w:r>
        <w:rPr>
          <w:vertAlign w:val="subscript"/>
        </w:rPr>
        <w:t>п</w:t>
      </w:r>
      <w:r>
        <w:rPr>
          <w:vertAlign w:val="subscript"/>
        </w:rPr>
        <w:t>ep</w:t>
      </w:r>
      <w:r>
        <w:t xml:space="preserve">, связанное с переходом, устанавливается по карте 20 [9]. Для обработки резцом по переходам 2, 3, 5, 8, 9, установленным на размер при однопроходных операциях, </w:t>
      </w:r>
      <w:r>
        <w:t>t</w:t>
      </w:r>
      <w:r>
        <w:rPr>
          <w:vertAlign w:val="subscript"/>
        </w:rPr>
        <w:t>п</w:t>
      </w:r>
      <w:r>
        <w:rPr>
          <w:vertAlign w:val="subscript"/>
        </w:rPr>
        <w:t>ep</w:t>
      </w:r>
      <w:r>
        <w:t xml:space="preserve"> = 0,10 мин на один проход. Для обработки поверхностей время, связанное с переходом удваивается и составляет </w:t>
      </w:r>
      <w:r>
        <w:t>t</w:t>
      </w:r>
      <w:r>
        <w:rPr>
          <w:vertAlign w:val="subscript"/>
        </w:rPr>
        <w:t>п</w:t>
      </w:r>
      <w:r>
        <w:rPr>
          <w:vertAlign w:val="subscript"/>
        </w:rPr>
        <w:t>ep</w:t>
      </w:r>
      <w:r>
        <w:t xml:space="preserve"> =  0,40 мин [9].  Время на подвод и отвод инструмента составляет 0,50 мин</w:t>
      </w:r>
    </w:p>
    <w:p w14:paraId="0C020000">
      <w:pPr>
        <w:ind w:firstLine="720" w:left="0"/>
        <w:rPr>
          <w:i w:val="1"/>
        </w:rPr>
      </w:pPr>
      <w:r>
        <w:rPr>
          <w:i w:val="1"/>
        </w:rPr>
        <w:t>Определение вспомогательного времени на контрольные измерения.</w:t>
      </w:r>
    </w:p>
    <w:p w14:paraId="0D020000">
      <w:pPr>
        <w:ind w:firstLine="720" w:left="0"/>
      </w:pPr>
      <w:r>
        <w:t xml:space="preserve">Вспомогательное время на контрольные измерения обработанной поверхности устанавливается по карте 43 [9].  При измерении штангенциркулем 10 поверхностей время на измерение одного размера равно 0,08 мин [9]. </w:t>
      </w:r>
    </w:p>
    <w:p w14:paraId="0E020000">
      <w:pPr>
        <w:ind w:firstLine="720" w:left="0"/>
      </w:pPr>
      <w:r>
        <w:t>Вспомогательное время на операцию определим по формуле:</w:t>
      </w:r>
    </w:p>
    <w:p w14:paraId="0F020000">
      <w:pPr>
        <w:ind w:firstLine="708" w:left="12"/>
        <w:jc w:val="center"/>
      </w:pPr>
      <w:r>
        <w:t xml:space="preserve">                            </w:t>
      </w:r>
      <w:r>
        <w:t>Тв</w:t>
      </w:r>
      <w:r>
        <w:t xml:space="preserve"> = </w:t>
      </w:r>
      <w:r>
        <w:rPr>
          <w:i w:val="1"/>
        </w:rPr>
        <w:t>t</w:t>
      </w:r>
      <w:r>
        <w:rPr>
          <w:vertAlign w:val="subscript"/>
        </w:rPr>
        <w:t>УС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>З.О.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>УП</w:t>
      </w:r>
      <w:r>
        <w:t xml:space="preserve"> + </w:t>
      </w:r>
      <w:r>
        <w:rPr>
          <w:i w:val="1"/>
        </w:rPr>
        <w:t>t</w:t>
      </w:r>
      <w:r>
        <w:rPr>
          <w:vertAlign w:val="subscript"/>
        </w:rPr>
        <w:t>ИЗ</w:t>
      </w:r>
      <w:r>
        <w:t xml:space="preserve">                                    (</w:t>
      </w:r>
      <w:r>
        <w:t>2.11</w:t>
      </w:r>
      <w:r>
        <w:t>)</w:t>
      </w:r>
    </w:p>
    <w:p w14:paraId="10020000">
      <w:pPr>
        <w:ind w:firstLine="720" w:left="0"/>
        <w:jc w:val="center"/>
      </w:pPr>
      <w:r>
        <w:t>Тв</w:t>
      </w:r>
      <w:r>
        <w:t xml:space="preserve"> = 0,35 + (0,10 · 5 + 0,40 + 0,50) + (0,08 · 10) = 2,55 мин.</w:t>
      </w:r>
    </w:p>
    <w:p w14:paraId="11020000">
      <w:pPr>
        <w:ind w:firstLine="720" w:left="0"/>
      </w:pPr>
      <w:r>
        <w:t>По карте 1 определяется поправочный коэффициент на вспомогательное время в зависимости от суммарной продолжительности обработки партии деталей по трудоемко</w:t>
      </w:r>
      <w:r>
        <w:t xml:space="preserve">сти [9].  При трудоемкости обработки партии деталей в 2 смены этот коэффициент равен </w:t>
      </w:r>
      <w:r>
        <w:t>K</w:t>
      </w:r>
      <w:r>
        <w:rPr>
          <w:vertAlign w:val="subscript"/>
        </w:rPr>
        <w:t>t</w:t>
      </w:r>
      <w:r>
        <w:rPr>
          <w:vertAlign w:val="subscript"/>
        </w:rPr>
        <w:t>в</w:t>
      </w:r>
      <w:r>
        <w:t xml:space="preserve"> = 1,00.</w:t>
      </w:r>
    </w:p>
    <w:p w14:paraId="12020000">
      <w:pPr>
        <w:ind w:firstLine="720" w:left="0"/>
      </w:pPr>
      <w:r>
        <w:t>С учетом поправочного коэффициента вспомогательное время составит:</w:t>
      </w:r>
    </w:p>
    <w:p w14:paraId="13020000">
      <w:pPr>
        <w:ind w:firstLine="720" w:left="0"/>
        <w:jc w:val="center"/>
      </w:pPr>
      <w:r>
        <w:t>Т</w:t>
      </w:r>
      <w:r>
        <w:rPr>
          <w:vertAlign w:val="subscript"/>
        </w:rPr>
        <w:t>в</w:t>
      </w:r>
      <w:r>
        <w:t xml:space="preserve"> · </w:t>
      </w:r>
      <w:r>
        <w:t>K</w:t>
      </w:r>
      <w:r>
        <w:rPr>
          <w:vertAlign w:val="subscript"/>
        </w:rPr>
        <w:t>t</w:t>
      </w:r>
      <w:r>
        <w:rPr>
          <w:vertAlign w:val="subscript"/>
        </w:rPr>
        <w:t>в</w:t>
      </w:r>
      <w:r>
        <w:t xml:space="preserve"> = 2,55 · 1,00 = 2,55 мин.</w:t>
      </w:r>
    </w:p>
    <w:p w14:paraId="14020000">
      <w:pPr>
        <w:ind w:firstLine="720" w:left="0"/>
      </w:pPr>
      <w:r>
        <w:t xml:space="preserve">Время на обслуживание рабочего места (организационное и техническое) определяется по карте 45 [9]. Для станков с наибольшим диаметром изделия, устанавливаемого над станиной, до </w:t>
      </w:r>
      <w:r>
        <w:t>400 мм</w:t>
      </w:r>
      <w:r>
        <w:t xml:space="preserve"> оно составляет </w:t>
      </w:r>
      <w:r>
        <w:t>a</w:t>
      </w:r>
      <w:r>
        <w:rPr>
          <w:vertAlign w:val="subscript"/>
        </w:rPr>
        <w:t>абс</w:t>
      </w:r>
      <w:r>
        <w:t xml:space="preserve"> = 4,00 % от оперативного времени.</w:t>
      </w:r>
    </w:p>
    <w:p w14:paraId="15020000">
      <w:pPr>
        <w:ind w:firstLine="720" w:left="0"/>
      </w:pPr>
      <w:r>
        <w:t>Время перерывов на отдых и личные надобности при работе на станке с механиче</w:t>
      </w:r>
      <w:r>
        <w:t xml:space="preserve">ской подачей (карта 46) составляет </w:t>
      </w:r>
      <w:r>
        <w:t>a</w:t>
      </w:r>
      <w:r>
        <w:rPr>
          <w:vertAlign w:val="subscript"/>
        </w:rPr>
        <w:t>отн</w:t>
      </w:r>
      <w:r>
        <w:t xml:space="preserve"> = 4,00 % от оперативного времени.</w:t>
      </w:r>
    </w:p>
    <w:p w14:paraId="16020000">
      <w:pPr>
        <w:ind w:firstLine="720" w:left="0"/>
      </w:pPr>
      <w:r>
        <w:t>Тогда, норму штучного времени определим по формуле:</w:t>
      </w:r>
    </w:p>
    <w:p w14:paraId="17020000">
      <w:pPr>
        <w:ind w:firstLine="720" w:left="0"/>
        <w:jc w:val="center"/>
      </w:pPr>
      <w:r>
        <w:t xml:space="preserve">                        </w:t>
      </w:r>
      <w:r>
        <w:t>Т</w:t>
      </w:r>
      <w:r>
        <w:rPr>
          <w:vertAlign w:val="subscript"/>
        </w:rPr>
        <w:t>шт</w:t>
      </w:r>
      <w:r>
        <w:rPr>
          <w:vertAlign w:val="subscript"/>
        </w:rPr>
        <w:t xml:space="preserve"> </w:t>
      </w:r>
      <w:r>
        <w:t>= Т</w:t>
      </w:r>
      <w:r>
        <w:rPr>
          <w:vertAlign w:val="subscript"/>
        </w:rPr>
        <w:t>о</w:t>
      </w:r>
      <w:r>
        <w:t xml:space="preserve">+ </w:t>
      </w:r>
      <w:r>
        <w:t>Т</w:t>
      </w:r>
      <w:r>
        <w:rPr>
          <w:vertAlign w:val="subscript"/>
        </w:rPr>
        <w:t>в</w:t>
      </w:r>
      <w:r>
        <w:t xml:space="preserve"> + </w:t>
      </w:r>
      <w:r>
        <w:t>Т</w:t>
      </w:r>
      <w:r>
        <w:rPr>
          <w:vertAlign w:val="subscript"/>
        </w:rPr>
        <w:t>обсл</w:t>
      </w:r>
      <w:r>
        <w:t xml:space="preserve"> + </w:t>
      </w:r>
      <w:r>
        <w:t>Т</w:t>
      </w:r>
      <w:r>
        <w:rPr>
          <w:vertAlign w:val="subscript"/>
        </w:rPr>
        <w:t>отд</w:t>
      </w:r>
      <w:r>
        <w:t>,                                    (</w:t>
      </w:r>
      <w:r>
        <w:t>2.12</w:t>
      </w:r>
      <w:r>
        <w:t>)</w:t>
      </w:r>
    </w:p>
    <w:p w14:paraId="18020000">
      <w:pPr>
        <w:ind w:firstLine="720" w:left="0"/>
        <w:jc w:val="center"/>
      </w:pPr>
      <w:r>
        <w:drawing>
          <wp:inline>
            <wp:extent cx="3400425" cy="428625"/>
            <wp:docPr hidden="false" id="106" name="Picture 106"/>
            <a:graphic>
              <a:graphicData uri="http://schemas.openxmlformats.org/drawingml/2006/picture">
                <pic:pic>
                  <pic:nvPicPr>
                    <pic:cNvPr hidden="false" id="105" name="Picture 105"/>
                    <pic:cNvPicPr preferRelativeResize="true"/>
                  </pic:nvPicPr>
                  <pic:blipFill>
                    <a:blip r:embed="rId56"/>
                    <a:srcRect b="0" l="0" r="0" t="0"/>
                    <a:stretch/>
                  </pic:blipFill>
                  <pic:spPr>
                    <a:xfrm flipH="false" flipV="false" rot="0">
                      <a:ext cx="3400425" cy="4286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мин.</w:t>
      </w:r>
    </w:p>
    <w:p w14:paraId="19020000">
      <w:pPr>
        <w:ind w:firstLine="720" w:left="0"/>
      </w:pPr>
      <w:r>
        <w:t>Штучно-калькуляционное время определяется по формуле:</w:t>
      </w:r>
    </w:p>
    <w:p w14:paraId="1A020000">
      <w:pPr>
        <w:ind w:firstLine="720" w:left="0"/>
        <w:jc w:val="center"/>
      </w:pPr>
      <w:r>
        <w:t xml:space="preserve">                                         </w:t>
      </w:r>
      <w:r>
        <w:drawing>
          <wp:inline>
            <wp:extent cx="1314450" cy="447675"/>
            <wp:docPr hidden="false" id="108" name="Picture 108"/>
            <a:graphic>
              <a:graphicData uri="http://schemas.openxmlformats.org/drawingml/2006/picture">
                <pic:pic>
                  <pic:nvPicPr>
                    <pic:cNvPr hidden="false" id="107" name="Picture 107"/>
                    <pic:cNvPicPr preferRelativeResize="true"/>
                  </pic:nvPicPr>
                  <pic:blipFill>
                    <a:blip r:embed="rId57"/>
                    <a:srcRect b="0" l="0" r="0" t="0"/>
                    <a:stretch/>
                  </pic:blipFill>
                  <pic:spPr>
                    <a:xfrm flipH="false" flipV="false" rot="0">
                      <a:ext cx="1314450" cy="4476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                             (</w:t>
      </w:r>
      <w:r>
        <w:t>2.13</w:t>
      </w:r>
      <w:r>
        <w:t>)</w:t>
      </w:r>
    </w:p>
    <w:p w14:paraId="1B020000">
      <w:pPr>
        <w:ind w:firstLine="720" w:left="0"/>
      </w:pPr>
      <w:r>
        <w:t>Подготовительно-заключительное время определяется по карте 47 [9].  При обра</w:t>
      </w:r>
      <w:r>
        <w:t>ботке цилиндрических поверхностей режущим инструментом, участвующим в операции, подготовительно-заключительное время на партию деталей равно 14 мин.</w:t>
      </w:r>
    </w:p>
    <w:p w14:paraId="1C020000">
      <w:pPr>
        <w:ind w:firstLine="720" w:left="0"/>
      </w:pPr>
      <w:r>
        <w:t>Тогда, норма штучно-калькуляционного времени равна:</w:t>
      </w:r>
    </w:p>
    <w:p w14:paraId="1D020000">
      <w:pPr>
        <w:ind w:firstLine="720" w:left="0"/>
        <w:jc w:val="center"/>
      </w:pPr>
      <w:r>
        <w:drawing>
          <wp:inline>
            <wp:extent cx="1552575" cy="390525"/>
            <wp:docPr hidden="false" id="110" name="Picture 110"/>
            <a:graphic>
              <a:graphicData uri="http://schemas.openxmlformats.org/drawingml/2006/picture">
                <pic:pic>
                  <pic:nvPicPr>
                    <pic:cNvPr hidden="false" id="109" name="Picture 109"/>
                    <pic:cNvPicPr preferRelativeResize="true"/>
                  </pic:nvPicPr>
                  <pic:blipFill>
                    <a:blip r:embed="rId58"/>
                    <a:srcRect b="0" l="0" r="0" t="0"/>
                    <a:stretch/>
                  </pic:blipFill>
                  <pic:spPr>
                    <a:xfrm flipH="false" flipV="false" rot="0">
                      <a:ext cx="1552575" cy="39052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мин</w:t>
      </w:r>
    </w:p>
    <w:p w14:paraId="1E020000">
      <w:pPr>
        <w:rPr>
          <w:sz w:val="24"/>
        </w:rPr>
      </w:pPr>
      <w:r>
        <w:rPr>
          <w:i w:val="1"/>
          <w:sz w:val="24"/>
        </w:rPr>
        <w:t xml:space="preserve">Примечание —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В</w:t>
      </w:r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вспомогательное время,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УС</w:t>
      </w:r>
      <w:r>
        <w:rPr>
          <w:sz w:val="24"/>
        </w:rPr>
        <w:t xml:space="preserve"> — время на установку и снятие детали,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З.О.</w:t>
      </w:r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время на закрепление и открепление детали,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УП</w:t>
      </w:r>
      <w:r>
        <w:rPr>
          <w:sz w:val="24"/>
        </w:rPr>
        <w:t xml:space="preserve"> — время на приёмы управления станком,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ИЗМ</w:t>
      </w:r>
      <w:r>
        <w:rPr>
          <w:sz w:val="24"/>
        </w:rPr>
        <w:t xml:space="preserve"> — время на измерение детали,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ОП</w:t>
      </w:r>
      <w:r>
        <w:rPr>
          <w:sz w:val="24"/>
        </w:rPr>
        <w:t xml:space="preserve"> ―</w:t>
      </w:r>
      <w:r>
        <w:rPr>
          <w:sz w:val="24"/>
        </w:rPr>
        <w:t xml:space="preserve"> оперативное время;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О</w:t>
      </w:r>
      <w:r>
        <w:rPr>
          <w:sz w:val="24"/>
        </w:rPr>
        <w:t xml:space="preserve"> ―</w:t>
      </w:r>
      <w:r>
        <w:rPr>
          <w:sz w:val="24"/>
        </w:rPr>
        <w:t xml:space="preserve"> основное (машинное) время,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ОБС</w:t>
      </w:r>
      <w:r>
        <w:rPr>
          <w:sz w:val="24"/>
        </w:rPr>
        <w:t> </w:t>
      </w:r>
      <w:r>
        <w:rPr>
          <w:sz w:val="24"/>
        </w:rPr>
        <w:t>―</w:t>
      </w:r>
      <w:r>
        <w:rPr>
          <w:sz w:val="24"/>
        </w:rPr>
        <w:t xml:space="preserve"> время на обслуживание рабочего места,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ОТД</w:t>
      </w:r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время на отдых,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ШТ</w:t>
      </w:r>
      <w:r>
        <w:rPr>
          <w:sz w:val="24"/>
        </w:rPr>
        <w:t xml:space="preserve"> ―</w:t>
      </w:r>
      <w:r>
        <w:rPr>
          <w:sz w:val="24"/>
        </w:rPr>
        <w:t xml:space="preserve"> штучное время;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ШТ.-К.</w:t>
      </w:r>
      <w:r>
        <w:rPr>
          <w:sz w:val="24"/>
        </w:rPr>
        <w:t xml:space="preserve"> ―</w:t>
      </w:r>
      <w:r>
        <w:rPr>
          <w:sz w:val="24"/>
        </w:rPr>
        <w:t xml:space="preserve"> штучно-калькуляционное время;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П.-З.</w:t>
      </w:r>
      <w:r>
        <w:rPr>
          <w:sz w:val="24"/>
        </w:rPr>
        <w:t xml:space="preserve"> ―</w:t>
      </w:r>
      <w:r>
        <w:rPr>
          <w:sz w:val="24"/>
        </w:rPr>
        <w:t xml:space="preserve"> подготовительно-заключительное время,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НАЛ</w:t>
      </w:r>
      <w:r>
        <w:rPr>
          <w:sz w:val="24"/>
        </w:rPr>
        <w:t xml:space="preserve"> ―</w:t>
      </w:r>
      <w:r>
        <w:rPr>
          <w:sz w:val="24"/>
        </w:rPr>
        <w:t xml:space="preserve"> время на наладку станка, инструмента и приспособлений, мин; </w:t>
      </w:r>
      <w:r>
        <w:rPr>
          <w:i w:val="1"/>
          <w:sz w:val="24"/>
        </w:rPr>
        <w:t>t</w:t>
      </w:r>
      <w:r>
        <w:rPr>
          <w:sz w:val="24"/>
          <w:vertAlign w:val="subscript"/>
        </w:rPr>
        <w:t>ПОЛ</w:t>
      </w:r>
      <w:r>
        <w:rPr>
          <w:sz w:val="24"/>
        </w:rPr>
        <w:t xml:space="preserve"> ―</w:t>
      </w:r>
      <w:r>
        <w:rPr>
          <w:sz w:val="24"/>
        </w:rPr>
        <w:t xml:space="preserve"> время на получение инструмента и приспособлений до начала и сдачу их после окончания работы, мин; </w:t>
      </w:r>
      <m:oMathPara>
        <m:oMath>
          <m:r>
            <w:rPr>
              <w:rFonts w:ascii="Cambria Math" w:hAnsi="Cambria Math"/>
              <w:sz w:val="24"/>
            </w:rPr>
            <m:t>n</m:t>
          </m:r>
        </m:oMath>
      </m:oMathPara>
      <w:r>
        <w:rPr>
          <w:sz w:val="24"/>
        </w:rPr>
        <w:t xml:space="preserve"> </w:t>
      </w:r>
      <w:r>
        <w:rPr>
          <w:sz w:val="24"/>
        </w:rPr>
        <w:t>―</w:t>
      </w:r>
      <w:r>
        <w:rPr>
          <w:sz w:val="24"/>
        </w:rPr>
        <w:t xml:space="preserve"> размер партии деталей.</w:t>
      </w:r>
    </w:p>
    <w:p w14:paraId="1F020000">
      <w:r>
        <w:t>Расчёт технических норм времени производим на все операции технологического процесса. Результа</w:t>
      </w:r>
      <w:r>
        <w:t>ты расчёта заносим в таблицу 2.9</w:t>
      </w:r>
      <w:r>
        <w:t xml:space="preserve">. </w:t>
      </w:r>
    </w:p>
    <w:p w14:paraId="20020000">
      <w:pPr>
        <w:ind/>
        <w:jc w:val="right"/>
      </w:pPr>
      <w:r>
        <w:t>Таблица 2.9</w:t>
      </w:r>
    </w:p>
    <w:p w14:paraId="21020000">
      <w:pPr>
        <w:ind/>
        <w:jc w:val="center"/>
      </w:pPr>
      <w:r>
        <w:t>Сводная таблица норм времени</w:t>
      </w: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39"/>
        <w:gridCol w:w="571"/>
        <w:gridCol w:w="567"/>
        <w:gridCol w:w="529"/>
        <w:gridCol w:w="709"/>
        <w:gridCol w:w="709"/>
        <w:gridCol w:w="709"/>
        <w:gridCol w:w="708"/>
        <w:gridCol w:w="709"/>
        <w:gridCol w:w="709"/>
        <w:gridCol w:w="884"/>
        <w:gridCol w:w="567"/>
        <w:gridCol w:w="675"/>
      </w:tblGrid>
      <w:tr>
        <w:trPr>
          <w:trHeight w:hRule="atLeast" w:val="370"/>
        </w:trPr>
        <w:tc>
          <w:tcPr>
            <w:tcW w:type="dxa" w:w="1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20000">
            <w:pPr>
              <w:spacing w:line="240" w:lineRule="auto"/>
              <w:ind w:firstLine="0" w:left="0"/>
              <w:jc w:val="center"/>
            </w:pPr>
            <w:r>
              <w:t>Наименование операции</w:t>
            </w:r>
          </w:p>
        </w:tc>
        <w:tc>
          <w:tcPr>
            <w:tcW w:type="dxa" w:w="5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О</w:t>
            </w:r>
          </w:p>
        </w:tc>
        <w:tc>
          <w:tcPr>
            <w:tcW w:type="dxa" w:w="251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В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ОП</w:t>
            </w:r>
          </w:p>
        </w:tc>
        <w:tc>
          <w:tcPr>
            <w:tcW w:type="dxa" w:w="7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ОБС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ОТД</w:t>
            </w:r>
          </w:p>
        </w:tc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ШТ</w:t>
            </w:r>
          </w:p>
        </w:tc>
        <w:tc>
          <w:tcPr>
            <w:tcW w:type="dxa" w:w="8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П.-З.</w:t>
            </w:r>
          </w:p>
        </w:tc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n</w:t>
            </w:r>
          </w:p>
        </w:tc>
        <w:tc>
          <w:tcPr>
            <w:tcW w:type="dxa" w:w="6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ШТ.-К.</w:t>
            </w:r>
          </w:p>
        </w:tc>
      </w:tr>
      <w:tr>
        <w:trPr>
          <w:trHeight w:hRule="atLeast" w:val="842"/>
        </w:trPr>
        <w:tc>
          <w:tcPr>
            <w:tcW w:type="dxa" w:w="1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5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УС</w:t>
            </w:r>
          </w:p>
        </w:tc>
        <w:tc>
          <w:tcPr>
            <w:tcW w:type="dxa" w:w="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З.О.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УП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20000">
            <w:pPr>
              <w:spacing w:line="240" w:lineRule="auto"/>
              <w:ind w:firstLine="0" w:left="0"/>
              <w:jc w:val="center"/>
            </w:pPr>
            <w:r>
              <w:rPr>
                <w:i w:val="1"/>
              </w:rPr>
              <w:t>t</w:t>
            </w:r>
            <w:r>
              <w:rPr>
                <w:vertAlign w:val="subscript"/>
              </w:rPr>
              <w:t>ИЗМ</w:t>
            </w:r>
          </w:p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7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699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spacing w:line="240" w:lineRule="auto"/>
              <w:ind w:firstLine="0" w:left="0" w:right="113"/>
              <w:jc w:val="left"/>
            </w:pPr>
            <w:r>
              <w:t xml:space="preserve">Операция 010 </w:t>
            </w:r>
          </w:p>
          <w:p w14:paraId="31020000">
            <w:pPr>
              <w:spacing w:line="240" w:lineRule="auto"/>
              <w:ind w:firstLine="0" w:left="0" w:right="113"/>
              <w:jc w:val="left"/>
            </w:pPr>
            <w:r>
              <w:t>Токарная с ЧПУ</w:t>
            </w:r>
          </w:p>
        </w:tc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20000">
            <w:pPr>
              <w:spacing w:line="240" w:lineRule="auto"/>
              <w:ind w:firstLine="0" w:left="-108"/>
              <w:jc w:val="center"/>
            </w:pPr>
            <w:r>
              <w:t>1,26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20000">
            <w:pPr>
              <w:spacing w:line="240" w:lineRule="auto"/>
              <w:ind w:firstLine="0" w:left="0"/>
              <w:jc w:val="center"/>
            </w:pPr>
            <w:r>
              <w:t>0,35</w:t>
            </w:r>
          </w:p>
        </w:tc>
        <w:tc>
          <w:tcPr>
            <w:tcW w:type="dxa" w:w="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20000">
            <w:pPr>
              <w:spacing w:line="240" w:lineRule="auto"/>
              <w:ind w:firstLine="0" w:left="0"/>
              <w:jc w:val="center"/>
            </w:pPr>
            <w:r>
              <w:t>0,4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20000">
            <w:pPr>
              <w:spacing w:line="240" w:lineRule="auto"/>
              <w:ind w:firstLine="0" w:left="-108"/>
              <w:jc w:val="center"/>
            </w:pPr>
            <w:r>
              <w:t>0,4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20000">
            <w:pPr>
              <w:spacing w:line="240" w:lineRule="auto"/>
              <w:ind w:firstLine="0" w:left="-108"/>
              <w:jc w:val="center"/>
            </w:pPr>
            <w:r>
              <w:t>0,48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20000">
            <w:pPr>
              <w:spacing w:line="240" w:lineRule="auto"/>
              <w:ind w:firstLine="0" w:left="0"/>
              <w:jc w:val="center"/>
            </w:pPr>
            <w:r>
              <w:t>3,15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20000">
            <w:pPr>
              <w:spacing w:line="240" w:lineRule="auto"/>
              <w:ind w:firstLine="0" w:left="0"/>
              <w:jc w:val="center"/>
            </w:pPr>
            <w:r>
              <w:t>0,38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20000">
            <w:pPr>
              <w:spacing w:line="240" w:lineRule="auto"/>
              <w:ind w:firstLine="0" w:left="0"/>
              <w:jc w:val="center"/>
            </w:pPr>
            <w:r>
              <w:t>0,26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20000">
            <w:pPr>
              <w:spacing w:line="240" w:lineRule="auto"/>
              <w:ind w:firstLine="0" w:left="0"/>
              <w:jc w:val="center"/>
            </w:pPr>
            <w:r>
              <w:t>14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20000">
            <w:pPr>
              <w:spacing w:line="240" w:lineRule="auto"/>
              <w:ind w:firstLine="0" w:left="0"/>
              <w:jc w:val="center"/>
            </w:pPr>
            <w:r>
              <w:t>75</w:t>
            </w:r>
          </w:p>
          <w:p w14:paraId="3C020000">
            <w:pPr>
              <w:spacing w:line="240" w:lineRule="auto"/>
              <w:ind w:firstLine="0" w:left="0"/>
              <w:jc w:val="left"/>
            </w:pP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20000">
            <w:pPr>
              <w:spacing w:line="240" w:lineRule="auto"/>
              <w:ind w:firstLine="0" w:left="0"/>
              <w:jc w:val="center"/>
            </w:pPr>
            <w:r>
              <w:t>5,36</w:t>
            </w:r>
          </w:p>
        </w:tc>
      </w:tr>
      <w:tr>
        <w:trPr>
          <w:trHeight w:hRule="atLeast" w:val="699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spacing w:line="240" w:lineRule="auto"/>
              <w:ind w:firstLine="0" w:left="0" w:right="113"/>
              <w:jc w:val="left"/>
            </w:pPr>
            <w:r>
              <w:t xml:space="preserve">Операция 015 </w:t>
            </w:r>
          </w:p>
          <w:p w14:paraId="3F020000">
            <w:pPr>
              <w:spacing w:line="240" w:lineRule="auto"/>
              <w:ind w:firstLine="0" w:left="0" w:right="113"/>
              <w:jc w:val="left"/>
            </w:pPr>
            <w:r>
              <w:t>Фрезерная</w:t>
            </w:r>
            <w:r>
              <w:t xml:space="preserve"> с ЧПУ</w:t>
            </w:r>
          </w:p>
        </w:tc>
        <w:tc>
          <w:tcPr>
            <w:tcW w:type="dxa" w:w="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20000">
            <w:pPr>
              <w:spacing w:line="240" w:lineRule="auto"/>
              <w:ind w:firstLine="0" w:left="-108"/>
              <w:jc w:val="center"/>
            </w:pPr>
            <w:r>
              <w:t>1,11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20000">
            <w:pPr>
              <w:spacing w:line="240" w:lineRule="auto"/>
              <w:ind w:firstLine="0" w:left="0"/>
              <w:jc w:val="center"/>
            </w:pPr>
            <w:r>
              <w:t>0,3</w:t>
            </w:r>
          </w:p>
        </w:tc>
        <w:tc>
          <w:tcPr>
            <w:tcW w:type="dxa" w:w="5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20000">
            <w:pPr>
              <w:spacing w:line="240" w:lineRule="auto"/>
              <w:ind w:firstLine="0" w:left="0"/>
              <w:jc w:val="center"/>
            </w:pPr>
            <w:r>
              <w:t>0,4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20000">
            <w:pPr>
              <w:spacing w:line="240" w:lineRule="auto"/>
              <w:ind w:firstLine="0" w:left="-108"/>
              <w:jc w:val="center"/>
            </w:pPr>
            <w:r>
              <w:t>0,4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20000">
            <w:pPr>
              <w:spacing w:line="240" w:lineRule="auto"/>
              <w:ind w:firstLine="0" w:left="-108"/>
              <w:jc w:val="center"/>
            </w:pPr>
            <w:r>
              <w:t>0,41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20000">
            <w:pPr>
              <w:spacing w:line="240" w:lineRule="auto"/>
              <w:ind w:firstLine="0" w:left="0"/>
              <w:jc w:val="center"/>
            </w:pPr>
            <w:r>
              <w:t>3,15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20000">
            <w:pPr>
              <w:spacing w:line="240" w:lineRule="auto"/>
              <w:ind w:firstLine="0" w:left="0"/>
              <w:jc w:val="center"/>
            </w:pPr>
            <w:r>
              <w:t>0,36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20000">
            <w:pPr>
              <w:spacing w:line="240" w:lineRule="auto"/>
              <w:ind w:firstLine="0" w:left="0"/>
              <w:jc w:val="center"/>
            </w:pPr>
            <w:r>
              <w:t>0,2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20000">
            <w:pPr>
              <w:spacing w:line="240" w:lineRule="auto"/>
              <w:ind w:firstLine="0" w:left="0"/>
              <w:jc w:val="center"/>
            </w:pPr>
            <w:r>
              <w:t>12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20000">
            <w:pPr>
              <w:spacing w:line="240" w:lineRule="auto"/>
              <w:ind w:firstLine="0" w:left="0"/>
              <w:jc w:val="center"/>
            </w:pPr>
            <w:r>
              <w:t>75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20000">
            <w:pPr>
              <w:spacing w:line="240" w:lineRule="auto"/>
              <w:ind w:firstLine="0" w:left="0"/>
              <w:jc w:val="center"/>
            </w:pPr>
            <w:r>
              <w:t>4,2</w:t>
            </w:r>
          </w:p>
        </w:tc>
      </w:tr>
    </w:tbl>
    <w:p w14:paraId="4B020000">
      <w:pPr>
        <w:ind w:firstLine="708" w:left="0"/>
      </w:pPr>
    </w:p>
    <w:p w14:paraId="4C020000">
      <w:pPr>
        <w:sectPr>
          <w:footerReference r:id="rId1" w:type="default"/>
          <w:pgSz w:h="16838" w:orient="portrait" w:w="11906"/>
          <w:pgMar w:bottom="1134" w:footer="708" w:gutter="0" w:header="708" w:left="1701" w:right="851" w:top="1134"/>
        </w:sectPr>
      </w:pPr>
    </w:p>
    <w:sectPr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_НижнийИндекс"/>
    <w:link w:val="Style_6_ch"/>
    <w:rPr>
      <w:vertAlign w:val="subscript"/>
    </w:rPr>
  </w:style>
  <w:style w:styleId="Style_6_ch" w:type="character">
    <w:name w:val="_НижнийИндекс"/>
    <w:link w:val="Style_6"/>
    <w:rPr>
      <w:vertAlign w:val="subscript"/>
    </w:rPr>
  </w:style>
  <w:style w:styleId="Style_7" w:type="paragraph">
    <w:name w:val="toc 2"/>
    <w:basedOn w:val="Style_5"/>
    <w:next w:val="Style_5"/>
    <w:link w:val="Style_7_ch"/>
    <w:uiPriority w:val="39"/>
    <w:pPr>
      <w:tabs>
        <w:tab w:leader="dot" w:pos="9345" w:val="right"/>
      </w:tabs>
      <w:spacing w:after="100"/>
      <w:ind w:firstLine="4" w:left="280"/>
    </w:pPr>
  </w:style>
  <w:style w:styleId="Style_7_ch" w:type="character">
    <w:name w:val="toc 2"/>
    <w:basedOn w:val="Style_5_ch"/>
    <w:link w:val="Style_7"/>
  </w:style>
  <w:style w:styleId="Style_3" w:type="paragraph">
    <w:name w:val="Body Text 2"/>
    <w:basedOn w:val="Style_5"/>
    <w:link w:val="Style_3_ch"/>
    <w:pPr>
      <w:spacing w:after="120" w:line="480" w:lineRule="auto"/>
      <w:ind w:firstLine="0" w:left="0"/>
      <w:jc w:val="left"/>
    </w:pPr>
    <w:rPr>
      <w:sz w:val="24"/>
    </w:rPr>
  </w:style>
  <w:style w:styleId="Style_3_ch" w:type="character">
    <w:name w:val="Body Text 2"/>
    <w:basedOn w:val="Style_5_ch"/>
    <w:link w:val="Style_3"/>
    <w:rPr>
      <w:sz w:val="24"/>
    </w:rPr>
  </w:style>
  <w:style w:styleId="Style_8" w:type="paragraph">
    <w:name w:val="annotation text"/>
    <w:basedOn w:val="Style_5"/>
    <w:link w:val="Style_8_ch"/>
    <w:pPr>
      <w:spacing w:line="240" w:lineRule="auto"/>
      <w:ind/>
    </w:pPr>
    <w:rPr>
      <w:sz w:val="20"/>
    </w:rPr>
  </w:style>
  <w:style w:styleId="Style_8_ch" w:type="character">
    <w:name w:val="annotation text"/>
    <w:basedOn w:val="Style_5_ch"/>
    <w:link w:val="Style_8"/>
    <w:rPr>
      <w:sz w:val="20"/>
    </w:rPr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10_ch" w:type="character">
    <w:name w:val="heading 7"/>
    <w:basedOn w:val="Style_5_ch"/>
    <w:link w:val="Style_10"/>
    <w:rPr>
      <w:rFonts w:ascii="Arial" w:hAnsi="Arial"/>
    </w:rPr>
  </w:style>
  <w:style w:styleId="Style_11" w:type="paragraph">
    <w:name w:val="Body Text"/>
    <w:basedOn w:val="Style_5"/>
    <w:link w:val="Style_11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1_ch" w:type="character">
    <w:name w:val="Body Text"/>
    <w:basedOn w:val="Style_5_ch"/>
    <w:link w:val="Style_11"/>
    <w:rPr>
      <w:rFonts w:ascii="Arial" w:hAnsi="Arial"/>
    </w:rPr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Block Text"/>
    <w:basedOn w:val="Style_5"/>
    <w:link w:val="Style_14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4_ch" w:type="character">
    <w:name w:val="Block Text"/>
    <w:basedOn w:val="Style_5_ch"/>
    <w:link w:val="Style_14"/>
    <w:rPr>
      <w:rFonts w:ascii="Verdana" w:hAnsi="Verdana"/>
      <w:sz w:val="24"/>
    </w:rPr>
  </w:style>
  <w:style w:styleId="Style_15" w:type="paragraph">
    <w:name w:val="Default"/>
    <w:link w:val="Style_15_ch"/>
    <w:rPr>
      <w:color w:val="000000"/>
      <w:sz w:val="24"/>
    </w:rPr>
  </w:style>
  <w:style w:styleId="Style_15_ch" w:type="character">
    <w:name w:val="Default"/>
    <w:link w:val="Style_15"/>
    <w:rPr>
      <w:color w:val="000000"/>
      <w:sz w:val="24"/>
    </w:rPr>
  </w:style>
  <w:style w:styleId="Style_16" w:type="paragraph">
    <w:name w:val="heading 3"/>
    <w:basedOn w:val="Style_5"/>
    <w:next w:val="Style_5"/>
    <w:link w:val="Style_16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6_ch" w:type="character">
    <w:name w:val="heading 3"/>
    <w:basedOn w:val="Style_5_ch"/>
    <w:link w:val="Style_16"/>
    <w:rPr>
      <w:rFonts w:ascii="Calibri Light" w:hAnsi="Calibri Light"/>
      <w:b w:val="1"/>
      <w:color w:val="5B9BD5"/>
    </w:rPr>
  </w:style>
  <w:style w:styleId="Style_17" w:type="paragraph">
    <w:name w:val="Balloon Text"/>
    <w:basedOn w:val="Style_5"/>
    <w:link w:val="Style_17_ch"/>
    <w:pPr>
      <w:spacing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5_ch"/>
    <w:link w:val="Style_17"/>
    <w:rPr>
      <w:rFonts w:ascii="Segoe UI" w:hAnsi="Segoe UI"/>
      <w:sz w:val="18"/>
    </w:rPr>
  </w:style>
  <w:style w:styleId="Style_18" w:type="paragraph">
    <w:name w:val="HTML Cite"/>
    <w:basedOn w:val="Style_19"/>
    <w:link w:val="Style_18_ch"/>
    <w:rPr>
      <w:i w:val="1"/>
    </w:rPr>
  </w:style>
  <w:style w:styleId="Style_18_ch" w:type="character">
    <w:name w:val="HTML Cite"/>
    <w:basedOn w:val="Style_19_ch"/>
    <w:link w:val="Style_18"/>
    <w:rPr>
      <w:i w:val="1"/>
    </w:rPr>
  </w:style>
  <w:style w:styleId="Style_20" w:type="paragraph">
    <w:name w:val="heading 9"/>
    <w:basedOn w:val="Style_5"/>
    <w:next w:val="Style_5"/>
    <w:link w:val="Style_20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20_ch" w:type="character">
    <w:name w:val="heading 9"/>
    <w:basedOn w:val="Style_5_ch"/>
    <w:link w:val="Style_20"/>
    <w:rPr>
      <w:rFonts w:ascii="Arial" w:hAnsi="Arial"/>
      <w:b w:val="1"/>
      <w:sz w:val="24"/>
    </w:rPr>
  </w:style>
  <w:style w:styleId="Style_21" w:type="paragraph">
    <w:name w:val="Абзац списка1"/>
    <w:basedOn w:val="Style_5"/>
    <w:link w:val="Style_21_ch"/>
    <w:pPr>
      <w:spacing w:line="240" w:lineRule="auto"/>
      <w:ind w:firstLine="0" w:left="0"/>
      <w:jc w:val="left"/>
    </w:pPr>
    <w:rPr>
      <w:sz w:val="24"/>
    </w:rPr>
  </w:style>
  <w:style w:styleId="Style_21_ch" w:type="character">
    <w:name w:val="Абзац списка1"/>
    <w:basedOn w:val="Style_5_ch"/>
    <w:link w:val="Style_21"/>
    <w:rPr>
      <w:sz w:val="24"/>
    </w:rPr>
  </w:style>
  <w:style w:styleId="Style_22" w:type="paragraph">
    <w:name w:val="annotation subject"/>
    <w:basedOn w:val="Style_8"/>
    <w:next w:val="Style_8"/>
    <w:link w:val="Style_22_ch"/>
    <w:rPr>
      <w:b w:val="1"/>
    </w:rPr>
  </w:style>
  <w:style w:styleId="Style_22_ch" w:type="character">
    <w:name w:val="annotation subject"/>
    <w:basedOn w:val="Style_8_ch"/>
    <w:link w:val="Style_22"/>
    <w:rPr>
      <w:b w:val="1"/>
    </w:rPr>
  </w:style>
  <w:style w:styleId="Style_23" w:type="paragraph">
    <w:name w:val="Стиль1"/>
    <w:basedOn w:val="Style_5"/>
    <w:link w:val="Style_23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3_ch" w:type="character">
    <w:name w:val="Стиль1"/>
    <w:basedOn w:val="Style_5_ch"/>
    <w:link w:val="Style_23"/>
    <w:rPr>
      <w:rFonts w:ascii="CG Times" w:hAnsi="CG Times"/>
      <w:i w:val="1"/>
      <w:sz w:val="24"/>
    </w:rPr>
  </w:style>
  <w:style w:styleId="Style_24" w:type="paragraph">
    <w:name w:val="p4"/>
    <w:basedOn w:val="Style_5"/>
    <w:link w:val="Style_24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4_ch" w:type="character">
    <w:name w:val="p4"/>
    <w:basedOn w:val="Style_5_ch"/>
    <w:link w:val="Style_24"/>
    <w:rPr>
      <w:rFonts w:ascii="TimesNewRoman" w:hAnsi="TimesNewRoman"/>
      <w:sz w:val="24"/>
    </w:rPr>
  </w:style>
  <w:style w:styleId="Style_25" w:type="paragraph">
    <w:name w:val="_ВерхнийИндекс"/>
    <w:link w:val="Style_25_ch"/>
    <w:rPr>
      <w:vertAlign w:val="superscript"/>
    </w:rPr>
  </w:style>
  <w:style w:styleId="Style_25_ch" w:type="character">
    <w:name w:val="_ВерхнийИндекс"/>
    <w:link w:val="Style_25"/>
    <w:rPr>
      <w:vertAlign w:val="superscript"/>
    </w:rPr>
  </w:style>
  <w:style w:styleId="Style_26" w:type="paragraph">
    <w:name w:val="Body Text Indent 3"/>
    <w:basedOn w:val="Style_5"/>
    <w:link w:val="Style_26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6_ch" w:type="character">
    <w:name w:val="Body Text Indent 3"/>
    <w:basedOn w:val="Style_5_ch"/>
    <w:link w:val="Style_26"/>
    <w:rPr>
      <w:rFonts w:ascii="Arial" w:hAnsi="Arial"/>
    </w:rPr>
  </w:style>
  <w:style w:styleId="Style_27" w:type="paragraph">
    <w:name w:val="Emphasis"/>
    <w:basedOn w:val="Style_19"/>
    <w:link w:val="Style_27_ch"/>
    <w:rPr>
      <w:i w:val="1"/>
    </w:rPr>
  </w:style>
  <w:style w:styleId="Style_27_ch" w:type="character">
    <w:name w:val="Emphasis"/>
    <w:basedOn w:val="Style_19_ch"/>
    <w:link w:val="Style_27"/>
    <w:rPr>
      <w:i w:val="1"/>
    </w:rPr>
  </w:style>
  <w:style w:styleId="Style_28" w:type="paragraph">
    <w:name w:val="apple-style-span"/>
    <w:link w:val="Style_28_ch"/>
  </w:style>
  <w:style w:styleId="Style_28_ch" w:type="character">
    <w:name w:val="apple-style-span"/>
    <w:link w:val="Style_28"/>
  </w:style>
  <w:style w:styleId="Style_29" w:type="paragraph">
    <w:name w:val="Strong"/>
    <w:basedOn w:val="Style_19"/>
    <w:link w:val="Style_29_ch"/>
    <w:rPr>
      <w:b w:val="1"/>
    </w:rPr>
  </w:style>
  <w:style w:styleId="Style_29_ch" w:type="character">
    <w:name w:val="Strong"/>
    <w:basedOn w:val="Style_19_ch"/>
    <w:link w:val="Style_29"/>
    <w:rPr>
      <w:b w:val="1"/>
    </w:rPr>
  </w:style>
  <w:style w:styleId="Style_30" w:type="paragraph">
    <w:name w:val="toc 3"/>
    <w:basedOn w:val="Style_5"/>
    <w:next w:val="Style_5"/>
    <w:link w:val="Style_30_ch"/>
    <w:uiPriority w:val="39"/>
    <w:pPr>
      <w:spacing w:after="100"/>
      <w:ind w:firstLine="0" w:left="560"/>
    </w:pPr>
  </w:style>
  <w:style w:styleId="Style_30_ch" w:type="character">
    <w:name w:val="toc 3"/>
    <w:basedOn w:val="Style_5_ch"/>
    <w:link w:val="Style_30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5_ch"/>
    <w:link w:val="Style_1"/>
  </w:style>
  <w:style w:styleId="Style_31" w:type="paragraph">
    <w:name w:val="Название1"/>
    <w:basedOn w:val="Style_19"/>
    <w:link w:val="Style_31_ch"/>
  </w:style>
  <w:style w:styleId="Style_31_ch" w:type="character">
    <w:name w:val="Название1"/>
    <w:basedOn w:val="Style_19_ch"/>
    <w:link w:val="Style_31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32" w:type="paragraph">
    <w:name w:val="ConsPlusNormal"/>
    <w:link w:val="Style_32_ch"/>
    <w:pPr>
      <w:widowControl w:val="0"/>
      <w:ind/>
    </w:pPr>
    <w:rPr>
      <w:rFonts w:ascii="Book Antiqua" w:hAnsi="Book Antiqua"/>
    </w:rPr>
  </w:style>
  <w:style w:styleId="Style_32_ch" w:type="character">
    <w:name w:val="ConsPlusNormal"/>
    <w:link w:val="Style_32"/>
    <w:rPr>
      <w:rFonts w:ascii="Book Antiqua" w:hAnsi="Book Antiqua"/>
    </w:rPr>
  </w:style>
  <w:style w:styleId="Style_33" w:type="paragraph">
    <w:name w:val="annotation reference"/>
    <w:basedOn w:val="Style_19"/>
    <w:link w:val="Style_33_ch"/>
    <w:rPr>
      <w:sz w:val="16"/>
    </w:rPr>
  </w:style>
  <w:style w:styleId="Style_33_ch" w:type="character">
    <w:name w:val="annotation reference"/>
    <w:basedOn w:val="Style_19_ch"/>
    <w:link w:val="Style_33"/>
    <w:rPr>
      <w:sz w:val="16"/>
    </w:rPr>
  </w:style>
  <w:style w:styleId="Style_34" w:type="paragraph">
    <w:name w:val="FR1"/>
    <w:link w:val="Style_34_ch"/>
    <w:pPr>
      <w:widowControl w:val="0"/>
      <w:spacing w:line="276" w:lineRule="auto"/>
      <w:ind w:firstLine="700" w:left="0"/>
    </w:pPr>
  </w:style>
  <w:style w:styleId="Style_34_ch" w:type="character">
    <w:name w:val="FR1"/>
    <w:link w:val="Style_34"/>
  </w:style>
  <w:style w:styleId="Style_35" w:type="paragraph">
    <w:name w:val="HTML Variable"/>
    <w:basedOn w:val="Style_19"/>
    <w:link w:val="Style_35_ch"/>
    <w:rPr>
      <w:i w:val="1"/>
    </w:rPr>
  </w:style>
  <w:style w:styleId="Style_35_ch" w:type="character">
    <w:name w:val="HTML Variable"/>
    <w:basedOn w:val="Style_19_ch"/>
    <w:link w:val="Style_35"/>
    <w:rPr>
      <w:i w:val="1"/>
    </w:rPr>
  </w:style>
  <w:style w:styleId="Style_36" w:type="paragraph">
    <w:name w:val="Основной текст 2 Знак"/>
    <w:basedOn w:val="Style_19"/>
    <w:link w:val="Style_36_ch"/>
    <w:rPr>
      <w:sz w:val="28"/>
    </w:rPr>
  </w:style>
  <w:style w:styleId="Style_36_ch" w:type="character">
    <w:name w:val="Основной текст 2 Знак"/>
    <w:basedOn w:val="Style_19_ch"/>
    <w:link w:val="Style_36"/>
    <w:rPr>
      <w:sz w:val="28"/>
    </w:rPr>
  </w:style>
  <w:style w:styleId="Style_37" w:type="paragraph">
    <w:name w:val="heading 5"/>
    <w:basedOn w:val="Style_5"/>
    <w:next w:val="Style_5"/>
    <w:link w:val="Style_37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7_ch" w:type="character">
    <w:name w:val="heading 5"/>
    <w:basedOn w:val="Style_5_ch"/>
    <w:link w:val="Style_37"/>
    <w:rPr>
      <w:rFonts w:ascii="Arial" w:hAnsi="Arial"/>
    </w:rPr>
  </w:style>
  <w:style w:styleId="Style_2" w:type="paragraph">
    <w:name w:val="heading 1"/>
    <w:basedOn w:val="Style_5"/>
    <w:next w:val="Style_5"/>
    <w:link w:val="Style_2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2_ch" w:type="character">
    <w:name w:val="heading 1"/>
    <w:basedOn w:val="Style_5_ch"/>
    <w:link w:val="Style_2"/>
    <w:rPr>
      <w:rFonts w:ascii="Calibri Light" w:hAnsi="Calibri Light"/>
      <w:color w:val="2E74B5"/>
      <w:sz w:val="32"/>
    </w:rPr>
  </w:style>
  <w:style w:styleId="Style_38" w:type="paragraph">
    <w:name w:val="Чертежный"/>
    <w:link w:val="Style_38_ch"/>
    <w:pPr>
      <w:ind/>
      <w:jc w:val="both"/>
    </w:pPr>
    <w:rPr>
      <w:rFonts w:ascii="ISOCPEUR" w:hAnsi="ISOCPEUR"/>
      <w:i w:val="1"/>
      <w:sz w:val="28"/>
    </w:rPr>
  </w:style>
  <w:style w:styleId="Style_38_ch" w:type="character">
    <w:name w:val="Чертежный"/>
    <w:link w:val="Style_38"/>
    <w:rPr>
      <w:rFonts w:ascii="ISOCPEUR" w:hAnsi="ISOCPEUR"/>
      <w:i w:val="1"/>
      <w:sz w:val="28"/>
    </w:rPr>
  </w:style>
  <w:style w:styleId="Style_39" w:type="paragraph">
    <w:name w:val="Hyperlink"/>
    <w:basedOn w:val="Style_19"/>
    <w:link w:val="Style_39_ch"/>
    <w:rPr>
      <w:color w:val="0563C1"/>
      <w:u w:val="single"/>
    </w:rPr>
  </w:style>
  <w:style w:styleId="Style_39_ch" w:type="character">
    <w:name w:val="Hyperlink"/>
    <w:basedOn w:val="Style_19_ch"/>
    <w:link w:val="Style_39"/>
    <w:rPr>
      <w:color w:val="0563C1"/>
      <w:u w:val="single"/>
    </w:rPr>
  </w:style>
  <w:style w:styleId="Style_40" w:type="paragraph">
    <w:name w:val="Footnote"/>
    <w:basedOn w:val="Style_5"/>
    <w:link w:val="Style_40_ch"/>
    <w:pPr>
      <w:spacing w:line="240" w:lineRule="auto"/>
      <w:ind w:firstLine="0" w:left="0"/>
      <w:jc w:val="left"/>
    </w:pPr>
    <w:rPr>
      <w:sz w:val="20"/>
    </w:rPr>
  </w:style>
  <w:style w:styleId="Style_40_ch" w:type="character">
    <w:name w:val="Footnote"/>
    <w:basedOn w:val="Style_5_ch"/>
    <w:link w:val="Style_40"/>
    <w:rPr>
      <w:sz w:val="20"/>
    </w:rPr>
  </w:style>
  <w:style w:styleId="Style_41" w:type="paragraph">
    <w:name w:val="heading 8"/>
    <w:basedOn w:val="Style_5"/>
    <w:next w:val="Style_5"/>
    <w:link w:val="Style_41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1_ch" w:type="character">
    <w:name w:val="heading 8"/>
    <w:basedOn w:val="Style_5_ch"/>
    <w:link w:val="Style_41"/>
    <w:rPr>
      <w:rFonts w:ascii="Arial" w:hAnsi="Arial"/>
    </w:rPr>
  </w:style>
  <w:style w:styleId="Style_42" w:type="paragraph">
    <w:name w:val="toc 1"/>
    <w:basedOn w:val="Style_5"/>
    <w:next w:val="Style_5"/>
    <w:link w:val="Style_42_ch"/>
    <w:uiPriority w:val="39"/>
    <w:pPr>
      <w:tabs>
        <w:tab w:leader="dot" w:pos="9345" w:val="right"/>
      </w:tabs>
      <w:ind w:firstLine="0" w:left="0"/>
    </w:pPr>
  </w:style>
  <w:style w:styleId="Style_42_ch" w:type="character">
    <w:name w:val="toc 1"/>
    <w:basedOn w:val="Style_5_ch"/>
    <w:link w:val="Style_42"/>
  </w:style>
  <w:style w:styleId="Style_43" w:type="paragraph">
    <w:name w:val="Оглавление"/>
    <w:basedOn w:val="Style_30"/>
    <w:link w:val="Style_43_ch"/>
    <w:pPr>
      <w:tabs>
        <w:tab w:leader="dot" w:pos="9345" w:val="right"/>
      </w:tabs>
      <w:spacing w:after="0"/>
      <w:ind w:firstLine="149" w:left="0"/>
    </w:pPr>
  </w:style>
  <w:style w:styleId="Style_43_ch" w:type="character">
    <w:name w:val="Оглавление"/>
    <w:basedOn w:val="Style_30_ch"/>
    <w:link w:val="Style_43"/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0"/>
    </w:rPr>
  </w:style>
  <w:style w:styleId="Style_44_ch" w:type="character">
    <w:name w:val="Header and Footer"/>
    <w:link w:val="Style_44"/>
    <w:rPr>
      <w:rFonts w:ascii="XO Thames" w:hAnsi="XO Thames"/>
      <w:sz w:val="20"/>
    </w:rPr>
  </w:style>
  <w:style w:styleId="Style_45" w:type="paragraph">
    <w:name w:val="Normal (Web)"/>
    <w:basedOn w:val="Style_5"/>
    <w:link w:val="Style_45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5_ch" w:type="character">
    <w:name w:val="Normal (Web)"/>
    <w:basedOn w:val="Style_5_ch"/>
    <w:link w:val="Style_45"/>
    <w:rPr>
      <w:sz w:val="24"/>
    </w:rPr>
  </w:style>
  <w:style w:styleId="Style_46" w:type="paragraph">
    <w:name w:val="Основной текст с отступом 31"/>
    <w:basedOn w:val="Style_47"/>
    <w:link w:val="Style_46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6_ch" w:type="character">
    <w:name w:val="Основной текст с отступом 31"/>
    <w:basedOn w:val="Style_47_ch"/>
    <w:link w:val="Style_46"/>
    <w:rPr>
      <w:rFonts w:ascii="Times New Roman" w:hAnsi="Times New Roman"/>
      <w:sz w:val="28"/>
    </w:rPr>
  </w:style>
  <w:style w:styleId="Style_48" w:type="paragraph">
    <w:name w:val="Body Text 3"/>
    <w:basedOn w:val="Style_5"/>
    <w:link w:val="Style_48_ch"/>
    <w:pPr>
      <w:spacing w:line="240" w:lineRule="auto"/>
      <w:ind w:firstLine="0" w:left="0"/>
    </w:pPr>
    <w:rPr>
      <w:color w:val="000000"/>
    </w:rPr>
  </w:style>
  <w:style w:styleId="Style_48_ch" w:type="character">
    <w:name w:val="Body Text 3"/>
    <w:basedOn w:val="Style_5_ch"/>
    <w:link w:val="Style_48"/>
    <w:rPr>
      <w:color w:val="000000"/>
    </w:rPr>
  </w:style>
  <w:style w:styleId="Style_49" w:type="paragraph">
    <w:name w:val="Body text (2)"/>
    <w:basedOn w:val="Style_5"/>
    <w:link w:val="Style_49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49_ch" w:type="character">
    <w:name w:val="Body text (2)"/>
    <w:basedOn w:val="Style_5_ch"/>
    <w:link w:val="Style_49"/>
    <w:rPr>
      <w:i w:val="1"/>
      <w:sz w:val="38"/>
    </w:rPr>
  </w:style>
  <w:style w:styleId="Style_50" w:type="paragraph">
    <w:name w:val="toc 9"/>
    <w:next w:val="Style_5"/>
    <w:link w:val="Style_5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0_ch" w:type="character">
    <w:name w:val="toc 9"/>
    <w:link w:val="Style_50"/>
    <w:rPr>
      <w:rFonts w:ascii="XO Thames" w:hAnsi="XO Thames"/>
      <w:sz w:val="28"/>
    </w:rPr>
  </w:style>
  <w:style w:styleId="Style_51" w:type="paragraph">
    <w:name w:val="Body Text Indent"/>
    <w:basedOn w:val="Style_5"/>
    <w:link w:val="Style_51_ch"/>
    <w:pPr>
      <w:spacing w:after="120" w:line="240" w:lineRule="auto"/>
      <w:ind w:firstLine="0" w:left="283"/>
      <w:jc w:val="left"/>
    </w:pPr>
    <w:rPr>
      <w:sz w:val="24"/>
    </w:rPr>
  </w:style>
  <w:style w:styleId="Style_51_ch" w:type="character">
    <w:name w:val="Body Text Indent"/>
    <w:basedOn w:val="Style_5_ch"/>
    <w:link w:val="Style_51"/>
    <w:rPr>
      <w:sz w:val="24"/>
    </w:rPr>
  </w:style>
  <w:style w:styleId="Style_52" w:type="paragraph">
    <w:name w:val="toc 8"/>
    <w:next w:val="Style_5"/>
    <w:link w:val="Style_5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2_ch" w:type="character">
    <w:name w:val="toc 8"/>
    <w:link w:val="Style_52"/>
    <w:rPr>
      <w:rFonts w:ascii="XO Thames" w:hAnsi="XO Thames"/>
      <w:sz w:val="28"/>
    </w:rPr>
  </w:style>
  <w:style w:styleId="Style_53" w:type="paragraph">
    <w:name w:val="Абзац списка2"/>
    <w:basedOn w:val="Style_5"/>
    <w:link w:val="Style_53_ch"/>
    <w:pPr>
      <w:spacing w:line="240" w:lineRule="auto"/>
      <w:ind w:firstLine="0" w:left="0"/>
      <w:jc w:val="left"/>
    </w:pPr>
    <w:rPr>
      <w:sz w:val="24"/>
    </w:rPr>
  </w:style>
  <w:style w:styleId="Style_53_ch" w:type="character">
    <w:name w:val="Абзац списка2"/>
    <w:basedOn w:val="Style_5_ch"/>
    <w:link w:val="Style_53"/>
    <w:rPr>
      <w:sz w:val="24"/>
    </w:rPr>
  </w:style>
  <w:style w:styleId="Style_54" w:type="paragraph">
    <w:name w:val="page number"/>
    <w:basedOn w:val="Style_19"/>
    <w:link w:val="Style_54_ch"/>
  </w:style>
  <w:style w:styleId="Style_54_ch" w:type="character">
    <w:name w:val="page number"/>
    <w:basedOn w:val="Style_19_ch"/>
    <w:link w:val="Style_54"/>
  </w:style>
  <w:style w:styleId="Style_55" w:type="paragraph">
    <w:name w:val="s5"/>
    <w:basedOn w:val="Style_19"/>
    <w:link w:val="Style_55_ch"/>
  </w:style>
  <w:style w:styleId="Style_55_ch" w:type="character">
    <w:name w:val="s5"/>
    <w:basedOn w:val="Style_19_ch"/>
    <w:link w:val="Style_55"/>
  </w:style>
  <w:style w:styleId="Style_56" w:type="paragraph">
    <w:name w:val="toc 5"/>
    <w:next w:val="Style_5"/>
    <w:link w:val="Style_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List"/>
    <w:basedOn w:val="Style_5"/>
    <w:link w:val="Style_57_ch"/>
    <w:pPr>
      <w:ind w:firstLine="0" w:left="0"/>
    </w:pPr>
    <w:rPr>
      <w:rFonts w:ascii="Arial" w:hAnsi="Arial"/>
      <w:sz w:val="24"/>
    </w:rPr>
  </w:style>
  <w:style w:styleId="Style_57_ch" w:type="character">
    <w:name w:val="List"/>
    <w:basedOn w:val="Style_5_ch"/>
    <w:link w:val="Style_57"/>
    <w:rPr>
      <w:rFonts w:ascii="Arial" w:hAnsi="Arial"/>
      <w:sz w:val="24"/>
    </w:rPr>
  </w:style>
  <w:style w:styleId="Style_58" w:type="paragraph">
    <w:name w:val="Body Text Indent 2"/>
    <w:basedOn w:val="Style_5"/>
    <w:link w:val="Style_58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8_ch" w:type="character">
    <w:name w:val="Body Text Indent 2"/>
    <w:basedOn w:val="Style_5_ch"/>
    <w:link w:val="Style_58"/>
    <w:rPr>
      <w:rFonts w:ascii="Arial" w:hAnsi="Arial"/>
    </w:rPr>
  </w:style>
  <w:style w:styleId="Style_59" w:type="paragraph">
    <w:name w:val="No Spacing"/>
    <w:link w:val="Style_59_ch"/>
    <w:rPr>
      <w:rFonts w:ascii="Calibri" w:hAnsi="Calibri"/>
      <w:sz w:val="22"/>
    </w:rPr>
  </w:style>
  <w:style w:styleId="Style_59_ch" w:type="character">
    <w:name w:val="No Spacing"/>
    <w:link w:val="Style_59"/>
    <w:rPr>
      <w:rFonts w:ascii="Calibri" w:hAnsi="Calibri"/>
      <w:sz w:val="22"/>
    </w:rPr>
  </w:style>
  <w:style w:styleId="Style_60" w:type="paragraph">
    <w:name w:val="s4"/>
    <w:basedOn w:val="Style_19"/>
    <w:link w:val="Style_60_ch"/>
  </w:style>
  <w:style w:styleId="Style_60_ch" w:type="character">
    <w:name w:val="s4"/>
    <w:basedOn w:val="Style_19_ch"/>
    <w:link w:val="Style_60"/>
  </w:style>
  <w:style w:styleId="Style_61" w:type="paragraph">
    <w:name w:val="header"/>
    <w:basedOn w:val="Style_5"/>
    <w:link w:val="Style_6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1_ch" w:type="character">
    <w:name w:val="header"/>
    <w:basedOn w:val="Style_5_ch"/>
    <w:link w:val="Style_61"/>
  </w:style>
  <w:style w:styleId="Style_62" w:type="paragraph">
    <w:name w:val="lead"/>
    <w:basedOn w:val="Style_5"/>
    <w:link w:val="Style_62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2_ch" w:type="character">
    <w:name w:val="lead"/>
    <w:basedOn w:val="Style_5_ch"/>
    <w:link w:val="Style_62"/>
    <w:rPr>
      <w:sz w:val="24"/>
    </w:rPr>
  </w:style>
  <w:style w:styleId="Style_47" w:type="paragraph">
    <w:name w:val="Обычный1"/>
    <w:link w:val="Style_47_ch"/>
    <w:rPr>
      <w:rFonts w:ascii="MS Sans Serif" w:hAnsi="MS Sans Serif"/>
    </w:rPr>
  </w:style>
  <w:style w:styleId="Style_47_ch" w:type="character">
    <w:name w:val="Обычный1"/>
    <w:link w:val="Style_47"/>
    <w:rPr>
      <w:rFonts w:ascii="MS Sans Serif" w:hAnsi="MS Sans Serif"/>
    </w:rPr>
  </w:style>
  <w:style w:styleId="Style_63" w:type="paragraph">
    <w:name w:val="Subtitle"/>
    <w:basedOn w:val="Style_5"/>
    <w:link w:val="Style_63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3_ch" w:type="character">
    <w:name w:val="Subtitle"/>
    <w:basedOn w:val="Style_5_ch"/>
    <w:link w:val="Style_63"/>
    <w:rPr>
      <w:rFonts w:ascii="Verdana" w:hAnsi="Verdana"/>
      <w:sz w:val="24"/>
    </w:rPr>
  </w:style>
  <w:style w:styleId="Style_64" w:type="paragraph">
    <w:name w:val="apple-converted-space"/>
    <w:link w:val="Style_64_ch"/>
  </w:style>
  <w:style w:styleId="Style_64_ch" w:type="character">
    <w:name w:val="apple-converted-space"/>
    <w:link w:val="Style_64"/>
  </w:style>
  <w:style w:styleId="Style_65" w:type="paragraph">
    <w:name w:val="caption"/>
    <w:basedOn w:val="Style_5"/>
    <w:next w:val="Style_5"/>
    <w:link w:val="Style_65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5_ch" w:type="character">
    <w:name w:val="caption"/>
    <w:basedOn w:val="Style_5_ch"/>
    <w:link w:val="Style_65"/>
    <w:rPr>
      <w:rFonts w:ascii="Arial" w:hAnsi="Arial"/>
    </w:rPr>
  </w:style>
  <w:style w:styleId="Style_66" w:type="paragraph">
    <w:name w:val="s3"/>
    <w:basedOn w:val="Style_19"/>
    <w:link w:val="Style_66_ch"/>
  </w:style>
  <w:style w:styleId="Style_66_ch" w:type="character">
    <w:name w:val="s3"/>
    <w:basedOn w:val="Style_19_ch"/>
    <w:link w:val="Style_66"/>
  </w:style>
  <w:style w:styleId="Style_67" w:type="paragraph">
    <w:name w:val="Стиль курсового"/>
    <w:basedOn w:val="Style_5"/>
    <w:link w:val="Style_67_ch"/>
    <w:pPr>
      <w:spacing w:line="240" w:lineRule="auto"/>
      <w:ind w:firstLine="851" w:left="0"/>
    </w:pPr>
    <w:rPr>
      <w:rFonts w:ascii="Tahoma" w:hAnsi="Tahoma"/>
      <w:sz w:val="22"/>
    </w:rPr>
  </w:style>
  <w:style w:styleId="Style_67_ch" w:type="character">
    <w:name w:val="Стиль курсового"/>
    <w:basedOn w:val="Style_5_ch"/>
    <w:link w:val="Style_67"/>
    <w:rPr>
      <w:rFonts w:ascii="Tahoma" w:hAnsi="Tahoma"/>
      <w:sz w:val="22"/>
    </w:rPr>
  </w:style>
  <w:style w:styleId="Style_68" w:type="paragraph">
    <w:name w:val="Title"/>
    <w:basedOn w:val="Style_5"/>
    <w:link w:val="Style_68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8_ch" w:type="character">
    <w:name w:val="Title"/>
    <w:basedOn w:val="Style_5_ch"/>
    <w:link w:val="Style_68"/>
    <w:rPr>
      <w:rFonts w:ascii="Arial" w:hAnsi="Arial"/>
    </w:rPr>
  </w:style>
  <w:style w:styleId="Style_69" w:type="paragraph">
    <w:name w:val="heading 4"/>
    <w:basedOn w:val="Style_5"/>
    <w:next w:val="Style_5"/>
    <w:link w:val="Style_69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9_ch" w:type="character">
    <w:name w:val="heading 4"/>
    <w:basedOn w:val="Style_5_ch"/>
    <w:link w:val="Style_69"/>
    <w:rPr>
      <w:rFonts w:ascii="Arial" w:hAnsi="Arial"/>
      <w:u w:val="single"/>
    </w:rPr>
  </w:style>
  <w:style w:styleId="Style_70" w:type="paragraph">
    <w:name w:val="heading 2"/>
    <w:basedOn w:val="Style_5"/>
    <w:next w:val="Style_5"/>
    <w:link w:val="Style_70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70_ch" w:type="character">
    <w:name w:val="heading 2"/>
    <w:basedOn w:val="Style_5_ch"/>
    <w:link w:val="Style_70"/>
    <w:rPr>
      <w:rFonts w:ascii="Calibri Light" w:hAnsi="Calibri Light"/>
      <w:color w:val="2E74B5"/>
      <w:sz w:val="26"/>
    </w:rPr>
  </w:style>
  <w:style w:styleId="Style_71" w:type="paragraph">
    <w:name w:val="List Paragraph"/>
    <w:basedOn w:val="Style_5"/>
    <w:link w:val="Style_71_ch"/>
    <w:pPr>
      <w:ind w:firstLine="0" w:left="720"/>
      <w:contextualSpacing w:val="1"/>
    </w:pPr>
  </w:style>
  <w:style w:styleId="Style_71_ch" w:type="character">
    <w:name w:val="List Paragraph"/>
    <w:basedOn w:val="Style_5_ch"/>
    <w:link w:val="Style_71"/>
  </w:style>
  <w:style w:styleId="Style_72" w:type="paragraph">
    <w:name w:val="Обычный + 14 пт"/>
    <w:basedOn w:val="Style_5"/>
    <w:link w:val="Style_72_ch"/>
    <w:pPr>
      <w:spacing w:line="240" w:lineRule="auto"/>
      <w:ind w:firstLine="0" w:left="0"/>
    </w:pPr>
  </w:style>
  <w:style w:styleId="Style_72_ch" w:type="character">
    <w:name w:val="Обычный + 14 пт"/>
    <w:basedOn w:val="Style_5_ch"/>
    <w:link w:val="Style_72"/>
  </w:style>
  <w:style w:styleId="Style_73" w:type="paragraph">
    <w:name w:val="heading 6"/>
    <w:basedOn w:val="Style_5"/>
    <w:next w:val="Style_5"/>
    <w:link w:val="Style_73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3_ch" w:type="character">
    <w:name w:val="heading 6"/>
    <w:basedOn w:val="Style_5_ch"/>
    <w:link w:val="Style_73"/>
    <w:rPr>
      <w:rFonts w:ascii="Arial" w:hAnsi="Arial"/>
    </w:rPr>
  </w:style>
  <w:style w:styleId="Style_74" w:type="table">
    <w:name w:val="Сетка таблицы2"/>
    <w:basedOn w:val="Style_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0" Target="settings.xml" Type="http://schemas.openxmlformats.org/officeDocument/2006/relationships/settings"/>
  <Relationship Id="rId59" Target="fontTable.xml" Type="http://schemas.openxmlformats.org/officeDocument/2006/relationships/fontTable"/>
  <Relationship Id="rId63" Target="webSettings.xml" Type="http://schemas.openxmlformats.org/officeDocument/2006/relationships/webSettings"/>
  <Relationship Id="rId57" Target="media/54.wmf" Type="http://schemas.openxmlformats.org/officeDocument/2006/relationships/image"/>
  <Relationship Id="rId56" Target="media/53.wmf" Type="http://schemas.openxmlformats.org/officeDocument/2006/relationships/image"/>
  <Relationship Id="rId51" Target="media/48.wmf" Type="http://schemas.openxmlformats.org/officeDocument/2006/relationships/image"/>
  <Relationship Id="rId55" Target="media/52.wmf" Type="http://schemas.openxmlformats.org/officeDocument/2006/relationships/image"/>
  <Relationship Id="rId48" Target="media/45.wmf" Type="http://schemas.openxmlformats.org/officeDocument/2006/relationships/image"/>
  <Relationship Id="rId47" Target="media/44.wmf" Type="http://schemas.openxmlformats.org/officeDocument/2006/relationships/image"/>
  <Relationship Id="rId45" Target="media/42.wmf" Type="http://schemas.openxmlformats.org/officeDocument/2006/relationships/image"/>
  <Relationship Id="rId64" Target="theme/theme1.xml" Type="http://schemas.openxmlformats.org/officeDocument/2006/relationships/theme"/>
  <Relationship Id="rId44" Target="media/41.wmf" Type="http://schemas.openxmlformats.org/officeDocument/2006/relationships/image"/>
  <Relationship Id="rId62" Target="stylesWithEffects.xml" Type="http://schemas.microsoft.com/office/2007/relationships/stylesWithEffects"/>
  <Relationship Id="rId49" Target="media/46.wmf" Type="http://schemas.openxmlformats.org/officeDocument/2006/relationships/image"/>
  <Relationship Id="rId43" Target="media/40.wmf" Type="http://schemas.openxmlformats.org/officeDocument/2006/relationships/image"/>
  <Relationship Id="rId42" Target="media/39.wmf" Type="http://schemas.openxmlformats.org/officeDocument/2006/relationships/image"/>
  <Relationship Id="rId40" Target="media/37.wmf" Type="http://schemas.openxmlformats.org/officeDocument/2006/relationships/image"/>
  <Relationship Id="rId39" Target="media/36.wmf" Type="http://schemas.openxmlformats.org/officeDocument/2006/relationships/image"/>
  <Relationship Id="rId54" Target="media/51.wmf" Type="http://schemas.openxmlformats.org/officeDocument/2006/relationships/image"/>
  <Relationship Id="rId38" Target="media/35.wmf" Type="http://schemas.openxmlformats.org/officeDocument/2006/relationships/image"/>
  <Relationship Id="rId41" Target="media/38.wmf" Type="http://schemas.openxmlformats.org/officeDocument/2006/relationships/image"/>
  <Relationship Id="rId36" Target="media/33.wmf" Type="http://schemas.openxmlformats.org/officeDocument/2006/relationships/image"/>
  <Relationship Id="rId35" Target="media/32.wmf" Type="http://schemas.openxmlformats.org/officeDocument/2006/relationships/image"/>
  <Relationship Id="rId34" Target="media/31.wmf" Type="http://schemas.openxmlformats.org/officeDocument/2006/relationships/image"/>
  <Relationship Id="rId58" Target="media/55.wmf" Type="http://schemas.openxmlformats.org/officeDocument/2006/relationships/image"/>
  <Relationship Id="rId33" Target="media/30.wmf" Type="http://schemas.openxmlformats.org/officeDocument/2006/relationships/image"/>
  <Relationship Id="rId29" Target="media/26.wmf" Type="http://schemas.openxmlformats.org/officeDocument/2006/relationships/image"/>
  <Relationship Id="rId28" Target="media/25.wmf" Type="http://schemas.openxmlformats.org/officeDocument/2006/relationships/image"/>
  <Relationship Id="rId27" Target="media/24.wmf" Type="http://schemas.openxmlformats.org/officeDocument/2006/relationships/image"/>
  <Relationship Id="rId52" Target="media/49.wmf" Type="http://schemas.openxmlformats.org/officeDocument/2006/relationships/image"/>
  <Relationship Id="rId23" Target="media/20.wmf" Type="http://schemas.openxmlformats.org/officeDocument/2006/relationships/image"/>
  <Relationship Id="rId61" Target="styles.xml" Type="http://schemas.openxmlformats.org/officeDocument/2006/relationships/styles"/>
  <Relationship Id="rId22" Target="media/19.wmf" Type="http://schemas.openxmlformats.org/officeDocument/2006/relationships/image"/>
  <Relationship Id="rId21" Target="media/18.wmf" Type="http://schemas.openxmlformats.org/officeDocument/2006/relationships/image"/>
  <Relationship Id="rId25" Target="media/22.wmf" Type="http://schemas.openxmlformats.org/officeDocument/2006/relationships/image"/>
  <Relationship Id="rId13" Target="media/10.wmf" Type="http://schemas.openxmlformats.org/officeDocument/2006/relationships/image"/>
  <Relationship Id="rId50" Target="media/47.wmf" Type="http://schemas.openxmlformats.org/officeDocument/2006/relationships/image"/>
  <Relationship Id="rId11" Target="media/8.wmf" Type="http://schemas.openxmlformats.org/officeDocument/2006/relationships/image"/>
  <Relationship Id="rId24" Target="media/21.wmf" Type="http://schemas.openxmlformats.org/officeDocument/2006/relationships/image"/>
  <Relationship Id="rId10" Target="media/7.wmf" Type="http://schemas.openxmlformats.org/officeDocument/2006/relationships/image"/>
  <Relationship Id="rId17" Target="media/14.wmf" Type="http://schemas.openxmlformats.org/officeDocument/2006/relationships/image"/>
  <Relationship Id="rId18" Target="media/15.wmf" Type="http://schemas.openxmlformats.org/officeDocument/2006/relationships/image"/>
  <Relationship Id="rId26" Target="media/23.wmf" Type="http://schemas.openxmlformats.org/officeDocument/2006/relationships/image"/>
  <Relationship Id="rId53" Target="media/50.wmf" Type="http://schemas.openxmlformats.org/officeDocument/2006/relationships/image"/>
  <Relationship Id="rId15" Target="media/12.wmf" Type="http://schemas.openxmlformats.org/officeDocument/2006/relationships/image"/>
  <Relationship Id="rId9" Target="media/6.wmf" Type="http://schemas.openxmlformats.org/officeDocument/2006/relationships/image"/>
  <Relationship Id="rId8" Target="media/5.wmf" Type="http://schemas.openxmlformats.org/officeDocument/2006/relationships/image"/>
  <Relationship Id="rId20" Target="media/17.wmf" Type="http://schemas.openxmlformats.org/officeDocument/2006/relationships/image"/>
  <Relationship Id="rId31" Target="media/28.wmf" Type="http://schemas.openxmlformats.org/officeDocument/2006/relationships/image"/>
  <Relationship Id="rId37" Target="media/34.wmf" Type="http://schemas.openxmlformats.org/officeDocument/2006/relationships/image"/>
  <Relationship Id="rId19" Target="media/16.wmf" Type="http://schemas.openxmlformats.org/officeDocument/2006/relationships/image"/>
  <Relationship Id="rId46" Target="media/43.wmf" Type="http://schemas.openxmlformats.org/officeDocument/2006/relationships/image"/>
  <Relationship Id="rId7" Target="media/4.wmf" Type="http://schemas.openxmlformats.org/officeDocument/2006/relationships/image"/>
  <Relationship Id="rId14" Target="media/11.wmf" Type="http://schemas.openxmlformats.org/officeDocument/2006/relationships/image"/>
  <Relationship Id="rId6" Target="media/3.wmf" Type="http://schemas.openxmlformats.org/officeDocument/2006/relationships/image"/>
  <Relationship Id="rId5" Target="media/2.png" Type="http://schemas.openxmlformats.org/officeDocument/2006/relationships/image"/>
  <Relationship Id="rId16" Target="media/13.png" Type="http://schemas.openxmlformats.org/officeDocument/2006/relationships/image"/>
  <Relationship Id="rId4" Target="media/1.png" Type="http://schemas.openxmlformats.org/officeDocument/2006/relationships/image"/>
  <Relationship Id="rId12" Target="media/9.wmf" Type="http://schemas.openxmlformats.org/officeDocument/2006/relationships/image"/>
  <Relationship Id="rId32" Target="media/29.wmf" Type="http://schemas.openxmlformats.org/officeDocument/2006/relationships/image"/>
  <Relationship Id="rId3" Target="footer3.xml" Type="http://schemas.openxmlformats.org/officeDocument/2006/relationships/footer"/>
  <Relationship Id="rId30" Target="media/27.wmf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2026-08-04T12:16:44Z</dcterms:modified>
</cp:coreProperties>
</file>