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Э</w:t>
      </w:r>
      <w:r>
        <w:rPr>
          <w:b w:val="1"/>
          <w:sz w:val="24"/>
        </w:rPr>
        <w:t>кономики, управления и права</w:t>
      </w:r>
    </w:p>
    <w:p w14:paraId="0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6000000">
      <w:pPr>
        <w:rPr>
          <w:sz w:val="24"/>
          <w:u w:val="single"/>
        </w:rPr>
      </w:pPr>
      <w:r>
        <w:rPr>
          <w:b w:val="1"/>
          <w:sz w:val="24"/>
        </w:rPr>
        <w:t>Направление подготовки /специальность:</w:t>
      </w:r>
      <w:r>
        <w:rPr>
          <w:sz w:val="24"/>
        </w:rPr>
        <w:t xml:space="preserve"> 40.0</w:t>
      </w:r>
      <w:r>
        <w:rPr>
          <w:sz w:val="24"/>
        </w:rPr>
        <w:t>3</w:t>
      </w:r>
      <w:r>
        <w:rPr>
          <w:sz w:val="24"/>
        </w:rPr>
        <w:t>.01 Юриспруденция</w:t>
      </w:r>
    </w:p>
    <w:p w14:paraId="07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8000000">
      <w:pPr>
        <w:rPr>
          <w:sz w:val="24"/>
          <w:u w:val="single"/>
        </w:rPr>
      </w:pPr>
      <w:r>
        <w:rPr>
          <w:b w:val="1"/>
          <w:sz w:val="24"/>
        </w:rPr>
        <w:t>Профиль/специализация:</w:t>
      </w:r>
      <w:r>
        <w:rPr>
          <w:sz w:val="24"/>
        </w:rPr>
        <w:t xml:space="preserve"> </w:t>
      </w:r>
    </w:p>
    <w:p w14:paraId="09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A000000">
      <w:pPr>
        <w:rPr>
          <w:sz w:val="24"/>
          <w:u w:val="single"/>
        </w:rPr>
      </w:pPr>
      <w:r>
        <w:rPr>
          <w:b w:val="1"/>
          <w:sz w:val="24"/>
        </w:rPr>
        <w:t>Форма обучения:</w:t>
      </w:r>
      <w:r>
        <w:rPr>
          <w:sz w:val="24"/>
        </w:rPr>
        <w:t xml:space="preserve">        </w:t>
      </w:r>
    </w:p>
    <w:p w14:paraId="0B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(очная, очно-заочная, заочная)</w:t>
      </w: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sz w:val="28"/>
        </w:rPr>
      </w:pPr>
    </w:p>
    <w:p w14:paraId="0E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F000000">
      <w:pPr>
        <w:ind w:right="282"/>
        <w:jc w:val="center"/>
        <w:rPr>
          <w:b w:val="1"/>
          <w:sz w:val="24"/>
        </w:rPr>
      </w:pPr>
    </w:p>
    <w:p w14:paraId="10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1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3000000">
      <w:pPr>
        <w:ind/>
        <w:jc w:val="center"/>
        <w:rPr>
          <w:sz w:val="20"/>
        </w:rPr>
      </w:pP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__________________________________________________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6000000">
      <w:pPr>
        <w:ind/>
        <w:jc w:val="center"/>
        <w:rPr>
          <w:sz w:val="20"/>
        </w:rPr>
      </w:pPr>
    </w:p>
    <w:p w14:paraId="17000000">
      <w:pPr>
        <w:ind/>
        <w:jc w:val="center"/>
        <w:rPr>
          <w:sz w:val="20"/>
        </w:rPr>
      </w:pPr>
    </w:p>
    <w:p w14:paraId="18000000">
      <w:pPr>
        <w:ind/>
        <w:jc w:val="center"/>
        <w:rPr>
          <w:sz w:val="20"/>
        </w:rPr>
      </w:pPr>
    </w:p>
    <w:tbl>
      <w:tblPr>
        <w:tblStyle w:val="Style_1"/>
        <w:tblLayout w:type="fixed"/>
      </w:tblPr>
      <w:tblGrid>
        <w:gridCol w:w="3649"/>
        <w:gridCol w:w="3162"/>
        <w:gridCol w:w="799"/>
        <w:gridCol w:w="1745"/>
      </w:tblGrid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A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1D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1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1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0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2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2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4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5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162"/>
            <w:tcBorders>
              <w:top w:sz="4" w:val="nil"/>
              <w:left w:sz="4" w:val="nil"/>
              <w:bottom w:color="000000" w:sz="4" w:val="single"/>
              <w:right w:sz="4" w:val="nil"/>
            </w:tcBorders>
            <w:vAlign w:val="bottom"/>
          </w:tcPr>
          <w:p w14:paraId="26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7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745"/>
            <w:tcBorders>
              <w:top w:sz="4" w:val="nil"/>
              <w:left w:sz="4" w:val="nil"/>
              <w:bottom w:color="000000" w:sz="4" w:val="single"/>
              <w:right w:sz="4" w:val="nil"/>
            </w:tcBorders>
            <w:vAlign w:val="bottom"/>
          </w:tcPr>
          <w:p w14:paraId="28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9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A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B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2C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D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2E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F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30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31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32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3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34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36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</w:p>
    <w:p w14:paraId="40000000">
      <w:pPr>
        <w:ind w:right="282"/>
        <w:jc w:val="center"/>
        <w:rPr>
          <w:b w:val="1"/>
          <w:sz w:val="24"/>
        </w:rPr>
      </w:pPr>
    </w:p>
    <w:p w14:paraId="41000000">
      <w:pPr>
        <w:ind w:right="282"/>
        <w:jc w:val="center"/>
        <w:rPr>
          <w:b w:val="1"/>
          <w:sz w:val="24"/>
        </w:rPr>
      </w:pPr>
    </w:p>
    <w:p w14:paraId="42000000">
      <w:pPr>
        <w:ind w:right="282"/>
        <w:jc w:val="center"/>
        <w:rPr>
          <w:b w:val="1"/>
          <w:sz w:val="24"/>
        </w:rPr>
      </w:pPr>
    </w:p>
    <w:p w14:paraId="43000000">
      <w:pPr>
        <w:ind w:right="282"/>
        <w:jc w:val="center"/>
        <w:rPr>
          <w:b w:val="1"/>
          <w:sz w:val="24"/>
        </w:rPr>
      </w:pPr>
    </w:p>
    <w:p w14:paraId="4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  <w:u w:val="single"/>
        </w:rPr>
        <w:t xml:space="preserve">     </w:t>
      </w:r>
      <w:r>
        <w:rPr>
          <w:b w:val="1"/>
          <w:sz w:val="24"/>
        </w:rPr>
        <w:t>г.</w:t>
      </w:r>
    </w:p>
    <w:p w14:paraId="45000000">
      <w:pPr>
        <w:ind w:right="282"/>
        <w:jc w:val="center"/>
        <w:rPr>
          <w:b w:val="1"/>
          <w:sz w:val="24"/>
        </w:rPr>
      </w:pPr>
    </w:p>
    <w:p w14:paraId="46000000">
      <w:pPr>
        <w:pStyle w:val="Style_2"/>
        <w:spacing w:line="276" w:lineRule="auto"/>
        <w:ind w:firstLine="709" w:left="0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  <w:r>
        <w:rPr>
          <w:b w:val="1"/>
          <w:color w:val="000000"/>
          <w:spacing w:val="-1"/>
          <w:sz w:val="24"/>
        </w:rPr>
        <w:t xml:space="preserve"> </w:t>
      </w:r>
    </w:p>
    <w:p w14:paraId="47000000">
      <w:pPr>
        <w:spacing w:line="276" w:lineRule="auto"/>
        <w:ind w:firstLine="709" w:left="0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0"/>
        <w:gridCol w:w="8080"/>
      </w:tblGrid>
      <w:tr>
        <w:trPr>
          <w:tblHeader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spacing w:line="276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line="276" w:lineRule="auto"/>
              <w:ind w:firstLine="709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518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Кейс-задача № 1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последнее время, несмотря на четкие рамки Трудового кодекса РФ, некоторые работодатели все еще пытаются возместить ущерб с работников, апеллируя к нормам гражданского законодательства. Однако, как показывает судебная практика, такие попытки обычно терпят неудачу.</w:t>
            </w:r>
          </w:p>
          <w:p w14:paraId="4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Например, организация пыталась взыскать с работника неустойку, предусмотренную соглашением о неразглашении коммерческой тайны. В другом случае, компания требовала от бухгалтера-кассира проценты по ст. 395 ГК РФ за несвоевременный возврат денежных средств после увольнения. Оба иска были отклонены судом, подтвердив главенство трудового законодательства в вопросах материальной ответственности работников. Суды четко указывают, что споры, возникающие из трудовых отношений, должны решаться в рамках ТК РФ.</w:t>
            </w:r>
          </w:p>
          <w:p w14:paraId="4D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Важно помнить, что работник не несет ответственность за ущерб, причиненный третьими лицами, даже при наличии косвенной вины. Это подтверждается и практикой Верховного Суда РФ. В одном из дел, сотрудник предоставил грабителю доступ к деньгам компании. Несмотря на это, ВС РФ отказал во взыскании ущерба с работника, поскольку прямая вина в краже отсутствовала. (Определение Судебной коллегии по гражданским делам Верховного Суда Российской Федерации от 06.05.2019 N 64-КГ19-2).</w:t>
            </w:r>
          </w:p>
          <w:p w14:paraId="4E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Аналогичный подход демонстрирует и Апелляционное определение Свердловского областного суда от 30.08.2023 по делу N 33-14436/2023, где суд отказал работодателю во взыскании долга с сотрудника, оформившего договор рассрочки, поскольку неплатеж клиента был его личной ответственностью.</w:t>
            </w:r>
          </w:p>
          <w:p w14:paraId="4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Прежде чем обращаться в суд с требованием о возмещении ущерба, работодателю необходимо установить прямую причинно-следственную связь между действиями работника и возникшим ущербом. В противном случае, иск будет отклонен.</w:t>
            </w:r>
          </w:p>
          <w:p w14:paraId="50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Дополнительно, свежие примеры из судебной практики за последние три года подчеркивают эту тенденцию. Например, в деле N 88-2541/2023 (Кассационное определение Восьмого кассационного суда общей юрисдикции) суд отказал работодателю во взыскании убытков с менеджера по продажам, не обеспечившего выполнение плана продаж, указав на отсутствие прямой причинно-следственной связи между его действиями и убытками компании. Также, в Решении № 2-154/2024 (Мировой судья судебного участка № 2 в г. Ухте) суд не удовлетворил иск работодателя о возмещении ущерба, причиненного недостачей, поскольку не была проведена надлежащая инвентаризация и не доказана вина конкретного работника. </w:t>
            </w:r>
          </w:p>
          <w:p w14:paraId="51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Эти примеры подтверждают, что суды внимательно рассматривают дела о материальной ответственности, требуя от работодателей четких </w:t>
            </w:r>
            <w:r>
              <w:t>доказательств вины работника и прямой связи между его действиями и возникшим ущербом.</w:t>
            </w:r>
          </w:p>
          <w:p w14:paraId="52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Таким образом, работодателям следует помнить, что попытки переложить финансовые риски бизнеса на плечи работников, используя гражданское законодательство в обход норм Трудового кодекса РФ, обречены на провал. Судебная практика однозначно стоит на стороне работника, защищая его от необоснованных финансовых претензий.</w:t>
            </w:r>
          </w:p>
          <w:p w14:paraId="53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Прежде чем инициировать процесс взыскания ущерба, работодателю необходимо тщательно проанализировать ситуацию, убедиться в наличии безусловных доказательств вины сотрудника, установить прямую причинно-следственную связь между его действиями и возникшим ущербом и, самое главное, убедиться, что все действия предпринимаются строго в рамках трудового законодательства. В противном случае, затраты на судебные разбирательства станут лишь дополнительной финансовой нагрузкой для компании.</w:t>
            </w:r>
          </w:p>
          <w:p w14:paraId="54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Защита прав работников в вопросах материальной ответственности – важный принцип трудового права. Судебная практика последних лет ясно показывает, что суды будут тщательно следить за соблюдением этого принципа, пресекая попытки работодателей незаконно переложить свои бизнес-риски на сотрудников.</w:t>
            </w:r>
          </w:p>
          <w:p w14:paraId="55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Таким образом, несмотря на заверения законодательства, судебная практика неуклонно свидетельствует о том, что попытки работодателей возместить ущерб с работников, опираясь на нормы гражданского права, чаще всего оказываются тщетными. Каждый приведенный кейс, от исков о неустойках за разглашение коммерческой тайны до требований по процентам за несвоевременный возврат средств, подчеркивает примат Трудового кодекса РФ. Суды последовательно придерживаются позиции: трудовые отношения регулируются трудовым законодательством, и финансовая ответственность работника должна рассматриваться исключительно в его рамках.</w:t>
            </w:r>
          </w:p>
          <w:p w14:paraId="5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Верховный Суд РФ и региональные суды неоднократно подтверждали, что работник не несет ответственности за ущерб, причинённый действиями третьих лиц, даже при косвенной вине. Ключевым фактором является отсутствие прямой причинно-следственной связи между действиями сотрудника и возникшим ущербом. Недостаточно просто указать на работника как на звено в цепочке событий – необходимо доказать, что именно его осознанные действия или бездействие привели к убыткам компании.</w:t>
            </w:r>
          </w:p>
          <w:p w14:paraId="57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В свете последних судебных решений, делающих акцент на строгом доказательстве вины и причинно-следственной связи, работодателям необходимо пересмотреть свои подходы к управлению рисками. Вместо того чтобы надеяться на возможность взыскания ущерба в судебном порядке, компаниям следует сосредоточиться на превентивных мерах: тщательном подборе персонала, обучении, строгом соблюдении установленных процедур </w:t>
            </w:r>
            <w:r>
              <w:t>и, конечно, проведении своевременных и надлежащих инвентаризаций. Игнорирование этих фундаментальных принципов не только ведет к проигрышу в суде, но и оборачивается для бизнеса дополнительными финансовыми и репутационными издержками.</w:t>
            </w:r>
          </w:p>
        </w:tc>
      </w:tr>
      <w:tr>
        <w:trPr>
          <w:trHeight w:hRule="atLeast" w:val="2268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Кейс-задача № 2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Материальная ответственность подразумевает обязанность сотрудника компенсировать ущерб, если имущество работодателя было повреждено, утеряно или пришло в негодность по его вине. Возмещению подлежит только прямой ущерб (согласно статье 238 ТК РФ), включающий недостачу средств, порчу оборудования, затраты на ремонт и штрафы, наложенные на работодателя из-за действий работника.</w:t>
            </w:r>
          </w:p>
          <w:p w14:paraId="5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материальная ответственность может быть ограничена определенной суммой или полной. Ограниченная ответственность предполагает возмещение убытков в установленных пределах, обычно не превышающих среднемесячный заработок сотрудника (если сумма ущерба больше). При расчете учитываются все составляющие оплаты труда: зарплата, премии и надбавки. Ограниченная ответственность применяется в большинстве случаев повреждения имущества, включая потерю документов или поломку оборудования. Полная материальная ответственность, напротив, обязывает работника возместить ущерб в полном объеме. Она наступает при наличии письменного договора о полной ответственности, а также на основании трудового договора с руководителями и главным бухгалтером.</w:t>
            </w:r>
          </w:p>
          <w:p w14:paraId="5B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Статья 243 ТК РФ также устанавливает случаи полной ответственности: пропажа ценностей, умышленное причинение вреда, порча имущества в состоянии опьянения, разглашение охраняемой законом тайны, а также повреждение имущества работником, не выполняющим свои обязанности. Прежде чем привлечь работника к ответственности, работодатель проводит проверку, устанавливая сумму ущерба, причины и степень вины сотрудника. Может быть проведена инвентаризация. Работник должен предоставить письменные объяснения; при отказе составляется акт. Упущенная выгода не подлежит взысканию (ст. 238 ТК РФ), но это не касается руководителей организации (ч. 2 ст. 277 ТК РФ, ч. 2 ст. 15 ГК РФ).</w:t>
            </w:r>
          </w:p>
          <w:p w14:paraId="5C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Размер ущерба определяется фактическими убытками, исходя из рыночных цен на момент ущерба, но не ниже балансовой стоимости имущества с учетом износа. При коллективной ответственности учитывается вина каждого члена коллектива. По результатам проверки и инвентаризации работодатель принимает решение о возмещении убытков приказом не позднее месяца со дня установления суммы ущерба. Работник может добровольно возместить ущерб, предоставить равноценное имущество или договориться о рассрочке. Работодатель вправе освободить работника от возмещения. Если есть договор о полной ответственности, сумма взыскивается в соответствии с ним. По истечении месяца ущерб можно взыскать только через суд, в течение года с момента обнаружения ущерба. Суд может уменьшить сумму взыскания, но не имеет права выплатить </w:t>
            </w:r>
            <w:r>
              <w:rPr>
                <w:sz w:val="24"/>
              </w:rPr>
              <w:t>полную компенсацию работнику, если ущерб был причинен умышленно.</w:t>
            </w:r>
          </w:p>
          <w:p w14:paraId="5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Итак, материальная ответственность – это важный аспект трудовых отношений, требующий внимательного отношения как со стороны работодателя, так и со стороны работника. Понимание нюансов законодательства, четкое оформление документов и соблюдение процедуры расследования позволяют справедливо разрешить конфликтные ситуации, связанные с причинением ущерба имуществу организации.</w:t>
            </w:r>
          </w:p>
          <w:p w14:paraId="5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Работодателю важно помнить о необходимости проведения тщательной проверки обстоятельств происшествия, предоставлении работнику возможности дать объяснения и соблюдении сроков привлечения к ответственности. Работнику, в свою очередь, следует знать свои права и обязанности, внимательно относиться к сохранности имущества работодателя и своевременно сообщать о возникших проблемах.</w:t>
            </w:r>
          </w:p>
          <w:p w14:paraId="5F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конечном итоге, соблюдение норм трудового законодательства, открытый диалог и стремление к справедливому решению – залог здоровых и продуктивных трудовых отношений. Предупреждение ущерба, грамотное оформление договоров и осознанное отношение к материальным ценностям помогут избежать неприятных ситуаций и сохранить положительную рабочую атмосферу.</w:t>
            </w:r>
          </w:p>
          <w:p w14:paraId="60000000">
            <w:pPr>
              <w:pStyle w:val="Style_3"/>
              <w:spacing w:after="0" w:before="0" w:line="276" w:lineRule="auto"/>
              <w:ind w:firstLine="709" w:left="0"/>
              <w:jc w:val="both"/>
              <w:rPr>
                <w:color w:val="383F4E"/>
              </w:rPr>
            </w:pPr>
            <w:r>
              <w:rPr>
                <w:color w:val="383F4E"/>
              </w:rPr>
              <w:t>В заключение, материальная ответственность выступает не как карательный механизм, а как важный инструмент защиты интересов работодателя и, одновременно, как стимул для работника к добросовестному несению своих обязанностей. Грамотное применение норм трудового законодательства, основанное на четком понимании как прав, так и обязанностей сторон, позволяет выстраивать прозрачные и справедливые трудовые отношения.</w:t>
            </w:r>
          </w:p>
          <w:p w14:paraId="61000000">
            <w:pPr>
              <w:pStyle w:val="Style_3"/>
              <w:spacing w:after="0" w:before="0" w:line="276" w:lineRule="auto"/>
              <w:ind w:firstLine="709" w:left="0"/>
              <w:jc w:val="both"/>
              <w:rPr>
                <w:color w:val="383F4E"/>
              </w:rPr>
            </w:pPr>
            <w:r>
              <w:rPr>
                <w:color w:val="383F4E"/>
              </w:rPr>
              <w:t>Для работодателя ключевым является неукоснительное соблюдение процедуры: от детальной проверки обстоятельств и фиксации ущерба до предоставления работнику права на объяснение и соблюдения установленных сроков. Это обеспечивает законность и обоснованность любых последующих взысканий.</w:t>
            </w:r>
          </w:p>
          <w:p w14:paraId="62000000">
            <w:pPr>
              <w:pStyle w:val="Style_3"/>
              <w:spacing w:after="0" w:before="0" w:line="276" w:lineRule="auto"/>
              <w:ind w:firstLine="709" w:left="0"/>
              <w:jc w:val="both"/>
              <w:rPr>
                <w:color w:val="383F4E"/>
              </w:rPr>
            </w:pPr>
            <w:r>
              <w:rPr>
                <w:color w:val="383F4E"/>
              </w:rPr>
              <w:t>Работнику же, в свою очередь, важно осознавать ценность доверенного имущества и проявлять должную заботу о его сохранности. Знание своих прав и обязанностей, а также своевременное информирование о любых проблемах, связанных с сохранностью имущества, может предотвратить возникновение конфликтных ситуаций и защитить от необоснованных претензий.</w:t>
            </w:r>
          </w:p>
          <w:p w14:paraId="63000000">
            <w:pPr>
              <w:pStyle w:val="Style_3"/>
              <w:spacing w:after="0" w:before="0" w:line="276" w:lineRule="auto"/>
              <w:ind w:firstLine="709" w:left="0"/>
              <w:jc w:val="both"/>
              <w:rPr>
                <w:color w:val="383F4E"/>
              </w:rPr>
            </w:pPr>
            <w:r>
              <w:rPr>
                <w:color w:val="383F4E"/>
              </w:rPr>
              <w:t>Таким образом, материальная ответственность, будучи важным элементом трудового договора, при ответственном подходе обеих сторон способствует укреплению дисциплины, повышению эффективности труда и, в конечном итоге, созданию стабильной и продуктивной рабочей среды.</w:t>
            </w:r>
          </w:p>
        </w:tc>
      </w:tr>
      <w:tr>
        <w:trPr>
          <w:trHeight w:hRule="atLeast" w:val="2268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3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spacing w:line="276" w:lineRule="auto"/>
              <w:ind w:firstLine="510"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Дорогомиловский районный суд г. Москвы </w:t>
            </w:r>
          </w:p>
          <w:p w14:paraId="66000000">
            <w:pPr>
              <w:widowControl w:val="1"/>
              <w:spacing w:line="276" w:lineRule="auto"/>
              <w:ind w:firstLine="510"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121165, г. Москва, ул. Студенческая, д.36. </w:t>
            </w:r>
          </w:p>
          <w:p w14:paraId="67000000">
            <w:pPr>
              <w:widowControl w:val="1"/>
              <w:spacing w:line="276" w:lineRule="auto"/>
              <w:ind w:firstLine="510" w:left="0"/>
              <w:jc w:val="right"/>
              <w:rPr>
                <w:sz w:val="24"/>
              </w:rPr>
            </w:pPr>
            <w:r>
              <w:rPr>
                <w:sz w:val="24"/>
              </w:rPr>
              <w:t>Судье Потапову Д.Д. Дело № 4628-22</w:t>
            </w:r>
          </w:p>
          <w:p w14:paraId="68000000">
            <w:pPr>
              <w:widowControl w:val="1"/>
              <w:spacing w:line="276" w:lineRule="auto"/>
              <w:ind w:firstLine="510" w:left="0"/>
              <w:jc w:val="right"/>
              <w:rPr>
                <w:sz w:val="24"/>
              </w:rPr>
            </w:pPr>
            <w:r>
              <w:rPr>
                <w:sz w:val="24"/>
              </w:rPr>
              <w:t>Ответчик: Государственный орган, г. Москва, ул. Карла Маркса, 29к41</w:t>
            </w:r>
          </w:p>
          <w:p w14:paraId="69000000">
            <w:pPr>
              <w:widowControl w:val="1"/>
              <w:spacing w:line="276" w:lineRule="auto"/>
              <w:ind w:firstLine="510" w:left="0"/>
              <w:jc w:val="right"/>
              <w:rPr>
                <w:sz w:val="24"/>
              </w:rPr>
            </w:pPr>
            <w:r>
              <w:rPr>
                <w:sz w:val="24"/>
              </w:rPr>
              <w:t>Истец: Рябчикова Анна Леонидовна, зарегистрирована по адресу: г. Москва, ул. Ленина, 76, кв. 12.</w:t>
            </w:r>
          </w:p>
          <w:p w14:paraId="6A000000">
            <w:pPr>
              <w:widowControl w:val="1"/>
              <w:spacing w:line="276" w:lineRule="auto"/>
              <w:ind w:firstLine="51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Возражения на исковое заявление о восстановлении на работе и признании увольнения незаконным</w:t>
            </w:r>
          </w:p>
          <w:p w14:paraId="6B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В производстве Дорогомиловского районного суда Москвы находится дело № 4628-22 по иску Рябчиковой Анны Леонидовны о признании увольнения незаконным и восстановлении в должности в Государственном органе.</w:t>
            </w:r>
          </w:p>
          <w:p w14:paraId="6C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Государственный орган, как ответчик, выражает несогласие с исковыми требованиями, считая их необоснованными.</w:t>
            </w:r>
          </w:p>
          <w:p w14:paraId="6D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Рябчикова А.Л. действительно была принята на должность ведущего специалиста 2-го разряда приказом № 273 от 15.09.20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 xml:space="preserve"> г.</w:t>
            </w:r>
          </w:p>
          <w:p w14:paraId="6E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12 мая 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г. Рябчикова А.Л. была обнаружена на рабочем месте в состоянии алкогольного опьянения, что подтверждается актом медицинского освидетельствования № 54 от 12.05.202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г.</w:t>
            </w:r>
          </w:p>
          <w:p w14:paraId="6F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Нахождение работника в состоянии алкогольного опьянения на рабочем месте является грубым нарушением трудовой дисциплины. Согласно пп. «б» п. 6 ст. 81 ТК РФ, это является основанием для расторжения трудового договора.</w:t>
            </w:r>
          </w:p>
          <w:p w14:paraId="70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15 мая 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года у Рябчиковой А.Л. были запрошены письменные объяснения в соответствии со ст. 193 ТК РФ.</w:t>
            </w:r>
          </w:p>
          <w:p w14:paraId="71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Приказом № 31 от 18.05.202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г. Рябчикова А.Л. была уволена на основании пп. «б» п. 6 ст. 81 ТК РФ. Действия Государственного органа соответствовали требованиям закона.</w:t>
            </w:r>
          </w:p>
          <w:p w14:paraId="72000000">
            <w:pPr>
              <w:widowControl w:val="1"/>
              <w:spacing w:line="276" w:lineRule="auto"/>
              <w:ind w:firstLine="510" w:left="0"/>
              <w:jc w:val="both"/>
              <w:rPr>
                <w:sz w:val="24"/>
              </w:rPr>
            </w:pPr>
            <w:r>
              <w:rPr>
                <w:sz w:val="24"/>
              </w:rPr>
              <w:t>Просим суд отказать Рябчиковой А.Л. в удовлетворении исковых требований в полном объеме.</w:t>
            </w:r>
          </w:p>
          <w:p w14:paraId="73000000">
            <w:pPr>
              <w:widowControl w:val="1"/>
              <w:spacing w:line="276" w:lineRule="auto"/>
              <w:ind w:firstLine="510" w:left="0"/>
              <w:jc w:val="center"/>
              <w:rPr>
                <w:sz w:val="24"/>
              </w:rPr>
            </w:pPr>
            <w:r>
              <w:rPr>
                <w:sz w:val="24"/>
              </w:rPr>
              <w:t>Приложение:</w:t>
            </w:r>
          </w:p>
          <w:p w14:paraId="74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510" w:left="0"/>
              <w:rPr>
                <w:sz w:val="24"/>
              </w:rPr>
            </w:pPr>
            <w:r>
              <w:rPr>
                <w:sz w:val="24"/>
              </w:rPr>
              <w:t>Копия приказа № 273 от 15.09.202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г.</w:t>
            </w:r>
          </w:p>
          <w:p w14:paraId="75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510" w:left="0"/>
              <w:rPr>
                <w:sz w:val="24"/>
              </w:rPr>
            </w:pPr>
            <w:r>
              <w:rPr>
                <w:sz w:val="24"/>
              </w:rPr>
              <w:t>Копия акта медицинского освидетельствования № 54 от 12.05.202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г.</w:t>
            </w:r>
          </w:p>
          <w:p w14:paraId="76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510" w:left="0"/>
              <w:rPr>
                <w:sz w:val="24"/>
              </w:rPr>
            </w:pPr>
            <w:r>
              <w:rPr>
                <w:sz w:val="24"/>
              </w:rPr>
              <w:t>Копия приказа № 31 от 18.05.202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 xml:space="preserve"> г</w:t>
            </w:r>
            <w:r>
              <w:rPr>
                <w:sz w:val="24"/>
              </w:rPr>
              <w:t>.</w:t>
            </w:r>
          </w:p>
          <w:p w14:paraId="77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510" w:left="0"/>
              <w:rPr>
                <w:sz w:val="24"/>
              </w:rPr>
            </w:pPr>
            <w:r>
              <w:rPr>
                <w:sz w:val="24"/>
              </w:rPr>
              <w:t>Копия личной карточки работника.</w:t>
            </w:r>
          </w:p>
        </w:tc>
      </w:tr>
      <w:tr>
        <w:trPr>
          <w:trHeight w:hRule="atLeast" w:val="2268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4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keepNext w:val="1"/>
              <w:keepLines w:val="1"/>
              <w:widowControl w:val="1"/>
              <w:spacing w:line="276" w:lineRule="auto"/>
              <w:ind/>
              <w:jc w:val="right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Дорогомиловский районный суд г. Москвы</w:t>
            </w:r>
          </w:p>
          <w:p w14:paraId="7A000000">
            <w:pPr>
              <w:widowControl w:val="1"/>
              <w:tabs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right"/>
              <w:rPr>
                <w:sz w:val="24"/>
              </w:rPr>
            </w:pPr>
            <w:r>
              <w:rPr>
                <w:sz w:val="24"/>
                <w:highlight w:val="white"/>
              </w:rPr>
              <w:t>121165, </w:t>
            </w:r>
            <w:r>
              <w:rPr>
                <w:sz w:val="24"/>
                <w:highlight w:val="white"/>
              </w:rPr>
              <w:t>г</w:t>
            </w:r>
            <w:r>
              <w:rPr>
                <w:sz w:val="24"/>
                <w:highlight w:val="white"/>
              </w:rPr>
              <w:t>. </w:t>
            </w:r>
            <w:r>
              <w:rPr>
                <w:sz w:val="24"/>
                <w:highlight w:val="white"/>
              </w:rPr>
              <w:t>Москва</w:t>
            </w:r>
            <w:r>
              <w:rPr>
                <w:sz w:val="24"/>
                <w:highlight w:val="white"/>
              </w:rPr>
              <w:t>, ул. Студенческая, д.36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Истец: </w:t>
            </w:r>
            <w:r>
              <w:rPr>
                <w:b w:val="1"/>
                <w:sz w:val="24"/>
              </w:rPr>
              <w:t>Государственный орган</w:t>
            </w:r>
            <w:r>
              <w:rPr>
                <w:sz w:val="24"/>
              </w:rPr>
              <w:t xml:space="preserve">, </w:t>
            </w:r>
          </w:p>
          <w:p w14:paraId="7B000000">
            <w:pPr>
              <w:widowControl w:val="1"/>
              <w:tabs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г. Москва, </w:t>
            </w:r>
            <w:r>
              <w:rPr>
                <w:sz w:val="24"/>
                <w:highlight w:val="white"/>
              </w:rPr>
              <w:t>улица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highlight w:val="white"/>
              </w:rPr>
              <w:t>Карла Маркса, 29к41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Ответчик: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Старший специалист третьего разряда</w:t>
            </w:r>
          </w:p>
          <w:p w14:paraId="7C000000">
            <w:pPr>
              <w:widowControl w:val="1"/>
              <w:tabs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right"/>
              <w:rPr>
                <w:sz w:val="24"/>
              </w:rPr>
            </w:pPr>
            <w:r>
              <w:rPr>
                <w:b w:val="1"/>
                <w:sz w:val="24"/>
              </w:rPr>
              <w:t>Рябчикова Анна Леонидовна</w:t>
            </w:r>
            <w:r>
              <w:rPr>
                <w:sz w:val="24"/>
              </w:rPr>
              <w:t>,</w:t>
            </w:r>
          </w:p>
          <w:p w14:paraId="7D000000">
            <w:pPr>
              <w:widowControl w:val="1"/>
              <w:tabs>
                <w:tab w:leader="none" w:pos="743" w:val="left"/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зарегистрирована по адресу: </w:t>
            </w:r>
          </w:p>
          <w:p w14:paraId="7E000000">
            <w:pPr>
              <w:widowControl w:val="1"/>
              <w:tabs>
                <w:tab w:leader="none" w:pos="743" w:val="left"/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right"/>
              <w:rPr>
                <w:sz w:val="24"/>
              </w:rPr>
            </w:pPr>
            <w:r>
              <w:rPr>
                <w:sz w:val="24"/>
              </w:rPr>
              <w:t>г. Москва, улица Ленина. 76, кв. 12.</w:t>
            </w:r>
            <w:r>
              <w:rPr>
                <w:sz w:val="24"/>
              </w:rPr>
              <w:t xml:space="preserve"> </w:t>
            </w:r>
          </w:p>
          <w:p w14:paraId="7F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</w:p>
          <w:p w14:paraId="80000000">
            <w:pPr>
              <w:keepNext w:val="1"/>
              <w:keepLines w:val="1"/>
              <w:widowControl w:val="1"/>
              <w:spacing w:line="276" w:lineRule="auto"/>
              <w:ind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ИСКОВОЕ ЗАЯВЛЕНИЕ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о возмещении ущерба, причиненного работником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при исполнении трудовых обязанностей</w:t>
            </w:r>
          </w:p>
          <w:p w14:paraId="81000000">
            <w:pPr>
              <w:widowControl w:val="1"/>
              <w:tabs>
                <w:tab w:leader="none" w:pos="1134" w:val="left"/>
                <w:tab w:leader="none" w:pos="5387" w:val="left"/>
              </w:tabs>
              <w:spacing w:line="276" w:lineRule="auto"/>
              <w:ind w:firstLine="460" w:left="0"/>
              <w:jc w:val="both"/>
              <w:rPr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Рябчикова Анна Леонидовна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 xml:space="preserve">зарегистрирована по адресу: </w:t>
            </w:r>
            <w:r>
              <w:rPr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г. Москва, улица Ленина. 76, кв. 12.</w:t>
            </w:r>
            <w:r>
              <w:rPr>
                <w:sz w:val="24"/>
              </w:rPr>
              <w:t xml:space="preserve"> была принята на должность старшего специалиста третьего разряда в Государственный орган 20 июня 2010 года (приказ № 25/В  от 20 июня 2010 года). С ней был заключен служебный контракт(№ 55 от 20 июня 2010 года), а также Договор о полной материальной ответственности (№ 2 от 20 июня 2010 г.). В соответствии с подпунктами «а», «б» п. 7 Договора о полной материальной ответственности, заместитель директора по хозяйственной части Рябчикова А.Л.. приняла на себя обязательство бережно относиться к вверенному имуществу и предпринимать меры по предотвращению ущерба имуществу.</w:t>
            </w:r>
          </w:p>
          <w:p w14:paraId="8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понедельник 20.12.2021  около 18:15</w:t>
            </w:r>
            <w:r>
              <w:rPr>
                <w:sz w:val="24"/>
              </w:rPr>
              <w:t xml:space="preserve"> Рябчикова А.Л., </w:t>
            </w:r>
            <w:r>
              <w:rPr>
                <w:sz w:val="24"/>
              </w:rPr>
              <w:t xml:space="preserve">находясь на рабочем месте </w:t>
            </w:r>
            <w:r>
              <w:rPr>
                <w:sz w:val="24"/>
              </w:rPr>
              <w:t>разбила монитор компьютера, исписала маркером стены в своем кабинете (кабинет № 115) и разбила окно.</w:t>
            </w:r>
          </w:p>
          <w:p w14:paraId="8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результате служебной проверки, проведенной на основании приказа от 22.12.2021№ 46-п «О создании комиссии по установлению причин возникновения материального ущерба», было установлено, что Вы нарушили п. 7.1 Должностной инструкции, с которой были ознакомлены под подпись при приеме на работу. Согласно указанному пункту работник обязан обеспечивать сохранность имущества во время работы, переносить оргтехнику только в рабочее время и совместно с другими работниками.</w:t>
            </w:r>
          </w:p>
          <w:p w14:paraId="8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01.12.2021 в результате Рябчиковой А.Л., был причинен ущерб на сумму 30 (тридцати тысяч десяти) рублей. Указанное подтверждается заключением комиссии по установлению причин возникновения материального ущерба от 20.12.2021.</w:t>
            </w:r>
          </w:p>
          <w:p w14:paraId="85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Указанная сумма превышает средний заработок работника. На основании ч. 2 ст. 248 Трудового кодекса Российской Федерации ей было предложено добровольно возместить ущерб в сумме 30 000 (тридцати тысяч десяти) рублей в срок до 28.12.2021.</w:t>
            </w:r>
          </w:p>
          <w:p w14:paraId="8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Заключение комиссии по установлению причин возникновения материального ущерба от 20.12.2021 на 2 л. в 1 экз.</w:t>
            </w:r>
          </w:p>
          <w:p w14:paraId="87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со ст. 238 Трудового кодекса работник обязан возместить работодателю причиненный ему прямой реальный ущерб. Прямые и фактические убытки включают фактическое уменьшение денежного имущества работодателя или ухудшение состояния этого имущества, а также необходимость для работодателя оплатить расходы или чрезмерные платежи за приобретение, восстановление имущества или компенсацию ущерба, причиненного работником. к третьи лица.</w:t>
            </w:r>
          </w:p>
          <w:p w14:paraId="88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соответствии с частями 1, 2 ст. 248 Трудового кодекса взыскание с виновного работника суммы причиненного ущерба, не превышающей среднемесячной заработной платы, производится по распоряжению работодателя в течение одного месяца со дня окончательного установления работодателем размера ущерба вызванные сотрудником. Если истек </w:t>
            </w:r>
            <w:r>
              <w:rPr>
                <w:sz w:val="24"/>
              </w:rPr>
              <w:t>месячный срок или если работник не согласен добровольно выплатить компенсацию работодателю и если сумма понесенного ущерба превышает среднемесячную заработную плату работника, санкция может быть применена только судом.</w:t>
            </w:r>
          </w:p>
          <w:p w14:paraId="89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связи со всем вышеизложенным и в соответствии со ст.ст. 238, 242, 248 Трудового кодекса РФ, взыскать с гражданки Рябчиковой А.Л. в пользу Государственного органа материальный ущерб в размере 30000 (тридцать тысяч) рублей 00 коп.</w:t>
            </w:r>
          </w:p>
          <w:p w14:paraId="8A000000">
            <w:pPr>
              <w:widowControl w:val="1"/>
              <w:spacing w:line="276" w:lineRule="auto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b w:val="1"/>
                <w:sz w:val="24"/>
              </w:rPr>
              <w:t>Приложения:</w:t>
            </w:r>
          </w:p>
          <w:p w14:paraId="8B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копии искового заявления по числу лиц, участвующих в деле;</w:t>
            </w:r>
          </w:p>
          <w:p w14:paraId="8C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 квитанция об оплате государственной пошлины;</w:t>
            </w:r>
          </w:p>
          <w:p w14:paraId="8D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копия приказа о приеме ответчика на работу;</w:t>
            </w:r>
          </w:p>
          <w:p w14:paraId="8E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4.копия трудового договора;</w:t>
            </w:r>
          </w:p>
          <w:p w14:paraId="8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5.копия договора о полной материальной ответственности;</w:t>
            </w:r>
          </w:p>
          <w:p w14:paraId="90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6.копия положения о Государственном органе;</w:t>
            </w:r>
          </w:p>
          <w:p w14:paraId="91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7.копия свидетельства о регистрации юридического лица;</w:t>
            </w:r>
          </w:p>
          <w:p w14:paraId="9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8.акт ревизии;</w:t>
            </w:r>
          </w:p>
          <w:p w14:paraId="9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9. копия объяснительной Рябчиковой А.Л.;</w:t>
            </w:r>
          </w:p>
          <w:p w14:paraId="9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10.копия письменного обязательства о возмещении ущерба;</w:t>
            </w:r>
          </w:p>
          <w:p w14:paraId="95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11.копии инвентаризационных описей № К-00000009, № К-00000010;</w:t>
            </w:r>
          </w:p>
          <w:p w14:paraId="9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12.копия заявления об увольнении.</w:t>
            </w:r>
          </w:p>
          <w:p w14:paraId="97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Руководитель Государственного органа               </w:t>
            </w:r>
          </w:p>
          <w:p w14:paraId="9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подпись, печать                                                                        «24» января 2021г.</w:t>
            </w:r>
          </w:p>
        </w:tc>
      </w:tr>
      <w:tr>
        <w:trPr>
          <w:trHeight w:hRule="atLeast" w:val="2268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5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ind/>
              <w:jc w:val="center"/>
              <w:rPr>
                <w:sz w:val="24"/>
              </w:rPr>
            </w:pPr>
          </w:p>
        </w:tc>
      </w:tr>
    </w:tbl>
    <w:p w14:paraId="9B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9C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9D00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9E00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9F000000">
            <w:pPr>
              <w:spacing w:line="276" w:lineRule="auto"/>
              <w:ind/>
              <w:rPr>
                <w:sz w:val="24"/>
                <w:vertAlign w:val="superscript"/>
              </w:rPr>
            </w:pP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  </w:t>
            </w: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</w:t>
            </w:r>
            <w:r>
              <w:rPr>
                <w:sz w:val="24"/>
                <w:vertAlign w:val="superscript"/>
              </w:rPr>
              <w:t xml:space="preserve">            </w:t>
            </w:r>
            <w:r>
              <w:rPr>
                <w:sz w:val="24"/>
                <w:vertAlign w:val="superscript"/>
              </w:rPr>
              <w:t xml:space="preserve">      </w:t>
            </w:r>
            <w:r>
              <w:rPr>
                <w:sz w:val="24"/>
                <w:vertAlign w:val="superscript"/>
              </w:rPr>
              <w:t xml:space="preserve">       </w:t>
            </w:r>
            <w:r>
              <w:rPr>
                <w:sz w:val="24"/>
                <w:vertAlign w:val="superscript"/>
              </w:rPr>
              <w:t xml:space="preserve">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>ФИО 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A0000000">
      <w:pPr>
        <w:ind/>
        <w:jc w:val="both"/>
        <w:rPr>
          <w:sz w:val="24"/>
        </w:rPr>
      </w:pPr>
    </w:p>
    <w:p w14:paraId="A1000000">
      <w:pPr>
        <w:ind/>
        <w:jc w:val="both"/>
        <w:rPr>
          <w:sz w:val="24"/>
        </w:rPr>
      </w:pPr>
    </w:p>
    <w:p w14:paraId="A2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3" w:type="paragraph">
    <w:name w:val="Normal (Web)"/>
    <w:basedOn w:val="Style_4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Normal (Web)"/>
    <w:basedOn w:val="Style_4_ch"/>
    <w:link w:val="Style_3"/>
    <w:rPr>
      <w:sz w:val="24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4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4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ind w:firstLine="0" w:left="220"/>
    </w:pPr>
  </w:style>
  <w:style w:styleId="Style_2_ch" w:type="character">
    <w:name w:val="List Paragraph"/>
    <w:basedOn w:val="Style_4_ch"/>
    <w:link w:val="Style_2"/>
  </w:style>
  <w:style w:styleId="Style_21" w:type="paragraph">
    <w:name w:val="Subtitle"/>
    <w:next w:val="Style_4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4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4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4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2026-09-01T08:58:54Z</dcterms:modified>
</cp:coreProperties>
</file>