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right="282"/>
        <w:contextualSpacing w:val="1"/>
        <w:jc w:val="center"/>
        <w:rPr>
          <w:b w:val="1"/>
          <w:sz w:val="24"/>
        </w:rPr>
      </w:pPr>
      <w:r>
        <w:rPr>
          <w:b w:val="1"/>
          <w:sz w:val="24"/>
        </w:rPr>
        <w:t>ЧАСТНОЕ УЧРЕЖДЕНИЕ ВЫСШЕГО ОБРАЗОВАНИЯ</w:t>
      </w:r>
    </w:p>
    <w:p w14:paraId="02000000">
      <w:pPr>
        <w:ind w:right="282"/>
        <w:jc w:val="center"/>
        <w:rPr>
          <w:b w:val="1"/>
          <w:caps w:val="1"/>
          <w:sz w:val="24"/>
        </w:rPr>
      </w:pPr>
      <w:r>
        <w:rPr>
          <w:b w:val="1"/>
          <w:sz w:val="24"/>
        </w:rPr>
        <w:t>«МОСКОВСКАЯ АКАДЕМИЯ ПРЕДПРИНИМАТЕЛЬСТВА»</w:t>
      </w:r>
    </w:p>
    <w:p w14:paraId="03000000">
      <w:pPr>
        <w:ind w:firstLine="0" w:left="-142" w:right="282"/>
        <w:jc w:val="center"/>
        <w:rPr>
          <w:b w:val="1"/>
          <w:sz w:val="24"/>
        </w:rPr>
      </w:pPr>
    </w:p>
    <w:p w14:paraId="04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 xml:space="preserve">Факультет </w:t>
      </w:r>
      <w:r>
        <w:rPr>
          <w:b w:val="1"/>
          <w:sz w:val="24"/>
        </w:rPr>
        <w:t>Э</w:t>
      </w:r>
      <w:r>
        <w:rPr>
          <w:b w:val="1"/>
          <w:sz w:val="24"/>
        </w:rPr>
        <w:t>кономики, управления и права</w:t>
      </w:r>
    </w:p>
    <w:p w14:paraId="05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факультета)</w:t>
      </w:r>
    </w:p>
    <w:p w14:paraId="06000000">
      <w:pPr>
        <w:rPr>
          <w:sz w:val="24"/>
          <w:u w:val="single"/>
        </w:rPr>
      </w:pPr>
      <w:r>
        <w:rPr>
          <w:b w:val="1"/>
          <w:sz w:val="24"/>
        </w:rPr>
        <w:t>Направление подготовки /специальность:</w:t>
      </w:r>
      <w:r>
        <w:rPr>
          <w:sz w:val="24"/>
        </w:rPr>
        <w:t xml:space="preserve"> 40.0</w:t>
      </w:r>
      <w:r>
        <w:rPr>
          <w:sz w:val="24"/>
        </w:rPr>
        <w:t>3</w:t>
      </w:r>
      <w:r>
        <w:rPr>
          <w:sz w:val="24"/>
        </w:rPr>
        <w:t>.01 Юриспруденция</w:t>
      </w:r>
    </w:p>
    <w:p w14:paraId="07000000">
      <w:pPr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(код и наименование направления подготовки /специальности)</w:t>
      </w:r>
    </w:p>
    <w:p w14:paraId="08000000">
      <w:pPr>
        <w:pStyle w:val="Style_1"/>
        <w:spacing w:after="0" w:before="0"/>
        <w:ind/>
        <w:jc w:val="both"/>
        <w:rPr>
          <w:highlight w:val="white"/>
        </w:rPr>
      </w:pPr>
      <w:r>
        <w:rPr>
          <w:b w:val="1"/>
        </w:rPr>
        <w:t>Профиль/специализация:</w:t>
      </w:r>
      <w:r>
        <w:rPr>
          <w:highlight w:val="white"/>
        </w:rPr>
        <w:t xml:space="preserve"> </w:t>
      </w:r>
      <w:r>
        <w:rPr>
          <w:highlight w:val="white"/>
        </w:rPr>
        <w:t>Г</w:t>
      </w:r>
      <w:r>
        <w:rPr>
          <w:highlight w:val="white"/>
        </w:rPr>
        <w:t xml:space="preserve">ражданско-правовой </w:t>
      </w:r>
    </w:p>
    <w:p w14:paraId="09000000">
      <w:pPr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профиля/специализации)</w:t>
      </w:r>
    </w:p>
    <w:p w14:paraId="0A000000">
      <w:pPr>
        <w:pStyle w:val="Style_1"/>
        <w:spacing w:after="0" w:before="0"/>
        <w:ind/>
        <w:jc w:val="both"/>
        <w:rPr>
          <w:highlight w:val="white"/>
        </w:rPr>
      </w:pPr>
      <w:r>
        <w:rPr>
          <w:b w:val="1"/>
        </w:rPr>
        <w:t>Форма обучения:</w:t>
      </w:r>
      <w:r>
        <w:rPr>
          <w:vertAlign w:val="superscript"/>
        </w:rPr>
        <w:t xml:space="preserve"> </w:t>
      </w:r>
      <w:r>
        <w:rPr>
          <w:highlight w:val="white"/>
        </w:rPr>
        <w:t>Очно-заочная</w:t>
      </w:r>
      <w:r>
        <w:rPr>
          <w:highlight w:val="white"/>
        </w:rPr>
        <w:t xml:space="preserve"> </w:t>
      </w:r>
    </w:p>
    <w:p w14:paraId="0B000000">
      <w:pPr>
        <w:rPr>
          <w:b w:val="1"/>
          <w:sz w:val="24"/>
        </w:rPr>
      </w:pPr>
    </w:p>
    <w:p w14:paraId="0C000000">
      <w:pPr>
        <w:ind/>
        <w:jc w:val="center"/>
        <w:rPr>
          <w:b w:val="1"/>
          <w:sz w:val="28"/>
        </w:rPr>
      </w:pPr>
      <w:r>
        <w:rPr>
          <w:sz w:val="24"/>
          <w:vertAlign w:val="superscript"/>
        </w:rPr>
        <w:t xml:space="preserve"> </w:t>
      </w:r>
    </w:p>
    <w:p w14:paraId="0D000000">
      <w:pPr>
        <w:ind/>
        <w:jc w:val="center"/>
        <w:rPr>
          <w:b w:val="1"/>
          <w:sz w:val="28"/>
        </w:rPr>
      </w:pPr>
    </w:p>
    <w:p w14:paraId="0E000000">
      <w:pPr>
        <w:ind w:right="282"/>
        <w:jc w:val="center"/>
        <w:rPr>
          <w:b w:val="1"/>
          <w:caps w:val="1"/>
          <w:sz w:val="24"/>
        </w:rPr>
      </w:pPr>
      <w:r>
        <w:rPr>
          <w:b w:val="1"/>
          <w:caps w:val="1"/>
          <w:sz w:val="24"/>
        </w:rPr>
        <w:t xml:space="preserve">Отчет </w:t>
      </w:r>
    </w:p>
    <w:p w14:paraId="0F000000">
      <w:pPr>
        <w:ind w:right="282"/>
        <w:jc w:val="center"/>
        <w:rPr>
          <w:b w:val="1"/>
          <w:sz w:val="24"/>
        </w:rPr>
      </w:pPr>
    </w:p>
    <w:p w14:paraId="10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 xml:space="preserve">По </w:t>
      </w:r>
      <w:r>
        <w:rPr>
          <w:b w:val="1"/>
          <w:sz w:val="24"/>
        </w:rPr>
        <w:t>учебной</w:t>
      </w:r>
      <w:r>
        <w:rPr>
          <w:b w:val="1"/>
          <w:sz w:val="24"/>
        </w:rPr>
        <w:t xml:space="preserve"> практике</w:t>
      </w:r>
    </w:p>
    <w:p w14:paraId="11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(вид практики) </w:t>
      </w:r>
    </w:p>
    <w:p w14:paraId="12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ознакомительная</w:t>
      </w:r>
    </w:p>
    <w:p w14:paraId="13000000">
      <w:pPr>
        <w:ind/>
        <w:jc w:val="center"/>
        <w:rPr>
          <w:sz w:val="20"/>
        </w:rPr>
      </w:pPr>
    </w:p>
    <w:p w14:paraId="14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_________________________</w:t>
      </w:r>
      <w:r>
        <w:rPr>
          <w:b w:val="1"/>
          <w:sz w:val="24"/>
        </w:rPr>
        <w:t>4</w:t>
      </w:r>
      <w:r>
        <w:rPr>
          <w:b w:val="1"/>
          <w:sz w:val="24"/>
        </w:rPr>
        <w:t>_________________________</w:t>
      </w:r>
    </w:p>
    <w:p w14:paraId="15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(семестр) </w:t>
      </w:r>
    </w:p>
    <w:p w14:paraId="16000000">
      <w:pPr>
        <w:ind/>
        <w:jc w:val="center"/>
        <w:rPr>
          <w:sz w:val="20"/>
        </w:rPr>
      </w:pPr>
    </w:p>
    <w:p w14:paraId="17000000">
      <w:pPr>
        <w:ind/>
        <w:jc w:val="center"/>
        <w:rPr>
          <w:sz w:val="20"/>
        </w:rPr>
      </w:pPr>
    </w:p>
    <w:p w14:paraId="18000000">
      <w:pPr>
        <w:ind/>
        <w:jc w:val="center"/>
        <w:rPr>
          <w:sz w:val="20"/>
        </w:rPr>
      </w:pPr>
    </w:p>
    <w:tbl>
      <w:tblPr>
        <w:tblStyle w:val="Style_2"/>
        <w:tblLayout w:type="fixed"/>
      </w:tblPr>
      <w:tblGrid>
        <w:gridCol w:w="3549"/>
        <w:gridCol w:w="3963"/>
        <w:gridCol w:w="352"/>
        <w:gridCol w:w="1492"/>
      </w:tblGrid>
      <w:tr>
        <w:trPr>
          <w:trHeight w:hRule="atLeast" w:val="629"/>
        </w:trPr>
        <w:tc>
          <w:tcPr>
            <w:tcW w:type="dxa" w:w="3549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9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A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B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C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Обучающийся</w:t>
            </w:r>
          </w:p>
        </w:tc>
        <w:tc>
          <w:tcPr>
            <w:tcW w:type="dxa" w:w="3963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D000000">
            <w:pPr>
              <w:ind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352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E000000">
            <w:pPr>
              <w:ind w:firstLine="240" w:left="0"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1492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F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5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0000000">
            <w:pPr>
              <w:ind w:right="282"/>
              <w:jc w:val="right"/>
              <w:rPr>
                <w:b w:val="1"/>
                <w:sz w:val="24"/>
              </w:rPr>
            </w:pPr>
          </w:p>
        </w:tc>
        <w:tc>
          <w:tcPr>
            <w:tcW w:type="dxa" w:w="3963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1000000">
            <w:pPr>
              <w:ind w:right="282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  <w:tc>
          <w:tcPr>
            <w:tcW w:type="dxa" w:w="35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2000000">
            <w:pPr>
              <w:ind w:right="282"/>
              <w:jc w:val="center"/>
              <w:rPr>
                <w:sz w:val="20"/>
              </w:rPr>
            </w:pPr>
          </w:p>
        </w:tc>
        <w:tc>
          <w:tcPr>
            <w:tcW w:type="dxa" w:w="1492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3000000">
            <w:pPr>
              <w:ind w:right="282"/>
              <w:jc w:val="center"/>
              <w:rPr>
                <w:sz w:val="20"/>
              </w:rPr>
            </w:pPr>
            <w:r>
              <w:rPr>
                <w:sz w:val="20"/>
              </w:rPr>
              <w:t>(подпись</w:t>
            </w:r>
            <w:r>
              <w:rPr>
                <w:sz w:val="20"/>
              </w:rPr>
              <w:t>)</w:t>
            </w:r>
          </w:p>
        </w:tc>
      </w:tr>
      <w:tr>
        <w:trPr>
          <w:trHeight w:hRule="atLeast" w:val="765"/>
        </w:trPr>
        <w:tc>
          <w:tcPr>
            <w:tcW w:type="dxa" w:w="35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000000">
            <w:pPr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Руководитель практики </w:t>
            </w:r>
          </w:p>
          <w:p w14:paraId="25000000">
            <w:pPr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 Академии</w:t>
            </w:r>
          </w:p>
        </w:tc>
        <w:tc>
          <w:tcPr>
            <w:tcW w:type="dxa" w:w="3963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6000000">
            <w:pPr>
              <w:ind w:firstLine="240" w:left="0" w:right="282"/>
              <w:jc w:val="center"/>
              <w:rPr>
                <w:color w:val="000080"/>
                <w:sz w:val="24"/>
              </w:rPr>
            </w:pPr>
          </w:p>
        </w:tc>
        <w:tc>
          <w:tcPr>
            <w:tcW w:type="dxa" w:w="35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7000000">
            <w:pPr>
              <w:ind w:firstLine="240" w:left="0" w:right="282"/>
              <w:rPr>
                <w:color w:val="000080"/>
                <w:sz w:val="24"/>
              </w:rPr>
            </w:pPr>
          </w:p>
        </w:tc>
        <w:tc>
          <w:tcPr>
            <w:tcW w:type="dxa" w:w="1492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8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210"/>
        </w:trPr>
        <w:tc>
          <w:tcPr>
            <w:tcW w:type="dxa" w:w="35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9000000">
            <w:pPr>
              <w:ind w:right="282"/>
              <w:jc w:val="right"/>
              <w:rPr>
                <w:sz w:val="24"/>
              </w:rPr>
            </w:pPr>
          </w:p>
        </w:tc>
        <w:tc>
          <w:tcPr>
            <w:tcW w:type="dxa" w:w="3963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A000000">
            <w:pPr>
              <w:ind w:right="282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  <w:tc>
          <w:tcPr>
            <w:tcW w:type="dxa" w:w="35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B000000">
            <w:pPr>
              <w:ind w:right="282"/>
              <w:jc w:val="center"/>
              <w:rPr>
                <w:sz w:val="20"/>
              </w:rPr>
            </w:pPr>
          </w:p>
        </w:tc>
        <w:tc>
          <w:tcPr>
            <w:tcW w:type="dxa" w:w="1492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C000000">
            <w:pPr>
              <w:ind w:right="282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  <w:p w14:paraId="2D000000">
            <w:pPr>
              <w:ind w:right="282"/>
              <w:jc w:val="center"/>
              <w:rPr>
                <w:sz w:val="20"/>
              </w:rPr>
            </w:pPr>
          </w:p>
        </w:tc>
      </w:tr>
      <w:tr>
        <w:trPr>
          <w:trHeight w:hRule="atLeast" w:val="629"/>
        </w:trPr>
        <w:tc>
          <w:tcPr>
            <w:tcW w:type="dxa" w:w="3549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E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Ответственное лицо </w:t>
            </w:r>
          </w:p>
          <w:p w14:paraId="2F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 Профильной организации</w:t>
            </w:r>
          </w:p>
        </w:tc>
        <w:tc>
          <w:tcPr>
            <w:tcW w:type="dxa" w:w="3963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30000000">
            <w:pPr>
              <w:ind w:right="282"/>
              <w:rPr>
                <w:color w:val="000080"/>
                <w:sz w:val="24"/>
              </w:rPr>
            </w:pPr>
          </w:p>
        </w:tc>
        <w:tc>
          <w:tcPr>
            <w:tcW w:type="dxa" w:w="352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1000000">
            <w:pPr>
              <w:ind w:firstLine="240" w:left="0"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1492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32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5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3000000">
            <w:pPr>
              <w:ind w:right="282"/>
              <w:rPr>
                <w:sz w:val="24"/>
              </w:rPr>
            </w:pPr>
            <w:r>
              <w:rPr>
                <w:b w:val="1"/>
                <w:sz w:val="24"/>
              </w:rPr>
              <mc:AlternateContent>
                <mc:Choice Requires="wpg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layoutInCell="true" locked="false" relativeHeight="251658240" simplePos="false">
                      <wp:simplePos x="0" y="0"/>
                      <wp:positionH relativeFrom="page">
                        <wp:posOffset>-5080</wp:posOffset>
                      </wp:positionH>
                      <wp:positionV relativeFrom="page">
                        <wp:posOffset>16510</wp:posOffset>
                      </wp:positionV>
                      <wp:extent cx="1651635" cy="1648460"/>
                      <wp:wrapNone/>
                      <wp:docPr hidden="false" id="1" name="Picture 1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1651635" cy="1648460"/>
                                <a:chOff x="0" y="0"/>
                                <a:chExt cx="1651635" cy="1648460"/>
                              </a:xfrm>
                            </wpg:grpSpPr>
                            <wps:wsp>
                              <wps:cNvSpPr txBox="true"/>
                              <wps:spPr>
                                <a:xfrm flipH="false" flipV="false" rot="0">
                                  <a:off x="-635" y="0"/>
                                  <a:ext cx="1651635" cy="16484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bodyPr anchor="t" bIns="45720" lIns="91440" rIns="91440" tIns="45720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1190625" y="123825"/>
                                  <a:ext cx="259080" cy="168909"/>
                                </a:xfrm>
                                <a:custGeom>
                                  <a:avLst/>
                                  <a:gdLst>
                                    <a:gd fmla="val 0" name="COTextRectL"/>
                                    <a:gd fmla="val 0" name="COTextRectT"/>
                                    <a:gd fmla="val 1" name="COTextRectR"/>
                                    <a:gd fmla="val 1" name="COTextRectB"/>
                                    <a:gd fmla="val 0" name="ODFLeft"/>
                                    <a:gd fmla="val 0" name="ODFTop"/>
                                    <a:gd fmla="val 21600" name="ODFRight"/>
                                    <a:gd fmla="val 21600" name="ODFBottom"/>
                                    <a:gd fmla="val 21600" name="ODFWidth"/>
                                    <a:gd fmla="val 21600" name="ODFHeight"/>
                                    <a:gd fmla="*/ COTextRectL w 1" name="OXMLTextRectL"/>
                                    <a:gd fmla="*/ COTextRectT h 1" name="OXMLTextRectT"/>
                                    <a:gd fmla="*/ COTextRectR w 1" name="OXMLTextRectR"/>
                                    <a:gd fmla="*/ COTextRectB h 1" name="OXMLTextRectB"/>
                                  </a:gdLst>
                                  <a:rect b="OXMLTextRectB" l="OXMLTextRectL" r="OXMLTextRectR" t="OXMLTextRectT"/>
                                  <a:pathLst>
                                    <a:path fill="norm" h="21600" stroke="true" w="21600">
                                      <a:moveTo>
                                        <a:pt x="0" y="0"/>
                                      </a:moveTo>
                                      <a:lnTo>
                                        <a:pt x="0" y="21600"/>
                                      </a:lnTo>
                                      <a:lnTo>
                                        <a:pt x="216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000000">
                                    <w:pPr>
                                      <w:spacing w:line="266" w:lineRule="exact"/>
                                      <w:ind/>
                                      <w:rPr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spacing w:val="-5"/>
                                        <w:sz w:val="24"/>
                                      </w:rPr>
                                      <w:t>МП</w:t>
                                    </w:r>
                                  </w:p>
                                </w:txbxContent>
                              </wps:txbx>
                              <wps:bodyPr anchor="t" bIns="0" lIns="0" rIns="0" tIns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</w:tc>
        <w:tc>
          <w:tcPr>
            <w:tcW w:type="dxa" w:w="3963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35000000">
            <w:pPr>
              <w:ind w:right="282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  <w:tc>
          <w:tcPr>
            <w:tcW w:type="dxa" w:w="35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6000000">
            <w:pPr>
              <w:ind w:right="282"/>
              <w:jc w:val="center"/>
              <w:rPr>
                <w:sz w:val="20"/>
              </w:rPr>
            </w:pPr>
          </w:p>
        </w:tc>
        <w:tc>
          <w:tcPr>
            <w:tcW w:type="dxa" w:w="1492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7000000">
            <w:pPr>
              <w:ind w:right="282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</w:tr>
    </w:tbl>
    <w:p w14:paraId="38000000">
      <w:pPr>
        <w:ind w:right="282"/>
        <w:jc w:val="center"/>
        <w:rPr>
          <w:b w:val="1"/>
          <w:sz w:val="24"/>
        </w:rPr>
      </w:pPr>
    </w:p>
    <w:p w14:paraId="39000000">
      <w:pPr>
        <w:ind w:right="282"/>
        <w:jc w:val="center"/>
        <w:rPr>
          <w:b w:val="1"/>
          <w:sz w:val="24"/>
        </w:rPr>
      </w:pPr>
    </w:p>
    <w:p w14:paraId="3A000000">
      <w:pPr>
        <w:ind w:right="282"/>
        <w:jc w:val="center"/>
        <w:rPr>
          <w:b w:val="1"/>
          <w:sz w:val="24"/>
        </w:rPr>
      </w:pPr>
    </w:p>
    <w:p w14:paraId="3B000000">
      <w:pPr>
        <w:ind w:right="282"/>
        <w:jc w:val="center"/>
        <w:rPr>
          <w:b w:val="1"/>
          <w:sz w:val="24"/>
        </w:rPr>
      </w:pPr>
    </w:p>
    <w:p w14:paraId="3C000000">
      <w:pPr>
        <w:ind w:right="282"/>
        <w:jc w:val="center"/>
        <w:rPr>
          <w:b w:val="1"/>
          <w:sz w:val="24"/>
        </w:rPr>
      </w:pPr>
    </w:p>
    <w:p w14:paraId="3D000000">
      <w:pPr>
        <w:ind w:right="282"/>
        <w:jc w:val="center"/>
        <w:rPr>
          <w:b w:val="1"/>
          <w:sz w:val="24"/>
        </w:rPr>
      </w:pPr>
    </w:p>
    <w:p w14:paraId="3E000000">
      <w:pPr>
        <w:ind w:right="282"/>
        <w:jc w:val="center"/>
        <w:rPr>
          <w:b w:val="1"/>
          <w:sz w:val="24"/>
        </w:rPr>
      </w:pPr>
    </w:p>
    <w:p w14:paraId="3F000000">
      <w:pPr>
        <w:ind w:right="282"/>
        <w:jc w:val="center"/>
        <w:rPr>
          <w:b w:val="1"/>
          <w:sz w:val="24"/>
        </w:rPr>
      </w:pPr>
    </w:p>
    <w:p w14:paraId="40000000">
      <w:pPr>
        <w:ind w:right="282"/>
        <w:jc w:val="center"/>
        <w:rPr>
          <w:b w:val="1"/>
          <w:sz w:val="24"/>
        </w:rPr>
      </w:pPr>
    </w:p>
    <w:p w14:paraId="41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Москва 20</w:t>
      </w:r>
      <w:r>
        <w:rPr>
          <w:b w:val="1"/>
          <w:sz w:val="24"/>
        </w:rPr>
        <w:t>26</w:t>
      </w:r>
      <w:r>
        <w:rPr>
          <w:b w:val="1"/>
          <w:sz w:val="24"/>
        </w:rPr>
        <w:t>г.</w:t>
      </w:r>
    </w:p>
    <w:p w14:paraId="42000000">
      <w:pPr>
        <w:ind w:right="282"/>
        <w:jc w:val="center"/>
        <w:rPr>
          <w:b w:val="1"/>
          <w:sz w:val="24"/>
        </w:rPr>
      </w:pPr>
    </w:p>
    <w:p w14:paraId="43000000">
      <w:pPr>
        <w:ind w:right="282"/>
        <w:jc w:val="center"/>
        <w:rPr>
          <w:b w:val="1"/>
          <w:sz w:val="24"/>
        </w:rPr>
      </w:pPr>
    </w:p>
    <w:p w14:paraId="44000000">
      <w:pPr>
        <w:ind w:right="282"/>
        <w:jc w:val="center"/>
        <w:rPr>
          <w:b w:val="1"/>
          <w:sz w:val="24"/>
        </w:rPr>
      </w:pPr>
    </w:p>
    <w:p w14:paraId="45000000">
      <w:pPr>
        <w:ind w:right="282"/>
        <w:jc w:val="center"/>
        <w:rPr>
          <w:b w:val="1"/>
          <w:sz w:val="24"/>
        </w:rPr>
      </w:pPr>
    </w:p>
    <w:p w14:paraId="46000000">
      <w:pPr>
        <w:ind w:right="282"/>
        <w:jc w:val="center"/>
        <w:rPr>
          <w:b w:val="1"/>
          <w:sz w:val="24"/>
        </w:rPr>
      </w:pPr>
      <w:bookmarkStart w:id="1" w:name="_GoBack"/>
      <w:bookmarkEnd w:id="1"/>
    </w:p>
    <w:p w14:paraId="47000000">
      <w:pPr>
        <w:pStyle w:val="Style_3"/>
        <w:ind w:firstLine="0" w:left="390"/>
        <w:jc w:val="center"/>
        <w:rPr>
          <w:b w:val="1"/>
          <w:color w:val="000000"/>
          <w:spacing w:val="-1"/>
          <w:sz w:val="24"/>
        </w:rPr>
      </w:pPr>
      <w:r>
        <w:rPr>
          <w:b w:val="1"/>
          <w:sz w:val="24"/>
        </w:rPr>
        <w:t xml:space="preserve">Практические кейсы-задачи, необходимые для оценки знаний, умений, навыков и (или) опыта деятельности по итогам </w:t>
      </w:r>
      <w:r>
        <w:rPr>
          <w:b w:val="1"/>
          <w:color w:val="000000"/>
          <w:spacing w:val="-1"/>
          <w:sz w:val="24"/>
        </w:rPr>
        <w:t>практики</w:t>
      </w:r>
    </w:p>
    <w:p w14:paraId="48000000">
      <w:pPr>
        <w:rPr>
          <w:b w:val="1"/>
          <w:color w:val="000000"/>
          <w:spacing w:val="-1"/>
          <w:sz w:val="24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122"/>
        <w:gridCol w:w="7938"/>
      </w:tblGrid>
      <w:tr>
        <w:trPr>
          <w:tblHeader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№ </w:t>
            </w:r>
            <w:r>
              <w:rPr>
                <w:b w:val="1"/>
                <w:sz w:val="24"/>
              </w:rPr>
              <w:t>п</w:t>
            </w:r>
            <w:r>
              <w:rPr>
                <w:b w:val="1"/>
                <w:sz w:val="24"/>
              </w:rPr>
              <w:t>/</w:t>
            </w:r>
            <w:r>
              <w:rPr>
                <w:b w:val="1"/>
                <w:sz w:val="24"/>
              </w:rPr>
              <w:t>п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Подробные ответы </w:t>
            </w:r>
            <w:r>
              <w:rPr>
                <w:b w:val="1"/>
                <w:sz w:val="24"/>
              </w:rPr>
              <w:t>обучающегося</w:t>
            </w:r>
            <w:r>
              <w:rPr>
                <w:b w:val="1"/>
                <w:sz w:val="24"/>
              </w:rPr>
              <w:t xml:space="preserve"> на практические кейсы-задачи</w:t>
            </w: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 1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целом суды исходят из того, что спецодежда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собственность работодателя, и при увольнении работник обязан её вернуть. </w:t>
            </w:r>
          </w:p>
          <w:p w14:paraId="4D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Если он этого не сделал, у работодателя возникает право требовать возмещения прямого действительного ущерба (ст. 238 ТК РФ). Однако на практике успех иска зависит от ряда нюансов. </w:t>
            </w:r>
          </w:p>
          <w:p w14:paraId="4E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Примеры из практики:</w:t>
            </w:r>
          </w:p>
          <w:p w14:paraId="4F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пользу работодателя.</w:t>
            </w:r>
            <w:r>
              <w:rPr>
                <w:sz w:val="24"/>
              </w:rPr>
              <w:t> В решении Октябрьского городского суда Республики Башкортостан по дел</w:t>
            </w:r>
            <w:r>
              <w:rPr>
                <w:sz w:val="24"/>
              </w:rPr>
              <w:t>у ООО</w:t>
            </w:r>
            <w:r>
              <w:rPr>
                <w:sz w:val="24"/>
              </w:rPr>
              <w:t xml:space="preserve"> «</w:t>
            </w:r>
            <w:r>
              <w:rPr>
                <w:sz w:val="24"/>
              </w:rPr>
              <w:t>Ойл-Сервис</w:t>
            </w:r>
            <w:r>
              <w:rPr>
                <w:sz w:val="24"/>
              </w:rPr>
              <w:t>» суд удовлетворил иск: работодатель представил личную карточку учёта СИЗ, счета-фактуры, товарные накладные и расчёт остаточной стоимости. Суд установил, что работник не вернул имущество, обстоятельств, исключающих ответственность (ст. 239 ТК РФ), не выявлено. </w:t>
            </w:r>
          </w:p>
          <w:p w14:paraId="50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пользу работника.</w:t>
            </w:r>
            <w:r>
              <w:rPr>
                <w:sz w:val="24"/>
              </w:rPr>
              <w:t> Верховный Суд Республики Башкортостан в апелляционном определении от 15.10.2019 № 33-20220/2019 отказал работодателю: в личной карточке не были зафиксированы даты и основания выдачи, не отражён расчёт остаточной стоимости, отсутствовали сведения о сроке службы спецодежды. </w:t>
            </w:r>
          </w:p>
          <w:p w14:paraId="51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Факторы и обстоятельства, влияющие на решение</w:t>
            </w:r>
            <w:r>
              <w:rPr>
                <w:sz w:val="24"/>
              </w:rPr>
              <w:t xml:space="preserve">: </w:t>
            </w:r>
          </w:p>
          <w:p w14:paraId="52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Доказательство факта выдачи.</w:t>
            </w:r>
            <w:r>
              <w:rPr>
                <w:sz w:val="24"/>
              </w:rPr>
              <w:t> Ключевой момент — наличие документов, подтверждающих, что СИЗ действительно были переданы работнику. Личная карточка учёта СИЗ — важный документ, но суд проверит, заполнена ли она корректно: есть ли дата выдачи, подпись работника, основание выдачи. Дополнительно суд примет счета-фактуры, товарные накладные. Если в документах пробелы (нет стоимости, срока службы, даты), суд может счесть размер ущерба недоказанным. </w:t>
            </w:r>
          </w:p>
          <w:p w14:paraId="53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Расчёт размера ущерба.</w:t>
            </w:r>
            <w:r>
              <w:rPr>
                <w:sz w:val="24"/>
              </w:rPr>
              <w:t> Работодатель должен доказать не просто факт выдачи, а реальную сумму потерь. По ст. 246 ТК РФ размер ущерба определяется исходя из рыночных цен на день причинения ущерба, но не ниже стоимости по бухучёту с учётом степени износа. Если работодатель представит только справку без обоснования расчёта (без указания процента износа, срока службы), суд с высокой вероятностью отклонит требование. </w:t>
            </w:r>
          </w:p>
          <w:p w14:paraId="54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Установление вины и причинно-следственной связи.</w:t>
            </w:r>
            <w:r>
              <w:rPr>
                <w:sz w:val="24"/>
              </w:rPr>
              <w:t xml:space="preserve"> Работодатель обязан доказать, что </w:t>
            </w:r>
            <w:r>
              <w:rPr>
                <w:sz w:val="24"/>
              </w:rPr>
              <w:t>невозврат</w:t>
            </w:r>
            <w:r>
              <w:rPr>
                <w:sz w:val="24"/>
              </w:rPr>
              <w:t xml:space="preserve"> СИЗ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это противоправное бездействие работника, которое напрямую привело к ущербу. Если работник докажет, что не мог вернуть имущество по уважительной причине (например, работодатель не создал условий для сдачи — не организовал пункт приёма), это станет аргументом в его пользу. </w:t>
            </w:r>
          </w:p>
          <w:p w14:paraId="55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Наличие обстоятельств, исключающих ответственность (ст. 239 ТК РФ).</w:t>
            </w:r>
            <w:r>
              <w:rPr>
                <w:sz w:val="24"/>
              </w:rPr>
              <w:t> Суд проверит, не возник ли уще</w:t>
            </w:r>
            <w:r>
              <w:rPr>
                <w:sz w:val="24"/>
              </w:rPr>
              <w:t>рб всл</w:t>
            </w:r>
            <w:r>
              <w:rPr>
                <w:sz w:val="24"/>
              </w:rPr>
              <w:t>едствие непреодолимой силы, нормального хозяйственного риска, крайней необходимости или необходимой обороны. Если такие обстоятельства подтвердятся, в иске откажут. </w:t>
            </w:r>
          </w:p>
          <w:p w14:paraId="56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Соблюдение процедуры до суда.</w:t>
            </w:r>
            <w:r>
              <w:rPr>
                <w:sz w:val="24"/>
              </w:rPr>
              <w:t> По ст. 247 ТК РФ до обращения в суд работодатель обязан провести проверку, чтобы установить размер ущерба и причины его возникновения. В рамках проверки нужно истребовать от работника письменное объяснение. Если этот шаг пропущен, суд может счесть процедуру нарушенной. </w:t>
            </w:r>
          </w:p>
          <w:p w14:paraId="57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Срок исковой давности.</w:t>
            </w:r>
            <w:r>
              <w:rPr>
                <w:sz w:val="24"/>
              </w:rPr>
              <w:t> У работодателя есть один год со дня обнаружения ущерба для обращения в суд (ст. 392 ТК РФ). Пропуск срока без уважительных причин — самостоятельное основание для отказа в иске. </w:t>
            </w:r>
          </w:p>
          <w:p w14:paraId="58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Возможность добровольного возмещения.</w:t>
            </w:r>
            <w:r>
              <w:rPr>
                <w:sz w:val="24"/>
              </w:rPr>
              <w:t> Иногда суд учитывает, предлагал ли работодатель работнику добровольно вернуть имущество или возместить ущерб, и как тот отреагировал. </w:t>
            </w:r>
          </w:p>
          <w:p w14:paraId="59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деле Скокова К. А. у ООО «</w:t>
            </w:r>
            <w:r>
              <w:rPr>
                <w:sz w:val="24"/>
              </w:rPr>
              <w:t>Ойл-Сервис</w:t>
            </w:r>
            <w:r>
              <w:rPr>
                <w:sz w:val="24"/>
              </w:rPr>
              <w:t>» есть сильные аргументы (личная карточка, факт выдачи), но исход будет зависеть от полноты пакета документов (есть ли в них расчёт остаточной стоимости с учётом износа, сроки службы) и от доводов ответчика (например, если он заявит, что не мог сдать СИЗ по уважительной причине, или оспорит расчёт работодателя). </w:t>
            </w:r>
          </w:p>
          <w:p w14:paraId="5A000000">
            <w:pPr>
              <w:widowControl w:val="1"/>
              <w:spacing w:line="360" w:lineRule="auto"/>
              <w:ind w:firstLine="709" w:left="0"/>
              <w:jc w:val="both"/>
              <w:rPr>
                <w:rFonts w:ascii="Arial" w:hAnsi="Arial"/>
              </w:rPr>
            </w:pPr>
            <w:r>
              <w:rPr>
                <w:sz w:val="24"/>
              </w:rPr>
              <w:t xml:space="preserve">И </w:t>
            </w:r>
            <w:r>
              <w:rPr>
                <w:sz w:val="24"/>
              </w:rPr>
              <w:t xml:space="preserve">если работодатель планирует иск, ему стоит заранее собрать максимум первичных документов и провести внутреннюю проверку с истребованием объяснений от работника. Если работник готовится к спору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ему стоит проверить все документы на пробелы и подготовить доказательства уважительных причин </w:t>
            </w:r>
            <w:r>
              <w:rPr>
                <w:sz w:val="24"/>
              </w:rPr>
              <w:t>невозврата</w:t>
            </w:r>
            <w:r>
              <w:rPr>
                <w:rFonts w:ascii="Arial" w:hAnsi="Arial"/>
              </w:rPr>
              <w:t>.</w:t>
            </w:r>
          </w:p>
          <w:p w14:paraId="5B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 одной стороны, закон на стороне работодателя (спецодежда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его собственность), с другой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суды строго проверяют, действительно ли есть основания для взыскания. </w:t>
            </w:r>
          </w:p>
          <w:p w14:paraId="5C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>
              <w:rPr>
                <w:sz w:val="24"/>
              </w:rPr>
              <w:t>роанализировала практику и выделила ключевые факторы, которые будут решающими в деле.</w:t>
            </w:r>
          </w:p>
          <w:p w14:paraId="5D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Что работает в пользу работодателя</w:t>
            </w:r>
            <w:r>
              <w:rPr>
                <w:sz w:val="24"/>
              </w:rPr>
              <w:t xml:space="preserve">: </w:t>
            </w:r>
          </w:p>
          <w:p w14:paraId="5E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 xml:space="preserve">Спецодежда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собственность работодателя.</w:t>
            </w:r>
            <w:r>
              <w:rPr>
                <w:sz w:val="24"/>
              </w:rPr>
              <w:t xml:space="preserve"> Суды подтверждают: по п. 64 Методических указаний (Приказ Минфина № 135н) выданная спецодежда подлежит возврату при увольнении. </w:t>
            </w:r>
            <w:r>
              <w:rPr>
                <w:sz w:val="24"/>
              </w:rPr>
              <w:t>Невозврат</w:t>
            </w:r>
            <w:r>
              <w:rPr>
                <w:sz w:val="24"/>
              </w:rPr>
              <w:t xml:space="preserve"> образует прямой действительный ущерб (ст. 238 ТК РФ). </w:t>
            </w:r>
          </w:p>
          <w:p w14:paraId="5F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Доказательства выдачи и размера ущерба.</w:t>
            </w:r>
            <w:r>
              <w:rPr>
                <w:sz w:val="24"/>
              </w:rPr>
              <w:t xml:space="preserve"> Если у </w:t>
            </w:r>
            <w:r>
              <w:rPr>
                <w:sz w:val="24"/>
              </w:rPr>
              <w:t>вас есть личная карточка учёта СИЗ</w:t>
            </w:r>
            <w:r>
              <w:rPr>
                <w:sz w:val="24"/>
              </w:rPr>
              <w:t xml:space="preserve">, счета-фактуры, товарные накладные и расчёт остаточной стоимости (с учётом износа на дату увольнения)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это сильная доказательная база. </w:t>
            </w:r>
          </w:p>
          <w:p w14:paraId="60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Суды удовлетворяют иски, когда работодатель документально подтвердил факт передачи и размер потерь. </w:t>
            </w:r>
          </w:p>
          <w:p w14:paraId="61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Соблюдение процедуры.</w:t>
            </w:r>
            <w:r>
              <w:rPr>
                <w:sz w:val="24"/>
              </w:rPr>
              <w:t xml:space="preserve"> До обращения в суд работодатель обязан провести проверку (ст. 247 ТК РФ): истребовать от работника письменное объяснение, чтобы установить причины и размер ущерба. </w:t>
            </w:r>
          </w:p>
          <w:p w14:paraId="62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Если это сделано, а работник уклонился (составляется акт об отказе), суд это учтёт. </w:t>
            </w:r>
          </w:p>
          <w:p w14:paraId="63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Что может сработать в пользу работника (и стать основанием для отказа)</w:t>
            </w:r>
            <w:r>
              <w:rPr>
                <w:sz w:val="24"/>
              </w:rPr>
              <w:t xml:space="preserve">: </w:t>
            </w:r>
          </w:p>
          <w:p w14:paraId="64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Не доказана вина.</w:t>
            </w:r>
            <w:r>
              <w:rPr>
                <w:sz w:val="24"/>
              </w:rPr>
              <w:t> Работодатель должен показать, что ущерб возник именно из-за виновных действий (бездействия) Скокова.</w:t>
            </w:r>
          </w:p>
          <w:p w14:paraId="65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 xml:space="preserve"> Например, если работник докажет, что потерял СИЗ в результате непреодолимой силы (пожар, стихийное бедствие), крайней необходимости или необходимой обороны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ответственность исключается (ст. 239 ТК РФ). </w:t>
            </w:r>
          </w:p>
          <w:p w14:paraId="66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Не доказана причинно-следственная связь.</w:t>
            </w:r>
            <w:r>
              <w:rPr>
                <w:sz w:val="24"/>
              </w:rPr>
              <w:t> Нужно чётко показать: именно действия (или бездействие) работника привели к утрате имущества. Если есть сомнения в этой связи, суд может отказать. </w:t>
            </w:r>
          </w:p>
          <w:p w14:paraId="67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Некорректный расчёт ущерба.</w:t>
            </w:r>
            <w:r>
              <w:rPr>
                <w:sz w:val="24"/>
              </w:rPr>
              <w:t xml:space="preserve"> Частая ошибка: работодатель заявляет к взысканию полную первоначальную стоимость, не учитывая </w:t>
            </w:r>
            <w:r>
              <w:rPr>
                <w:sz w:val="24"/>
              </w:rPr>
              <w:t>износ. По ст. 246 ТК РФ размер ущерба определяется исходя из рыночных цен на день причинения ущерба, но не ниже стоимости по бухучёту с учётом степени износа. Если в документах нет данных о сроке носки и проценте годности на момент выдачи, суд может счесть расчёт недостоверным</w:t>
            </w:r>
          </w:p>
          <w:p w14:paraId="68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Работодатель сам создал условия для утраты.</w:t>
            </w:r>
            <w:r>
              <w:rPr>
                <w:sz w:val="24"/>
              </w:rPr>
              <w:t xml:space="preserve"> Если будет доказано, что компания не </w:t>
            </w:r>
            <w:r>
              <w:rPr>
                <w:sz w:val="24"/>
              </w:rPr>
              <w:t>обеспечила надлежащие условия для хранения СИЗ</w:t>
            </w:r>
            <w:r>
              <w:rPr>
                <w:sz w:val="24"/>
              </w:rPr>
              <w:t xml:space="preserve"> (например, не было места на складе, не были чётко прописаны правила сдачи при увольнении), это аргумент для снижения или исключения ответственности. </w:t>
            </w:r>
          </w:p>
          <w:p w14:paraId="69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Пропущен срок исковой давности.</w:t>
            </w:r>
            <w:r>
              <w:rPr>
                <w:sz w:val="24"/>
              </w:rPr>
              <w:t> Работодатель вправе обратиться в суд в течение одного года со дня обнаружения ущерба (</w:t>
            </w:r>
            <w:r>
              <w:rPr>
                <w:sz w:val="24"/>
              </w:rPr>
              <w:t>ч</w:t>
            </w:r>
            <w:r>
              <w:rPr>
                <w:sz w:val="24"/>
              </w:rPr>
              <w:t xml:space="preserve">. 3 ст. 392 ТК РФ). Если срок пропущен без уважительных причин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это самостоятельное основание для отказа в иске. </w:t>
            </w:r>
            <w:r>
              <w:rPr>
                <w:sz w:val="24"/>
              </w:rPr>
              <w:t>Есть обстоятельства, исключающие ответственность.</w:t>
            </w:r>
            <w:r>
              <w:rPr>
                <w:sz w:val="24"/>
              </w:rPr>
              <w:t> Например, если ущерб возник вследствие нормального хозяйственного риска</w:t>
            </w: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 2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 правовой точки зрения здесь есть важный нюанс. Спецодежда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это собственность работодателя. При увольнении работник обязан её вернуть. Если он этого не сделал, у компании возникает материальный ущерб: работодатель лишился своего имущества</w:t>
            </w:r>
            <w:r>
              <w:rPr>
                <w:sz w:val="24"/>
              </w:rPr>
              <w:t>.</w:t>
            </w:r>
          </w:p>
          <w:p w14:paraId="6C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Однако ключевое условие для взыскания — </w:t>
            </w:r>
            <w:r>
              <w:rPr>
                <w:sz w:val="24"/>
              </w:rPr>
              <w:t>доказать вину работника</w:t>
            </w:r>
            <w:r>
              <w:rPr>
                <w:sz w:val="24"/>
              </w:rPr>
              <w:t> и </w:t>
            </w:r>
            <w:r>
              <w:rPr>
                <w:sz w:val="24"/>
              </w:rPr>
              <w:t>правильно рассчитать размер ущерба</w:t>
            </w:r>
            <w:r>
              <w:rPr>
                <w:sz w:val="24"/>
              </w:rPr>
              <w:t xml:space="preserve">. </w:t>
            </w:r>
          </w:p>
          <w:p w14:paraId="6D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Нельзя просто взять и взыскать полную первоначальную стоимость: по закону (ст. 246 ТК РФ) размер ущерба определяется по фактическим потерям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с учётом степени износа. </w:t>
            </w:r>
          </w:p>
          <w:p w14:paraId="6E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Также важно проверить, не было ли обстоятельств, исключающих материальную ответственность работника (ст. 239 ТК РФ). </w:t>
            </w:r>
          </w:p>
          <w:p w14:paraId="6F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Например, если одежда пришла в негодность из-за форс-мажора, нормального хозяйственного риска, крайней необходимости или работодатель сам не обеспечил надлежащие условия для хранения. </w:t>
            </w:r>
          </w:p>
          <w:p w14:paraId="70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Стратегия ведения дела</w:t>
            </w:r>
          </w:p>
          <w:p w14:paraId="71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Если работодатель решает судиться, его план действий может выглядеть так:</w:t>
            </w:r>
          </w:p>
          <w:p w14:paraId="72000000">
            <w:pPr>
              <w:widowControl w:val="1"/>
              <w:numPr>
                <w:ilvl w:val="0"/>
                <w:numId w:val="1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Собрать доказательную базу.</w:t>
            </w:r>
            <w:r>
              <w:rPr>
                <w:sz w:val="24"/>
              </w:rPr>
              <w:t xml:space="preserve"> Подготовить документы, </w:t>
            </w:r>
            <w:r>
              <w:rPr>
                <w:sz w:val="24"/>
              </w:rPr>
              <w:t>подтверждающие факт выдачи СИЗ: личную карточку учёта, накладные, акты. Также нужны документы, подтверждающие стоимость (счета-фактуры, бухгалтерские справки). </w:t>
            </w:r>
          </w:p>
          <w:p w14:paraId="73000000">
            <w:pPr>
              <w:widowControl w:val="1"/>
              <w:numPr>
                <w:ilvl w:val="0"/>
                <w:numId w:val="1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Рассчитать размер ущерба.</w:t>
            </w:r>
            <w:r>
              <w:rPr>
                <w:sz w:val="24"/>
              </w:rPr>
              <w:t> Определить остаточную стоимость с учётом срока эксплуатации и фактического состояния вещей на момент увольнения. </w:t>
            </w:r>
          </w:p>
          <w:p w14:paraId="74000000">
            <w:pPr>
              <w:widowControl w:val="1"/>
              <w:numPr>
                <w:ilvl w:val="0"/>
                <w:numId w:val="1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Проверить процедуру до суда.</w:t>
            </w:r>
            <w:r>
              <w:rPr>
                <w:sz w:val="24"/>
              </w:rPr>
              <w:t xml:space="preserve"> По закону (ст. 247 ТК РФ) перед взысканием работодатель обязан запросить у работника письменное объяснение причин </w:t>
            </w:r>
            <w:r>
              <w:rPr>
                <w:sz w:val="24"/>
              </w:rPr>
              <w:t>невозврата</w:t>
            </w:r>
            <w:r>
              <w:rPr>
                <w:sz w:val="24"/>
              </w:rPr>
              <w:t>. Если этого не было сделано, в суде у ответчика появится сильный аргумент: процедура привлечения к материальной ответственности нарушена. </w:t>
            </w:r>
          </w:p>
          <w:p w14:paraId="75000000">
            <w:pPr>
              <w:widowControl w:val="1"/>
              <w:numPr>
                <w:ilvl w:val="0"/>
                <w:numId w:val="1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Подать иск.</w:t>
            </w:r>
            <w:r>
              <w:rPr>
                <w:sz w:val="24"/>
              </w:rPr>
              <w:t> В исковом заявлении потребовать взыскать с работника сумму материального ущерба. Можно также заявить требование о возмещении судебных расходов (госпошлина, возможно, расходы на представителя). </w:t>
            </w:r>
          </w:p>
          <w:p w14:paraId="76000000">
            <w:pPr>
              <w:widowControl w:val="1"/>
              <w:numPr>
                <w:ilvl w:val="0"/>
                <w:numId w:val="1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Активно участвовать в процессе.</w:t>
            </w:r>
            <w:r>
              <w:rPr>
                <w:sz w:val="24"/>
              </w:rPr>
              <w:t> Представлять дополнительные доказательства, отвечать на вопросы суда, опровергать доводы ответчика.</w:t>
            </w:r>
          </w:p>
          <w:p w14:paraId="77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Прогноз судебного решения и возможные сценарии</w:t>
            </w:r>
          </w:p>
          <w:p w14:paraId="78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Исход дела будет зависеть от того, насколько убедительны доказательства и какие аргументы выдвинет ответчик.</w:t>
            </w:r>
          </w:p>
          <w:p w14:paraId="79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Сценарий 1: Иск удовлетворят.</w:t>
            </w:r>
            <w:r>
              <w:rPr>
                <w:sz w:val="24"/>
              </w:rPr>
              <w:t> Если суд установит, что работодатель доказал факт выдачи СИЗ, работник не вернул их без уважительных причин, а расчёт ущерба (с учётом износа) корректен, суд взыщет сумму в пользу компании. </w:t>
            </w:r>
          </w:p>
          <w:p w14:paraId="7A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Сценарий 2: В иске откажут.</w:t>
            </w:r>
            <w:r>
              <w:rPr>
                <w:sz w:val="24"/>
              </w:rPr>
              <w:t> Возможные основания:</w:t>
            </w:r>
          </w:p>
          <w:p w14:paraId="7B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Не доказан факт передачи конкретных вещей работнику (нет подписи в карточке или накладной).</w:t>
            </w:r>
          </w:p>
          <w:p w14:paraId="7C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Не соблюдена процедура: не затребовано письменное объяснение. </w:t>
            </w:r>
          </w:p>
          <w:p w14:paraId="7D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Ответчик докажет, что утрата произошла не по его вине (форс-мажор, работодатель не обеспечил хранение). </w:t>
            </w:r>
          </w:p>
          <w:p w14:paraId="7E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В расчёте ущерба не учтён износ, и суд сочтёт сумму завышенной.</w:t>
            </w:r>
          </w:p>
          <w:p w14:paraId="7F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Сценарий 3: Мировое соглашение.</w:t>
            </w:r>
            <w:r>
              <w:rPr>
                <w:sz w:val="24"/>
              </w:rPr>
              <w:t xml:space="preserve"> Стороны могут договориться до вынесения решения: например, работник вернёт часть стоимости или сам </w:t>
            </w:r>
            <w:r>
              <w:rPr>
                <w:sz w:val="24"/>
              </w:rPr>
              <w:t>сдаст часть вещей, а работодатель откажется от иска.</w:t>
            </w:r>
          </w:p>
          <w:p w14:paraId="80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Что делать представителю стороны</w:t>
            </w:r>
            <w:r>
              <w:rPr>
                <w:sz w:val="24"/>
              </w:rPr>
              <w:t xml:space="preserve">: </w:t>
            </w:r>
          </w:p>
          <w:p w14:paraId="81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Для работодателя:</w:t>
            </w:r>
            <w:r>
              <w:rPr>
                <w:sz w:val="24"/>
              </w:rPr>
              <w:t> сосредоточиться на сборе максимально полных доказательств и чётком расчёте. Внимательно проверить все процессуальные моменты (было ли затребовано объяснение).</w:t>
            </w:r>
          </w:p>
          <w:p w14:paraId="82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Для работника:</w:t>
            </w:r>
            <w:r>
              <w:rPr>
                <w:sz w:val="24"/>
              </w:rPr>
              <w:t> изучить материалы дела на предмет пробелов в доказательствах работодателя. Подготовить контраргументы (например, акты о форс-мажоре, доказательства того, что работодатель не создал условий для хранения). Активно участвовать в заседаниях, заявлять ходатайства об истребовании дополнительных доказательств.</w:t>
            </w:r>
          </w:p>
          <w:p w14:paraId="83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целом, дело решаемо, но успех напрямую зависит от качества подготовки и аргументации каждой из сторон</w:t>
            </w:r>
            <w:r>
              <w:rPr>
                <w:sz w:val="24"/>
              </w:rPr>
              <w:t>.</w:t>
            </w: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 3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00000">
            <w:pPr>
              <w:widowControl w:val="1"/>
              <w:spacing w:afterAutospacing="on" w:beforeAutospacing="on"/>
              <w:ind/>
              <w:jc w:val="center"/>
              <w:outlineLvl w:val="1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Досудебная претензия</w:t>
            </w:r>
            <w:r>
              <w:rPr>
                <w:b w:val="1"/>
                <w:sz w:val="24"/>
              </w:rPr>
              <w:t xml:space="preserve"> </w:t>
            </w:r>
          </w:p>
          <w:p w14:paraId="86000000">
            <w:pPr>
              <w:widowControl w:val="1"/>
              <w:spacing w:line="276" w:lineRule="auto"/>
              <w:ind/>
              <w:jc w:val="right"/>
              <w:outlineLvl w:val="1"/>
              <w:rPr>
                <w:sz w:val="24"/>
              </w:rPr>
            </w:pPr>
            <w:r>
              <w:rPr>
                <w:sz w:val="24"/>
              </w:rPr>
              <w:t>ООО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Юридический адрес: </w:t>
            </w:r>
            <w:r>
              <w:rPr>
                <w:sz w:val="24"/>
              </w:rPr>
              <w:t>г</w:t>
            </w:r>
            <w:r>
              <w:rPr>
                <w:sz w:val="24"/>
              </w:rPr>
              <w:t xml:space="preserve">. Москва, </w:t>
            </w:r>
          </w:p>
          <w:p w14:paraId="87000000">
            <w:pPr>
              <w:widowControl w:val="1"/>
              <w:spacing w:line="276" w:lineRule="auto"/>
              <w:ind/>
              <w:jc w:val="right"/>
              <w:outlineLvl w:val="1"/>
              <w:rPr>
                <w:sz w:val="24"/>
              </w:rPr>
            </w:pPr>
            <w:r>
              <w:rPr>
                <w:sz w:val="24"/>
              </w:rPr>
              <w:t>ул. </w:t>
            </w:r>
            <w:r>
              <w:rPr>
                <w:sz w:val="24"/>
              </w:rPr>
              <w:t>Верхняя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Масловка</w:t>
            </w:r>
            <w:r>
              <w:rPr>
                <w:sz w:val="24"/>
              </w:rPr>
              <w:t xml:space="preserve">, д. 16, корп. 2, </w:t>
            </w:r>
            <w:r>
              <w:rPr>
                <w:sz w:val="24"/>
              </w:rPr>
              <w:t>оф</w:t>
            </w:r>
            <w:r>
              <w:rPr>
                <w:sz w:val="24"/>
              </w:rPr>
              <w:t>. 35 ИНН ……, ОГРН …</w:t>
            </w:r>
          </w:p>
          <w:p w14:paraId="88000000">
            <w:pPr>
              <w:widowControl w:val="1"/>
              <w:spacing w:line="276" w:lineRule="auto"/>
              <w:ind w:firstLine="709" w:left="0"/>
              <w:jc w:val="right"/>
              <w:rPr>
                <w:sz w:val="24"/>
              </w:rPr>
            </w:pPr>
            <w:r>
              <w:rPr>
                <w:sz w:val="24"/>
              </w:rPr>
              <w:t>Кому:</w:t>
            </w:r>
            <w:r>
              <w:rPr>
                <w:sz w:val="24"/>
              </w:rPr>
              <w:t xml:space="preserve"> Скокову Кириллу Андреевичу</w:t>
            </w:r>
          </w:p>
          <w:p w14:paraId="89000000">
            <w:pPr>
              <w:widowControl w:val="1"/>
              <w:spacing w:line="276" w:lineRule="auto"/>
              <w:ind w:firstLine="709" w:left="0"/>
              <w:jc w:val="right"/>
              <w:rPr>
                <w:sz w:val="24"/>
              </w:rPr>
            </w:pPr>
            <w:r>
              <w:rPr>
                <w:sz w:val="24"/>
              </w:rPr>
              <w:t>Адрес регистрации: г. Октябрьский, ул. </w:t>
            </w:r>
            <w:r>
              <w:rPr>
                <w:sz w:val="24"/>
              </w:rPr>
              <w:t>Садовая</w:t>
            </w:r>
            <w:r>
              <w:rPr>
                <w:sz w:val="24"/>
              </w:rPr>
              <w:t>, д. 2, кв. 30</w:t>
            </w:r>
          </w:p>
          <w:p w14:paraId="8A000000">
            <w:pPr>
              <w:widowControl w:val="1"/>
              <w:spacing w:line="360" w:lineRule="auto"/>
              <w:ind w:firstLine="709" w:left="0"/>
              <w:jc w:val="both"/>
              <w:rPr>
                <w:b w:val="1"/>
                <w:sz w:val="24"/>
              </w:rPr>
            </w:pPr>
          </w:p>
          <w:p w14:paraId="8B000000">
            <w:pPr>
              <w:widowControl w:val="1"/>
              <w:spacing w:line="360" w:lineRule="auto"/>
              <w:ind w:firstLine="709" w:left="0"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Претензия о возмещении материального ущерба</w:t>
            </w:r>
          </w:p>
          <w:p w14:paraId="8C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</w:p>
          <w:p w14:paraId="8D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Межд</w:t>
            </w:r>
            <w:r>
              <w:rPr>
                <w:sz w:val="24"/>
              </w:rPr>
              <w:t>у ООО</w:t>
            </w:r>
            <w:r>
              <w:rPr>
                <w:sz w:val="24"/>
              </w:rPr>
              <w:t>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 и Скоковым К. А. был заключён трудовой договор № 1922/18</w:t>
            </w:r>
            <w:r>
              <w:rPr>
                <w:sz w:val="24"/>
              </w:rPr>
              <w:t>ТД от 28.11.2018, в соответствии с которым Скоков К. А. принят на должность помощника бурильщика капитального ремонта скважин 4 разряда.</w:t>
            </w:r>
          </w:p>
          <w:p w14:paraId="8E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период трудовых отношений работодатель за свой счёт обеспечил работника средствами индивидуальной защиты (СИЗ), что </w:t>
            </w:r>
            <w:r>
              <w:rPr>
                <w:sz w:val="24"/>
              </w:rPr>
              <w:t>подтверждается личной карточкой учёта выдачи СИЗ</w:t>
            </w:r>
            <w:r>
              <w:rPr>
                <w:sz w:val="24"/>
              </w:rPr>
              <w:t>. Скокову К. А. были выданы:</w:t>
            </w:r>
          </w:p>
          <w:p w14:paraId="8F000000">
            <w:pPr>
              <w:widowControl w:val="1"/>
              <w:numPr>
                <w:ilvl w:val="0"/>
                <w:numId w:val="2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каска защитная СОМЗ</w:t>
            </w:r>
            <w:r>
              <w:rPr>
                <w:sz w:val="24"/>
              </w:rPr>
              <w:t>55 (оранжевая с логотипом);</w:t>
            </w:r>
          </w:p>
          <w:p w14:paraId="90000000">
            <w:pPr>
              <w:widowControl w:val="1"/>
              <w:numPr>
                <w:ilvl w:val="0"/>
                <w:numId w:val="2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костюм ПЕТРОЛЕУМ ПЛЮС утеплённый;</w:t>
            </w:r>
          </w:p>
          <w:p w14:paraId="91000000">
            <w:pPr>
              <w:widowControl w:val="1"/>
              <w:numPr>
                <w:ilvl w:val="0"/>
                <w:numId w:val="2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очки защитные открытые RZ</w:t>
            </w:r>
            <w:r>
              <w:rPr>
                <w:sz w:val="24"/>
              </w:rPr>
              <w:t>15 START;</w:t>
            </w:r>
          </w:p>
          <w:p w14:paraId="92000000">
            <w:pPr>
              <w:widowControl w:val="1"/>
              <w:numPr>
                <w:ilvl w:val="0"/>
                <w:numId w:val="2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сапоги </w:t>
            </w:r>
            <w:r>
              <w:rPr>
                <w:sz w:val="24"/>
              </w:rPr>
              <w:t>Трейл</w:t>
            </w:r>
            <w:r>
              <w:rPr>
                <w:sz w:val="24"/>
              </w:rPr>
              <w:t xml:space="preserve"> ГРАНД утеплённые чёрного цвета с натуральным мехом.</w:t>
            </w:r>
          </w:p>
          <w:p w14:paraId="93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Трудовые отношения прекращены приказом № </w:t>
            </w:r>
            <w:r>
              <w:rPr>
                <w:sz w:val="24"/>
              </w:rPr>
              <w:t>….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 xml:space="preserve"> от 27.03.2019, </w:t>
            </w:r>
            <w:r>
              <w:rPr>
                <w:sz w:val="24"/>
              </w:rPr>
              <w:t>дата</w:t>
            </w:r>
            <w:r>
              <w:rPr>
                <w:sz w:val="24"/>
              </w:rPr>
              <w:t xml:space="preserve"> увольнения — 29.03.2019.</w:t>
            </w:r>
          </w:p>
          <w:p w14:paraId="94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Согласно правилам внутреннего трудового распорядк</w:t>
            </w:r>
            <w:r>
              <w:rPr>
                <w:sz w:val="24"/>
              </w:rPr>
              <w:t>а ООО</w:t>
            </w:r>
            <w:r>
              <w:rPr>
                <w:sz w:val="24"/>
              </w:rPr>
              <w:t>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 (а также общим требованиям к возврату имущества работодателя при увольнении) работник обязан возвратить выданные ему материальные ценности, являющиеся собственностью работодателя.</w:t>
            </w:r>
          </w:p>
          <w:p w14:paraId="95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 увольнении Скоков К. А. не вернул </w:t>
            </w:r>
            <w:r>
              <w:rPr>
                <w:sz w:val="24"/>
              </w:rPr>
              <w:t>указанные</w:t>
            </w:r>
            <w:r>
              <w:rPr>
                <w:sz w:val="24"/>
              </w:rPr>
              <w:t xml:space="preserve"> СИЗ, по настоящее время имущество не возвращено, возмещение ущерба в добровольном порядке не произведено.</w:t>
            </w:r>
          </w:p>
          <w:p w14:paraId="96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соответствии со ст. 232, 238, 242 Трудового кодекса РФ работник обязан возместить работодателю прямой действительный ущерб, причинённый в результате неисполнения обязанностей по возврату вверенного имущества. </w:t>
            </w:r>
          </w:p>
          <w:p w14:paraId="97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Размер ущерба определяется по данным бухгалтерского учёта с учётом степени износа имущества на дату увольнения.</w:t>
            </w:r>
          </w:p>
          <w:p w14:paraId="98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На основании изложенного, руководствуясь ст. 232–248 ТК РФ, ООО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 требует:</w:t>
            </w:r>
          </w:p>
          <w:p w14:paraId="99000000">
            <w:pPr>
              <w:widowControl w:val="1"/>
              <w:numPr>
                <w:ilvl w:val="0"/>
                <w:numId w:val="3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срок до 10 календарных дней </w:t>
            </w:r>
            <w:r>
              <w:rPr>
                <w:sz w:val="24"/>
              </w:rPr>
              <w:t>с даты получения</w:t>
            </w:r>
            <w:r>
              <w:rPr>
                <w:sz w:val="24"/>
              </w:rPr>
              <w:t xml:space="preserve"> претензии добровольно возместить материальный ущерб, причинённый </w:t>
            </w:r>
            <w:r>
              <w:rPr>
                <w:sz w:val="24"/>
              </w:rPr>
              <w:t>невозвратом</w:t>
            </w:r>
            <w:r>
              <w:rPr>
                <w:sz w:val="24"/>
              </w:rPr>
              <w:t xml:space="preserve"> СИЗ, в размере [сумм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в рублях, с расчётом и обоснованием].</w:t>
            </w:r>
          </w:p>
          <w:p w14:paraId="9A000000">
            <w:pPr>
              <w:widowControl w:val="1"/>
              <w:numPr>
                <w:ilvl w:val="0"/>
                <w:numId w:val="3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Либо в тот же срок возвратить в натуре указанные средства индивидуальной защиты в пригодном для дальнейшего использования состоянии.</w:t>
            </w:r>
          </w:p>
          <w:p w14:paraId="9B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случае неисполнения требования ООО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 будет вынуждено обратиться в суд с исковым заявлением о взыскании материального ущерба, а также судебных расходов (в том числе государственной пошлины).</w:t>
            </w:r>
          </w:p>
          <w:p w14:paraId="9C000000">
            <w:pPr>
              <w:widowControl w:val="1"/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Приложения:</w:t>
            </w:r>
          </w:p>
          <w:p w14:paraId="9D000000">
            <w:pPr>
              <w:widowControl w:val="1"/>
              <w:numPr>
                <w:ilvl w:val="0"/>
                <w:numId w:val="4"/>
              </w:numPr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Копия трудового договора № 1922/18</w:t>
            </w:r>
            <w:r>
              <w:rPr>
                <w:sz w:val="24"/>
              </w:rPr>
              <w:t>ТД от 28.11.2018  </w:t>
            </w:r>
          </w:p>
          <w:p w14:paraId="9E000000">
            <w:pPr>
              <w:widowControl w:val="1"/>
              <w:numPr>
                <w:ilvl w:val="0"/>
                <w:numId w:val="4"/>
              </w:numPr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Копия приказа об увольнении </w:t>
            </w:r>
          </w:p>
          <w:p w14:paraId="9F000000">
            <w:pPr>
              <w:widowControl w:val="1"/>
              <w:numPr>
                <w:ilvl w:val="0"/>
                <w:numId w:val="4"/>
              </w:numPr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Копия личной карточки учёта выдачи </w:t>
            </w:r>
            <w:r>
              <w:rPr>
                <w:sz w:val="24"/>
              </w:rPr>
              <w:t>СИЗ</w:t>
            </w:r>
            <w:r>
              <w:rPr>
                <w:sz w:val="24"/>
              </w:rPr>
              <w:t> </w:t>
            </w:r>
          </w:p>
          <w:p w14:paraId="A0000000">
            <w:pPr>
              <w:widowControl w:val="1"/>
              <w:numPr>
                <w:ilvl w:val="0"/>
                <w:numId w:val="4"/>
              </w:numPr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Расчёт размера ущерба (с учётом износа) </w:t>
            </w:r>
          </w:p>
          <w:p w14:paraId="A1000000">
            <w:pPr>
              <w:widowControl w:val="1"/>
              <w:numPr>
                <w:ilvl w:val="0"/>
                <w:numId w:val="4"/>
              </w:numPr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Иные подтверждающие документы (акт инвентаризации, заключение комиссии и т. п.)</w:t>
            </w:r>
            <w:r>
              <w:rPr>
                <w:sz w:val="24"/>
              </w:rPr>
              <w:t> .</w:t>
            </w:r>
          </w:p>
          <w:p w14:paraId="A2000000">
            <w:pPr>
              <w:widowControl w:val="1"/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Дата: </w:t>
            </w:r>
          </w:p>
          <w:p w14:paraId="A3000000">
            <w:pPr>
              <w:widowControl w:val="1"/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Генеральный директор ООО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</w:t>
            </w:r>
          </w:p>
          <w:p w14:paraId="A4000000">
            <w:pPr>
              <w:widowControl w:val="1"/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[Ф. И. О.] _______ (подпись)</w:t>
            </w:r>
          </w:p>
          <w:p w14:paraId="A5000000">
            <w:pPr>
              <w:widowControl w:val="1"/>
              <w:spacing w:line="276" w:lineRule="auto"/>
              <w:ind/>
              <w:jc w:val="both"/>
              <w:rPr>
                <w:sz w:val="24"/>
              </w:rPr>
            </w:pPr>
          </w:p>
          <w:p w14:paraId="A6000000">
            <w:pPr>
              <w:widowControl w:val="1"/>
              <w:spacing w:line="360" w:lineRule="auto"/>
              <w:ind/>
              <w:jc w:val="center"/>
              <w:outlineLvl w:val="1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Исковое заявление о взыскании материального ущерба, причинённого уволенным работником</w:t>
            </w:r>
          </w:p>
          <w:p w14:paraId="A7000000">
            <w:pPr>
              <w:widowControl w:val="1"/>
              <w:spacing w:line="276" w:lineRule="auto"/>
              <w:ind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районного</w:t>
            </w:r>
            <w:r>
              <w:rPr>
                <w:sz w:val="24"/>
              </w:rPr>
              <w:t xml:space="preserve"> суда, Октябрьский районный суд </w:t>
            </w:r>
          </w:p>
          <w:p w14:paraId="A8000000">
            <w:pPr>
              <w:widowControl w:val="1"/>
              <w:spacing w:line="276" w:lineRule="auto"/>
              <w:ind/>
              <w:jc w:val="right"/>
              <w:rPr>
                <w:sz w:val="24"/>
              </w:rPr>
            </w:pPr>
            <w:r>
              <w:rPr>
                <w:sz w:val="24"/>
              </w:rPr>
              <w:t>г. Октябрьский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Адрес суда: </w:t>
            </w:r>
            <w:r>
              <w:rPr>
                <w:sz w:val="24"/>
              </w:rPr>
              <w:t>г</w:t>
            </w:r>
            <w:r>
              <w:rPr>
                <w:sz w:val="24"/>
              </w:rPr>
              <w:t>….</w:t>
            </w:r>
          </w:p>
          <w:p w14:paraId="A9000000">
            <w:pPr>
              <w:widowControl w:val="1"/>
              <w:spacing w:line="276" w:lineRule="auto"/>
              <w:ind/>
              <w:jc w:val="right"/>
              <w:rPr>
                <w:sz w:val="24"/>
              </w:rPr>
            </w:pPr>
            <w:r>
              <w:rPr>
                <w:sz w:val="24"/>
              </w:rPr>
              <w:t>Истец:</w:t>
            </w:r>
            <w:r>
              <w:rPr>
                <w:sz w:val="24"/>
              </w:rPr>
              <w:t xml:space="preserve"> ООО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Юридический адрес: </w:t>
            </w:r>
            <w:r>
              <w:rPr>
                <w:sz w:val="24"/>
              </w:rPr>
              <w:t>г</w:t>
            </w:r>
            <w:r>
              <w:rPr>
                <w:sz w:val="24"/>
              </w:rPr>
              <w:t xml:space="preserve">. Москва, </w:t>
            </w:r>
          </w:p>
          <w:p w14:paraId="AA000000">
            <w:pPr>
              <w:widowControl w:val="1"/>
              <w:spacing w:line="276" w:lineRule="auto"/>
              <w:ind/>
              <w:jc w:val="right"/>
              <w:rPr>
                <w:sz w:val="24"/>
              </w:rPr>
            </w:pPr>
            <w:r>
              <w:rPr>
                <w:sz w:val="24"/>
              </w:rPr>
              <w:t>ул. </w:t>
            </w:r>
            <w:r>
              <w:rPr>
                <w:sz w:val="24"/>
              </w:rPr>
              <w:t>Верхняя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Масловка</w:t>
            </w:r>
            <w:r>
              <w:rPr>
                <w:sz w:val="24"/>
              </w:rPr>
              <w:t xml:space="preserve">, д. 16, корп. 2, </w:t>
            </w:r>
            <w:r>
              <w:rPr>
                <w:sz w:val="24"/>
              </w:rPr>
              <w:t>оф</w:t>
            </w:r>
            <w:r>
              <w:rPr>
                <w:sz w:val="24"/>
              </w:rPr>
              <w:t>. 35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ИНН …..</w:t>
            </w:r>
            <w:r>
              <w:rPr>
                <w:sz w:val="24"/>
              </w:rPr>
              <w:t>, ОГРН </w:t>
            </w:r>
            <w:r>
              <w:rPr>
                <w:sz w:val="24"/>
              </w:rPr>
              <w:t>……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Телефон: 8-9 …….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e</w:t>
            </w:r>
            <w:r>
              <w:rPr>
                <w:sz w:val="24"/>
              </w:rPr>
              <w:t>mail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>……..</w:t>
            </w:r>
          </w:p>
          <w:p w14:paraId="AB000000">
            <w:pPr>
              <w:widowControl w:val="1"/>
              <w:spacing w:line="276" w:lineRule="auto"/>
              <w:ind/>
              <w:jc w:val="right"/>
              <w:rPr>
                <w:sz w:val="24"/>
              </w:rPr>
            </w:pPr>
            <w:r>
              <w:rPr>
                <w:sz w:val="24"/>
              </w:rPr>
              <w:t>Ответчик:</w:t>
            </w:r>
            <w:r>
              <w:rPr>
                <w:sz w:val="24"/>
              </w:rPr>
              <w:t xml:space="preserve"> Скоков Кирилл Андреевич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Адрес: </w:t>
            </w:r>
            <w:r>
              <w:rPr>
                <w:sz w:val="24"/>
              </w:rPr>
              <w:t>г</w:t>
            </w:r>
            <w:r>
              <w:rPr>
                <w:sz w:val="24"/>
              </w:rPr>
              <w:t>. Октябрьский, ул. Садовая, д. 2, кв. 30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Дата рождения: …, телефон 8-9…..</w:t>
            </w:r>
          </w:p>
          <w:p w14:paraId="AC000000">
            <w:pPr>
              <w:widowControl w:val="1"/>
              <w:spacing w:line="276" w:lineRule="auto"/>
              <w:ind/>
              <w:jc w:val="right"/>
              <w:rPr>
                <w:sz w:val="24"/>
              </w:rPr>
            </w:pPr>
            <w:r>
              <w:rPr>
                <w:sz w:val="24"/>
              </w:rPr>
              <w:t>Цена иска: [сумму ущерба в рублях]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Госпошлина: </w:t>
            </w:r>
            <w:r>
              <w:rPr>
                <w:sz w:val="24"/>
              </w:rPr>
              <w:t>…….</w:t>
            </w:r>
          </w:p>
          <w:p w14:paraId="AD000000">
            <w:pPr>
              <w:widowControl w:val="1"/>
              <w:spacing w:line="276" w:lineRule="auto"/>
              <w:ind/>
              <w:jc w:val="right"/>
              <w:rPr>
                <w:sz w:val="24"/>
              </w:rPr>
            </w:pPr>
          </w:p>
          <w:p w14:paraId="AE000000">
            <w:pPr>
              <w:widowControl w:val="1"/>
              <w:spacing w:line="360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Исковое заявление о взыскании с работника материального ущерба</w:t>
            </w:r>
          </w:p>
          <w:p w14:paraId="AF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ООО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 состояло в трудовых отношениях со Скоковым К. А. на основании трудового договора № 1922/18</w:t>
            </w:r>
            <w:r>
              <w:rPr>
                <w:sz w:val="24"/>
              </w:rPr>
              <w:t>ТД от 28.11.2018; ответчик был принят на должность помощника бурильщика капитального ремонта скважин 4 разряда.</w:t>
            </w:r>
          </w:p>
          <w:p w14:paraId="B0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рамках исполнения обязанностей работодатель обеспечил ответчика средствами индивидуальной защиты за счёт собственных средств, что </w:t>
            </w:r>
            <w:r>
              <w:rPr>
                <w:sz w:val="24"/>
              </w:rPr>
              <w:t>подтверждается личной карточкой учёта выдачи СИЗ</w:t>
            </w:r>
            <w:r>
              <w:rPr>
                <w:sz w:val="24"/>
              </w:rPr>
              <w:t>. Выданные предметы:</w:t>
            </w:r>
          </w:p>
          <w:p w14:paraId="B1000000">
            <w:pPr>
              <w:widowControl w:val="1"/>
              <w:numPr>
                <w:ilvl w:val="0"/>
                <w:numId w:val="5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каска защитная СОМЗ</w:t>
            </w:r>
            <w:r>
              <w:rPr>
                <w:sz w:val="24"/>
              </w:rPr>
              <w:t>55;</w:t>
            </w:r>
          </w:p>
          <w:p w14:paraId="B2000000">
            <w:pPr>
              <w:widowControl w:val="1"/>
              <w:numPr>
                <w:ilvl w:val="0"/>
                <w:numId w:val="5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костюм</w:t>
            </w:r>
            <w:r>
              <w:rPr>
                <w:sz w:val="24"/>
              </w:rPr>
              <w:t xml:space="preserve"> утеплённый ПЕТРОЛЕУМ ПЛЮС;</w:t>
            </w:r>
          </w:p>
          <w:p w14:paraId="B3000000">
            <w:pPr>
              <w:widowControl w:val="1"/>
              <w:numPr>
                <w:ilvl w:val="0"/>
                <w:numId w:val="5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очки защитные RZ</w:t>
            </w:r>
            <w:r>
              <w:rPr>
                <w:sz w:val="24"/>
              </w:rPr>
              <w:t>15 START;</w:t>
            </w:r>
          </w:p>
          <w:p w14:paraId="B4000000">
            <w:pPr>
              <w:widowControl w:val="1"/>
              <w:numPr>
                <w:ilvl w:val="0"/>
                <w:numId w:val="5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утеплённые сапоги </w:t>
            </w:r>
            <w:r>
              <w:rPr>
                <w:sz w:val="24"/>
              </w:rPr>
              <w:t>Трейл</w:t>
            </w:r>
            <w:r>
              <w:rPr>
                <w:sz w:val="24"/>
              </w:rPr>
              <w:t xml:space="preserve"> ГРАНД.</w:t>
            </w:r>
          </w:p>
          <w:p w14:paraId="B5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Приказом №…..</w:t>
            </w:r>
            <w:r>
              <w:rPr>
                <w:sz w:val="24"/>
              </w:rPr>
              <w:t>/у от 27.03.2019 трудовые отношения прекращены с 29.03.2019.</w:t>
            </w:r>
            <w:r>
              <w:rPr>
                <w:sz w:val="24"/>
              </w:rPr>
              <w:t xml:space="preserve"> При увольнении ответчик не вернул указанные материальные ценности, принадлежащие истцу, до настоящего времени имущество не возвращено, ущерб не возмещён.</w:t>
            </w:r>
          </w:p>
          <w:p w14:paraId="B6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Истцом проведена служебная проверка (создана комиссия, составлен акт, запрошены объяснения, при отсутствии 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 оформлен акт об отказе), по результатам которой установлена вина ответчика в </w:t>
            </w:r>
            <w:r>
              <w:rPr>
                <w:sz w:val="24"/>
              </w:rPr>
              <w:t>невозврате</w:t>
            </w:r>
            <w:r>
              <w:rPr>
                <w:sz w:val="24"/>
              </w:rPr>
              <w:t xml:space="preserve"> имущества и определён размер прямого действительного ущерба с учётом </w:t>
            </w:r>
            <w:r>
              <w:rPr>
                <w:sz w:val="24"/>
              </w:rPr>
              <w:t>износа на дату увольнения (расчёт прилагается).</w:t>
            </w:r>
          </w:p>
          <w:p w14:paraId="B7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Досудебное урегулирование проведено: в адрес ответчика направлена претензия </w:t>
            </w:r>
            <w:r>
              <w:rPr>
                <w:sz w:val="24"/>
              </w:rPr>
              <w:t>от</w:t>
            </w:r>
            <w:r>
              <w:rPr>
                <w:sz w:val="24"/>
              </w:rPr>
              <w:t xml:space="preserve"> [дата] с требованием добровольно возместить ущерб либо вернуть имущество. </w:t>
            </w:r>
          </w:p>
          <w:p w14:paraId="B8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Претензия </w:t>
            </w:r>
            <w:r>
              <w:rPr>
                <w:sz w:val="24"/>
              </w:rPr>
              <w:t>получена</w:t>
            </w:r>
            <w:r>
              <w:rPr>
                <w:sz w:val="24"/>
              </w:rPr>
              <w:t>/направлена почтой (подтверждается почтовыми документами), ответ не поступил либо получен отказ.</w:t>
            </w:r>
          </w:p>
          <w:p w14:paraId="B9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силу ст. 232, 233, 238, 242, 246, 247 Трудового кодекса РФ работник несёт материальную ответственность за прямой действительный ущерб, причинённый работодателю, в том числе в результате </w:t>
            </w:r>
            <w:r>
              <w:rPr>
                <w:sz w:val="24"/>
              </w:rPr>
              <w:t>невозврата</w:t>
            </w:r>
            <w:r>
              <w:rPr>
                <w:sz w:val="24"/>
              </w:rPr>
              <w:t xml:space="preserve"> вверенных материальных ценностей. </w:t>
            </w:r>
          </w:p>
          <w:p w14:paraId="BA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Размер ущерба подтверждён документально, вина ответчика установлена, обстоятельств, исключающих материальную ответственность (ст. 239 ТК РФ), не выявлено.</w:t>
            </w:r>
          </w:p>
          <w:p w14:paraId="BB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Срок обращения в суд не пропущен: согласно </w:t>
            </w:r>
            <w:r>
              <w:rPr>
                <w:sz w:val="24"/>
              </w:rPr>
              <w:t>ч</w:t>
            </w:r>
            <w:r>
              <w:rPr>
                <w:sz w:val="24"/>
              </w:rPr>
              <w:t>. 3 ст. 392 ТК РФ работодатель вправе обратиться в суд в течение одного года со дня обнаружения ущерба.</w:t>
            </w:r>
          </w:p>
          <w:p w14:paraId="BC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основании </w:t>
            </w:r>
            <w:r>
              <w:rPr>
                <w:sz w:val="24"/>
              </w:rPr>
              <w:t>изложенного</w:t>
            </w:r>
            <w:r>
              <w:rPr>
                <w:sz w:val="24"/>
              </w:rPr>
              <w:t>, руководствуясь ст. ст. 232–248 ТК РФ, ст. ст. 131, 132 ГПК РФ,</w:t>
            </w:r>
          </w:p>
          <w:p w14:paraId="BD000000">
            <w:pPr>
              <w:widowControl w:val="1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ПРОШУ:</w:t>
            </w:r>
          </w:p>
          <w:p w14:paraId="BE000000">
            <w:pPr>
              <w:widowControl w:val="1"/>
              <w:numPr>
                <w:ilvl w:val="0"/>
                <w:numId w:val="6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Взыскать со Скокова Кирилла Андреевича в польз</w:t>
            </w:r>
            <w:r>
              <w:rPr>
                <w:sz w:val="24"/>
              </w:rPr>
              <w:t>у ООО</w:t>
            </w:r>
            <w:r>
              <w:rPr>
                <w:sz w:val="24"/>
              </w:rPr>
              <w:t>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 сумму материального ущерба в размере</w:t>
            </w:r>
            <w:r>
              <w:rPr>
                <w:sz w:val="24"/>
              </w:rPr>
              <w:t>……</w:t>
            </w:r>
            <w:r>
              <w:rPr>
                <w:sz w:val="24"/>
              </w:rPr>
              <w:t xml:space="preserve"> рублей.</w:t>
            </w:r>
          </w:p>
          <w:p w14:paraId="BF000000">
            <w:pPr>
              <w:widowControl w:val="1"/>
              <w:numPr>
                <w:ilvl w:val="0"/>
                <w:numId w:val="6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Взыскать с ответчика в пользу истца судебные расходы, в том числе сумму государственной пошлины в размере</w:t>
            </w:r>
            <w:r>
              <w:rPr>
                <w:sz w:val="24"/>
              </w:rPr>
              <w:t>……….</w:t>
            </w:r>
            <w:r>
              <w:rPr>
                <w:sz w:val="24"/>
              </w:rPr>
              <w:t xml:space="preserve"> рублей.</w:t>
            </w:r>
          </w:p>
          <w:p w14:paraId="C0000000">
            <w:pPr>
              <w:widowControl w:val="1"/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Приложения:</w:t>
            </w:r>
          </w:p>
          <w:p w14:paraId="C1000000">
            <w:pPr>
              <w:widowControl w:val="1"/>
              <w:numPr>
                <w:ilvl w:val="0"/>
                <w:numId w:val="7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Копия искового заявления для ответчика — 1 экз.</w:t>
            </w:r>
          </w:p>
          <w:p w14:paraId="C2000000">
            <w:pPr>
              <w:widowControl w:val="1"/>
              <w:numPr>
                <w:ilvl w:val="0"/>
                <w:numId w:val="7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Документ, подтверждающий уплату госпошлины.</w:t>
            </w:r>
          </w:p>
          <w:p w14:paraId="C3000000">
            <w:pPr>
              <w:widowControl w:val="1"/>
              <w:numPr>
                <w:ilvl w:val="0"/>
                <w:numId w:val="7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Копия трудового договора № 1922/18</w:t>
            </w:r>
            <w:r>
              <w:rPr>
                <w:sz w:val="24"/>
              </w:rPr>
              <w:t>ТД от 28.11.2018.</w:t>
            </w:r>
          </w:p>
          <w:p w14:paraId="C4000000">
            <w:pPr>
              <w:widowControl w:val="1"/>
              <w:numPr>
                <w:ilvl w:val="0"/>
                <w:numId w:val="7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Копия приказа о приёме на работу.</w:t>
            </w:r>
          </w:p>
          <w:p w14:paraId="C5000000">
            <w:pPr>
              <w:widowControl w:val="1"/>
              <w:numPr>
                <w:ilvl w:val="0"/>
                <w:numId w:val="7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Копия приказа об увольнении № </w:t>
            </w:r>
            <w:r>
              <w:rPr>
                <w:sz w:val="24"/>
              </w:rPr>
              <w:t>…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 xml:space="preserve"> от 27.03.2019.</w:t>
            </w:r>
          </w:p>
          <w:p w14:paraId="C6000000">
            <w:pPr>
              <w:widowControl w:val="1"/>
              <w:numPr>
                <w:ilvl w:val="0"/>
                <w:numId w:val="7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Копия личной карточки учёта выдачи </w:t>
            </w:r>
            <w:r>
              <w:rPr>
                <w:sz w:val="24"/>
              </w:rPr>
              <w:t>СИЗ</w:t>
            </w:r>
            <w:r>
              <w:rPr>
                <w:sz w:val="24"/>
              </w:rPr>
              <w:t>.</w:t>
            </w:r>
          </w:p>
          <w:p w14:paraId="C7000000">
            <w:pPr>
              <w:widowControl w:val="1"/>
              <w:numPr>
                <w:ilvl w:val="0"/>
                <w:numId w:val="7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Акт инвентаризации/акт о выявлении недостачи.</w:t>
            </w:r>
          </w:p>
          <w:p w14:paraId="C8000000">
            <w:pPr>
              <w:widowControl w:val="1"/>
              <w:numPr>
                <w:ilvl w:val="0"/>
                <w:numId w:val="7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Документы о проведении служебной проверки (приказ о создании комиссии, акт комиссии, запрос объяснений, акт об отказе от дачи </w:t>
            </w:r>
            <w:r>
              <w:rPr>
                <w:sz w:val="24"/>
              </w:rPr>
              <w:t>объяснений — при наличии).</w:t>
            </w:r>
          </w:p>
          <w:p w14:paraId="C9000000">
            <w:pPr>
              <w:widowControl w:val="1"/>
              <w:numPr>
                <w:ilvl w:val="0"/>
                <w:numId w:val="7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Расчёт суммы ущерба с учётом износа.</w:t>
            </w:r>
          </w:p>
          <w:p w14:paraId="CA000000">
            <w:pPr>
              <w:widowControl w:val="1"/>
              <w:numPr>
                <w:ilvl w:val="0"/>
                <w:numId w:val="7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Досудебная претензия и доказательства её направления (почтовая квитанция, опись вложения, уведомление о вручении и т. п.).</w:t>
            </w:r>
          </w:p>
          <w:p w14:paraId="CB000000">
            <w:pPr>
              <w:widowControl w:val="1"/>
              <w:numPr>
                <w:ilvl w:val="0"/>
                <w:numId w:val="7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Иные документы, подтверждающие обстоятельства, на которых основаны требования.</w:t>
            </w:r>
          </w:p>
          <w:p w14:paraId="CC000000">
            <w:pPr>
              <w:widowControl w:val="1"/>
              <w:spacing w:afterAutospacing="on" w:beforeAutospacing="on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Дата:</w:t>
            </w:r>
            <w:r>
              <w:rPr>
                <w:sz w:val="24"/>
              </w:rPr>
              <w:t>…….</w:t>
            </w:r>
          </w:p>
          <w:p w14:paraId="CD000000">
            <w:pPr>
              <w:widowControl w:val="1"/>
              <w:spacing w:afterAutospacing="on" w:beforeAutospacing="on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Генеральный директор ООО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</w:t>
            </w:r>
          </w:p>
          <w:p w14:paraId="CE000000">
            <w:pPr>
              <w:widowControl w:val="1"/>
              <w:spacing w:afterAutospacing="on" w:beforeAutospacing="on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[Ф. И. О.] __________ (подпись)</w:t>
            </w:r>
          </w:p>
          <w:p w14:paraId="CF000000">
            <w:pPr>
              <w:widowControl w:val="1"/>
              <w:spacing w:afterAutospacing="on" w:beforeAutospacing="on"/>
              <w:ind/>
              <w:jc w:val="both"/>
              <w:rPr>
                <w:sz w:val="24"/>
              </w:rPr>
            </w:pP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 4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widowControl w:val="1"/>
              <w:spacing w:line="360" w:lineRule="auto"/>
              <w:ind w:firstLine="709" w:left="0"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ДОВЕРЕННОСТЬ</w:t>
            </w:r>
          </w:p>
          <w:p w14:paraId="D2000000">
            <w:pPr>
              <w:widowControl w:val="1"/>
              <w:spacing w:line="360" w:lineRule="auto"/>
              <w:ind w:firstLine="709" w:left="0"/>
              <w:jc w:val="right"/>
              <w:rPr>
                <w:sz w:val="24"/>
              </w:rPr>
            </w:pPr>
            <w:r>
              <w:rPr>
                <w:sz w:val="24"/>
              </w:rPr>
              <w:t>г. Москва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«</w:t>
            </w:r>
            <w:r>
              <w:rPr>
                <w:b w:val="1"/>
                <w:sz w:val="24"/>
              </w:rPr>
              <w:t>» __________ 20</w:t>
            </w:r>
            <w:r>
              <w:rPr>
                <w:sz w:val="24"/>
              </w:rPr>
              <w:t> г.</w:t>
            </w:r>
          </w:p>
          <w:p w14:paraId="D3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Общество с ограниченной ответственностью 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 (ООО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 xml:space="preserve">»), юридический адрес: г. Москва, улица Верхняя </w:t>
            </w:r>
            <w:r>
              <w:rPr>
                <w:sz w:val="24"/>
              </w:rPr>
              <w:t>Масловка</w:t>
            </w:r>
            <w:r>
              <w:rPr>
                <w:sz w:val="24"/>
              </w:rPr>
              <w:t>, дом 16, корпус 2, офис 35, ИНН ____, ОГРН ___, в лице генерального директора ____ (Ф. И. О.), действующего на основании Устава, уполномочивает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(Ф. И. О. представителя полностью)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дата рождения: ____, паспорт: серия ___ № ____, выдан ____, дата выдачи ___, код </w:t>
            </w:r>
            <w:r>
              <w:rPr>
                <w:sz w:val="24"/>
              </w:rPr>
              <w:t>подразделения___</w:t>
            </w:r>
            <w:r>
              <w:rPr>
                <w:sz w:val="24"/>
              </w:rPr>
              <w:t>, зарегистрирован по адресу: __,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представлять интересы ООО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»:</w:t>
            </w:r>
          </w:p>
          <w:p w14:paraId="D4000000">
            <w:pPr>
              <w:pStyle w:val="Style_3"/>
              <w:widowControl w:val="1"/>
              <w:numPr>
                <w:ilvl w:val="0"/>
                <w:numId w:val="8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 судах общей юрисдикции, арбитражных судах, у мировых судей;</w:t>
            </w:r>
          </w:p>
          <w:p w14:paraId="D5000000">
            <w:pPr>
              <w:widowControl w:val="1"/>
              <w:numPr>
                <w:ilvl w:val="0"/>
                <w:numId w:val="8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на всех стадиях процесса, включая апелляционное, кассационное и надзорное производство, а также на стадии исполнения судебных актов.</w:t>
            </w:r>
          </w:p>
          <w:p w14:paraId="D6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Для этого представителю предоставляются следующие полномочия:</w:t>
            </w:r>
          </w:p>
          <w:p w14:paraId="D7000000">
            <w:pPr>
              <w:widowControl w:val="1"/>
              <w:numPr>
                <w:ilvl w:val="0"/>
                <w:numId w:val="9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подписывать и предъявлять в суд исковые заявления, встречные иски, заявления о выдаче судебного приказа;</w:t>
            </w:r>
          </w:p>
          <w:p w14:paraId="D8000000">
            <w:pPr>
              <w:widowControl w:val="1"/>
              <w:numPr>
                <w:ilvl w:val="0"/>
                <w:numId w:val="9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подавать возражения на исковые заявления, отзывы, пояснения, ходатайства (в том числе об истребовании доказательств, о назначении экспертизы, об обеспечении иска);</w:t>
            </w:r>
          </w:p>
          <w:p w14:paraId="D9000000">
            <w:pPr>
              <w:widowControl w:val="1"/>
              <w:numPr>
                <w:ilvl w:val="0"/>
                <w:numId w:val="9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знакомиться с материалами дела, делать выписки, снимать </w:t>
            </w:r>
            <w:r>
              <w:rPr>
                <w:sz w:val="24"/>
              </w:rPr>
              <w:t>копии;</w:t>
            </w:r>
          </w:p>
          <w:p w14:paraId="DA000000">
            <w:pPr>
              <w:widowControl w:val="1"/>
              <w:numPr>
                <w:ilvl w:val="0"/>
                <w:numId w:val="9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участвовать в судебных заседаниях, давать объяснения суду, задавать вопросы участникам процесса, свидетелям, экспертам;</w:t>
            </w:r>
          </w:p>
          <w:p w14:paraId="DB000000">
            <w:pPr>
              <w:widowControl w:val="1"/>
              <w:numPr>
                <w:ilvl w:val="0"/>
                <w:numId w:val="9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изменять предмет или основание иска, уменьшать или увеличивать размер исковых требований, полностью или частично отказываться от иска, признавать иск, заключать мировое соглашение;</w:t>
            </w:r>
          </w:p>
          <w:p w14:paraId="DC000000">
            <w:pPr>
              <w:widowControl w:val="1"/>
              <w:numPr>
                <w:ilvl w:val="0"/>
                <w:numId w:val="9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обжаловать судебные акты (подавать апелляционные, кассационные, надзорные жалобы), заявлять возражения на жалобы других лиц;</w:t>
            </w:r>
          </w:p>
          <w:p w14:paraId="DD000000">
            <w:pPr>
              <w:widowControl w:val="1"/>
              <w:numPr>
                <w:ilvl w:val="0"/>
                <w:numId w:val="9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получать копии судебных актов, исполнительные листы, предъявлять их к исполнению;</w:t>
            </w:r>
          </w:p>
          <w:p w14:paraId="DE000000">
            <w:pPr>
              <w:widowControl w:val="1"/>
              <w:numPr>
                <w:ilvl w:val="0"/>
                <w:numId w:val="9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совершать иные процессуальные действия, необходимые для защиты интересов доверителя в рамках дела о взыскании стоимости невозвращённых средств индивидуальной защиты со Скокова Кирилла Андреевича.</w:t>
            </w:r>
          </w:p>
          <w:p w14:paraId="DF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Доверенность выдана сроком на  1 год </w:t>
            </w:r>
            <w:r>
              <w:rPr>
                <w:sz w:val="24"/>
              </w:rPr>
              <w:t>с даты</w:t>
            </w:r>
            <w:r>
              <w:rPr>
                <w:sz w:val="24"/>
              </w:rPr>
              <w:t xml:space="preserve"> её подписания.</w:t>
            </w:r>
          </w:p>
          <w:p w14:paraId="E0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Право передо</w:t>
            </w:r>
            <w:r>
              <w:rPr>
                <w:sz w:val="24"/>
              </w:rPr>
              <w:t xml:space="preserve">верия полномочий другим лицам: </w:t>
            </w:r>
            <w:r>
              <w:rPr>
                <w:sz w:val="24"/>
              </w:rPr>
              <w:t xml:space="preserve"> «предоставляется»</w:t>
            </w:r>
          </w:p>
          <w:p w14:paraId="E1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Подпись представителя удостоверяю.</w:t>
            </w:r>
          </w:p>
          <w:p w14:paraId="E2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Генеральный директор ООО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</w:t>
            </w:r>
          </w:p>
          <w:p w14:paraId="E3000000">
            <w:pPr>
              <w:widowControl w:val="1"/>
              <w:spacing w:line="360" w:lineRule="auto"/>
              <w:ind w:firstLine="709" w:left="0"/>
              <w:jc w:val="right"/>
              <w:rPr>
                <w:sz w:val="24"/>
              </w:rPr>
            </w:pPr>
            <w:r>
              <w:rPr>
                <w:sz w:val="24"/>
              </w:rPr>
              <w:t>____</w:t>
            </w:r>
            <w:r>
              <w:rPr>
                <w:sz w:val="24"/>
              </w:rPr>
              <w:t>____ /_________/</w:t>
            </w:r>
          </w:p>
          <w:p w14:paraId="E4000000">
            <w:pPr>
              <w:widowControl w:val="1"/>
              <w:spacing w:line="360" w:lineRule="auto"/>
              <w:ind w:firstLine="709" w:left="0"/>
              <w:jc w:val="right"/>
              <w:rPr>
                <w:sz w:val="24"/>
              </w:rPr>
            </w:pPr>
            <w:r>
              <w:rPr>
                <w:sz w:val="24"/>
              </w:rPr>
              <w:t>(подпись) (Ф. И. О.)</w:t>
            </w:r>
          </w:p>
          <w:p w14:paraId="E5000000">
            <w:pPr>
              <w:rPr>
                <w:sz w:val="24"/>
              </w:rPr>
            </w:pPr>
          </w:p>
        </w:tc>
      </w:tr>
      <w:tr>
        <w:trPr>
          <w:trHeight w:hRule="atLeast" w:val="1517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 5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Подготов</w:t>
            </w:r>
            <w:r>
              <w:rPr>
                <w:sz w:val="24"/>
              </w:rPr>
              <w:t xml:space="preserve">лена </w:t>
            </w:r>
            <w:r>
              <w:rPr>
                <w:sz w:val="24"/>
              </w:rPr>
              <w:t xml:space="preserve"> презентаци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>, с рекомендациями по подготовке документов, подтверждающих нарушения трудовой дисциплины со стороны работника с целью обеспечения законного увольнения</w:t>
            </w:r>
            <w:r>
              <w:rPr>
                <w:sz w:val="24"/>
              </w:rPr>
              <w:t xml:space="preserve"> в формате </w:t>
            </w:r>
            <w:r>
              <w:rPr>
                <w:sz w:val="24"/>
              </w:rPr>
              <w:t>Microsoft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PowerPoint</w:t>
            </w:r>
          </w:p>
        </w:tc>
      </w:tr>
    </w:tbl>
    <w:p w14:paraId="E8000000">
      <w:pPr>
        <w:keepNext w:val="1"/>
        <w:tabs>
          <w:tab w:leader="none" w:pos="709" w:val="left"/>
          <w:tab w:leader="none" w:pos="851" w:val="left"/>
        </w:tabs>
        <w:ind/>
        <w:rPr>
          <w:sz w:val="20"/>
        </w:rPr>
      </w:pPr>
    </w:p>
    <w:p w14:paraId="E9000000">
      <w:pPr>
        <w:keepNext w:val="1"/>
        <w:tabs>
          <w:tab w:leader="none" w:pos="709" w:val="left"/>
          <w:tab w:leader="none" w:pos="851" w:val="left"/>
        </w:tabs>
        <w:ind/>
        <w:rPr>
          <w:sz w:val="20"/>
        </w:rPr>
      </w:pPr>
    </w:p>
    <w:p w14:paraId="EA000000">
      <w:pPr>
        <w:keepNext w:val="1"/>
        <w:tabs>
          <w:tab w:leader="none" w:pos="709" w:val="left"/>
          <w:tab w:leader="none" w:pos="851" w:val="left"/>
        </w:tabs>
        <w:ind/>
        <w:rPr>
          <w:sz w:val="20"/>
        </w:rPr>
      </w:pPr>
    </w:p>
    <w:p w14:paraId="EB000000">
      <w:pPr>
        <w:keepNext w:val="1"/>
        <w:tabs>
          <w:tab w:leader="none" w:pos="709" w:val="left"/>
          <w:tab w:leader="none" w:pos="851" w:val="left"/>
        </w:tabs>
        <w:ind/>
        <w:rPr>
          <w:sz w:val="20"/>
        </w:rPr>
      </w:pPr>
    </w:p>
    <w:p w14:paraId="EC000000">
      <w:pPr>
        <w:keepNext w:val="1"/>
        <w:tabs>
          <w:tab w:leader="none" w:pos="709" w:val="left"/>
          <w:tab w:leader="none" w:pos="851" w:val="left"/>
        </w:tabs>
        <w:ind/>
        <w:rPr>
          <w:sz w:val="20"/>
        </w:rPr>
      </w:pPr>
    </w:p>
    <w:p w14:paraId="ED000000">
      <w:pPr>
        <w:keepNext w:val="1"/>
        <w:tabs>
          <w:tab w:leader="none" w:pos="709" w:val="left"/>
          <w:tab w:leader="none" w:pos="851" w:val="left"/>
        </w:tabs>
        <w:ind/>
        <w:rPr>
          <w:sz w:val="20"/>
        </w:rPr>
      </w:pPr>
    </w:p>
    <w:p w14:paraId="EE000000">
      <w:pPr>
        <w:keepNext w:val="1"/>
        <w:tabs>
          <w:tab w:leader="none" w:pos="709" w:val="left"/>
          <w:tab w:leader="none" w:pos="851" w:val="left"/>
        </w:tabs>
        <w:ind/>
        <w:rPr>
          <w:sz w:val="20"/>
        </w:rPr>
      </w:pPr>
    </w:p>
    <w:p w14:paraId="EF000000">
      <w:pPr>
        <w:keepNext w:val="1"/>
        <w:tabs>
          <w:tab w:leader="none" w:pos="709" w:val="left"/>
          <w:tab w:leader="none" w:pos="851" w:val="left"/>
        </w:tabs>
        <w:ind/>
        <w:rPr>
          <w:sz w:val="20"/>
        </w:rPr>
      </w:pPr>
    </w:p>
    <w:p w14:paraId="F0000000">
      <w:pPr>
        <w:keepNext w:val="1"/>
        <w:tabs>
          <w:tab w:leader="none" w:pos="709" w:val="left"/>
          <w:tab w:leader="none" w:pos="851" w:val="left"/>
        </w:tabs>
        <w:ind/>
        <w:rPr>
          <w:sz w:val="20"/>
        </w:rPr>
      </w:pPr>
    </w:p>
    <w:tbl>
      <w:tblPr>
        <w:tblStyle w:val="Style_2"/>
        <w:tblLayout w:type="fixed"/>
      </w:tblPr>
      <w:tblGrid>
        <w:gridCol w:w="3592"/>
        <w:gridCol w:w="5668"/>
      </w:tblGrid>
      <w:tr>
        <w:trPr>
          <w:trHeight w:hRule="atLeast" w:val="519"/>
        </w:trPr>
        <w:tc>
          <w:tcPr>
            <w:tcW w:type="dxa" w:w="3592"/>
          </w:tcPr>
          <w:p w14:paraId="F1000000">
            <w:pPr>
              <w:pStyle w:val="Style_1"/>
              <w:spacing w:after="0" w:before="0"/>
              <w:ind/>
              <w:jc w:val="both"/>
              <w:rPr>
                <w:highlight w:val="white"/>
              </w:rPr>
            </w:pPr>
            <w:r>
              <w:t>Дата:</w:t>
            </w:r>
            <w:r>
              <w:rPr>
                <w:sz w:val="28"/>
              </w:rPr>
              <w:t xml:space="preserve"> </w:t>
            </w:r>
            <w:r>
              <w:rPr>
                <w:highlight w:val="white"/>
              </w:rPr>
              <w:t>26.07.2026</w:t>
            </w:r>
            <w:r>
              <w:rPr>
                <w:highlight w:val="white"/>
              </w:rPr>
              <w:t>г.</w:t>
            </w:r>
            <w:r>
              <w:rPr>
                <w:highlight w:val="white"/>
              </w:rPr>
              <w:t xml:space="preserve"> </w:t>
            </w:r>
          </w:p>
          <w:p w14:paraId="F2000000">
            <w:pPr>
              <w:spacing w:line="276" w:lineRule="auto"/>
              <w:ind/>
              <w:rPr>
                <w:sz w:val="28"/>
              </w:rPr>
            </w:pPr>
          </w:p>
        </w:tc>
        <w:tc>
          <w:tcPr>
            <w:tcW w:type="dxa" w:w="5668"/>
          </w:tcPr>
          <w:p w14:paraId="F3000000">
            <w:pPr>
              <w:spacing w:line="276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_________   </w:t>
            </w:r>
          </w:p>
          <w:p w14:paraId="F4000000">
            <w:pPr>
              <w:spacing w:line="276" w:lineRule="auto"/>
              <w:ind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</w:t>
            </w:r>
            <w:r>
              <w:rPr>
                <w:sz w:val="24"/>
                <w:vertAlign w:val="superscript"/>
              </w:rPr>
              <w:t>одпись</w:t>
            </w:r>
            <w:r>
              <w:rPr>
                <w:sz w:val="24"/>
                <w:vertAlign w:val="superscript"/>
              </w:rPr>
              <w:t>)</w:t>
            </w:r>
            <w:r>
              <w:rPr>
                <w:sz w:val="24"/>
                <w:vertAlign w:val="superscript"/>
              </w:rPr>
              <w:t xml:space="preserve">                                                    </w:t>
            </w:r>
            <w:r>
              <w:rPr>
                <w:sz w:val="24"/>
                <w:vertAlign w:val="superscript"/>
              </w:rPr>
              <w:t>(</w:t>
            </w:r>
            <w:r>
              <w:rPr>
                <w:sz w:val="24"/>
                <w:vertAlign w:val="superscript"/>
              </w:rPr>
              <w:t xml:space="preserve">ФИО </w:t>
            </w:r>
            <w:r>
              <w:rPr>
                <w:sz w:val="24"/>
                <w:vertAlign w:val="superscript"/>
              </w:rPr>
              <w:t>обучающегося</w:t>
            </w:r>
            <w:r>
              <w:rPr>
                <w:sz w:val="24"/>
                <w:vertAlign w:val="superscript"/>
              </w:rPr>
              <w:t>)</w:t>
            </w:r>
          </w:p>
        </w:tc>
      </w:tr>
    </w:tbl>
    <w:p w14:paraId="F5000000">
      <w:pPr>
        <w:ind/>
        <w:jc w:val="both"/>
        <w:rPr>
          <w:sz w:val="24"/>
        </w:rPr>
      </w:pPr>
    </w:p>
    <w:p w14:paraId="F6000000">
      <w:pPr>
        <w:ind/>
        <w:jc w:val="both"/>
        <w:rPr>
          <w:sz w:val="24"/>
        </w:rPr>
      </w:pPr>
    </w:p>
    <w:p w14:paraId="F7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spacing w:after="0" w:line="240" w:lineRule="auto"/>
      <w:ind/>
    </w:pPr>
    <w:rPr>
      <w:rFonts w:ascii="Times New Roman" w:hAnsi="Times New Roman"/>
    </w:rPr>
  </w:style>
  <w:style w:default="1" w:styleId="Style_4_ch" w:type="character">
    <w:name w:val="Normal"/>
    <w:link w:val="Style_4"/>
    <w:rPr>
      <w:rFonts w:ascii="Times New Roman" w:hAnsi="Times New Roman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3" w:type="paragraph">
    <w:name w:val="List Paragraph"/>
    <w:basedOn w:val="Style_4"/>
    <w:link w:val="Style_3_ch"/>
    <w:pPr>
      <w:ind w:firstLine="0" w:left="220"/>
    </w:pPr>
  </w:style>
  <w:style w:styleId="Style_3_ch" w:type="character">
    <w:name w:val="List Paragraph"/>
    <w:basedOn w:val="Style_4_ch"/>
    <w:link w:val="Style_3"/>
  </w:style>
  <w:style w:styleId="Style_10" w:type="paragraph">
    <w:name w:val="toc 3"/>
    <w:next w:val="Style_4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futurismarkdown-word"/>
    <w:basedOn w:val="Style_12"/>
    <w:link w:val="Style_11_ch"/>
  </w:style>
  <w:style w:styleId="Style_11_ch" w:type="character">
    <w:name w:val="futurismarkdown-word"/>
    <w:basedOn w:val="Style_12_ch"/>
    <w:link w:val="Style_11"/>
  </w:style>
  <w:style w:styleId="Style_13" w:type="paragraph">
    <w:name w:val="futurisfootnotegroup"/>
    <w:basedOn w:val="Style_12"/>
    <w:link w:val="Style_13_ch"/>
  </w:style>
  <w:style w:styleId="Style_13_ch" w:type="character">
    <w:name w:val="futurisfootnotegroup"/>
    <w:basedOn w:val="Style_12_ch"/>
    <w:link w:val="Style_13"/>
  </w:style>
  <w:style w:styleId="Style_14" w:type="paragraph">
    <w:name w:val="heading 5"/>
    <w:next w:val="Style_4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Strong"/>
    <w:basedOn w:val="Style_12"/>
    <w:link w:val="Style_15_ch"/>
    <w:rPr>
      <w:b w:val="1"/>
    </w:rPr>
  </w:style>
  <w:style w:styleId="Style_15_ch" w:type="character">
    <w:name w:val="Strong"/>
    <w:basedOn w:val="Style_12_ch"/>
    <w:link w:val="Style_15"/>
    <w:rPr>
      <w:b w:val="1"/>
    </w:rPr>
  </w:style>
  <w:style w:styleId="Style_16" w:type="paragraph">
    <w:name w:val="heading 1"/>
    <w:next w:val="Style_4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Normal (Web)"/>
    <w:basedOn w:val="Style_4"/>
    <w:link w:val="Style_17_ch"/>
    <w:pPr>
      <w:widowControl w:val="1"/>
      <w:spacing w:afterAutospacing="on" w:beforeAutospacing="on"/>
      <w:ind/>
    </w:pPr>
    <w:rPr>
      <w:sz w:val="24"/>
    </w:rPr>
  </w:style>
  <w:style w:styleId="Style_17_ch" w:type="character">
    <w:name w:val="Normal (Web)"/>
    <w:basedOn w:val="Style_4_ch"/>
    <w:link w:val="Style_17"/>
    <w:rPr>
      <w:sz w:val="24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4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22" w:type="paragraph">
    <w:name w:val="toc 9"/>
    <w:next w:val="Style_4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1" w:type="paragraph">
    <w:name w:val="resume-tile__text"/>
    <w:basedOn w:val="Style_4"/>
    <w:link w:val="Style_1_ch"/>
    <w:pPr>
      <w:widowControl w:val="1"/>
      <w:spacing w:afterAutospacing="on" w:beforeAutospacing="on"/>
      <w:ind/>
    </w:pPr>
    <w:rPr>
      <w:sz w:val="24"/>
    </w:rPr>
  </w:style>
  <w:style w:styleId="Style_1_ch" w:type="character">
    <w:name w:val="resume-tile__text"/>
    <w:basedOn w:val="Style_4_ch"/>
    <w:link w:val="Style_1"/>
    <w:rPr>
      <w:sz w:val="24"/>
    </w:rPr>
  </w:style>
  <w:style w:styleId="Style_23" w:type="paragraph">
    <w:name w:val="toc 8"/>
    <w:next w:val="Style_4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24" w:type="paragraph">
    <w:name w:val="toc 5"/>
    <w:next w:val="Style_4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4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4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4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basedOn w:val="Style_4"/>
    <w:link w:val="Style_28_ch"/>
    <w:uiPriority w:val="9"/>
    <w:qFormat/>
    <w:pPr>
      <w:widowControl w:val="1"/>
      <w:spacing w:afterAutospacing="on" w:beforeAutospacing="on"/>
      <w:ind/>
      <w:outlineLvl w:val="1"/>
    </w:pPr>
    <w:rPr>
      <w:b w:val="1"/>
      <w:sz w:val="36"/>
    </w:rPr>
  </w:style>
  <w:style w:styleId="Style_28_ch" w:type="character">
    <w:name w:val="heading 2"/>
    <w:basedOn w:val="Style_4_ch"/>
    <w:link w:val="Style_28"/>
    <w:rPr>
      <w:b w:val="1"/>
      <w:sz w:val="36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2026-09-01T09:21:42Z</dcterms:modified>
</cp:coreProperties>
</file>