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spacing w:before="0"/>
        <w:ind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3. ОХРАНА ТРУДА</w:t>
      </w:r>
    </w:p>
    <w:p w14:paraId="08000000">
      <w:pPr>
        <w:rPr>
          <w:sz w:val="32"/>
        </w:rPr>
      </w:pPr>
    </w:p>
    <w:p w14:paraId="09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3.1 </w:t>
      </w:r>
      <w:bookmarkStart w:id="1" w:name="_Hlk193964876"/>
      <w:r>
        <w:rPr>
          <w:rFonts w:ascii="Times New Roman" w:hAnsi="Times New Roman"/>
          <w:b w:val="1"/>
          <w:color w:val="000000"/>
        </w:rPr>
        <w:t>Охрана труда и техника безопасности</w:t>
      </w:r>
      <w:r>
        <w:rPr>
          <w:rFonts w:ascii="Times New Roman" w:hAnsi="Times New Roman"/>
          <w:b w:val="1"/>
          <w:color w:val="000000"/>
        </w:rPr>
        <w:t xml:space="preserve"> </w:t>
      </w:r>
    </w:p>
    <w:p w14:paraId="0A000000">
      <w:pPr>
        <w:rPr>
          <w:sz w:val="32"/>
        </w:rPr>
      </w:pPr>
    </w:p>
    <w:p w14:paraId="0B000000">
      <w:pPr>
        <w:widowControl w:val="0"/>
        <w:ind w:firstLine="708" w:left="0" w:right="368"/>
      </w:pPr>
      <w:r>
        <w:t xml:space="preserve">Металлообрабатывающие участки представляют собой специализированные производственные зоны, в которых выполняется широкий спектр операций, связанных с резанием, сваркой, механической обработкой и термическим воздействием на металлические материалы. Учитывая повышенную опасность данных процессов, организация работ требует строгого соблюдения норм охраны труда и регламентов промышленной безопасности. Соблюдение установленных требований обеспечивает снижение вероятности производственного травматизма, предотвращает аварийные остановки оборудования и способствует устойчивому функционированию производственного цикла. Ниже приведены основные опасные факторы, требования безопасности и методы защиты персонала, характерные для металлообрабатывающего производства </w:t>
      </w:r>
      <w:r>
        <w:t>источники</w:t>
      </w:r>
      <w:r>
        <w:t xml:space="preserve"> </w:t>
      </w:r>
      <w:r>
        <w:t>[</w:t>
      </w:r>
      <w:r>
        <w:t>17</w:t>
      </w:r>
      <w:r>
        <w:t>]</w:t>
      </w:r>
      <w:r>
        <w:t>.</w:t>
      </w:r>
    </w:p>
    <w:p w14:paraId="0C000000">
      <w:pPr>
        <w:widowControl w:val="0"/>
        <w:ind w:firstLine="708" w:left="0" w:right="368"/>
      </w:pPr>
      <w:r>
        <w:t>1. Общие положения по охране труда</w:t>
      </w:r>
    </w:p>
    <w:p w14:paraId="0D000000">
      <w:pPr>
        <w:widowControl w:val="0"/>
        <w:ind w:firstLine="708" w:left="0" w:right="368"/>
      </w:pPr>
      <w:r>
        <w:t>Охрана труда представляет собой совокупность организационных, технических и профилактических мероприятий, направленных на обеспечение безопасных условий выполнения производственных операций.</w:t>
      </w:r>
    </w:p>
    <w:p w14:paraId="0E000000">
      <w:pPr>
        <w:widowControl w:val="0"/>
        <w:ind w:firstLine="708" w:left="0" w:right="368"/>
      </w:pPr>
      <w:r>
        <w:t>1.1 Организация безопасной рабочей зоны</w:t>
      </w:r>
    </w:p>
    <w:p w14:paraId="0F000000">
      <w:pPr>
        <w:widowControl w:val="0"/>
        <w:ind w:firstLine="708" w:left="0" w:right="368"/>
      </w:pPr>
      <w:r>
        <w:t xml:space="preserve">Рабочее пространство должно быть сформировано с учётом требований эргономики и нормативных расстояний между технологическим оборудованием. Органы управления станками, инструмент и вспомогательные приспособления размещаются таким образом, чтобы исключить вероятность случайных травм. Все единицы оборудования подлежат регулярному техническому обслуживанию, </w:t>
      </w:r>
      <w:r>
        <w:t>включая проверку исправности защитных кожухов, блокировочных устройств и аварийных систем, предотвращающих несанкционированный запуск механизмов</w:t>
      </w:r>
      <w:r>
        <w:t xml:space="preserve"> </w:t>
      </w:r>
      <w:r>
        <w:t>[</w:t>
      </w:r>
      <w:r>
        <w:t>18</w:t>
      </w:r>
      <w:r>
        <w:t>]</w:t>
      </w:r>
      <w:r>
        <w:t>.</w:t>
      </w:r>
    </w:p>
    <w:p w14:paraId="10000000">
      <w:pPr>
        <w:widowControl w:val="0"/>
        <w:ind w:firstLine="708" w:left="0" w:right="368"/>
      </w:pPr>
      <w:r>
        <w:t>1.2 Применение средств индивидуальной защиты</w:t>
      </w:r>
    </w:p>
    <w:p w14:paraId="11000000">
      <w:pPr>
        <w:widowControl w:val="0"/>
        <w:ind w:firstLine="708" w:left="0" w:right="368"/>
      </w:pPr>
      <w:r>
        <w:t>Работники обязаны использовать сертифицированные средства индивидуальной защиты, соответствующие характеру выполняемых операций:</w:t>
      </w:r>
    </w:p>
    <w:p w14:paraId="12000000">
      <w:pPr>
        <w:widowControl w:val="0"/>
        <w:ind w:firstLine="708" w:left="0" w:right="368"/>
      </w:pPr>
      <w:r>
        <w:t xml:space="preserve">- </w:t>
      </w:r>
      <w:r>
        <w:t>защитная спецодежда с термостойкими свойствами;</w:t>
      </w:r>
    </w:p>
    <w:p w14:paraId="13000000">
      <w:pPr>
        <w:widowControl w:val="0"/>
        <w:ind w:firstLine="708" w:left="0" w:right="368"/>
      </w:pPr>
      <w:r>
        <w:t xml:space="preserve">- </w:t>
      </w:r>
      <w:r>
        <w:t>перчатки, устойчивые к механическим воздействиям и нагреву;</w:t>
      </w:r>
    </w:p>
    <w:p w14:paraId="14000000">
      <w:pPr>
        <w:widowControl w:val="0"/>
        <w:ind w:firstLine="708" w:left="0" w:right="368"/>
      </w:pPr>
      <w:r>
        <w:t xml:space="preserve">- </w:t>
      </w:r>
      <w:r>
        <w:t>защитные очки или лицевые щитки для предотвращения попадания стружки и искр;</w:t>
      </w:r>
    </w:p>
    <w:p w14:paraId="15000000">
      <w:pPr>
        <w:widowControl w:val="0"/>
        <w:ind w:firstLine="708" w:left="0" w:right="368"/>
      </w:pPr>
      <w:r>
        <w:t xml:space="preserve">- </w:t>
      </w:r>
      <w:r>
        <w:t>респираторы при работе с химическими веществами и аэрозолями;</w:t>
      </w:r>
    </w:p>
    <w:p w14:paraId="16000000">
      <w:pPr>
        <w:widowControl w:val="0"/>
        <w:ind w:firstLine="708" w:left="0" w:right="368"/>
      </w:pPr>
      <w:r>
        <w:t xml:space="preserve">- </w:t>
      </w:r>
      <w:r>
        <w:t xml:space="preserve">специальная обувь с </w:t>
      </w:r>
      <w:r>
        <w:t>усиленным</w:t>
      </w:r>
      <w:r>
        <w:t xml:space="preserve"> </w:t>
      </w:r>
      <w:r>
        <w:t>подноском</w:t>
      </w:r>
      <w:r>
        <w:t xml:space="preserve"> и противоскользящей подошвой.</w:t>
      </w:r>
    </w:p>
    <w:p w14:paraId="17000000">
      <w:pPr>
        <w:widowControl w:val="0"/>
        <w:ind w:firstLine="708" w:left="0" w:right="368"/>
      </w:pPr>
      <w:r>
        <w:t>1.3 Инструктаж и обучение персонала</w:t>
      </w:r>
    </w:p>
    <w:p w14:paraId="18000000">
      <w:pPr>
        <w:widowControl w:val="0"/>
        <w:ind w:firstLine="708" w:left="0" w:right="368"/>
      </w:pPr>
      <w:r>
        <w:t>Перед допуском к работе сотрудники проходят обязательный инструктаж, включающий:</w:t>
      </w:r>
    </w:p>
    <w:p w14:paraId="19000000">
      <w:pPr>
        <w:widowControl w:val="0"/>
        <w:ind w:firstLine="708" w:left="0" w:right="368"/>
      </w:pPr>
      <w:r>
        <w:t xml:space="preserve">- </w:t>
      </w:r>
      <w:r>
        <w:t>первичное обучение при приёме на работу;</w:t>
      </w:r>
    </w:p>
    <w:p w14:paraId="1A000000">
      <w:pPr>
        <w:widowControl w:val="0"/>
        <w:ind w:firstLine="708" w:left="0" w:right="368"/>
      </w:pPr>
      <w:r>
        <w:t xml:space="preserve">- </w:t>
      </w:r>
      <w:r>
        <w:t>периодический инструктаж не реже одного раза в шесть месяцев;</w:t>
      </w:r>
    </w:p>
    <w:p w14:paraId="1B000000">
      <w:pPr>
        <w:widowControl w:val="0"/>
        <w:ind w:firstLine="708" w:left="0" w:right="368"/>
      </w:pPr>
      <w:r>
        <w:t xml:space="preserve">- </w:t>
      </w:r>
      <w:r>
        <w:t>внеплановые занятия при изменении технологического процесса или модернизации оборудования;</w:t>
      </w:r>
    </w:p>
    <w:p w14:paraId="1C000000">
      <w:pPr>
        <w:widowControl w:val="0"/>
        <w:ind w:firstLine="708" w:left="0" w:right="368"/>
      </w:pPr>
      <w:r>
        <w:t xml:space="preserve">- </w:t>
      </w:r>
      <w:r>
        <w:t>практические тренировки по оказанию первой помощи и действиям в аварийных ситуациях.</w:t>
      </w:r>
    </w:p>
    <w:p w14:paraId="1D000000">
      <w:pPr>
        <w:widowControl w:val="0"/>
        <w:ind w:firstLine="708" w:left="0" w:right="368"/>
      </w:pPr>
      <w:r>
        <w:t>2. Опасные производственные факторы и меры их предотвращения</w:t>
      </w:r>
    </w:p>
    <w:p w14:paraId="1E000000">
      <w:pPr>
        <w:widowControl w:val="0"/>
        <w:ind w:firstLine="708" w:left="0" w:right="368"/>
      </w:pPr>
      <w:r>
        <w:t>2.1 Механические травмы</w:t>
      </w:r>
    </w:p>
    <w:p w14:paraId="1F000000">
      <w:pPr>
        <w:widowControl w:val="0"/>
        <w:ind w:firstLine="708" w:left="0" w:right="368"/>
      </w:pPr>
      <w:r>
        <w:t>Эксплуатация металлорежущих станков, прессового оборудования и сварочных установок сопровождается риском порезов, защемлений и ударных повреждений.</w:t>
      </w:r>
    </w:p>
    <w:p w14:paraId="20000000">
      <w:pPr>
        <w:widowControl w:val="0"/>
        <w:ind w:firstLine="708" w:left="0" w:right="368"/>
      </w:pPr>
      <w:r>
        <w:t>Меры предотвращения:</w:t>
      </w:r>
    </w:p>
    <w:p w14:paraId="21000000">
      <w:pPr>
        <w:widowControl w:val="0"/>
        <w:ind w:firstLine="708" w:left="0" w:right="368"/>
      </w:pPr>
      <w:r>
        <w:t xml:space="preserve">- </w:t>
      </w:r>
      <w:r>
        <w:t>установка защитных ограждений и кожухов;</w:t>
      </w:r>
    </w:p>
    <w:p w14:paraId="22000000">
      <w:pPr>
        <w:widowControl w:val="0"/>
        <w:ind w:firstLine="708" w:left="0" w:right="368"/>
      </w:pPr>
      <w:r>
        <w:t xml:space="preserve">- </w:t>
      </w:r>
      <w:r>
        <w:t>применение блокировок, исключающих случайное включение;</w:t>
      </w:r>
    </w:p>
    <w:p w14:paraId="23000000">
      <w:pPr>
        <w:widowControl w:val="0"/>
        <w:ind w:firstLine="708" w:left="0" w:right="368"/>
      </w:pPr>
      <w:r>
        <w:t xml:space="preserve">- </w:t>
      </w:r>
      <w:r>
        <w:t>соблюдение эксплуатационных инструкций и технологических регламентов.</w:t>
      </w:r>
    </w:p>
    <w:p w14:paraId="24000000">
      <w:pPr>
        <w:widowControl w:val="0"/>
        <w:ind w:firstLine="708" w:left="0" w:right="368"/>
      </w:pPr>
      <w:r>
        <w:t>2.2 Термические и химические ожоги</w:t>
      </w:r>
    </w:p>
    <w:p w14:paraId="25000000">
      <w:pPr>
        <w:widowControl w:val="0"/>
        <w:ind w:firstLine="708" w:left="0" w:right="368"/>
      </w:pPr>
      <w:r>
        <w:t>При выполнении операций термической обработки возможно воздействие высоких температур, расплавленного металла и нагретых поверхностей.</w:t>
      </w:r>
    </w:p>
    <w:p w14:paraId="26000000">
      <w:pPr>
        <w:widowControl w:val="0"/>
        <w:ind w:firstLine="708" w:left="0" w:right="368"/>
      </w:pPr>
      <w:r>
        <w:t>Меры предотвращения:</w:t>
      </w:r>
    </w:p>
    <w:p w14:paraId="27000000">
      <w:pPr>
        <w:widowControl w:val="0"/>
        <w:ind w:firstLine="708" w:left="0" w:right="368"/>
      </w:pPr>
      <w:r>
        <w:t xml:space="preserve">- </w:t>
      </w:r>
      <w:r>
        <w:t>использование термостойкой спецодежды;</w:t>
      </w:r>
    </w:p>
    <w:p w14:paraId="28000000">
      <w:pPr>
        <w:widowControl w:val="0"/>
        <w:ind w:firstLine="708" w:left="0" w:right="368"/>
      </w:pPr>
      <w:r>
        <w:t xml:space="preserve">- </w:t>
      </w:r>
      <w:r>
        <w:t>применение теплоизоляционных экранов;</w:t>
      </w:r>
    </w:p>
    <w:p w14:paraId="29000000">
      <w:pPr>
        <w:widowControl w:val="0"/>
        <w:ind w:firstLine="708" w:left="0" w:right="368"/>
      </w:pPr>
      <w:r>
        <w:t xml:space="preserve">- </w:t>
      </w:r>
      <w:r>
        <w:t>контроль температурных параметров оборудования.</w:t>
      </w:r>
    </w:p>
    <w:p w14:paraId="2A000000">
      <w:pPr>
        <w:widowControl w:val="0"/>
        <w:ind w:firstLine="708" w:left="0" w:right="368"/>
      </w:pPr>
      <w:r>
        <w:t>2.3 Воздействие вредных химических веществ</w:t>
      </w:r>
    </w:p>
    <w:p w14:paraId="2B000000">
      <w:pPr>
        <w:widowControl w:val="0"/>
        <w:ind w:firstLine="708" w:left="0" w:right="368"/>
      </w:pPr>
      <w:r>
        <w:t>Смазочно</w:t>
      </w:r>
      <w:r>
        <w:t>охлаждающие жидкости, масла и технологические реагенты могут обладать токсичными свойствами.</w:t>
      </w:r>
    </w:p>
    <w:p w14:paraId="2C000000">
      <w:pPr>
        <w:widowControl w:val="0"/>
        <w:ind w:firstLine="708" w:left="0" w:right="368"/>
      </w:pPr>
      <w:r>
        <w:t>Меры предотвращения:</w:t>
      </w:r>
    </w:p>
    <w:p w14:paraId="2D000000">
      <w:pPr>
        <w:widowControl w:val="0"/>
        <w:ind w:firstLine="708" w:left="0" w:right="368"/>
      </w:pPr>
      <w:r>
        <w:t xml:space="preserve">- </w:t>
      </w:r>
      <w:r>
        <w:t>организация эффективной вентиляции;</w:t>
      </w:r>
    </w:p>
    <w:p w14:paraId="2E000000">
      <w:pPr>
        <w:widowControl w:val="0"/>
        <w:ind w:firstLine="708" w:left="0" w:right="368"/>
      </w:pPr>
      <w:r>
        <w:t xml:space="preserve">- </w:t>
      </w:r>
      <w:r>
        <w:t>применение респираторов и защитных масок;</w:t>
      </w:r>
    </w:p>
    <w:p w14:paraId="2F000000">
      <w:pPr>
        <w:widowControl w:val="0"/>
        <w:ind w:firstLine="708" w:left="0" w:right="368"/>
      </w:pPr>
      <w:r>
        <w:t xml:space="preserve">- </w:t>
      </w:r>
      <w:r>
        <w:t>контроль концентрации вредных веществ в воздухе рабочей зоны.</w:t>
      </w:r>
    </w:p>
    <w:p w14:paraId="30000000">
      <w:pPr>
        <w:widowControl w:val="0"/>
        <w:ind w:firstLine="708" w:left="0" w:right="368"/>
      </w:pPr>
      <w:r>
        <w:t xml:space="preserve">2.4 </w:t>
      </w:r>
      <w:r>
        <w:t>Электротравмы</w:t>
      </w:r>
    </w:p>
    <w:p w14:paraId="31000000">
      <w:pPr>
        <w:widowControl w:val="0"/>
        <w:ind w:firstLine="708" w:left="0" w:right="368"/>
      </w:pPr>
      <w:r>
        <w:t>Работа с электрооборудованием требует соблюдения правил электробезопасности.</w:t>
      </w:r>
    </w:p>
    <w:p w14:paraId="32000000">
      <w:pPr>
        <w:widowControl w:val="0"/>
        <w:ind w:firstLine="708" w:left="0" w:right="368"/>
      </w:pPr>
      <w:r>
        <w:t>Меры предотвращения:</w:t>
      </w:r>
    </w:p>
    <w:p w14:paraId="33000000">
      <w:pPr>
        <w:widowControl w:val="0"/>
        <w:ind w:firstLine="708" w:left="0" w:right="368"/>
      </w:pPr>
      <w:r>
        <w:t xml:space="preserve">- </w:t>
      </w:r>
      <w:r>
        <w:t>регулярная проверка состояния электропроводки и заземляющих устройств;</w:t>
      </w:r>
    </w:p>
    <w:p w14:paraId="34000000">
      <w:pPr>
        <w:widowControl w:val="0"/>
        <w:ind w:firstLine="708" w:left="0" w:right="368"/>
      </w:pPr>
      <w:r>
        <w:t xml:space="preserve">- </w:t>
      </w:r>
      <w:r>
        <w:t>установка защитных отключающих устройств;</w:t>
      </w:r>
    </w:p>
    <w:p w14:paraId="35000000">
      <w:pPr>
        <w:widowControl w:val="0"/>
        <w:ind w:firstLine="708" w:left="0" w:right="368"/>
      </w:pPr>
      <w:r>
        <w:t xml:space="preserve">- </w:t>
      </w:r>
      <w:r>
        <w:t>запрет на выполнение ремонтных работ без соответствующего допуска.</w:t>
      </w:r>
    </w:p>
    <w:p w14:paraId="36000000">
      <w:pPr>
        <w:widowControl w:val="0"/>
        <w:ind w:firstLine="708" w:left="0" w:right="368"/>
      </w:pPr>
      <w:r>
        <w:t>3. Действия при аварийных ситуациях и пожарах</w:t>
      </w:r>
    </w:p>
    <w:p w14:paraId="37000000">
      <w:pPr>
        <w:widowControl w:val="0"/>
        <w:ind w:firstLine="708" w:left="0" w:right="368"/>
      </w:pPr>
      <w:r>
        <w:t>3.1 Пожарная безопасность</w:t>
      </w:r>
    </w:p>
    <w:p w14:paraId="38000000">
      <w:pPr>
        <w:widowControl w:val="0"/>
        <w:ind w:firstLine="708" w:left="0" w:right="368"/>
      </w:pPr>
      <w:r>
        <w:t xml:space="preserve">Металлообрабатывающие участки относятся к зонам повышенной </w:t>
      </w:r>
      <w:r>
        <w:t>пожарной опасности вследствие применения сварочного оборудования, масел и химических веществ.</w:t>
      </w:r>
    </w:p>
    <w:p w14:paraId="39000000">
      <w:pPr>
        <w:widowControl w:val="0"/>
        <w:ind w:firstLine="708" w:left="0" w:right="368"/>
      </w:pPr>
      <w:r>
        <w:t>Основные мероприятия:</w:t>
      </w:r>
    </w:p>
    <w:p w14:paraId="3A000000">
      <w:pPr>
        <w:widowControl w:val="0"/>
        <w:ind w:firstLine="708" w:left="0" w:right="368"/>
      </w:pPr>
      <w:r>
        <w:t xml:space="preserve">- </w:t>
      </w:r>
      <w:r>
        <w:t>использование автоматических систем пожаротушения;</w:t>
      </w:r>
    </w:p>
    <w:p w14:paraId="3B000000">
      <w:pPr>
        <w:widowControl w:val="0"/>
        <w:ind w:firstLine="708" w:left="0" w:right="368"/>
      </w:pPr>
      <w:r>
        <w:t xml:space="preserve">- </w:t>
      </w:r>
      <w:r>
        <w:t>наличие порошковых и углекислотных огнетушителей;</w:t>
      </w:r>
    </w:p>
    <w:p w14:paraId="3C000000">
      <w:pPr>
        <w:widowControl w:val="0"/>
        <w:ind w:firstLine="708" w:left="0" w:right="368"/>
      </w:pPr>
      <w:r>
        <w:t xml:space="preserve">- </w:t>
      </w:r>
      <w:r>
        <w:t>обеспечение свободных эвакуационных выходов;</w:t>
      </w:r>
    </w:p>
    <w:p w14:paraId="3D000000">
      <w:pPr>
        <w:widowControl w:val="0"/>
        <w:ind w:firstLine="708" w:left="0" w:right="368"/>
      </w:pPr>
      <w:r>
        <w:t xml:space="preserve">- </w:t>
      </w:r>
      <w:r>
        <w:t>размещение плана эвакуации;</w:t>
      </w:r>
    </w:p>
    <w:p w14:paraId="3E000000">
      <w:pPr>
        <w:widowControl w:val="0"/>
        <w:ind w:firstLine="708" w:left="0" w:right="368"/>
      </w:pPr>
      <w:r>
        <w:t xml:space="preserve">- </w:t>
      </w:r>
      <w:r>
        <w:t>обучение персонала действиям при возникновении пожара.</w:t>
      </w:r>
    </w:p>
    <w:p w14:paraId="3F000000">
      <w:pPr>
        <w:widowControl w:val="0"/>
        <w:ind w:firstLine="708" w:left="0" w:right="368"/>
      </w:pPr>
      <w:r>
        <w:t>3.2 Алгоритм действий персонала при авариях</w:t>
      </w:r>
    </w:p>
    <w:p w14:paraId="40000000">
      <w:pPr>
        <w:widowControl w:val="0"/>
        <w:ind w:firstLine="708" w:left="0" w:right="368"/>
      </w:pPr>
      <w:r>
        <w:t>При возникновении аварийной ситуации работник обязан:</w:t>
      </w:r>
    </w:p>
    <w:p w14:paraId="41000000">
      <w:pPr>
        <w:widowControl w:val="0"/>
        <w:ind w:firstLine="708" w:left="0" w:right="368"/>
      </w:pPr>
      <w:r>
        <w:t xml:space="preserve">- </w:t>
      </w:r>
      <w:r>
        <w:t>незамедлительно уведомить ответственное лицо или пожарную службу;</w:t>
      </w:r>
    </w:p>
    <w:p w14:paraId="42000000">
      <w:pPr>
        <w:widowControl w:val="0"/>
        <w:ind w:firstLine="708" w:left="0" w:right="368"/>
      </w:pPr>
      <w:r>
        <w:t xml:space="preserve">- </w:t>
      </w:r>
      <w:r>
        <w:t>отключить оборудование аварийным выключателем;</w:t>
      </w:r>
    </w:p>
    <w:p w14:paraId="43000000">
      <w:pPr>
        <w:widowControl w:val="0"/>
        <w:ind w:firstLine="708" w:left="0" w:right="368"/>
      </w:pPr>
      <w:r>
        <w:t xml:space="preserve">- </w:t>
      </w:r>
      <w:r>
        <w:t>предупредить коллег о возникшей опасности;</w:t>
      </w:r>
    </w:p>
    <w:p w14:paraId="44000000">
      <w:pPr>
        <w:widowControl w:val="0"/>
        <w:ind w:firstLine="708" w:left="0" w:right="368"/>
      </w:pPr>
      <w:r>
        <w:t xml:space="preserve">- </w:t>
      </w:r>
      <w:r>
        <w:t>при наличии возможности приступить к тушению пожара штатными средствами;</w:t>
      </w:r>
    </w:p>
    <w:p w14:paraId="45000000">
      <w:pPr>
        <w:widowControl w:val="0"/>
        <w:ind w:firstLine="708" w:left="0" w:right="368"/>
      </w:pPr>
      <w:r>
        <w:t xml:space="preserve">- </w:t>
      </w:r>
      <w:r>
        <w:t>выполнить эвакуацию согласно утверждённому плану, если ситуация выходит из</w:t>
      </w:r>
      <w:r>
        <w:t>под контроля.</w:t>
      </w:r>
    </w:p>
    <w:p w14:paraId="46000000">
      <w:pPr>
        <w:widowControl w:val="0"/>
        <w:ind w:firstLine="708" w:left="0" w:right="368"/>
      </w:pPr>
      <w:r>
        <w:t xml:space="preserve">Охрана труда и соблюдение требований промышленной безопасности в металлообрабатывающих цехах являются обязательными элементами производственного процесса. Выполнение установленных норм позволяет существенно снизить вероятность травматизма и аварийных ситуаций, обеспечивая устойчивую работу предприятия. Ответственность за соблюдение требований безопасности возлагается как на руководство, так и на каждого работника, поскольку выполнение регламентов является основой безопасной и эффективной производственной деятельности </w:t>
      </w:r>
      <w:r>
        <w:t>охрана труда</w:t>
      </w:r>
      <w:r>
        <w:t xml:space="preserve"> </w:t>
      </w:r>
      <w:r>
        <w:t>[</w:t>
      </w:r>
      <w:r>
        <w:t>18</w:t>
      </w:r>
      <w:r>
        <w:t>]</w:t>
      </w:r>
      <w:r>
        <w:t>.</w:t>
      </w:r>
    </w:p>
    <w:p w14:paraId="47000000"/>
    <w:p w14:paraId="48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bookmarkEnd w:id="1"/>
      <w:r>
        <w:rPr>
          <w:rFonts w:ascii="Times New Roman" w:hAnsi="Times New Roman"/>
          <w:b w:val="1"/>
          <w:color w:val="000000"/>
        </w:rPr>
        <w:t xml:space="preserve">3.2 </w:t>
      </w:r>
      <w:bookmarkStart w:id="2" w:name="_Hlk193964898"/>
      <w:r>
        <w:rPr>
          <w:rFonts w:ascii="Times New Roman" w:hAnsi="Times New Roman"/>
          <w:b w:val="1"/>
          <w:color w:val="000000"/>
        </w:rPr>
        <w:t>Противопожарная безопасность</w:t>
      </w:r>
      <w:r>
        <w:rPr>
          <w:rFonts w:ascii="Times New Roman" w:hAnsi="Times New Roman"/>
          <w:b w:val="1"/>
          <w:color w:val="000000"/>
        </w:rPr>
        <w:t xml:space="preserve"> </w:t>
      </w:r>
    </w:p>
    <w:p w14:paraId="49000000"/>
    <w:p w14:paraId="4A000000">
      <w:r>
        <w:t>Комплекс мероприятий по обеспечению противопожарной и противовзрывной защиты производственных помещений сформирован в соответствии с действующими нормативными документами, включая ГОСТ 12.1.004</w:t>
      </w:r>
      <w:r>
        <w:t>-</w:t>
      </w:r>
      <w:r>
        <w:t>91 «Пожарная безопасность. Общие требования», ГОСТ 12.1.033</w:t>
      </w:r>
      <w:r>
        <w:t>-</w:t>
      </w:r>
      <w:r>
        <w:t>81 «Пожарная безопасность. Термины и определения», ГОСТ 12.1.044</w:t>
      </w:r>
      <w:r>
        <w:t>-</w:t>
      </w:r>
      <w:r>
        <w:t>89 «</w:t>
      </w:r>
      <w:r>
        <w:t>Пожароопасность</w:t>
      </w:r>
      <w:r>
        <w:t xml:space="preserve"> веществ и материалов. Номенклатура показателей и методы их определения», ГОСТ 12.1.010</w:t>
      </w:r>
      <w:r>
        <w:t>-</w:t>
      </w:r>
      <w:r>
        <w:t>76 «Взрывобезопасность. Общие требования», а также отраслевые регламенты ОНТП 24</w:t>
      </w:r>
      <w:r>
        <w:t>-</w:t>
      </w:r>
      <w:r>
        <w:t>86 и СНиП 2.01.02</w:t>
      </w:r>
      <w:r>
        <w:t>-</w:t>
      </w:r>
      <w:r>
        <w:t xml:space="preserve">85, определяющие классификацию помещений и требования к их проектированию </w:t>
      </w:r>
      <w:r>
        <w:t>пожарная безопасность</w:t>
      </w:r>
      <w:r>
        <w:t xml:space="preserve"> </w:t>
      </w:r>
      <w:r>
        <w:t>[</w:t>
      </w:r>
      <w:r>
        <w:t>19</w:t>
      </w:r>
      <w:r>
        <w:t>]</w:t>
      </w:r>
      <w:r>
        <w:t>.</w:t>
      </w:r>
    </w:p>
    <w:p w14:paraId="4B000000">
      <w:r>
        <w:t>Основные направления профилактических мероприятий</w:t>
      </w:r>
    </w:p>
    <w:p w14:paraId="4C000000">
      <w:r>
        <w:t>-</w:t>
      </w:r>
      <w:r>
        <w:t xml:space="preserve"> подбор электротехнического оборудования и способов его монтажа с учётом пожароопасных характеристик среды, а также проведение регламентных проверок защитных устройств и блокировок; </w:t>
      </w:r>
    </w:p>
    <w:p w14:paraId="4D000000">
      <w:r>
        <w:t>-</w:t>
      </w:r>
      <w:r>
        <w:t xml:space="preserve"> предотвращение перегрева подшипниковых узлов и элементов трения посредством применения систем контроля температуры и выполнения регламентированных операций смазки; </w:t>
      </w:r>
    </w:p>
    <w:p w14:paraId="4E000000">
      <w:r>
        <w:t>-</w:t>
      </w:r>
      <w:r>
        <w:t xml:space="preserve"> организация вентиляционных систем, обеспечивающих снижение концентрации горючих газов и паров в технологических помещениях, включая окрасочные и сушильные камеры; </w:t>
      </w:r>
    </w:p>
    <w:p w14:paraId="4F000000">
      <w:r>
        <w:t>-</w:t>
      </w:r>
      <w:r>
        <w:t xml:space="preserve"> соблюдение требований по хранению горючих жидкостей и материалов, исключающее их размещение в открытом виде в рабочей зоне; </w:t>
      </w:r>
    </w:p>
    <w:p w14:paraId="50000000">
      <w:r>
        <w:t>-</w:t>
      </w:r>
      <w:r>
        <w:t xml:space="preserve"> изоляция самовозгорающихся веще</w:t>
      </w:r>
      <w:r>
        <w:t>ств в сп</w:t>
      </w:r>
      <w:r>
        <w:t xml:space="preserve">ециализированных контейнерах и проведение постоянного контроля их состояния с использованием измерительных приборов; </w:t>
      </w:r>
    </w:p>
    <w:p w14:paraId="51000000">
      <w:r>
        <w:t>-</w:t>
      </w:r>
      <w:r>
        <w:t xml:space="preserve"> применение технических решений, предотвращающих накопление статического электричества при обработке материалов, склонных к электризации; </w:t>
      </w:r>
    </w:p>
    <w:p w14:paraId="52000000">
      <w:r>
        <w:t>-</w:t>
      </w:r>
      <w:r>
        <w:t xml:space="preserve"> организация безопасного сбора и удаления промасленных отходов и горючих материалов в специально оборудованные места; </w:t>
      </w:r>
    </w:p>
    <w:p w14:paraId="53000000">
      <w:r>
        <w:t>-</w:t>
      </w:r>
      <w:r>
        <w:t xml:space="preserve"> систематическая подготовка персонала, включающая инструктажи и практические занятия по противопожарным действиям.</w:t>
      </w:r>
    </w:p>
    <w:p w14:paraId="54000000">
      <w:r>
        <w:t>Категория пожарной опасности</w:t>
      </w:r>
    </w:p>
    <w:p w14:paraId="55000000">
      <w:r>
        <w:t>Механический участок относится к категории «Г» согласно классификации ISO 3941</w:t>
      </w:r>
      <w:r>
        <w:t>-</w:t>
      </w:r>
      <w:r>
        <w:t xml:space="preserve">77, что предполагает вероятность возгорания электрооборудования (класс пожара Е). Для тушения применяются порошковые, </w:t>
      </w:r>
      <w:r>
        <w:t>хладоновые</w:t>
      </w:r>
      <w:r>
        <w:t xml:space="preserve"> и углекислотные огнетушители.</w:t>
      </w:r>
    </w:p>
    <w:p w14:paraId="56000000">
      <w:r>
        <w:t>Основные задачи системы противопожарной защиты</w:t>
      </w:r>
    </w:p>
    <w:p w14:paraId="57000000">
      <w:r>
        <w:t>-</w:t>
      </w:r>
      <w:r>
        <w:t xml:space="preserve"> предотвращение возникновения пожаров; </w:t>
      </w:r>
    </w:p>
    <w:p w14:paraId="58000000">
      <w:r>
        <w:t>-</w:t>
      </w:r>
      <w:r>
        <w:t xml:space="preserve"> ограничение распространения очага возгорания; </w:t>
      </w:r>
    </w:p>
    <w:p w14:paraId="59000000">
      <w:r>
        <w:t>-</w:t>
      </w:r>
      <w:r>
        <w:t xml:space="preserve"> обеспечение защиты персонала и материальных ценностей; </w:t>
      </w:r>
    </w:p>
    <w:p w14:paraId="5A000000">
      <w:r>
        <w:t>-</w:t>
      </w:r>
      <w:r>
        <w:t xml:space="preserve"> применение эффективных средств тушения в соответствии с характером пожара.</w:t>
      </w:r>
    </w:p>
    <w:p w14:paraId="5B000000">
      <w:r>
        <w:t>Ограничения при выполнении работ</w:t>
      </w:r>
    </w:p>
    <w:p w14:paraId="5C000000">
      <w:r>
        <w:t>Запрещается:</w:t>
      </w:r>
    </w:p>
    <w:p w14:paraId="5D000000">
      <w:r>
        <w:t>-</w:t>
      </w:r>
      <w:r>
        <w:t xml:space="preserve"> использовать легковоспламеняющиеся жидкости для уборки помещений; </w:t>
      </w:r>
    </w:p>
    <w:p w14:paraId="5E000000">
      <w:r>
        <w:t>-</w:t>
      </w:r>
      <w:r>
        <w:t xml:space="preserve"> применять горючие материалы (ткань, бумагу) для отделки стен; </w:t>
      </w:r>
    </w:p>
    <w:p w14:paraId="5F000000">
      <w:r>
        <w:t>-</w:t>
      </w:r>
      <w:r>
        <w:t xml:space="preserve"> осуществлять обогрев помещений открытым огнём; </w:t>
      </w:r>
    </w:p>
    <w:p w14:paraId="60000000">
      <w:r>
        <w:t>-</w:t>
      </w:r>
      <w:r>
        <w:t xml:space="preserve"> выполнять огневые работы без согласования с пожарной службой; </w:t>
      </w:r>
    </w:p>
    <w:p w14:paraId="61000000">
      <w:r>
        <w:t>-</w:t>
      </w:r>
      <w:r>
        <w:t xml:space="preserve"> оставлять включённое оборудование без наблюдения; </w:t>
      </w:r>
    </w:p>
    <w:p w14:paraId="62000000">
      <w:r>
        <w:t>-</w:t>
      </w:r>
      <w:r>
        <w:t xml:space="preserve"> использовать первичные средства пожаротушения не по назначению.</w:t>
      </w:r>
    </w:p>
    <w:p w14:paraId="63000000">
      <w:r>
        <w:t>Требования к персоналу</w:t>
      </w:r>
    </w:p>
    <w:p w14:paraId="64000000">
      <w:r>
        <w:t>-</w:t>
      </w:r>
      <w:r>
        <w:t xml:space="preserve"> работники обязаны пройти инструктаж по пожарной безопасности и освоить правила применения огнетушащих средств; </w:t>
      </w:r>
    </w:p>
    <w:p w14:paraId="65000000">
      <w:r>
        <w:t>-</w:t>
      </w:r>
      <w:r>
        <w:t xml:space="preserve"> в помещениях должны быть размещены схемы эвакуации с указанием аварийных выходов и мест расположения огнетушителей; </w:t>
      </w:r>
      <w:r>
        <w:t>-</w:t>
      </w:r>
      <w:r>
        <w:t xml:space="preserve"> проходы, эвакуационные пути и доступ к пожарному инвентарю должны оставаться свободными.</w:t>
      </w:r>
    </w:p>
    <w:p w14:paraId="66000000">
      <w:r>
        <w:t>Действия при возникновении пожара</w:t>
      </w:r>
    </w:p>
    <w:p w14:paraId="67000000">
      <w:r>
        <w:t>Работник, обнаруживший возгорание, обязан:</w:t>
      </w:r>
    </w:p>
    <w:p w14:paraId="68000000">
      <w:r>
        <w:t>-</w:t>
      </w:r>
      <w:r>
        <w:t xml:space="preserve"> незамедлительно сообщить в пожарную службу; </w:t>
      </w:r>
    </w:p>
    <w:p w14:paraId="69000000">
      <w:r>
        <w:t>-</w:t>
      </w:r>
      <w:r>
        <w:t xml:space="preserve"> уведомить руководство и коллег; </w:t>
      </w:r>
    </w:p>
    <w:p w14:paraId="6A000000">
      <w:r>
        <w:t>-</w:t>
      </w:r>
      <w:r>
        <w:t xml:space="preserve"> приступить к тушению огня имеющимися средствами при отсутствии угрозы жизни.</w:t>
      </w:r>
    </w:p>
    <w:p w14:paraId="6B000000">
      <w:r>
        <w:t>Ответственное лицо должно:</w:t>
      </w:r>
    </w:p>
    <w:p w14:paraId="6C000000">
      <w:r>
        <w:t>-</w:t>
      </w:r>
      <w:r>
        <w:t xml:space="preserve"> проконтролировать вызов экстренных служб; </w:t>
      </w:r>
    </w:p>
    <w:p w14:paraId="6D000000">
      <w:r>
        <w:t>-</w:t>
      </w:r>
      <w:r>
        <w:t xml:space="preserve"> обеспечить отключение электроэнергии; </w:t>
      </w:r>
    </w:p>
    <w:p w14:paraId="6E000000">
      <w:r>
        <w:t>-</w:t>
      </w:r>
      <w:r>
        <w:t xml:space="preserve"> организовать локализацию очага возгорания до прибытия пожарных подразделений; </w:t>
      </w:r>
    </w:p>
    <w:p w14:paraId="6F000000">
      <w:r>
        <w:t>-</w:t>
      </w:r>
      <w:r>
        <w:t xml:space="preserve"> провести эвакуацию работников, не участвующих в тушении.</w:t>
      </w:r>
    </w:p>
    <w:p w14:paraId="70000000">
      <w:pPr>
        <w:pStyle w:val="Style_2"/>
        <w:spacing w:before="0"/>
        <w:ind/>
        <w:jc w:val="center"/>
        <w:rPr>
          <w:rFonts w:ascii="Times New Roman" w:hAnsi="Times New Roman"/>
          <w:b w:val="1"/>
          <w:color w:val="000000"/>
        </w:rPr>
      </w:pPr>
    </w:p>
    <w:p w14:paraId="71000000">
      <w:pPr>
        <w:pStyle w:val="Style_2"/>
        <w:spacing w:before="0"/>
        <w:ind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3.3 </w:t>
      </w:r>
      <w:r>
        <w:rPr>
          <w:rFonts w:ascii="Times New Roman" w:hAnsi="Times New Roman"/>
          <w:b w:val="1"/>
          <w:color w:val="000000"/>
        </w:rPr>
        <w:t>Источники повышенной опасности для людей и окружающей среды</w:t>
      </w:r>
    </w:p>
    <w:p w14:paraId="72000000">
      <w:bookmarkEnd w:id="2"/>
    </w:p>
    <w:p w14:paraId="73000000">
      <w:r>
        <w:t xml:space="preserve">В металлообрабатывающем производстве присутствует широкий спектр факторов, способных негативно воздействовать на персонал и окружающую среду. Для обеспечения безопасных условий труда требуется систематическая идентификация опасностей, оценка их влияния и внедрение мер по снижению рисков </w:t>
      </w:r>
      <w:r>
        <w:t>производственные риски</w:t>
      </w:r>
      <w:r>
        <w:t>.</w:t>
      </w:r>
    </w:p>
    <w:p w14:paraId="74000000">
      <w:r>
        <w:t>1. Опасные факторы, влияющие на здоровье работников</w:t>
      </w:r>
    </w:p>
    <w:p w14:paraId="75000000">
      <w:r>
        <w:t xml:space="preserve">Производственные операции, связанные с обработкой металлов, сопровождаются воздействием механических, термических и химических </w:t>
      </w:r>
      <w:r>
        <w:t>факторов. Поэтому организация безопасного рабочего процесса является обязательным элементом системы охраны труда.</w:t>
      </w:r>
    </w:p>
    <w:p w14:paraId="76000000">
      <w:r>
        <w:t>1.1 Механические повреждения</w:t>
      </w:r>
    </w:p>
    <w:p w14:paraId="77000000">
      <w:r>
        <w:t>Механические травмы относятся к наиболее распространённым видам производственных повреждений. Они возникают при работе с прессовым оборудованием, режущим инструментом и сварочными установками</w:t>
      </w:r>
      <w:r>
        <w:t xml:space="preserve"> </w:t>
      </w:r>
      <w:r>
        <w:t>[</w:t>
      </w:r>
      <w:r>
        <w:t>20</w:t>
      </w:r>
      <w:r>
        <w:t>]</w:t>
      </w:r>
      <w:r>
        <w:t>.</w:t>
      </w:r>
    </w:p>
    <w:p w14:paraId="78000000">
      <w:r>
        <w:t>Основные причины:</w:t>
      </w:r>
    </w:p>
    <w:p w14:paraId="79000000">
      <w:r>
        <w:t xml:space="preserve">- </w:t>
      </w:r>
      <w:r>
        <w:t>попадание частей тела или элементов одежды в движущиеся узлы станков;</w:t>
      </w:r>
    </w:p>
    <w:p w14:paraId="7A000000">
      <w:r>
        <w:t xml:space="preserve">- </w:t>
      </w:r>
      <w:r>
        <w:t>разлёт стружки и мелких фрагментов металла при обработке;</w:t>
      </w:r>
    </w:p>
    <w:p w14:paraId="7B000000">
      <w:r>
        <w:t xml:space="preserve">- </w:t>
      </w:r>
      <w:r>
        <w:t>падение тяжёлых конструктивных элементов на рабочие места.</w:t>
      </w:r>
    </w:p>
    <w:p w14:paraId="7C000000">
      <w:r>
        <w:t>Меры предотвращения:</w:t>
      </w:r>
    </w:p>
    <w:p w14:paraId="7D000000">
      <w:r>
        <w:t xml:space="preserve">- </w:t>
      </w:r>
      <w:r>
        <w:t>оснащение оборудования защитными кожухами и ограждениями;</w:t>
      </w:r>
    </w:p>
    <w:p w14:paraId="7E000000">
      <w:r>
        <w:t xml:space="preserve">- </w:t>
      </w:r>
      <w:r>
        <w:t>применение прочных перчаток и защитной спецодежды;</w:t>
      </w:r>
    </w:p>
    <w:p w14:paraId="7F000000">
      <w:r>
        <w:t xml:space="preserve">- </w:t>
      </w:r>
      <w:r>
        <w:t>рациональная организация рабочего пространства с соблюдением требований безопасности.</w:t>
      </w:r>
    </w:p>
    <w:p w14:paraId="80000000">
      <w:r>
        <w:t>1.2 Воздействие повышенных температур</w:t>
      </w:r>
    </w:p>
    <w:p w14:paraId="81000000">
      <w:r>
        <w:t>При выполнении термических операций используются печи, сварочные аппараты и другое оборудование, функционирующее при высоких температурах.</w:t>
      </w:r>
    </w:p>
    <w:p w14:paraId="82000000">
      <w:r>
        <w:t>Опасные факторы:</w:t>
      </w:r>
    </w:p>
    <w:p w14:paraId="83000000">
      <w:r>
        <w:t xml:space="preserve">- </w:t>
      </w:r>
      <w:r>
        <w:t>ожоги при контакте с нагретыми поверхностями;</w:t>
      </w:r>
    </w:p>
    <w:p w14:paraId="84000000">
      <w:r>
        <w:t xml:space="preserve">- </w:t>
      </w:r>
      <w:r>
        <w:t>воздействие вредных паров, образующихся при плавке и сварке металлов.</w:t>
      </w:r>
    </w:p>
    <w:p w14:paraId="85000000">
      <w:r>
        <w:t>Меры защиты:</w:t>
      </w:r>
    </w:p>
    <w:p w14:paraId="86000000">
      <w:r>
        <w:t xml:space="preserve">- </w:t>
      </w:r>
      <w:r>
        <w:t>обязательное применение термостойких костюмов и средств индивидуальной защиты;</w:t>
      </w:r>
    </w:p>
    <w:p w14:paraId="87000000">
      <w:r>
        <w:t xml:space="preserve">- </w:t>
      </w:r>
      <w:r>
        <w:t>оснащение рабочих зон эффективными вентиляционными системами.</w:t>
      </w:r>
    </w:p>
    <w:p w14:paraId="88000000">
      <w:r>
        <w:t>1.3 Химические вещества и токсичные выбросы</w:t>
      </w:r>
    </w:p>
    <w:p w14:paraId="89000000">
      <w:r>
        <w:t>В технологическом процессе используются масла, растворители, смазочно</w:t>
      </w:r>
      <w:r>
        <w:t>охлаждающие жидкости и лакокрасочные материалы, обладающие потенциальной токсичностью.</w:t>
      </w:r>
    </w:p>
    <w:p w14:paraId="8A000000">
      <w:r>
        <w:t>Риски:</w:t>
      </w:r>
    </w:p>
    <w:p w14:paraId="8B000000">
      <w:r>
        <w:t xml:space="preserve">- </w:t>
      </w:r>
      <w:r>
        <w:t>раздражение кожи и органов дыхания;</w:t>
      </w:r>
    </w:p>
    <w:p w14:paraId="8C000000">
      <w:r>
        <w:t xml:space="preserve"> - </w:t>
      </w:r>
      <w:r>
        <w:t>накопительное воздействие вредных химических соединений.</w:t>
      </w:r>
    </w:p>
    <w:p w14:paraId="8D000000">
      <w:r>
        <w:t>Меры предотвращения:</w:t>
      </w:r>
    </w:p>
    <w:p w14:paraId="8E000000">
      <w:r>
        <w:t xml:space="preserve">- </w:t>
      </w:r>
      <w:r>
        <w:t>хранение химических веществ в герметичных контейнерах;</w:t>
      </w:r>
    </w:p>
    <w:p w14:paraId="8F000000">
      <w:r>
        <w:t xml:space="preserve">- </w:t>
      </w:r>
      <w:r>
        <w:t>регулярное проветривание помещений и применение фильтрующих систем.</w:t>
      </w:r>
    </w:p>
    <w:p w14:paraId="90000000">
      <w:r>
        <w:t>2. Воздействие на окружающую среду</w:t>
      </w:r>
    </w:p>
    <w:p w14:paraId="91000000">
      <w:r>
        <w:t>Металлообрабатывающие предприятия оказывают влияние на экологическую обстановку, формируя выбросы в атмосферу, загрязняя водные ресурсы и почву.</w:t>
      </w:r>
    </w:p>
    <w:p w14:paraId="92000000">
      <w:r>
        <w:t>2.1 Загрязнение атмосферного воздуха</w:t>
      </w:r>
    </w:p>
    <w:p w14:paraId="93000000">
      <w:r>
        <w:t>Причины:</w:t>
      </w:r>
    </w:p>
    <w:p w14:paraId="94000000">
      <w:r>
        <w:t xml:space="preserve">- </w:t>
      </w:r>
      <w:r>
        <w:t>выбросы металлической пыли;</w:t>
      </w:r>
    </w:p>
    <w:p w14:paraId="95000000">
      <w:r>
        <w:t xml:space="preserve"> -</w:t>
      </w:r>
      <w:r>
        <w:t>образование токсичных газов при сварке и термообработке;</w:t>
      </w:r>
    </w:p>
    <w:p w14:paraId="96000000">
      <w:r>
        <w:t xml:space="preserve">- </w:t>
      </w:r>
      <w:r>
        <w:t>выделение углекислого газа и соединений тяжёлых металлов.</w:t>
      </w:r>
    </w:p>
    <w:p w14:paraId="97000000">
      <w:r>
        <w:t>Меры защиты окружающей среды:</w:t>
      </w:r>
    </w:p>
    <w:p w14:paraId="98000000">
      <w:r>
        <w:t xml:space="preserve">- </w:t>
      </w:r>
      <w:r>
        <w:t>установка фильтров и систем очистки воздуха;</w:t>
      </w:r>
    </w:p>
    <w:p w14:paraId="99000000">
      <w:r>
        <w:t xml:space="preserve">- </w:t>
      </w:r>
      <w:r>
        <w:t xml:space="preserve">внедрение </w:t>
      </w:r>
      <w:r>
        <w:t>экологичных</w:t>
      </w:r>
      <w:r>
        <w:t xml:space="preserve"> технологических решений;</w:t>
      </w:r>
    </w:p>
    <w:p w14:paraId="9A000000">
      <w:r>
        <w:t xml:space="preserve">- </w:t>
      </w:r>
      <w:r>
        <w:t>регулярный контроль состава выбросов.</w:t>
      </w:r>
    </w:p>
    <w:p w14:paraId="9B000000">
      <w:r>
        <w:t>2.2 Загрязнение водных ресурсов</w:t>
      </w:r>
    </w:p>
    <w:p w14:paraId="9C000000">
      <w:r>
        <w:t>Опасные факторы:</w:t>
      </w:r>
    </w:p>
    <w:p w14:paraId="9D000000">
      <w:r>
        <w:t xml:space="preserve">- </w:t>
      </w:r>
      <w:r>
        <w:t>попадание химических отходов и масел в водоёмы;</w:t>
      </w:r>
    </w:p>
    <w:p w14:paraId="9E000000">
      <w:r>
        <w:t xml:space="preserve">- </w:t>
      </w:r>
      <w:r>
        <w:t>загрязнение грунтовых вод вследствие утечек вредных веществ.</w:t>
      </w:r>
    </w:p>
    <w:p w14:paraId="9F000000">
      <w:r>
        <w:t>Меры предотвращения:</w:t>
      </w:r>
    </w:p>
    <w:p w14:paraId="A0000000">
      <w:r>
        <w:t xml:space="preserve">- </w:t>
      </w:r>
      <w:r>
        <w:t>организация системы переработки и нейтрализации отходов;</w:t>
      </w:r>
    </w:p>
    <w:p w14:paraId="A1000000">
      <w:r>
        <w:t xml:space="preserve">- </w:t>
      </w:r>
      <w:r>
        <w:t>применение фильтров для очистки сточных вод;</w:t>
      </w:r>
    </w:p>
    <w:p w14:paraId="A2000000">
      <w:r>
        <w:t xml:space="preserve">- </w:t>
      </w:r>
      <w:r>
        <w:t>проведение экологического мониторинга предприятия.</w:t>
      </w:r>
    </w:p>
    <w:p w14:paraId="A3000000">
      <w:r>
        <w:t>2.3 Загрязнение почвы и промышленных территорий</w:t>
      </w:r>
    </w:p>
    <w:p w14:paraId="A4000000">
      <w:r>
        <w:t>Риски:</w:t>
      </w:r>
    </w:p>
    <w:p w14:paraId="A5000000">
      <w:r>
        <w:t xml:space="preserve">- </w:t>
      </w:r>
      <w:r>
        <w:t>оседание металлической пыли на открытых площадках;</w:t>
      </w:r>
    </w:p>
    <w:p w14:paraId="A6000000">
      <w:r>
        <w:t xml:space="preserve">- </w:t>
      </w:r>
      <w:r>
        <w:t>хранение отходов, содержащих тяжёлые металлы.</w:t>
      </w:r>
    </w:p>
    <w:p w14:paraId="A7000000">
      <w:r>
        <w:t>Меры защиты:</w:t>
      </w:r>
    </w:p>
    <w:p w14:paraId="A8000000">
      <w:r>
        <w:t xml:space="preserve">- </w:t>
      </w:r>
      <w:r>
        <w:t>контроль обращения отходов и их безопасной утилизации;</w:t>
      </w:r>
    </w:p>
    <w:p w14:paraId="A9000000">
      <w:r>
        <w:t xml:space="preserve">- </w:t>
      </w:r>
      <w:r>
        <w:t>внедрение технологий вторичной переработки металлов;</w:t>
      </w:r>
    </w:p>
    <w:p w14:paraId="AA000000">
      <w:r>
        <w:t xml:space="preserve">- </w:t>
      </w:r>
      <w:r>
        <w:t>оценка экологической нагрузки на прилегающие территории.</w:t>
      </w:r>
    </w:p>
    <w:p w14:paraId="AB000000">
      <w:r>
        <w:t>3. Методы снижения производственных рисков</w:t>
      </w:r>
    </w:p>
    <w:p w14:paraId="AC000000">
      <w:r>
        <w:t>Для минимизации опасных факторов требуется внедрение современных технических и организационных решений, направленных на защиту персонала и окружающей среды.</w:t>
      </w:r>
    </w:p>
    <w:p w14:paraId="AD000000">
      <w:r>
        <w:t>Основные меры:</w:t>
      </w:r>
    </w:p>
    <w:p w14:paraId="AE000000">
      <w:r>
        <w:t xml:space="preserve">- </w:t>
      </w:r>
      <w:r>
        <w:t>применение средств индивидуальной защиты (перчатки, маски, спецодежда);</w:t>
      </w:r>
    </w:p>
    <w:p w14:paraId="AF000000">
      <w:r>
        <w:t xml:space="preserve">- </w:t>
      </w:r>
      <w:r>
        <w:t>автоматизация технологических процессов для снижения влияния человеческого фактора;</w:t>
      </w:r>
    </w:p>
    <w:p w14:paraId="B0000000">
      <w:r>
        <w:t xml:space="preserve">- </w:t>
      </w:r>
      <w:r>
        <w:t>улучшение вентиляции производственных помещений;</w:t>
      </w:r>
    </w:p>
    <w:p w14:paraId="B1000000">
      <w:r>
        <w:t xml:space="preserve">- </w:t>
      </w:r>
      <w:r>
        <w:t xml:space="preserve">контроль выбросов и переход на </w:t>
      </w:r>
      <w:r>
        <w:t>экологичные</w:t>
      </w:r>
      <w:r>
        <w:t xml:space="preserve"> материалы;</w:t>
      </w:r>
    </w:p>
    <w:p w14:paraId="B2000000">
      <w:r>
        <w:t xml:space="preserve">- </w:t>
      </w:r>
      <w:r>
        <w:t>регулярные инструктажи по охране труда и экологической безопасности.</w:t>
      </w:r>
    </w:p>
    <w:p w14:paraId="B3000000">
      <w:r>
        <w:t xml:space="preserve">Безопасность металлообрабатывающего производства оказывает прямое влияние на состояние здоровья работников и экологическую ситуацию в регионе. Последовательное выполнение требований охраны труда, внедрение современных технологий и повышение квалификации персонала позволяют существенно снизить уровень рисков и обеспечить устойчивое функционирование производственного процесса </w:t>
      </w:r>
      <w:r>
        <w:t>экологическая безопасность</w:t>
      </w:r>
      <w:r>
        <w:t xml:space="preserve"> </w:t>
      </w:r>
      <w:r>
        <w:t>[</w:t>
      </w:r>
      <w:r>
        <w:t>21</w:t>
      </w:r>
      <w:r>
        <w:t>]</w:t>
      </w:r>
      <w:r>
        <w:t>.</w:t>
      </w:r>
    </w:p>
    <w:p w14:paraId="B4000000"/>
    <w:sectPr>
      <w:footerReference r:id="rId1" w:type="default"/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3_ch" w:type="character">
    <w:name w:val="Normal"/>
    <w:link w:val="Style_3"/>
    <w:rPr>
      <w:sz w:val="28"/>
    </w:rPr>
  </w:style>
  <w:style w:styleId="Style_4" w:type="paragraph">
    <w:name w:val="_НижнийИндекс"/>
    <w:link w:val="Style_4_ch"/>
    <w:rPr>
      <w:vertAlign w:val="subscript"/>
    </w:rPr>
  </w:style>
  <w:style w:styleId="Style_4_ch" w:type="character">
    <w:name w:val="_НижнийИндекс"/>
    <w:link w:val="Style_4"/>
    <w:rPr>
      <w:vertAlign w:val="subscript"/>
    </w:rPr>
  </w:style>
  <w:style w:styleId="Style_5" w:type="paragraph">
    <w:name w:val="toc 2"/>
    <w:basedOn w:val="Style_3"/>
    <w:next w:val="Style_3"/>
    <w:link w:val="Style_5_ch"/>
    <w:uiPriority w:val="39"/>
    <w:pPr>
      <w:tabs>
        <w:tab w:leader="dot" w:pos="9345" w:val="right"/>
      </w:tabs>
      <w:spacing w:after="100"/>
      <w:ind w:firstLine="4" w:left="280"/>
    </w:pPr>
  </w:style>
  <w:style w:styleId="Style_5_ch" w:type="character">
    <w:name w:val="toc 2"/>
    <w:basedOn w:val="Style_3_ch"/>
    <w:link w:val="Style_5"/>
  </w:style>
  <w:style w:styleId="Style_6" w:type="paragraph">
    <w:name w:val="Body Text 2"/>
    <w:basedOn w:val="Style_3"/>
    <w:link w:val="Style_6_ch"/>
    <w:pPr>
      <w:spacing w:after="120" w:line="480" w:lineRule="auto"/>
      <w:ind w:firstLine="0" w:left="0"/>
      <w:jc w:val="left"/>
    </w:pPr>
    <w:rPr>
      <w:sz w:val="24"/>
    </w:rPr>
  </w:style>
  <w:style w:styleId="Style_6_ch" w:type="character">
    <w:name w:val="Body Text 2"/>
    <w:basedOn w:val="Style_3_ch"/>
    <w:link w:val="Style_6"/>
    <w:rPr>
      <w:sz w:val="24"/>
    </w:rPr>
  </w:style>
  <w:style w:styleId="Style_7" w:type="paragraph">
    <w:name w:val="annotation text"/>
    <w:basedOn w:val="Style_3"/>
    <w:link w:val="Style_7_ch"/>
    <w:pPr>
      <w:spacing w:line="240" w:lineRule="auto"/>
      <w:ind/>
    </w:pPr>
    <w:rPr>
      <w:sz w:val="20"/>
    </w:rPr>
  </w:style>
  <w:style w:styleId="Style_7_ch" w:type="character">
    <w:name w:val="annotation text"/>
    <w:basedOn w:val="Style_3_ch"/>
    <w:link w:val="Style_7"/>
    <w:rPr>
      <w:sz w:val="20"/>
    </w:rPr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9_ch" w:type="character">
    <w:name w:val="heading 7"/>
    <w:basedOn w:val="Style_3_ch"/>
    <w:link w:val="Style_9"/>
    <w:rPr>
      <w:rFonts w:ascii="Arial" w:hAnsi="Arial"/>
    </w:rPr>
  </w:style>
  <w:style w:styleId="Style_10" w:type="paragraph">
    <w:name w:val="Body Text"/>
    <w:basedOn w:val="Style_3"/>
    <w:link w:val="Style_10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0_ch" w:type="character">
    <w:name w:val="Body Text"/>
    <w:basedOn w:val="Style_3_ch"/>
    <w:link w:val="Style_10"/>
    <w:rPr>
      <w:rFonts w:ascii="Arial" w:hAnsi="Arial"/>
    </w:rPr>
  </w:style>
  <w:style w:styleId="Style_11" w:type="paragraph">
    <w:name w:val="toc 6"/>
    <w:next w:val="Style_3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3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lock Text"/>
    <w:basedOn w:val="Style_3"/>
    <w:link w:val="Style_13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3_ch" w:type="character">
    <w:name w:val="Block Text"/>
    <w:basedOn w:val="Style_3_ch"/>
    <w:link w:val="Style_13"/>
    <w:rPr>
      <w:rFonts w:ascii="Verdana" w:hAnsi="Verdana"/>
      <w:sz w:val="24"/>
    </w:rPr>
  </w:style>
  <w:style w:styleId="Style_14" w:type="paragraph">
    <w:name w:val="Default"/>
    <w:link w:val="Style_14_ch"/>
    <w:rPr>
      <w:color w:val="000000"/>
      <w:sz w:val="24"/>
    </w:rPr>
  </w:style>
  <w:style w:styleId="Style_14_ch" w:type="character">
    <w:name w:val="Default"/>
    <w:link w:val="Style_14"/>
    <w:rPr>
      <w:color w:val="000000"/>
      <w:sz w:val="24"/>
    </w:rPr>
  </w:style>
  <w:style w:styleId="Style_15" w:type="paragraph">
    <w:name w:val="heading 3"/>
    <w:basedOn w:val="Style_3"/>
    <w:next w:val="Style_3"/>
    <w:link w:val="Style_15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5_ch" w:type="character">
    <w:name w:val="heading 3"/>
    <w:basedOn w:val="Style_3_ch"/>
    <w:link w:val="Style_15"/>
    <w:rPr>
      <w:rFonts w:ascii="Calibri Light" w:hAnsi="Calibri Light"/>
      <w:b w:val="1"/>
      <w:color w:val="5B9BD5"/>
    </w:rPr>
  </w:style>
  <w:style w:styleId="Style_16" w:type="paragraph">
    <w:name w:val="Balloon Text"/>
    <w:basedOn w:val="Style_3"/>
    <w:link w:val="Style_16_ch"/>
    <w:pPr>
      <w:spacing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3_ch"/>
    <w:link w:val="Style_16"/>
    <w:rPr>
      <w:rFonts w:ascii="Segoe UI" w:hAnsi="Segoe UI"/>
      <w:sz w:val="18"/>
    </w:rPr>
  </w:style>
  <w:style w:styleId="Style_17" w:type="paragraph">
    <w:name w:val="HTML Cite"/>
    <w:basedOn w:val="Style_18"/>
    <w:link w:val="Style_17_ch"/>
    <w:rPr>
      <w:i w:val="1"/>
    </w:rPr>
  </w:style>
  <w:style w:styleId="Style_17_ch" w:type="character">
    <w:name w:val="HTML Cite"/>
    <w:basedOn w:val="Style_18_ch"/>
    <w:link w:val="Style_17"/>
    <w:rPr>
      <w:i w:val="1"/>
    </w:rPr>
  </w:style>
  <w:style w:styleId="Style_19" w:type="paragraph">
    <w:name w:val="heading 9"/>
    <w:basedOn w:val="Style_3"/>
    <w:next w:val="Style_3"/>
    <w:link w:val="Style_19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19_ch" w:type="character">
    <w:name w:val="heading 9"/>
    <w:basedOn w:val="Style_3_ch"/>
    <w:link w:val="Style_19"/>
    <w:rPr>
      <w:rFonts w:ascii="Arial" w:hAnsi="Arial"/>
      <w:b w:val="1"/>
      <w:sz w:val="24"/>
    </w:rPr>
  </w:style>
  <w:style w:styleId="Style_20" w:type="paragraph">
    <w:name w:val="Абзац списка1"/>
    <w:basedOn w:val="Style_3"/>
    <w:link w:val="Style_20_ch"/>
    <w:pPr>
      <w:spacing w:line="240" w:lineRule="auto"/>
      <w:ind w:firstLine="0" w:left="0"/>
      <w:jc w:val="left"/>
    </w:pPr>
    <w:rPr>
      <w:sz w:val="24"/>
    </w:rPr>
  </w:style>
  <w:style w:styleId="Style_20_ch" w:type="character">
    <w:name w:val="Абзац списка1"/>
    <w:basedOn w:val="Style_3_ch"/>
    <w:link w:val="Style_20"/>
    <w:rPr>
      <w:sz w:val="24"/>
    </w:rPr>
  </w:style>
  <w:style w:styleId="Style_21" w:type="paragraph">
    <w:name w:val="annotation subject"/>
    <w:basedOn w:val="Style_7"/>
    <w:next w:val="Style_7"/>
    <w:link w:val="Style_21_ch"/>
    <w:rPr>
      <w:b w:val="1"/>
    </w:rPr>
  </w:style>
  <w:style w:styleId="Style_21_ch" w:type="character">
    <w:name w:val="annotation subject"/>
    <w:basedOn w:val="Style_7_ch"/>
    <w:link w:val="Style_21"/>
    <w:rPr>
      <w:b w:val="1"/>
    </w:rPr>
  </w:style>
  <w:style w:styleId="Style_22" w:type="paragraph">
    <w:name w:val="Стиль1"/>
    <w:basedOn w:val="Style_3"/>
    <w:link w:val="Style_22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2_ch" w:type="character">
    <w:name w:val="Стиль1"/>
    <w:basedOn w:val="Style_3_ch"/>
    <w:link w:val="Style_22"/>
    <w:rPr>
      <w:rFonts w:ascii="CG Times" w:hAnsi="CG Times"/>
      <w:i w:val="1"/>
      <w:sz w:val="24"/>
    </w:rPr>
  </w:style>
  <w:style w:styleId="Style_23" w:type="paragraph">
    <w:name w:val="p4"/>
    <w:basedOn w:val="Style_3"/>
    <w:link w:val="Style_23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3_ch" w:type="character">
    <w:name w:val="p4"/>
    <w:basedOn w:val="Style_3_ch"/>
    <w:link w:val="Style_23"/>
    <w:rPr>
      <w:rFonts w:ascii="TimesNewRoman" w:hAnsi="TimesNewRoman"/>
      <w:sz w:val="24"/>
    </w:rPr>
  </w:style>
  <w:style w:styleId="Style_24" w:type="paragraph">
    <w:name w:val="_ВерхнийИндекс"/>
    <w:link w:val="Style_24_ch"/>
    <w:rPr>
      <w:vertAlign w:val="superscript"/>
    </w:rPr>
  </w:style>
  <w:style w:styleId="Style_24_ch" w:type="character">
    <w:name w:val="_ВерхнийИндекс"/>
    <w:link w:val="Style_24"/>
    <w:rPr>
      <w:vertAlign w:val="superscript"/>
    </w:rPr>
  </w:style>
  <w:style w:styleId="Style_25" w:type="paragraph">
    <w:name w:val="Body Text Indent 3"/>
    <w:basedOn w:val="Style_3"/>
    <w:link w:val="Style_25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5_ch" w:type="character">
    <w:name w:val="Body Text Indent 3"/>
    <w:basedOn w:val="Style_3_ch"/>
    <w:link w:val="Style_25"/>
    <w:rPr>
      <w:rFonts w:ascii="Arial" w:hAnsi="Arial"/>
    </w:rPr>
  </w:style>
  <w:style w:styleId="Style_26" w:type="paragraph">
    <w:name w:val="Emphasis"/>
    <w:basedOn w:val="Style_18"/>
    <w:link w:val="Style_26_ch"/>
    <w:rPr>
      <w:i w:val="1"/>
    </w:rPr>
  </w:style>
  <w:style w:styleId="Style_26_ch" w:type="character">
    <w:name w:val="Emphasis"/>
    <w:basedOn w:val="Style_18_ch"/>
    <w:link w:val="Style_26"/>
    <w:rPr>
      <w:i w:val="1"/>
    </w:rPr>
  </w:style>
  <w:style w:styleId="Style_27" w:type="paragraph">
    <w:name w:val="apple-style-span"/>
    <w:link w:val="Style_27_ch"/>
  </w:style>
  <w:style w:styleId="Style_27_ch" w:type="character">
    <w:name w:val="apple-style-span"/>
    <w:link w:val="Style_27"/>
  </w:style>
  <w:style w:styleId="Style_28" w:type="paragraph">
    <w:name w:val="Strong"/>
    <w:basedOn w:val="Style_18"/>
    <w:link w:val="Style_28_ch"/>
    <w:rPr>
      <w:b w:val="1"/>
    </w:rPr>
  </w:style>
  <w:style w:styleId="Style_28_ch" w:type="character">
    <w:name w:val="Strong"/>
    <w:basedOn w:val="Style_18_ch"/>
    <w:link w:val="Style_28"/>
    <w:rPr>
      <w:b w:val="1"/>
    </w:rPr>
  </w:style>
  <w:style w:styleId="Style_29" w:type="paragraph">
    <w:name w:val="toc 3"/>
    <w:basedOn w:val="Style_3"/>
    <w:next w:val="Style_3"/>
    <w:link w:val="Style_29_ch"/>
    <w:uiPriority w:val="39"/>
    <w:pPr>
      <w:spacing w:after="100"/>
      <w:ind w:firstLine="0" w:left="560"/>
    </w:pPr>
  </w:style>
  <w:style w:styleId="Style_29_ch" w:type="character">
    <w:name w:val="toc 3"/>
    <w:basedOn w:val="Style_3_ch"/>
    <w:link w:val="Style_29"/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3_ch"/>
    <w:link w:val="Style_1"/>
  </w:style>
  <w:style w:styleId="Style_30" w:type="paragraph">
    <w:name w:val="Название1"/>
    <w:basedOn w:val="Style_18"/>
    <w:link w:val="Style_30_ch"/>
  </w:style>
  <w:style w:styleId="Style_30_ch" w:type="character">
    <w:name w:val="Название1"/>
    <w:basedOn w:val="Style_18_ch"/>
    <w:link w:val="Style_30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31" w:type="paragraph">
    <w:name w:val="ConsPlusNormal"/>
    <w:link w:val="Style_31_ch"/>
    <w:pPr>
      <w:widowControl w:val="0"/>
      <w:ind/>
    </w:pPr>
    <w:rPr>
      <w:rFonts w:ascii="Book Antiqua" w:hAnsi="Book Antiqua"/>
    </w:rPr>
  </w:style>
  <w:style w:styleId="Style_31_ch" w:type="character">
    <w:name w:val="ConsPlusNormal"/>
    <w:link w:val="Style_31"/>
    <w:rPr>
      <w:rFonts w:ascii="Book Antiqua" w:hAnsi="Book Antiqua"/>
    </w:rPr>
  </w:style>
  <w:style w:styleId="Style_32" w:type="paragraph">
    <w:name w:val="annotation reference"/>
    <w:basedOn w:val="Style_18"/>
    <w:link w:val="Style_32_ch"/>
    <w:rPr>
      <w:sz w:val="16"/>
    </w:rPr>
  </w:style>
  <w:style w:styleId="Style_32_ch" w:type="character">
    <w:name w:val="annotation reference"/>
    <w:basedOn w:val="Style_18_ch"/>
    <w:link w:val="Style_32"/>
    <w:rPr>
      <w:sz w:val="16"/>
    </w:rPr>
  </w:style>
  <w:style w:styleId="Style_33" w:type="paragraph">
    <w:name w:val="FR1"/>
    <w:link w:val="Style_33_ch"/>
    <w:pPr>
      <w:widowControl w:val="0"/>
      <w:spacing w:line="276" w:lineRule="auto"/>
      <w:ind w:firstLine="700" w:left="0"/>
    </w:pPr>
  </w:style>
  <w:style w:styleId="Style_33_ch" w:type="character">
    <w:name w:val="FR1"/>
    <w:link w:val="Style_33"/>
  </w:style>
  <w:style w:styleId="Style_34" w:type="paragraph">
    <w:name w:val="HTML Variable"/>
    <w:basedOn w:val="Style_18"/>
    <w:link w:val="Style_34_ch"/>
    <w:rPr>
      <w:i w:val="1"/>
    </w:rPr>
  </w:style>
  <w:style w:styleId="Style_34_ch" w:type="character">
    <w:name w:val="HTML Variable"/>
    <w:basedOn w:val="Style_18_ch"/>
    <w:link w:val="Style_34"/>
    <w:rPr>
      <w:i w:val="1"/>
    </w:rPr>
  </w:style>
  <w:style w:styleId="Style_35" w:type="paragraph">
    <w:name w:val="Основной текст 2 Знак"/>
    <w:basedOn w:val="Style_18"/>
    <w:link w:val="Style_35_ch"/>
    <w:rPr>
      <w:sz w:val="28"/>
    </w:rPr>
  </w:style>
  <w:style w:styleId="Style_35_ch" w:type="character">
    <w:name w:val="Основной текст 2 Знак"/>
    <w:basedOn w:val="Style_18_ch"/>
    <w:link w:val="Style_35"/>
    <w:rPr>
      <w:sz w:val="28"/>
    </w:rPr>
  </w:style>
  <w:style w:styleId="Style_36" w:type="paragraph">
    <w:name w:val="heading 5"/>
    <w:basedOn w:val="Style_3"/>
    <w:next w:val="Style_3"/>
    <w:link w:val="Style_36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6_ch" w:type="character">
    <w:name w:val="heading 5"/>
    <w:basedOn w:val="Style_3_ch"/>
    <w:link w:val="Style_36"/>
    <w:rPr>
      <w:rFonts w:ascii="Arial" w:hAnsi="Arial"/>
    </w:rPr>
  </w:style>
  <w:style w:styleId="Style_2" w:type="paragraph">
    <w:name w:val="heading 1"/>
    <w:basedOn w:val="Style_3"/>
    <w:next w:val="Style_3"/>
    <w:link w:val="Style_2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2_ch" w:type="character">
    <w:name w:val="heading 1"/>
    <w:basedOn w:val="Style_3_ch"/>
    <w:link w:val="Style_2"/>
    <w:rPr>
      <w:rFonts w:ascii="Calibri Light" w:hAnsi="Calibri Light"/>
      <w:color w:val="2E74B5"/>
      <w:sz w:val="32"/>
    </w:rPr>
  </w:style>
  <w:style w:styleId="Style_37" w:type="paragraph">
    <w:name w:val="Чертежный"/>
    <w:link w:val="Style_37_ch"/>
    <w:pPr>
      <w:ind/>
      <w:jc w:val="both"/>
    </w:pPr>
    <w:rPr>
      <w:rFonts w:ascii="ISOCPEUR" w:hAnsi="ISOCPEUR"/>
      <w:i w:val="1"/>
      <w:sz w:val="28"/>
    </w:rPr>
  </w:style>
  <w:style w:styleId="Style_37_ch" w:type="character">
    <w:name w:val="Чертежный"/>
    <w:link w:val="Style_37"/>
    <w:rPr>
      <w:rFonts w:ascii="ISOCPEUR" w:hAnsi="ISOCPEUR"/>
      <w:i w:val="1"/>
      <w:sz w:val="28"/>
    </w:rPr>
  </w:style>
  <w:style w:styleId="Style_38" w:type="paragraph">
    <w:name w:val="Hyperlink"/>
    <w:basedOn w:val="Style_18"/>
    <w:link w:val="Style_38_ch"/>
    <w:rPr>
      <w:color w:val="0563C1"/>
      <w:u w:val="single"/>
    </w:rPr>
  </w:style>
  <w:style w:styleId="Style_38_ch" w:type="character">
    <w:name w:val="Hyperlink"/>
    <w:basedOn w:val="Style_18_ch"/>
    <w:link w:val="Style_38"/>
    <w:rPr>
      <w:color w:val="0563C1"/>
      <w:u w:val="single"/>
    </w:rPr>
  </w:style>
  <w:style w:styleId="Style_39" w:type="paragraph">
    <w:name w:val="Footnote"/>
    <w:basedOn w:val="Style_3"/>
    <w:link w:val="Style_39_ch"/>
    <w:pPr>
      <w:spacing w:line="240" w:lineRule="auto"/>
      <w:ind w:firstLine="0" w:left="0"/>
      <w:jc w:val="left"/>
    </w:pPr>
    <w:rPr>
      <w:sz w:val="20"/>
    </w:rPr>
  </w:style>
  <w:style w:styleId="Style_39_ch" w:type="character">
    <w:name w:val="Footnote"/>
    <w:basedOn w:val="Style_3_ch"/>
    <w:link w:val="Style_39"/>
    <w:rPr>
      <w:sz w:val="20"/>
    </w:rPr>
  </w:style>
  <w:style w:styleId="Style_40" w:type="paragraph">
    <w:name w:val="heading 8"/>
    <w:basedOn w:val="Style_3"/>
    <w:next w:val="Style_3"/>
    <w:link w:val="Style_40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0_ch" w:type="character">
    <w:name w:val="heading 8"/>
    <w:basedOn w:val="Style_3_ch"/>
    <w:link w:val="Style_40"/>
    <w:rPr>
      <w:rFonts w:ascii="Arial" w:hAnsi="Arial"/>
    </w:rPr>
  </w:style>
  <w:style w:styleId="Style_41" w:type="paragraph">
    <w:name w:val="toc 1"/>
    <w:basedOn w:val="Style_3"/>
    <w:next w:val="Style_3"/>
    <w:link w:val="Style_41_ch"/>
    <w:uiPriority w:val="39"/>
    <w:pPr>
      <w:tabs>
        <w:tab w:leader="dot" w:pos="9345" w:val="right"/>
      </w:tabs>
      <w:ind w:firstLine="0" w:left="0"/>
    </w:pPr>
  </w:style>
  <w:style w:styleId="Style_41_ch" w:type="character">
    <w:name w:val="toc 1"/>
    <w:basedOn w:val="Style_3_ch"/>
    <w:link w:val="Style_41"/>
  </w:style>
  <w:style w:styleId="Style_42" w:type="paragraph">
    <w:name w:val="Оглавление"/>
    <w:basedOn w:val="Style_29"/>
    <w:link w:val="Style_42_ch"/>
    <w:pPr>
      <w:tabs>
        <w:tab w:leader="dot" w:pos="9345" w:val="right"/>
      </w:tabs>
      <w:spacing w:after="0"/>
      <w:ind w:firstLine="149" w:left="0"/>
    </w:pPr>
  </w:style>
  <w:style w:styleId="Style_42_ch" w:type="character">
    <w:name w:val="Оглавление"/>
    <w:basedOn w:val="Style_29_ch"/>
    <w:link w:val="Style_42"/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0"/>
    </w:rPr>
  </w:style>
  <w:style w:styleId="Style_43_ch" w:type="character">
    <w:name w:val="Header and Footer"/>
    <w:link w:val="Style_43"/>
    <w:rPr>
      <w:rFonts w:ascii="XO Thames" w:hAnsi="XO Thames"/>
      <w:sz w:val="20"/>
    </w:rPr>
  </w:style>
  <w:style w:styleId="Style_44" w:type="paragraph">
    <w:name w:val="Normal (Web)"/>
    <w:basedOn w:val="Style_3"/>
    <w:link w:val="Style_44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4_ch" w:type="character">
    <w:name w:val="Normal (Web)"/>
    <w:basedOn w:val="Style_3_ch"/>
    <w:link w:val="Style_44"/>
    <w:rPr>
      <w:sz w:val="24"/>
    </w:rPr>
  </w:style>
  <w:style w:styleId="Style_45" w:type="paragraph">
    <w:name w:val="Основной текст с отступом 31"/>
    <w:basedOn w:val="Style_46"/>
    <w:link w:val="Style_45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5_ch" w:type="character">
    <w:name w:val="Основной текст с отступом 31"/>
    <w:basedOn w:val="Style_46_ch"/>
    <w:link w:val="Style_45"/>
    <w:rPr>
      <w:rFonts w:ascii="Times New Roman" w:hAnsi="Times New Roman"/>
      <w:sz w:val="28"/>
    </w:rPr>
  </w:style>
  <w:style w:styleId="Style_47" w:type="paragraph">
    <w:name w:val="Body Text 3"/>
    <w:basedOn w:val="Style_3"/>
    <w:link w:val="Style_47_ch"/>
    <w:pPr>
      <w:spacing w:line="240" w:lineRule="auto"/>
      <w:ind w:firstLine="0" w:left="0"/>
    </w:pPr>
    <w:rPr>
      <w:color w:val="000000"/>
    </w:rPr>
  </w:style>
  <w:style w:styleId="Style_47_ch" w:type="character">
    <w:name w:val="Body Text 3"/>
    <w:basedOn w:val="Style_3_ch"/>
    <w:link w:val="Style_47"/>
    <w:rPr>
      <w:color w:val="000000"/>
    </w:rPr>
  </w:style>
  <w:style w:styleId="Style_48" w:type="paragraph">
    <w:name w:val="Body text (2)"/>
    <w:basedOn w:val="Style_3"/>
    <w:link w:val="Style_48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48_ch" w:type="character">
    <w:name w:val="Body text (2)"/>
    <w:basedOn w:val="Style_3_ch"/>
    <w:link w:val="Style_48"/>
    <w:rPr>
      <w:i w:val="1"/>
      <w:sz w:val="38"/>
    </w:rPr>
  </w:style>
  <w:style w:styleId="Style_49" w:type="paragraph">
    <w:name w:val="toc 9"/>
    <w:next w:val="Style_3"/>
    <w:link w:val="Style_4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9_ch" w:type="character">
    <w:name w:val="toc 9"/>
    <w:link w:val="Style_49"/>
    <w:rPr>
      <w:rFonts w:ascii="XO Thames" w:hAnsi="XO Thames"/>
      <w:sz w:val="28"/>
    </w:rPr>
  </w:style>
  <w:style w:styleId="Style_50" w:type="paragraph">
    <w:name w:val="Body Text Indent"/>
    <w:basedOn w:val="Style_3"/>
    <w:link w:val="Style_50_ch"/>
    <w:pPr>
      <w:spacing w:after="120" w:line="240" w:lineRule="auto"/>
      <w:ind w:firstLine="0" w:left="283"/>
      <w:jc w:val="left"/>
    </w:pPr>
    <w:rPr>
      <w:sz w:val="24"/>
    </w:rPr>
  </w:style>
  <w:style w:styleId="Style_50_ch" w:type="character">
    <w:name w:val="Body Text Indent"/>
    <w:basedOn w:val="Style_3_ch"/>
    <w:link w:val="Style_50"/>
    <w:rPr>
      <w:sz w:val="24"/>
    </w:rPr>
  </w:style>
  <w:style w:styleId="Style_51" w:type="paragraph">
    <w:name w:val="toc 8"/>
    <w:next w:val="Style_3"/>
    <w:link w:val="Style_5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52" w:type="paragraph">
    <w:name w:val="Абзац списка2"/>
    <w:basedOn w:val="Style_3"/>
    <w:link w:val="Style_52_ch"/>
    <w:pPr>
      <w:spacing w:line="240" w:lineRule="auto"/>
      <w:ind w:firstLine="0" w:left="0"/>
      <w:jc w:val="left"/>
    </w:pPr>
    <w:rPr>
      <w:sz w:val="24"/>
    </w:rPr>
  </w:style>
  <w:style w:styleId="Style_52_ch" w:type="character">
    <w:name w:val="Абзац списка2"/>
    <w:basedOn w:val="Style_3_ch"/>
    <w:link w:val="Style_52"/>
    <w:rPr>
      <w:sz w:val="24"/>
    </w:rPr>
  </w:style>
  <w:style w:styleId="Style_53" w:type="paragraph">
    <w:name w:val="page number"/>
    <w:basedOn w:val="Style_18"/>
    <w:link w:val="Style_53_ch"/>
  </w:style>
  <w:style w:styleId="Style_53_ch" w:type="character">
    <w:name w:val="page number"/>
    <w:basedOn w:val="Style_18_ch"/>
    <w:link w:val="Style_53"/>
  </w:style>
  <w:style w:styleId="Style_54" w:type="paragraph">
    <w:name w:val="s5"/>
    <w:basedOn w:val="Style_18"/>
    <w:link w:val="Style_54_ch"/>
  </w:style>
  <w:style w:styleId="Style_54_ch" w:type="character">
    <w:name w:val="s5"/>
    <w:basedOn w:val="Style_18_ch"/>
    <w:link w:val="Style_54"/>
  </w:style>
  <w:style w:styleId="Style_55" w:type="paragraph">
    <w:name w:val="toc 5"/>
    <w:next w:val="Style_3"/>
    <w:link w:val="Style_5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5_ch" w:type="character">
    <w:name w:val="toc 5"/>
    <w:link w:val="Style_55"/>
    <w:rPr>
      <w:rFonts w:ascii="XO Thames" w:hAnsi="XO Thames"/>
      <w:sz w:val="28"/>
    </w:rPr>
  </w:style>
  <w:style w:styleId="Style_56" w:type="paragraph">
    <w:name w:val="List"/>
    <w:basedOn w:val="Style_3"/>
    <w:link w:val="Style_56_ch"/>
    <w:pPr>
      <w:ind w:firstLine="0" w:left="0"/>
    </w:pPr>
    <w:rPr>
      <w:rFonts w:ascii="Arial" w:hAnsi="Arial"/>
      <w:sz w:val="24"/>
    </w:rPr>
  </w:style>
  <w:style w:styleId="Style_56_ch" w:type="character">
    <w:name w:val="List"/>
    <w:basedOn w:val="Style_3_ch"/>
    <w:link w:val="Style_56"/>
    <w:rPr>
      <w:rFonts w:ascii="Arial" w:hAnsi="Arial"/>
      <w:sz w:val="24"/>
    </w:rPr>
  </w:style>
  <w:style w:styleId="Style_57" w:type="paragraph">
    <w:name w:val="Body Text Indent 2"/>
    <w:basedOn w:val="Style_3"/>
    <w:link w:val="Style_57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7_ch" w:type="character">
    <w:name w:val="Body Text Indent 2"/>
    <w:basedOn w:val="Style_3_ch"/>
    <w:link w:val="Style_57"/>
    <w:rPr>
      <w:rFonts w:ascii="Arial" w:hAnsi="Arial"/>
    </w:rPr>
  </w:style>
  <w:style w:styleId="Style_58" w:type="paragraph">
    <w:name w:val="No Spacing"/>
    <w:link w:val="Style_58_ch"/>
    <w:rPr>
      <w:rFonts w:ascii="Calibri" w:hAnsi="Calibri"/>
      <w:sz w:val="22"/>
    </w:rPr>
  </w:style>
  <w:style w:styleId="Style_58_ch" w:type="character">
    <w:name w:val="No Spacing"/>
    <w:link w:val="Style_58"/>
    <w:rPr>
      <w:rFonts w:ascii="Calibri" w:hAnsi="Calibri"/>
      <w:sz w:val="22"/>
    </w:rPr>
  </w:style>
  <w:style w:styleId="Style_59" w:type="paragraph">
    <w:name w:val="s4"/>
    <w:basedOn w:val="Style_18"/>
    <w:link w:val="Style_59_ch"/>
  </w:style>
  <w:style w:styleId="Style_59_ch" w:type="character">
    <w:name w:val="s4"/>
    <w:basedOn w:val="Style_18_ch"/>
    <w:link w:val="Style_59"/>
  </w:style>
  <w:style w:styleId="Style_60" w:type="paragraph">
    <w:name w:val="header"/>
    <w:basedOn w:val="Style_3"/>
    <w:link w:val="Style_60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0_ch" w:type="character">
    <w:name w:val="header"/>
    <w:basedOn w:val="Style_3_ch"/>
    <w:link w:val="Style_60"/>
  </w:style>
  <w:style w:styleId="Style_61" w:type="paragraph">
    <w:name w:val="lead"/>
    <w:basedOn w:val="Style_3"/>
    <w:link w:val="Style_61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1_ch" w:type="character">
    <w:name w:val="lead"/>
    <w:basedOn w:val="Style_3_ch"/>
    <w:link w:val="Style_61"/>
    <w:rPr>
      <w:sz w:val="24"/>
    </w:rPr>
  </w:style>
  <w:style w:styleId="Style_46" w:type="paragraph">
    <w:name w:val="Обычный1"/>
    <w:link w:val="Style_46_ch"/>
    <w:rPr>
      <w:rFonts w:ascii="MS Sans Serif" w:hAnsi="MS Sans Serif"/>
    </w:rPr>
  </w:style>
  <w:style w:styleId="Style_46_ch" w:type="character">
    <w:name w:val="Обычный1"/>
    <w:link w:val="Style_46"/>
    <w:rPr>
      <w:rFonts w:ascii="MS Sans Serif" w:hAnsi="MS Sans Serif"/>
    </w:rPr>
  </w:style>
  <w:style w:styleId="Style_62" w:type="paragraph">
    <w:name w:val="Subtitle"/>
    <w:basedOn w:val="Style_3"/>
    <w:link w:val="Style_62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2_ch" w:type="character">
    <w:name w:val="Subtitle"/>
    <w:basedOn w:val="Style_3_ch"/>
    <w:link w:val="Style_62"/>
    <w:rPr>
      <w:rFonts w:ascii="Verdana" w:hAnsi="Verdana"/>
      <w:sz w:val="24"/>
    </w:rPr>
  </w:style>
  <w:style w:styleId="Style_63" w:type="paragraph">
    <w:name w:val="apple-converted-space"/>
    <w:link w:val="Style_63_ch"/>
  </w:style>
  <w:style w:styleId="Style_63_ch" w:type="character">
    <w:name w:val="apple-converted-space"/>
    <w:link w:val="Style_63"/>
  </w:style>
  <w:style w:styleId="Style_64" w:type="paragraph">
    <w:name w:val="caption"/>
    <w:basedOn w:val="Style_3"/>
    <w:next w:val="Style_3"/>
    <w:link w:val="Style_64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4_ch" w:type="character">
    <w:name w:val="caption"/>
    <w:basedOn w:val="Style_3_ch"/>
    <w:link w:val="Style_64"/>
    <w:rPr>
      <w:rFonts w:ascii="Arial" w:hAnsi="Arial"/>
    </w:rPr>
  </w:style>
  <w:style w:styleId="Style_65" w:type="paragraph">
    <w:name w:val="s3"/>
    <w:basedOn w:val="Style_18"/>
    <w:link w:val="Style_65_ch"/>
  </w:style>
  <w:style w:styleId="Style_65_ch" w:type="character">
    <w:name w:val="s3"/>
    <w:basedOn w:val="Style_18_ch"/>
    <w:link w:val="Style_65"/>
  </w:style>
  <w:style w:styleId="Style_66" w:type="paragraph">
    <w:name w:val="Стиль курсового"/>
    <w:basedOn w:val="Style_3"/>
    <w:link w:val="Style_66_ch"/>
    <w:pPr>
      <w:spacing w:line="240" w:lineRule="auto"/>
      <w:ind w:firstLine="851" w:left="0"/>
    </w:pPr>
    <w:rPr>
      <w:rFonts w:ascii="Tahoma" w:hAnsi="Tahoma"/>
      <w:sz w:val="22"/>
    </w:rPr>
  </w:style>
  <w:style w:styleId="Style_66_ch" w:type="character">
    <w:name w:val="Стиль курсового"/>
    <w:basedOn w:val="Style_3_ch"/>
    <w:link w:val="Style_66"/>
    <w:rPr>
      <w:rFonts w:ascii="Tahoma" w:hAnsi="Tahoma"/>
      <w:sz w:val="22"/>
    </w:rPr>
  </w:style>
  <w:style w:styleId="Style_67" w:type="paragraph">
    <w:name w:val="Title"/>
    <w:basedOn w:val="Style_3"/>
    <w:link w:val="Style_67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7_ch" w:type="character">
    <w:name w:val="Title"/>
    <w:basedOn w:val="Style_3_ch"/>
    <w:link w:val="Style_67"/>
    <w:rPr>
      <w:rFonts w:ascii="Arial" w:hAnsi="Arial"/>
    </w:rPr>
  </w:style>
  <w:style w:styleId="Style_68" w:type="paragraph">
    <w:name w:val="heading 4"/>
    <w:basedOn w:val="Style_3"/>
    <w:next w:val="Style_3"/>
    <w:link w:val="Style_68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8_ch" w:type="character">
    <w:name w:val="heading 4"/>
    <w:basedOn w:val="Style_3_ch"/>
    <w:link w:val="Style_68"/>
    <w:rPr>
      <w:rFonts w:ascii="Arial" w:hAnsi="Arial"/>
      <w:u w:val="single"/>
    </w:rPr>
  </w:style>
  <w:style w:styleId="Style_69" w:type="paragraph">
    <w:name w:val="heading 2"/>
    <w:basedOn w:val="Style_3"/>
    <w:next w:val="Style_3"/>
    <w:link w:val="Style_69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69_ch" w:type="character">
    <w:name w:val="heading 2"/>
    <w:basedOn w:val="Style_3_ch"/>
    <w:link w:val="Style_69"/>
    <w:rPr>
      <w:rFonts w:ascii="Calibri Light" w:hAnsi="Calibri Light"/>
      <w:color w:val="2E74B5"/>
      <w:sz w:val="26"/>
    </w:rPr>
  </w:style>
  <w:style w:styleId="Style_70" w:type="paragraph">
    <w:name w:val="List Paragraph"/>
    <w:basedOn w:val="Style_3"/>
    <w:link w:val="Style_70_ch"/>
    <w:pPr>
      <w:ind w:firstLine="0" w:left="720"/>
      <w:contextualSpacing w:val="1"/>
    </w:pPr>
  </w:style>
  <w:style w:styleId="Style_70_ch" w:type="character">
    <w:name w:val="List Paragraph"/>
    <w:basedOn w:val="Style_3_ch"/>
    <w:link w:val="Style_70"/>
  </w:style>
  <w:style w:styleId="Style_71" w:type="paragraph">
    <w:name w:val="Обычный + 14 пт"/>
    <w:basedOn w:val="Style_3"/>
    <w:link w:val="Style_71_ch"/>
    <w:pPr>
      <w:spacing w:line="240" w:lineRule="auto"/>
      <w:ind w:firstLine="0" w:left="0"/>
    </w:pPr>
  </w:style>
  <w:style w:styleId="Style_71_ch" w:type="character">
    <w:name w:val="Обычный + 14 пт"/>
    <w:basedOn w:val="Style_3_ch"/>
    <w:link w:val="Style_71"/>
  </w:style>
  <w:style w:styleId="Style_72" w:type="paragraph">
    <w:name w:val="heading 6"/>
    <w:basedOn w:val="Style_3"/>
    <w:next w:val="Style_3"/>
    <w:link w:val="Style_72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2_ch" w:type="character">
    <w:name w:val="heading 6"/>
    <w:basedOn w:val="Style_3_ch"/>
    <w:link w:val="Style_72"/>
    <w:rPr>
      <w:rFonts w:ascii="Arial" w:hAnsi="Arial"/>
    </w:rPr>
  </w:style>
  <w:style w:styleId="Style_73" w:type="table">
    <w:name w:val="Сетка таблицы2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7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2026-08-04T12:18:33Z</dcterms:modified>
</cp:coreProperties>
</file>