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pStyle w:val="Style_2"/>
        <w:widowControl w:val="0"/>
        <w:spacing w:after="0" w:before="0" w:line="360" w:lineRule="auto"/>
        <w:ind/>
        <w:jc w:val="center"/>
        <w:outlineLvl w:val="0"/>
        <w:rPr>
          <w:b w:val="1"/>
          <w:sz w:val="32"/>
        </w:rPr>
      </w:pPr>
      <w:r>
        <w:rPr>
          <w:b w:val="1"/>
          <w:sz w:val="32"/>
        </w:rPr>
        <w:t>1.ОБЩАЯ ЧАСТЬ</w:t>
      </w:r>
    </w:p>
    <w:p w14:paraId="08000000">
      <w:pPr>
        <w:pStyle w:val="Style_2"/>
        <w:widowControl w:val="0"/>
        <w:spacing w:after="0" w:before="0" w:line="360" w:lineRule="auto"/>
        <w:ind/>
        <w:jc w:val="center"/>
        <w:outlineLvl w:val="0"/>
        <w:rPr>
          <w:b w:val="1"/>
          <w:sz w:val="28"/>
        </w:rPr>
      </w:pPr>
    </w:p>
    <w:p w14:paraId="09000000">
      <w:pPr>
        <w:pStyle w:val="Style_3"/>
        <w:numPr>
          <w:ilvl w:val="1"/>
          <w:numId w:val="1"/>
        </w:numPr>
        <w:spacing w:before="0"/>
        <w:ind w:firstLine="0" w:left="0"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b w:val="1"/>
          <w:color w:val="000000"/>
        </w:rPr>
        <w:t xml:space="preserve"> </w:t>
      </w:r>
      <w:r>
        <w:rPr>
          <w:rFonts w:ascii="Times New Roman" w:hAnsi="Times New Roman"/>
          <w:b w:val="1"/>
          <w:color w:val="000000"/>
        </w:rPr>
        <w:t xml:space="preserve">Общая </w:t>
      </w:r>
      <w:r>
        <w:rPr>
          <w:rFonts w:ascii="Times New Roman" w:hAnsi="Times New Roman"/>
          <w:b w:val="1"/>
          <w:color w:val="000000"/>
        </w:rPr>
        <w:t>характеристика предприятия</w:t>
      </w:r>
      <w:r>
        <w:rPr>
          <w:rFonts w:ascii="Times New Roman" w:hAnsi="Times New Roman"/>
          <w:b w:val="1"/>
          <w:color w:val="000000"/>
        </w:rPr>
        <w:t xml:space="preserve"> </w:t>
      </w:r>
      <w:r>
        <w:rPr>
          <w:rFonts w:ascii="Times New Roman" w:hAnsi="Times New Roman"/>
          <w:b w:val="1"/>
          <w:color w:val="000000"/>
        </w:rPr>
        <w:t>АО</w:t>
      </w:r>
      <w:r>
        <w:rPr>
          <w:rFonts w:ascii="Times New Roman" w:hAnsi="Times New Roman"/>
          <w:b w:val="1"/>
          <w:color w:val="000000"/>
        </w:rPr>
        <w:t xml:space="preserve"> «</w:t>
      </w:r>
      <w:r>
        <w:rPr>
          <w:rFonts w:ascii="Times New Roman" w:hAnsi="Times New Roman"/>
          <w:b w:val="1"/>
          <w:color w:val="000000"/>
        </w:rPr>
        <w:t>Туламашзавод</w:t>
      </w:r>
      <w:r>
        <w:rPr>
          <w:rFonts w:ascii="Times New Roman" w:hAnsi="Times New Roman"/>
          <w:b w:val="1"/>
          <w:color w:val="000000"/>
        </w:rPr>
        <w:t>»</w:t>
      </w:r>
    </w:p>
    <w:p w14:paraId="0A000000">
      <w:pPr>
        <w:rPr>
          <w:color w:val="000000"/>
          <w:sz w:val="32"/>
        </w:rPr>
      </w:pPr>
    </w:p>
    <w:p w14:paraId="0B000000">
      <w:r>
        <w:t xml:space="preserve">Акционерное общество «Акционерная компания «Туламашзавод» (АО «АК «Туламашзавод») является одним из ведущих предприятий российского машиностроения и оборонно-промышленного комплекса. Завод расположен в городе Туле и ведет свою историю с 1879 года, когда был основан чугунно-литейный завод </w:t>
      </w:r>
      <w:r>
        <w:t>Байцуровских</w:t>
      </w:r>
      <w:r>
        <w:t xml:space="preserve"> заводов для выполнения заказов Императорского Тульского оружейного завода. В 1912 году предприятие вошло в состав оружейного комплекса как «Новый завод». В 1939 году оно получило статус самостоятельного Тульского машиностроительного завода. За 140-летнюю историю завод прошел путь от литейного производства до высокотехнологичного комплекса, внесшего значительный вклад в оборону страны, в годы Великой Отечественной войны.</w:t>
      </w:r>
    </w:p>
    <w:p w14:paraId="0C000000">
      <w:r>
        <w:t xml:space="preserve">Сегодня АО «АК «Туламашзавод» объединяет под своим управлением около 15 дочерних компаний, охватывающих металлургию, инструментальное производство, пластмассовые изделия, строительство, социальную сферу и другие направления. </w:t>
      </w:r>
      <w:r>
        <w:t>П</w:t>
      </w:r>
      <w:r>
        <w:t xml:space="preserve">озволяет эффективно координировать ресурсы и реализовывать комплексные проекты. Предприятие входит в структуры, связанные с </w:t>
      </w:r>
      <w:r>
        <w:t>Госкорпорацией</w:t>
      </w:r>
      <w:r>
        <w:t xml:space="preserve"> «</w:t>
      </w:r>
      <w:r>
        <w:t>Ростех</w:t>
      </w:r>
      <w:r>
        <w:t xml:space="preserve">», и ориентировано как на выпуск продукции оборонного назначения, на гражданскую продукцию. Численность работников превышает несколько тысяч человек, уставный капитал составляет 3 </w:t>
      </w:r>
      <w:r>
        <w:t>млрд</w:t>
      </w:r>
      <w:r>
        <w:t xml:space="preserve"> рублей.</w:t>
      </w:r>
    </w:p>
    <w:p w14:paraId="0D000000">
      <w:r>
        <w:t xml:space="preserve">Завод обладает мощной производственной базой, оснащенной оборудованием ведущих мировых производителей. Он активно реализует программы технического перевооружения, внедряя станки с числовым программным управлением, обрабатывающие центры и автоматизированные линии. </w:t>
      </w:r>
      <w:r>
        <w:t>О</w:t>
      </w:r>
      <w:r>
        <w:t xml:space="preserve">беспечивает высокую точность изготовления деталей, </w:t>
      </w:r>
      <w:r>
        <w:t>технологическую гибкость и возможность освоения новых изделий. Предприятие все необходимые лицензии на разработку, производство, испытания и ремонт вооружения, военной и авиационной техники.</w:t>
      </w:r>
    </w:p>
    <w:p w14:paraId="0E000000">
      <w:r>
        <w:t xml:space="preserve">Социальная политика завода направлена на поддержку сотрудников и жителей региона. Под управлением АО находятся Дворец культуры, спортивные клубы, базы отдыха, </w:t>
      </w:r>
      <w:r>
        <w:t>мотошкола</w:t>
      </w:r>
      <w:r>
        <w:t xml:space="preserve"> и другие объекты, способствующие развитию культуры, спорта и досуга. Предприятие уделяет внимание экологическим стандартам, в частности, гальваническое производство работает с замкнутой системой </w:t>
      </w:r>
      <w:r>
        <w:t>водооборота</w:t>
      </w:r>
      <w:r>
        <w:t>.</w:t>
      </w:r>
    </w:p>
    <w:p w14:paraId="0F000000">
      <w:pPr>
        <w:ind/>
        <w:jc w:val="right"/>
      </w:pPr>
      <w:r>
        <w:t>Таблица 1.</w:t>
      </w:r>
      <w:r>
        <w:t>1.</w:t>
      </w:r>
    </w:p>
    <w:p w14:paraId="10000000">
      <w:pPr>
        <w:ind/>
        <w:jc w:val="center"/>
      </w:pPr>
      <w:r>
        <w:t>Ключевые показатели АО «АК «Туламашзавод» (обобщенные данные)</w:t>
      </w:r>
    </w:p>
    <w:tbl>
      <w:tblPr>
        <w:tblStyle w:val="Style_4"/>
        <w:tblLayout w:type="fixed"/>
      </w:tblPr>
      <w:tblGrid>
        <w:gridCol w:w="2875"/>
        <w:gridCol w:w="2712"/>
        <w:gridCol w:w="3983"/>
      </w:tblGrid>
      <w:tr>
        <w:tc>
          <w:tcPr>
            <w:tcW w:type="dxa" w:w="2875"/>
          </w:tcPr>
          <w:p w14:paraId="11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Показатель</w:t>
            </w:r>
          </w:p>
        </w:tc>
        <w:tc>
          <w:tcPr>
            <w:tcW w:type="dxa" w:w="2712"/>
          </w:tcPr>
          <w:p w14:paraId="12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Значение</w:t>
            </w:r>
          </w:p>
        </w:tc>
        <w:tc>
          <w:tcPr>
            <w:tcW w:type="dxa" w:w="3983"/>
          </w:tcPr>
          <w:p w14:paraId="13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Примечание</w:t>
            </w:r>
          </w:p>
        </w:tc>
      </w:tr>
      <w:tr>
        <w:tc>
          <w:tcPr>
            <w:tcW w:type="dxa" w:w="2875"/>
          </w:tcPr>
          <w:p w14:paraId="14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Год основания</w:t>
            </w:r>
          </w:p>
        </w:tc>
        <w:tc>
          <w:tcPr>
            <w:tcW w:type="dxa" w:w="2712"/>
          </w:tcPr>
          <w:p w14:paraId="15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1879</w:t>
            </w:r>
          </w:p>
        </w:tc>
        <w:tc>
          <w:tcPr>
            <w:tcW w:type="dxa" w:w="3983"/>
          </w:tcPr>
          <w:p w14:paraId="16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История с </w:t>
            </w:r>
            <w:r>
              <w:rPr>
                <w:rFonts w:ascii="Times New Roman" w:hAnsi="Times New Roman"/>
              </w:rPr>
              <w:t>Байцуровского</w:t>
            </w:r>
            <w:r>
              <w:rPr>
                <w:rFonts w:ascii="Times New Roman" w:hAnsi="Times New Roman"/>
              </w:rPr>
              <w:t xml:space="preserve"> завода</w:t>
            </w:r>
          </w:p>
        </w:tc>
      </w:tr>
      <w:tr>
        <w:tc>
          <w:tcPr>
            <w:tcW w:type="dxa" w:w="2875"/>
          </w:tcPr>
          <w:p w14:paraId="17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Количество дочерних компаний</w:t>
            </w:r>
          </w:p>
        </w:tc>
        <w:tc>
          <w:tcPr>
            <w:tcW w:type="dxa" w:w="2712"/>
          </w:tcPr>
          <w:p w14:paraId="18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Около 15</w:t>
            </w:r>
          </w:p>
        </w:tc>
        <w:tc>
          <w:tcPr>
            <w:tcW w:type="dxa" w:w="3983"/>
          </w:tcPr>
          <w:p w14:paraId="19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Разные отрасли</w:t>
            </w:r>
          </w:p>
        </w:tc>
      </w:tr>
      <w:tr>
        <w:tc>
          <w:tcPr>
            <w:tcW w:type="dxa" w:w="2875"/>
          </w:tcPr>
          <w:p w14:paraId="1A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 направление</w:t>
            </w:r>
          </w:p>
        </w:tc>
        <w:tc>
          <w:tcPr>
            <w:tcW w:type="dxa" w:w="2712"/>
          </w:tcPr>
          <w:p w14:paraId="1B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Машиностроение, ОПК</w:t>
            </w:r>
          </w:p>
        </w:tc>
        <w:tc>
          <w:tcPr>
            <w:tcW w:type="dxa" w:w="3983"/>
          </w:tcPr>
          <w:p w14:paraId="1C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Военная и гражданская продукция</w:t>
            </w:r>
          </w:p>
        </w:tc>
      </w:tr>
      <w:tr>
        <w:tc>
          <w:tcPr>
            <w:tcW w:type="dxa" w:w="2875"/>
          </w:tcPr>
          <w:p w14:paraId="1D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Численность сотрудников</w:t>
            </w:r>
          </w:p>
        </w:tc>
        <w:tc>
          <w:tcPr>
            <w:tcW w:type="dxa" w:w="2712"/>
          </w:tcPr>
          <w:p w14:paraId="1E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Несколько тысяч</w:t>
            </w:r>
          </w:p>
        </w:tc>
        <w:tc>
          <w:tcPr>
            <w:tcW w:type="dxa" w:w="3983"/>
          </w:tcPr>
          <w:p w14:paraId="1F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Высококвалифицированные кадры</w:t>
            </w:r>
          </w:p>
        </w:tc>
      </w:tr>
      <w:tr>
        <w:tc>
          <w:tcPr>
            <w:tcW w:type="dxa" w:w="2875"/>
          </w:tcPr>
          <w:p w14:paraId="20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Уставный капитал</w:t>
            </w:r>
          </w:p>
        </w:tc>
        <w:tc>
          <w:tcPr>
            <w:tcW w:type="dxa" w:w="2712"/>
          </w:tcPr>
          <w:p w14:paraId="21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Более 3 </w:t>
            </w:r>
            <w:r>
              <w:rPr>
                <w:rFonts w:ascii="Times New Roman" w:hAnsi="Times New Roman"/>
              </w:rPr>
              <w:t>млрд</w:t>
            </w:r>
            <w:r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type="dxa" w:w="3983"/>
          </w:tcPr>
          <w:p w14:paraId="22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Стабильная финансовая база</w:t>
            </w:r>
          </w:p>
        </w:tc>
      </w:tr>
    </w:tbl>
    <w:p w14:paraId="23000000">
      <w:pPr>
        <w:ind/>
        <w:jc w:val="center"/>
      </w:pPr>
    </w:p>
    <w:p w14:paraId="24000000">
      <w:pPr>
        <w:ind w:firstLine="0" w:left="0"/>
        <w:jc w:val="center"/>
      </w:pPr>
      <w:r>
        <w:drawing>
          <wp:inline>
            <wp:extent cx="5940425" cy="3946525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5940425" cy="3946525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25000000">
      <w:pPr>
        <w:ind/>
        <w:jc w:val="center"/>
      </w:pPr>
      <w:r>
        <w:t>Рисунок 1</w:t>
      </w:r>
      <w:r>
        <w:t xml:space="preserve">.1 - </w:t>
      </w:r>
      <w:r>
        <w:t xml:space="preserve"> Зенитная артиллерийская установка АК-630, один из ярких примеров военной продукции Туламашзавода, устанавливаемой на корабли ВМФ России.</w:t>
      </w:r>
    </w:p>
    <w:p w14:paraId="26000000">
      <w:pPr>
        <w:ind/>
        <w:jc w:val="center"/>
      </w:pPr>
    </w:p>
    <w:p w14:paraId="27000000">
      <w:pPr>
        <w:ind w:firstLine="708" w:left="0"/>
      </w:pPr>
      <w:r>
        <w:t>Предприятие продолжает развиваться, осваивая новые технологии и расширяя номенклатуру. Его устойчивое положение на рынке подтверждается многолетним опытом, государственными заказами и востребованностью гражданской продукции. АО «Туламашзавод» остается элементом промышленного потенциала Тульского региона и всей страны.</w:t>
      </w:r>
    </w:p>
    <w:p w14:paraId="28000000">
      <w:pPr>
        <w:ind w:firstLine="708" w:left="0"/>
      </w:pPr>
    </w:p>
    <w:p w14:paraId="29000000">
      <w:pPr>
        <w:pStyle w:val="Style_3"/>
        <w:numPr>
          <w:ilvl w:val="1"/>
          <w:numId w:val="1"/>
        </w:numPr>
        <w:spacing w:before="0"/>
        <w:ind w:firstLine="0" w:left="0"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b w:val="1"/>
          <w:color w:val="000000"/>
        </w:rPr>
        <w:t xml:space="preserve"> </w:t>
      </w:r>
      <w:r>
        <w:rPr>
          <w:rFonts w:ascii="Times New Roman" w:hAnsi="Times New Roman"/>
          <w:b w:val="1"/>
          <w:color w:val="000000"/>
        </w:rPr>
        <w:t>Номенклатура производимой продукции</w:t>
      </w:r>
    </w:p>
    <w:p w14:paraId="2A000000">
      <w:pPr>
        <w:rPr>
          <w:color w:val="000000"/>
        </w:rPr>
      </w:pPr>
    </w:p>
    <w:p w14:paraId="2B000000">
      <w:pPr>
        <w:rPr>
          <w:color w:themeColor="text1" w:val="000000"/>
        </w:rPr>
      </w:pPr>
      <w:r>
        <w:rPr>
          <w:color w:themeColor="text1" w:val="000000"/>
        </w:rPr>
        <w:t>Технологическая</w:t>
      </w:r>
    </w:p>
    <w:p w14:paraId="2C000000">
      <w:pPr>
        <w:rPr>
          <w:color w:themeColor="text1" w:val="000000"/>
        </w:rPr>
      </w:pPr>
      <w:r>
        <w:rPr>
          <w:color w:themeColor="text1" w:val="000000"/>
        </w:rPr>
        <w:t>Номенклатура производимой продукц</w:t>
      </w:r>
      <w:r>
        <w:rPr>
          <w:color w:themeColor="text1" w:val="000000"/>
        </w:rPr>
        <w:t>ии АО</w:t>
      </w:r>
      <w:r>
        <w:rPr>
          <w:color w:themeColor="text1" w:val="000000"/>
        </w:rPr>
        <w:t xml:space="preserve"> «АК «Туламашзавод» отличается большим разнообразием и охватывает как изделия оборонного назначения, широкую линейку гражданской техники. </w:t>
      </w:r>
      <w:r>
        <w:rPr>
          <w:color w:themeColor="text1" w:val="000000"/>
        </w:rPr>
        <w:t>П</w:t>
      </w:r>
      <w:r>
        <w:rPr>
          <w:color w:themeColor="text1" w:val="000000"/>
        </w:rPr>
        <w:t xml:space="preserve">озволяет </w:t>
      </w:r>
      <w:r>
        <w:rPr>
          <w:color w:themeColor="text1" w:val="000000"/>
        </w:rPr>
        <w:t>предприятию успешно выполнять государственные оборонные заказы и удовлетворять потребности гражданского рынка. Военная продукция традиционно составляет значительную часть портфеля и соответствует самым высоким стандартам качества и надежности.</w:t>
      </w:r>
    </w:p>
    <w:p w14:paraId="2D000000">
      <w:pPr>
        <w:rPr>
          <w:color w:themeColor="text1" w:val="000000"/>
        </w:rPr>
      </w:pPr>
      <w:r>
        <w:rPr>
          <w:color w:themeColor="text1" w:val="000000"/>
        </w:rPr>
        <w:t>Ключевыми направлениями военного производства являются зенитные артиллерийские установки и ракетно-артиллерийские комплексы для кораблей ВМФ. Среди них</w:t>
      </w:r>
      <w:r>
        <w:rPr>
          <w:color w:themeColor="text1" w:val="000000"/>
        </w:rPr>
        <w:t>,</w:t>
      </w:r>
      <w:r>
        <w:rPr>
          <w:color w:themeColor="text1" w:val="000000"/>
        </w:rPr>
        <w:t xml:space="preserve"> знаменитые 30-мм установки АК-630, АК-630М и модернизированная </w:t>
      </w:r>
      <w:r>
        <w:rPr>
          <w:color w:themeColor="text1" w:val="000000"/>
        </w:rPr>
        <w:t>двухствольная</w:t>
      </w:r>
      <w:r>
        <w:rPr>
          <w:color w:themeColor="text1" w:val="000000"/>
        </w:rPr>
        <w:t xml:space="preserve"> АК-630М-2 «Дуэт», уникальные комплексы ближней обороны «Каштан» и «Пальма». Завод выпускает автоматические пушки калибра 23 мм и 30 мм (в том числе 2А42), которые устанавливаются на боевые машины пехоты (БМП-2, БМП-3), бронетранспортеры (БТР-80А, БТР-82А), десантную технику и вертолеты. </w:t>
      </w:r>
      <w:r>
        <w:rPr>
          <w:color w:themeColor="text1" w:val="000000"/>
        </w:rPr>
        <w:t>П</w:t>
      </w:r>
      <w:r>
        <w:rPr>
          <w:color w:themeColor="text1" w:val="000000"/>
        </w:rPr>
        <w:t>редприятие производит высокоточные противотанковые управляемые выстрелы и другие элементы стрелково-пушечного вооружения.</w:t>
      </w:r>
    </w:p>
    <w:p w14:paraId="2E000000">
      <w:pPr>
        <w:rPr>
          <w:color w:themeColor="text1" w:val="000000"/>
        </w:rPr>
      </w:pPr>
      <w:r>
        <w:rPr>
          <w:color w:themeColor="text1" w:val="000000"/>
        </w:rPr>
        <w:t xml:space="preserve">Гражданская продукция предприятия ориентирована на практическое применение в различных отраслях экономики. </w:t>
      </w:r>
      <w:r>
        <w:rPr>
          <w:color w:themeColor="text1" w:val="000000"/>
        </w:rPr>
        <w:t>М</w:t>
      </w:r>
      <w:r>
        <w:rPr>
          <w:color w:themeColor="text1" w:val="000000"/>
        </w:rPr>
        <w:t>есто занимают энергетические установки</w:t>
      </w:r>
      <w:r>
        <w:rPr>
          <w:color w:themeColor="text1" w:val="000000"/>
        </w:rPr>
        <w:t>,</w:t>
      </w:r>
      <w:r>
        <w:rPr>
          <w:color w:themeColor="text1" w:val="000000"/>
        </w:rPr>
        <w:t xml:space="preserve"> </w:t>
      </w:r>
      <w:r>
        <w:rPr>
          <w:color w:themeColor="text1" w:val="000000"/>
        </w:rPr>
        <w:t>малокубатурные</w:t>
      </w:r>
      <w:r>
        <w:rPr>
          <w:color w:themeColor="text1" w:val="000000"/>
        </w:rPr>
        <w:t xml:space="preserve"> универсальные дизели, отличающиеся низким расходом топлива и длительным сроком службы, дизель-генераторные установки и агрегаты для резервного и основного электроснабжения, дизель-насосные агрегаты и мотопомпы, используемые в народном хозяйстве, на флоте и в силовых структурах. </w:t>
      </w:r>
      <w:r>
        <w:rPr>
          <w:color w:themeColor="text1" w:val="000000"/>
        </w:rPr>
        <w:t>В</w:t>
      </w:r>
      <w:r>
        <w:rPr>
          <w:color w:themeColor="text1" w:val="000000"/>
        </w:rPr>
        <w:t>нимания заслуживают мобильные пожарные установки, предназначенные для самозащиты населения в отдаленных районах.</w:t>
      </w:r>
    </w:p>
    <w:p w14:paraId="2F000000">
      <w:pPr>
        <w:rPr>
          <w:color w:themeColor="text1" w:val="000000"/>
        </w:rPr>
      </w:pPr>
      <w:r>
        <w:rPr>
          <w:color w:themeColor="text1" w:val="000000"/>
        </w:rPr>
        <w:t>В последние годы активно развивается направление электротранспорта</w:t>
      </w:r>
      <w:r>
        <w:rPr>
          <w:color w:themeColor="text1" w:val="000000"/>
        </w:rPr>
        <w:t>,</w:t>
      </w:r>
      <w:r>
        <w:rPr>
          <w:color w:themeColor="text1" w:val="000000"/>
        </w:rPr>
        <w:t xml:space="preserve"> линейка малогабаритных электромобилей «Муравей», которая включает различные модификации для городских перевозок и специального использования. </w:t>
      </w:r>
      <w:r>
        <w:rPr>
          <w:color w:themeColor="text1" w:val="000000"/>
        </w:rPr>
        <w:t>З</w:t>
      </w:r>
      <w:r>
        <w:rPr>
          <w:color w:themeColor="text1" w:val="000000"/>
        </w:rPr>
        <w:t>авод выпускает нефтегазовое оборудование (</w:t>
      </w:r>
      <w:r>
        <w:rPr>
          <w:color w:themeColor="text1" w:val="000000"/>
        </w:rPr>
        <w:t>превенторы</w:t>
      </w:r>
      <w:r>
        <w:rPr>
          <w:color w:themeColor="text1" w:val="000000"/>
        </w:rPr>
        <w:t xml:space="preserve">, гидравлические ключи), лазерные технологические комплексы и модули, перфораторы, </w:t>
      </w:r>
      <w:r>
        <w:rPr>
          <w:color w:themeColor="text1" w:val="000000"/>
        </w:rPr>
        <w:t>мотокультиваторы</w:t>
      </w:r>
      <w:r>
        <w:rPr>
          <w:color w:themeColor="text1" w:val="000000"/>
        </w:rPr>
        <w:t>, дробилки, грохоты и другую технику производственно-технического назначения.</w:t>
      </w:r>
    </w:p>
    <w:p w14:paraId="30000000">
      <w:pPr>
        <w:ind/>
        <w:jc w:val="right"/>
        <w:rPr>
          <w:color w:themeColor="text1" w:val="000000"/>
        </w:rPr>
      </w:pPr>
      <w:r>
        <w:rPr>
          <w:color w:themeColor="text1" w:val="000000"/>
        </w:rPr>
        <w:t>Таблица 1.</w:t>
      </w:r>
      <w:r>
        <w:rPr>
          <w:color w:themeColor="text1" w:val="000000"/>
        </w:rPr>
        <w:t>2.</w:t>
      </w:r>
    </w:p>
    <w:p w14:paraId="31000000">
      <w:pPr>
        <w:ind/>
        <w:jc w:val="center"/>
        <w:rPr>
          <w:color w:themeColor="text1" w:val="000000"/>
        </w:rPr>
      </w:pPr>
      <w:r>
        <w:rPr>
          <w:color w:themeColor="text1" w:val="000000"/>
        </w:rPr>
        <w:t>Основные категории продукц</w:t>
      </w:r>
      <w:r>
        <w:rPr>
          <w:color w:themeColor="text1" w:val="000000"/>
        </w:rPr>
        <w:t>ии АО</w:t>
      </w:r>
      <w:r>
        <w:rPr>
          <w:color w:themeColor="text1" w:val="000000"/>
        </w:rPr>
        <w:t xml:space="preserve"> «Туламашзавод»</w:t>
      </w:r>
    </w:p>
    <w:tbl>
      <w:tblPr>
        <w:tblStyle w:val="Style_5"/>
        <w:tblLayout w:type="fixed"/>
      </w:tblPr>
      <w:tblGrid>
        <w:gridCol w:w="2769"/>
        <w:gridCol w:w="3420"/>
        <w:gridCol w:w="3381"/>
      </w:tblGrid>
      <w:tr>
        <w:tc>
          <w:tcPr>
            <w:tcW w:type="dxa" w:w="2769"/>
          </w:tcPr>
          <w:p w14:paraId="32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Категория продукции</w:t>
            </w:r>
          </w:p>
        </w:tc>
        <w:tc>
          <w:tcPr>
            <w:tcW w:type="dxa" w:w="3420"/>
          </w:tcPr>
          <w:p w14:paraId="33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примеры изделий</w:t>
            </w:r>
          </w:p>
        </w:tc>
        <w:tc>
          <w:tcPr>
            <w:tcW w:type="dxa" w:w="3381"/>
          </w:tcPr>
          <w:p w14:paraId="34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Основное назначение</w:t>
            </w:r>
          </w:p>
        </w:tc>
      </w:tr>
      <w:tr>
        <w:tc>
          <w:tcPr>
            <w:tcW w:type="dxa" w:w="2769"/>
          </w:tcPr>
          <w:p w14:paraId="35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Вооружение для ВМФ</w:t>
            </w:r>
          </w:p>
        </w:tc>
        <w:tc>
          <w:tcPr>
            <w:tcW w:type="dxa" w:w="3420"/>
          </w:tcPr>
          <w:p w14:paraId="36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АК-630, АК-630М-2 «Дуэт», «Каштан», «Пальма»</w:t>
            </w:r>
          </w:p>
        </w:tc>
        <w:tc>
          <w:tcPr>
            <w:tcW w:type="dxa" w:w="3381"/>
          </w:tcPr>
          <w:p w14:paraId="37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Противовоздушная оборона кораблей</w:t>
            </w:r>
          </w:p>
        </w:tc>
      </w:tr>
      <w:tr>
        <w:tc>
          <w:tcPr>
            <w:tcW w:type="dxa" w:w="2769"/>
          </w:tcPr>
          <w:p w14:paraId="38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Стрелково-пушечное вооружение</w:t>
            </w:r>
          </w:p>
        </w:tc>
        <w:tc>
          <w:tcPr>
            <w:tcW w:type="dxa" w:w="3420"/>
          </w:tcPr>
          <w:p w14:paraId="39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2А42, пушки 23 мм и 30 мм</w:t>
            </w:r>
          </w:p>
        </w:tc>
        <w:tc>
          <w:tcPr>
            <w:tcW w:type="dxa" w:w="3381"/>
          </w:tcPr>
          <w:p w14:paraId="3A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Бронетехника, авиация, ПВО</w:t>
            </w:r>
          </w:p>
        </w:tc>
      </w:tr>
      <w:tr>
        <w:tc>
          <w:tcPr>
            <w:tcW w:type="dxa" w:w="2769"/>
          </w:tcPr>
          <w:p w14:paraId="3B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Энергетическое оборудование</w:t>
            </w:r>
          </w:p>
        </w:tc>
        <w:tc>
          <w:tcPr>
            <w:tcW w:type="dxa" w:w="3420"/>
          </w:tcPr>
          <w:p w14:paraId="3C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Дизели, </w:t>
            </w:r>
            <w:r>
              <w:rPr>
                <w:rFonts w:ascii="Times New Roman" w:hAnsi="Times New Roman"/>
              </w:rPr>
              <w:t>дизель-генераторы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электроагрегаты</w:t>
            </w:r>
          </w:p>
        </w:tc>
        <w:tc>
          <w:tcPr>
            <w:tcW w:type="dxa" w:w="3381"/>
          </w:tcPr>
          <w:p w14:paraId="3D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Резервное и основное питание</w:t>
            </w:r>
          </w:p>
        </w:tc>
      </w:tr>
      <w:tr>
        <w:tc>
          <w:tcPr>
            <w:tcW w:type="dxa" w:w="2769"/>
          </w:tcPr>
          <w:p w14:paraId="3E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Специальная техника</w:t>
            </w:r>
          </w:p>
        </w:tc>
        <w:tc>
          <w:tcPr>
            <w:tcW w:type="dxa" w:w="3420"/>
          </w:tcPr>
          <w:p w14:paraId="3F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Мотопомпы, мобильные пожарные установки</w:t>
            </w:r>
          </w:p>
        </w:tc>
        <w:tc>
          <w:tcPr>
            <w:tcW w:type="dxa" w:w="3381"/>
          </w:tcPr>
          <w:p w14:paraId="40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Пожаротушение, народное хозяйство</w:t>
            </w:r>
          </w:p>
        </w:tc>
      </w:tr>
      <w:tr>
        <w:tc>
          <w:tcPr>
            <w:tcW w:type="dxa" w:w="2769"/>
          </w:tcPr>
          <w:p w14:paraId="41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Транспорт и прочее</w:t>
            </w:r>
          </w:p>
        </w:tc>
        <w:tc>
          <w:tcPr>
            <w:tcW w:type="dxa" w:w="3420"/>
          </w:tcPr>
          <w:p w14:paraId="42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Электромобиль «Муравей», </w:t>
            </w:r>
            <w:r>
              <w:rPr>
                <w:rFonts w:ascii="Times New Roman" w:hAnsi="Times New Roman"/>
              </w:rPr>
              <w:t>превенторы</w:t>
            </w:r>
            <w:r>
              <w:rPr>
                <w:rFonts w:ascii="Times New Roman" w:hAnsi="Times New Roman"/>
              </w:rPr>
              <w:t>, лазеры</w:t>
            </w:r>
          </w:p>
        </w:tc>
        <w:tc>
          <w:tcPr>
            <w:tcW w:type="dxa" w:w="3381"/>
          </w:tcPr>
          <w:p w14:paraId="43000000">
            <w:pPr>
              <w:ind w:firstLine="0" w:left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Гражданские нужды, нефтегазовый сектор</w:t>
            </w:r>
          </w:p>
        </w:tc>
      </w:tr>
    </w:tbl>
    <w:p w14:paraId="44000000">
      <w:pPr>
        <w:ind/>
        <w:jc w:val="center"/>
        <w:rPr>
          <w:color w:themeColor="text1" w:val="000000"/>
        </w:rPr>
      </w:pPr>
    </w:p>
    <w:p w14:paraId="45000000">
      <w:pPr>
        <w:rPr>
          <w:color w:themeColor="text1" w:val="000000"/>
        </w:rPr>
      </w:pPr>
      <w:r>
        <w:rPr>
          <w:color w:themeColor="text1" w:val="000000"/>
        </w:rPr>
        <w:drawing>
          <wp:inline>
            <wp:extent cx="4000500" cy="4038600"/>
            <wp:effectExtent b="0" l="0" r="0" t="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5"/>
                    <a:srcRect b="0" l="0" r="0" t="0"/>
                    <a:stretch/>
                  </pic:blipFill>
                  <pic:spPr>
                    <a:xfrm flipH="false" flipV="false" rot="0">
                      <a:ext cx="4000500" cy="403860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46000000">
      <w:pPr>
        <w:ind/>
        <w:jc w:val="center"/>
        <w:rPr>
          <w:color w:themeColor="text1" w:val="000000"/>
        </w:rPr>
      </w:pPr>
      <w:r>
        <w:rPr>
          <w:color w:themeColor="text1" w:val="000000"/>
        </w:rPr>
        <w:t>Рисунок 1.</w:t>
      </w:r>
      <w:r>
        <w:rPr>
          <w:color w:themeColor="text1" w:val="000000"/>
        </w:rPr>
        <w:t xml:space="preserve">2 - </w:t>
      </w:r>
      <w:r>
        <w:rPr>
          <w:color w:themeColor="text1" w:val="000000"/>
        </w:rPr>
        <w:t xml:space="preserve"> Зенитная установка АК-630, одна из наиболее известных военных разработок Туламашзавода, стоящая на вооружении многих кораблей российского флота.</w:t>
      </w:r>
    </w:p>
    <w:p w14:paraId="47000000">
      <w:pPr>
        <w:ind/>
        <w:jc w:val="center"/>
        <w:rPr>
          <w:color w:themeColor="text1" w:val="000000"/>
        </w:rPr>
      </w:pPr>
    </w:p>
    <w:p w14:paraId="48000000">
      <w:pPr>
        <w:ind w:firstLine="708" w:left="0"/>
        <w:rPr>
          <w:color w:themeColor="text1" w:val="000000"/>
        </w:rPr>
      </w:pPr>
      <w:r>
        <w:rPr>
          <w:color w:themeColor="text1" w:val="000000"/>
        </w:rPr>
        <w:t xml:space="preserve">Предприятие постоянно расширяет и модернизирует номенклатуру, осваивая новые модели и совершенствуя существующие изделия в соответствии с требованиями рынка и заказчиков. </w:t>
      </w:r>
      <w:r>
        <w:rPr>
          <w:color w:themeColor="text1" w:val="000000"/>
        </w:rPr>
        <w:t>Р</w:t>
      </w:r>
      <w:r>
        <w:rPr>
          <w:color w:themeColor="text1" w:val="000000"/>
        </w:rPr>
        <w:t xml:space="preserve">азнообразие продукции обеспечивает устойчивость завода и его конкурентоспособность как на </w:t>
      </w:r>
      <w:r>
        <w:rPr>
          <w:color w:themeColor="text1" w:val="000000"/>
        </w:rPr>
        <w:t>внутреннем</w:t>
      </w:r>
      <w:r>
        <w:rPr>
          <w:color w:themeColor="text1" w:val="000000"/>
        </w:rPr>
        <w:t>, на внешнем рынках.</w:t>
      </w:r>
    </w:p>
    <w:p w14:paraId="49000000">
      <w:pPr>
        <w:ind w:firstLine="708" w:left="0"/>
      </w:pPr>
    </w:p>
    <w:p w14:paraId="4A000000">
      <w:pPr>
        <w:pStyle w:val="Style_3"/>
        <w:numPr>
          <w:ilvl w:val="1"/>
          <w:numId w:val="1"/>
        </w:numPr>
        <w:spacing w:before="0"/>
        <w:ind w:firstLine="0" w:left="0"/>
        <w:jc w:val="center"/>
        <w:rPr>
          <w:rFonts w:ascii="Times New Roman" w:hAnsi="Times New Roman"/>
          <w:b w:val="1"/>
          <w:color w:val="000000"/>
        </w:rPr>
      </w:pPr>
      <w:r>
        <w:rPr>
          <w:rFonts w:ascii="Times New Roman" w:hAnsi="Times New Roman"/>
          <w:b w:val="1"/>
          <w:color w:val="000000"/>
        </w:rPr>
        <w:t xml:space="preserve"> </w:t>
      </w:r>
      <w:r>
        <w:rPr>
          <w:rFonts w:ascii="Times New Roman" w:hAnsi="Times New Roman"/>
          <w:b w:val="1"/>
          <w:color w:val="000000"/>
        </w:rPr>
        <w:t>Технологические возможности</w:t>
      </w:r>
    </w:p>
    <w:p w14:paraId="4B000000"/>
    <w:p w14:paraId="4C000000">
      <w:pPr>
        <w:ind w:firstLine="708" w:left="0"/>
      </w:pPr>
      <w:r>
        <w:t xml:space="preserve">Технологические возможности АО «АК «Туламашзавод» относятся к числу развитых в российском машиностроении. Предприятие обладает мощной многофункциональной производственной базой, оснащенной высокоточным оборудованием и передовыми технологиями. </w:t>
      </w:r>
      <w:r>
        <w:t>П</w:t>
      </w:r>
      <w:r>
        <w:t xml:space="preserve">озволяет </w:t>
      </w:r>
      <w:r>
        <w:t>выполнять полный цикл изготовления сложных изделий от заготовки и литья до финальной сборки и испытаний</w:t>
      </w:r>
      <w:r>
        <w:t>,</w:t>
      </w:r>
      <w:r>
        <w:t xml:space="preserve"> с высоким уровнем качества и точности.</w:t>
      </w:r>
    </w:p>
    <w:p w14:paraId="4D000000">
      <w:pPr>
        <w:ind w:firstLine="708" w:left="0"/>
      </w:pPr>
      <w:r>
        <w:t>Кузнечное производство обеспечивает изготовление поковок массой до 250 кг и штамповок до 20 кг. Литейное производство включает литье алюминиевых сплавов под давлением, в песчаные формы и по выплавляемым моделям, литье стали, серого и высокопрочного чугуна. Термообработка проводится с использованием различных методов</w:t>
      </w:r>
      <w:r>
        <w:t>,</w:t>
      </w:r>
      <w:r>
        <w:t xml:space="preserve"> закалки в масле и вакууме, изотермической закалки, ТВЧ, нормализации, отпуска, газовой цементации, азотирования и </w:t>
      </w:r>
      <w:r>
        <w:t>нитроцементации</w:t>
      </w:r>
      <w:r>
        <w:t>.</w:t>
      </w:r>
    </w:p>
    <w:p w14:paraId="4E000000">
      <w:pPr>
        <w:ind w:firstLine="708" w:left="0"/>
      </w:pPr>
      <w:r>
        <w:t>Сварочные работы выполняются электродуговым, аргонодуговым (включая автоматическую и ручную сварку алюминия и стали), полуавтоматическим методом в углекислом газе, контактной и лазерной сваркой. Механическая обработка охватывает токарные, фрезерные, карусельные, расточные, координатно-шлифовальные, зубообрабатывающие (до модуля 12 и диаметров более 2 метров) и другие операции, включая глубокое сверление и хонингование.</w:t>
      </w:r>
    </w:p>
    <w:p w14:paraId="4F000000">
      <w:pPr>
        <w:ind w:firstLine="708" w:left="0"/>
      </w:pPr>
      <w:r>
        <w:t xml:space="preserve">Гальваническое производство оснащено автоматизированными линиями с замкнутой системой </w:t>
      </w:r>
      <w:r>
        <w:t>водооборота</w:t>
      </w:r>
      <w:r>
        <w:t xml:space="preserve"> и позволяет наносить разнообразные покрытия</w:t>
      </w:r>
      <w:r>
        <w:t>,</w:t>
      </w:r>
      <w:r>
        <w:t xml:space="preserve"> хромирование, </w:t>
      </w:r>
      <w:r>
        <w:t>цинкование</w:t>
      </w:r>
      <w:r>
        <w:t xml:space="preserve">, </w:t>
      </w:r>
      <w:r>
        <w:t>кадмирование</w:t>
      </w:r>
      <w:r>
        <w:t xml:space="preserve">, никелирование, анодирование, серебрение и многие другие. Предприятие освоило производство неметаллических изделий (литье пластмасс под давлением, прессование резины и реактопластов, </w:t>
      </w:r>
      <w:r>
        <w:t>вакуумформование</w:t>
      </w:r>
      <w:r>
        <w:t>), изготовление пружин всех типов, инструмента и оснастки (штампы, пресс-формы, режущий и мерительный инструмент).</w:t>
      </w:r>
    </w:p>
    <w:p w14:paraId="50000000">
      <w:pPr>
        <w:ind w:firstLine="708" w:left="0"/>
      </w:pPr>
      <w:r>
        <w:t xml:space="preserve">Заготовительное производство включает лазерную, гидроабразивную и плазменную резку листового материала. Холодная листовая штамповка позволяет изготавливать сложные детали с вытяжкой, гибкой и ротационной вытяжкой. Лакокрасочные покрытия наносятся жидкими эмалями, порошковыми красками и специальными антифрикционными составами. Конструкторско-технологический центр использует сквозное </w:t>
      </w:r>
      <w:r>
        <w:t>автоматизированное проектирование от дизайна до создания управляющих программ для станков с ЧПУ.</w:t>
      </w:r>
    </w:p>
    <w:p w14:paraId="51000000">
      <w:pPr>
        <w:ind w:firstLine="708" w:left="0"/>
        <w:jc w:val="right"/>
      </w:pPr>
      <w:r>
        <w:t>Таблица 1.</w:t>
      </w:r>
      <w:r>
        <w:t>3</w:t>
      </w:r>
    </w:p>
    <w:p w14:paraId="52000000">
      <w:pPr>
        <w:ind w:firstLine="708" w:left="0"/>
        <w:jc w:val="center"/>
      </w:pPr>
      <w:r>
        <w:t>Основные технологические направления АО «Туламашзавод»</w:t>
      </w:r>
    </w:p>
    <w:tbl>
      <w:tblPr>
        <w:tblStyle w:val="Style_6"/>
        <w:tblLayout w:type="fixed"/>
      </w:tblPr>
      <w:tblGrid>
        <w:gridCol w:w="2630"/>
        <w:gridCol w:w="3766"/>
        <w:gridCol w:w="3174"/>
      </w:tblGrid>
      <w:tr>
        <w:tc>
          <w:tcPr>
            <w:tcW w:type="dxa" w:w="2630"/>
          </w:tcPr>
          <w:p w14:paraId="53000000">
            <w:pPr>
              <w:ind w:firstLine="0" w:left="0"/>
            </w:pPr>
            <w:r>
              <w:t>Направление</w:t>
            </w:r>
          </w:p>
        </w:tc>
        <w:tc>
          <w:tcPr>
            <w:tcW w:type="dxa" w:w="3766"/>
          </w:tcPr>
          <w:p w14:paraId="54000000">
            <w:pPr>
              <w:ind w:firstLine="0" w:left="0"/>
            </w:pPr>
            <w:r>
              <w:t>Ключевые возможности</w:t>
            </w:r>
          </w:p>
        </w:tc>
        <w:tc>
          <w:tcPr>
            <w:tcW w:type="dxa" w:w="3174"/>
          </w:tcPr>
          <w:p w14:paraId="55000000">
            <w:pPr>
              <w:ind w:firstLine="0" w:left="0"/>
            </w:pPr>
            <w:r>
              <w:t>Применение</w:t>
            </w:r>
          </w:p>
        </w:tc>
      </w:tr>
      <w:tr>
        <w:tc>
          <w:tcPr>
            <w:tcW w:type="dxa" w:w="2630"/>
          </w:tcPr>
          <w:p w14:paraId="56000000">
            <w:pPr>
              <w:ind w:firstLine="0" w:left="0"/>
            </w:pPr>
            <w:r>
              <w:t>Литейное и кузнечное</w:t>
            </w:r>
          </w:p>
        </w:tc>
        <w:tc>
          <w:tcPr>
            <w:tcW w:type="dxa" w:w="3766"/>
          </w:tcPr>
          <w:p w14:paraId="57000000">
            <w:pPr>
              <w:ind w:firstLine="0" w:left="0"/>
            </w:pPr>
            <w:r>
              <w:t>Литье алюминия, стали, чугуна; поковки до 250 кг</w:t>
            </w:r>
          </w:p>
        </w:tc>
        <w:tc>
          <w:tcPr>
            <w:tcW w:type="dxa" w:w="3174"/>
          </w:tcPr>
          <w:p w14:paraId="58000000">
            <w:pPr>
              <w:ind w:firstLine="0" w:left="0"/>
            </w:pPr>
            <w:r>
              <w:t>Заготовки сложной конфигурации</w:t>
            </w:r>
          </w:p>
        </w:tc>
      </w:tr>
      <w:tr>
        <w:tc>
          <w:tcPr>
            <w:tcW w:type="dxa" w:w="2630"/>
          </w:tcPr>
          <w:p w14:paraId="59000000">
            <w:pPr>
              <w:ind w:firstLine="0" w:left="0"/>
            </w:pPr>
            <w:r>
              <w:t>Механическая обработка</w:t>
            </w:r>
          </w:p>
        </w:tc>
        <w:tc>
          <w:tcPr>
            <w:tcW w:type="dxa" w:w="3766"/>
          </w:tcPr>
          <w:p w14:paraId="5A000000">
            <w:pPr>
              <w:ind w:firstLine="0" w:left="0"/>
            </w:pPr>
            <w:r>
              <w:t xml:space="preserve">Токарная, фрезерная, </w:t>
            </w:r>
            <w:r>
              <w:t>зубообработка</w:t>
            </w:r>
            <w:r>
              <w:t>, шлифовка</w:t>
            </w:r>
          </w:p>
        </w:tc>
        <w:tc>
          <w:tcPr>
            <w:tcW w:type="dxa" w:w="3174"/>
          </w:tcPr>
          <w:p w14:paraId="5B000000">
            <w:pPr>
              <w:ind w:firstLine="0" w:left="0"/>
            </w:pPr>
            <w:r>
              <w:t>Высокоточные детали</w:t>
            </w:r>
          </w:p>
        </w:tc>
      </w:tr>
      <w:tr>
        <w:tc>
          <w:tcPr>
            <w:tcW w:type="dxa" w:w="2630"/>
          </w:tcPr>
          <w:p w14:paraId="5C000000">
            <w:pPr>
              <w:ind w:firstLine="0" w:left="0"/>
            </w:pPr>
            <w:r>
              <w:t>Термообработка и гальваника</w:t>
            </w:r>
          </w:p>
        </w:tc>
        <w:tc>
          <w:tcPr>
            <w:tcW w:type="dxa" w:w="3766"/>
          </w:tcPr>
          <w:p w14:paraId="5D000000">
            <w:pPr>
              <w:ind w:firstLine="0" w:left="0"/>
            </w:pPr>
            <w:r>
              <w:t>Закалка, цементация, азотирование; хромирование, анодирование</w:t>
            </w:r>
          </w:p>
        </w:tc>
        <w:tc>
          <w:tcPr>
            <w:tcW w:type="dxa" w:w="3174"/>
          </w:tcPr>
          <w:p w14:paraId="5E000000">
            <w:pPr>
              <w:ind w:firstLine="0" w:left="0"/>
            </w:pPr>
            <w:r>
              <w:t>Повышение прочности и коррозионной стойкости</w:t>
            </w:r>
          </w:p>
        </w:tc>
      </w:tr>
      <w:tr>
        <w:tc>
          <w:tcPr>
            <w:tcW w:type="dxa" w:w="2630"/>
          </w:tcPr>
          <w:p w14:paraId="5F000000">
            <w:pPr>
              <w:ind w:firstLine="0" w:left="0"/>
            </w:pPr>
            <w:r>
              <w:t>Сварка и неметаллы</w:t>
            </w:r>
          </w:p>
        </w:tc>
        <w:tc>
          <w:tcPr>
            <w:tcW w:type="dxa" w:w="3766"/>
          </w:tcPr>
          <w:p w14:paraId="60000000">
            <w:pPr>
              <w:ind w:firstLine="0" w:left="0"/>
            </w:pPr>
            <w:r>
              <w:t>Аргонодуговая</w:t>
            </w:r>
            <w:r>
              <w:t>, лазерная; литье пластмасс</w:t>
            </w:r>
          </w:p>
        </w:tc>
        <w:tc>
          <w:tcPr>
            <w:tcW w:type="dxa" w:w="3174"/>
          </w:tcPr>
          <w:p w14:paraId="61000000">
            <w:pPr>
              <w:ind w:firstLine="0" w:left="0"/>
            </w:pPr>
            <w:r>
              <w:t>Корпусные детали, сборочные узлы</w:t>
            </w:r>
          </w:p>
        </w:tc>
      </w:tr>
      <w:tr>
        <w:tc>
          <w:tcPr>
            <w:tcW w:type="dxa" w:w="2630"/>
          </w:tcPr>
          <w:p w14:paraId="62000000">
            <w:pPr>
              <w:ind w:firstLine="0" w:left="0"/>
            </w:pPr>
            <w:r>
              <w:t>Инструмент и оснастка</w:t>
            </w:r>
          </w:p>
        </w:tc>
        <w:tc>
          <w:tcPr>
            <w:tcW w:type="dxa" w:w="3766"/>
          </w:tcPr>
          <w:p w14:paraId="63000000">
            <w:pPr>
              <w:ind w:firstLine="0" w:left="0"/>
            </w:pPr>
            <w:r>
              <w:t>Штампы, пресс-формы, режущий инструмент</w:t>
            </w:r>
          </w:p>
        </w:tc>
        <w:tc>
          <w:tcPr>
            <w:tcW w:type="dxa" w:w="3174"/>
          </w:tcPr>
          <w:p w14:paraId="64000000">
            <w:pPr>
              <w:ind w:firstLine="0" w:left="0"/>
            </w:pPr>
            <w:r>
              <w:t>Собственное производство и услуги</w:t>
            </w:r>
          </w:p>
        </w:tc>
      </w:tr>
    </w:tbl>
    <w:p w14:paraId="65000000">
      <w:pPr>
        <w:ind w:firstLine="708" w:left="0"/>
      </w:pPr>
    </w:p>
    <w:p w14:paraId="66000000">
      <w:pPr>
        <w:ind w:firstLine="708" w:left="0"/>
      </w:pPr>
      <w:r>
        <w:t>Ш</w:t>
      </w:r>
      <w:r>
        <w:t>ирокому спектру технологических возможностей предприятие производит собственную продукцию, оказывает услуги сторонним организациям по обработке деталей, ремонту оборудования, изготовлению оснастки и проектным работам. Постоянная модернизация и внедрение новых технологий обеспечивают конкурентоспособность завода и его готовность к освоению изделий нового поколения.</w:t>
      </w:r>
    </w:p>
    <w:p w14:paraId="67000000">
      <w:pPr>
        <w:ind w:firstLine="708" w:left="0"/>
        <w:rPr>
          <w:i w:val="1"/>
        </w:rPr>
      </w:pPr>
      <w:r>
        <w:rPr>
          <w:i w:val="1"/>
        </w:rPr>
        <w:t>Термообработка</w:t>
      </w:r>
    </w:p>
    <w:p w14:paraId="68000000">
      <w:pPr>
        <w:ind w:firstLine="708" w:left="0"/>
      </w:pPr>
      <w:r>
        <w:t xml:space="preserve">- </w:t>
      </w:r>
      <w:r>
        <w:t>закалка (на масло)</w:t>
      </w:r>
      <w:r>
        <w:t>;</w:t>
      </w:r>
    </w:p>
    <w:p w14:paraId="69000000">
      <w:pPr>
        <w:ind w:firstLine="708" w:left="0"/>
      </w:pPr>
      <w:r>
        <w:t xml:space="preserve">- </w:t>
      </w:r>
      <w:r>
        <w:t>изотермическая закалка</w:t>
      </w:r>
      <w:r>
        <w:t>;</w:t>
      </w:r>
    </w:p>
    <w:p w14:paraId="6A000000">
      <w:pPr>
        <w:ind w:firstLine="708" w:left="0"/>
      </w:pPr>
      <w:r>
        <w:t xml:space="preserve">- </w:t>
      </w:r>
      <w:r>
        <w:t>закалка в вакууме</w:t>
      </w:r>
      <w:r>
        <w:t>;</w:t>
      </w:r>
    </w:p>
    <w:p w14:paraId="6B000000">
      <w:pPr>
        <w:ind w:firstLine="708" w:left="0"/>
      </w:pPr>
      <w:r>
        <w:t xml:space="preserve">- </w:t>
      </w:r>
      <w:r>
        <w:t>закалка ТВЧ</w:t>
      </w:r>
      <w:r>
        <w:t>;</w:t>
      </w:r>
    </w:p>
    <w:p w14:paraId="6C000000">
      <w:pPr>
        <w:ind w:firstLine="708" w:left="0"/>
      </w:pPr>
      <w:r>
        <w:t xml:space="preserve">- </w:t>
      </w:r>
      <w:r>
        <w:t>нормализация</w:t>
      </w:r>
      <w:r>
        <w:t>;</w:t>
      </w:r>
    </w:p>
    <w:p w14:paraId="6D000000">
      <w:pPr>
        <w:ind w:firstLine="708" w:left="0"/>
      </w:pPr>
      <w:r>
        <w:t xml:space="preserve">- </w:t>
      </w:r>
      <w:r>
        <w:t>отпуск</w:t>
      </w:r>
      <w:r>
        <w:t>;</w:t>
      </w:r>
    </w:p>
    <w:p w14:paraId="6E000000">
      <w:pPr>
        <w:ind w:firstLine="708" w:left="0"/>
      </w:pPr>
      <w:r>
        <w:t xml:space="preserve">- </w:t>
      </w:r>
      <w:r>
        <w:t>газовая цементация</w:t>
      </w:r>
      <w:r>
        <w:t>;</w:t>
      </w:r>
    </w:p>
    <w:p w14:paraId="6F000000">
      <w:pPr>
        <w:ind w:firstLine="708" w:left="0"/>
      </w:pPr>
      <w:r>
        <w:t xml:space="preserve">- </w:t>
      </w:r>
      <w:r>
        <w:t>нитроцементация</w:t>
      </w:r>
      <w:r>
        <w:t>;</w:t>
      </w:r>
    </w:p>
    <w:p w14:paraId="70000000">
      <w:pPr>
        <w:ind w:firstLine="708" w:left="0"/>
      </w:pPr>
      <w:r>
        <w:t xml:space="preserve">- </w:t>
      </w:r>
      <w:r>
        <w:t>ХТО в кипящем слое</w:t>
      </w:r>
      <w:r>
        <w:t>;</w:t>
      </w:r>
    </w:p>
    <w:p w14:paraId="71000000">
      <w:pPr>
        <w:ind w:firstLine="708" w:left="0"/>
      </w:pPr>
      <w:r>
        <w:t xml:space="preserve">- </w:t>
      </w:r>
      <w:r>
        <w:t>азотирование</w:t>
      </w:r>
      <w:r>
        <w:t>;</w:t>
      </w:r>
    </w:p>
    <w:p w14:paraId="72000000">
      <w:pPr>
        <w:ind w:firstLine="708" w:left="0"/>
      </w:pPr>
      <w:r>
        <w:t xml:space="preserve">- </w:t>
      </w:r>
      <w:r>
        <w:t>никотрирование</w:t>
      </w:r>
      <w:r>
        <w:t>;</w:t>
      </w:r>
    </w:p>
    <w:p w14:paraId="73000000">
      <w:pPr>
        <w:ind w:firstLine="708" w:left="0"/>
        <w:rPr>
          <w:i w:val="1"/>
        </w:rPr>
      </w:pPr>
      <w:r>
        <w:rPr>
          <w:i w:val="1"/>
        </w:rPr>
        <w:t>Производство неметаллических изделий</w:t>
      </w:r>
    </w:p>
    <w:p w14:paraId="74000000">
      <w:pPr>
        <w:ind w:firstLine="708" w:left="0"/>
      </w:pPr>
      <w:r>
        <w:t xml:space="preserve">- </w:t>
      </w:r>
      <w:r>
        <w:t>литье под давлением термопластичных пластмасс</w:t>
      </w:r>
      <w:r>
        <w:t>;</w:t>
      </w:r>
    </w:p>
    <w:p w14:paraId="75000000">
      <w:pPr>
        <w:ind w:firstLine="708" w:left="0"/>
      </w:pPr>
      <w:r>
        <w:t xml:space="preserve">- </w:t>
      </w:r>
      <w:r>
        <w:t>прессование деталей из резины</w:t>
      </w:r>
      <w:r>
        <w:t>;</w:t>
      </w:r>
    </w:p>
    <w:p w14:paraId="76000000">
      <w:pPr>
        <w:ind w:firstLine="708" w:left="0"/>
      </w:pPr>
      <w:r>
        <w:t xml:space="preserve">- </w:t>
      </w:r>
      <w:r>
        <w:t>прессование деталей из реактопластов</w:t>
      </w:r>
      <w:r>
        <w:t>;</w:t>
      </w:r>
    </w:p>
    <w:p w14:paraId="77000000">
      <w:pPr>
        <w:ind w:firstLine="708" w:left="0"/>
      </w:pPr>
      <w:r>
        <w:t xml:space="preserve">- </w:t>
      </w:r>
      <w:r>
        <w:t>вакуумформование</w:t>
      </w:r>
      <w:r>
        <w:t xml:space="preserve"> листовых термопластичных материалов</w:t>
      </w:r>
      <w:r>
        <w:t>;</w:t>
      </w:r>
    </w:p>
    <w:p w14:paraId="78000000">
      <w:pPr>
        <w:ind w:firstLine="708" w:left="0"/>
      </w:pPr>
      <w:r>
        <w:t xml:space="preserve">- </w:t>
      </w:r>
      <w:r>
        <w:t>ручное формование корпусных деталей из композиционных стеклопластиков</w:t>
      </w:r>
      <w:r>
        <w:t>;</w:t>
      </w:r>
    </w:p>
    <w:p w14:paraId="79000000">
      <w:pPr>
        <w:ind w:firstLine="708" w:left="0"/>
        <w:rPr>
          <w:i w:val="1"/>
        </w:rPr>
      </w:pPr>
      <w:r>
        <w:rPr>
          <w:i w:val="1"/>
        </w:rPr>
        <w:t>Изготовление пружин</w:t>
      </w:r>
    </w:p>
    <w:p w14:paraId="7A000000">
      <w:pPr>
        <w:ind w:firstLine="708" w:left="0"/>
      </w:pPr>
      <w:r>
        <w:t xml:space="preserve">- </w:t>
      </w:r>
      <w:r>
        <w:t>пружины сжатия, в том числе многожильные</w:t>
      </w:r>
      <w:r>
        <w:t>;</w:t>
      </w:r>
    </w:p>
    <w:p w14:paraId="7B000000">
      <w:pPr>
        <w:ind w:firstLine="708" w:left="0"/>
      </w:pPr>
      <w:r>
        <w:t xml:space="preserve">- </w:t>
      </w:r>
      <w:r>
        <w:t>пружины растяжения</w:t>
      </w:r>
      <w:r>
        <w:t>;</w:t>
      </w:r>
    </w:p>
    <w:p w14:paraId="7C000000">
      <w:pPr>
        <w:ind w:firstLine="708" w:left="0"/>
      </w:pPr>
      <w:r>
        <w:t xml:space="preserve">- </w:t>
      </w:r>
      <w:r>
        <w:t>пружины кручения</w:t>
      </w:r>
      <w:r>
        <w:t>;</w:t>
      </w:r>
    </w:p>
    <w:p w14:paraId="7D000000">
      <w:pPr>
        <w:ind w:firstLine="708" w:left="0"/>
        <w:rPr>
          <w:i w:val="1"/>
        </w:rPr>
      </w:pPr>
      <w:r>
        <w:rPr>
          <w:i w:val="1"/>
        </w:rPr>
        <w:t>Изготовление изделий из древесины</w:t>
      </w:r>
    </w:p>
    <w:p w14:paraId="7E000000">
      <w:pPr>
        <w:ind w:firstLine="708" w:left="0"/>
      </w:pPr>
      <w:r>
        <w:t xml:space="preserve">- </w:t>
      </w:r>
      <w:r>
        <w:t>деревянные модели для литейного производства</w:t>
      </w:r>
      <w:r>
        <w:t>;</w:t>
      </w:r>
    </w:p>
    <w:p w14:paraId="7F000000">
      <w:pPr>
        <w:ind w:firstLine="708" w:left="0"/>
      </w:pPr>
      <w:r>
        <w:t xml:space="preserve">- </w:t>
      </w:r>
      <w:r>
        <w:t>столярные изделия (оконные, дверные блоки, шкафы, столы и др.)</w:t>
      </w:r>
      <w:r>
        <w:t>;</w:t>
      </w:r>
    </w:p>
    <w:p w14:paraId="80000000">
      <w:pPr>
        <w:ind w:firstLine="708" w:left="0"/>
      </w:pPr>
      <w:r>
        <w:t xml:space="preserve">- </w:t>
      </w:r>
      <w:r>
        <w:t>токарные изделия из древесины длиной до 1 м</w:t>
      </w:r>
      <w:r>
        <w:t>;</w:t>
      </w:r>
    </w:p>
    <w:p w14:paraId="81000000">
      <w:pPr>
        <w:ind w:firstLine="708" w:left="0"/>
      </w:pPr>
      <w:r>
        <w:t xml:space="preserve">- </w:t>
      </w:r>
      <w:r>
        <w:t>ящики деревянные упаковочные</w:t>
      </w:r>
      <w:r>
        <w:t>;</w:t>
      </w:r>
    </w:p>
    <w:p w14:paraId="82000000">
      <w:pPr>
        <w:ind w:firstLine="708" w:left="0"/>
      </w:pPr>
      <w:r>
        <w:t xml:space="preserve">- </w:t>
      </w:r>
      <w:r>
        <w:t>деревянные поддоны</w:t>
      </w:r>
      <w:r>
        <w:t>;</w:t>
      </w:r>
    </w:p>
    <w:p w14:paraId="83000000">
      <w:pPr>
        <w:ind w:firstLine="708" w:left="0"/>
        <w:rPr>
          <w:i w:val="1"/>
        </w:rPr>
      </w:pPr>
      <w:r>
        <w:rPr>
          <w:i w:val="1"/>
        </w:rPr>
        <w:t>Гальваническое производство</w:t>
      </w:r>
    </w:p>
    <w:p w14:paraId="84000000">
      <w:pPr>
        <w:ind w:firstLine="708" w:left="0"/>
      </w:pPr>
      <w:r>
        <w:t xml:space="preserve">- </w:t>
      </w:r>
      <w:r>
        <w:t>хромирование</w:t>
      </w:r>
      <w:r>
        <w:t>;</w:t>
      </w:r>
    </w:p>
    <w:p w14:paraId="85000000">
      <w:pPr>
        <w:ind w:firstLine="708" w:left="0"/>
      </w:pPr>
      <w:r>
        <w:t xml:space="preserve">- </w:t>
      </w:r>
      <w:r>
        <w:t>химическое никелирование</w:t>
      </w:r>
      <w:r>
        <w:t>;</w:t>
      </w:r>
    </w:p>
    <w:p w14:paraId="86000000">
      <w:pPr>
        <w:ind w:firstLine="708" w:left="0"/>
      </w:pPr>
      <w:r>
        <w:t xml:space="preserve">- </w:t>
      </w:r>
      <w:r>
        <w:t>цинкование</w:t>
      </w:r>
      <w:r>
        <w:t>;</w:t>
      </w:r>
    </w:p>
    <w:p w14:paraId="87000000">
      <w:pPr>
        <w:ind w:firstLine="708" w:left="0"/>
      </w:pPr>
      <w:r>
        <w:t xml:space="preserve">- </w:t>
      </w:r>
      <w:r>
        <w:t>кадмирование</w:t>
      </w:r>
      <w:r>
        <w:t>;</w:t>
      </w:r>
    </w:p>
    <w:p w14:paraId="88000000">
      <w:pPr>
        <w:ind w:firstLine="708" w:left="0"/>
      </w:pPr>
      <w:r>
        <w:t xml:space="preserve">- </w:t>
      </w:r>
      <w:r>
        <w:t>серебрение</w:t>
      </w:r>
      <w:r>
        <w:t>;</w:t>
      </w:r>
    </w:p>
    <w:p w14:paraId="89000000">
      <w:pPr>
        <w:ind w:firstLine="708" w:left="0"/>
      </w:pPr>
      <w:r>
        <w:t xml:space="preserve">- </w:t>
      </w:r>
      <w:r>
        <w:t>фосфатирование</w:t>
      </w:r>
      <w:r>
        <w:t>;</w:t>
      </w:r>
    </w:p>
    <w:p w14:paraId="8A000000">
      <w:pPr>
        <w:ind w:firstLine="708" w:left="0"/>
      </w:pPr>
      <w:r>
        <w:t xml:space="preserve">- </w:t>
      </w:r>
      <w:r>
        <w:t>анодирование</w:t>
      </w:r>
      <w:r>
        <w:t>;</w:t>
      </w:r>
    </w:p>
    <w:p w14:paraId="8B000000">
      <w:pPr>
        <w:ind w:firstLine="708" w:left="0"/>
      </w:pPr>
      <w:r>
        <w:t xml:space="preserve">- </w:t>
      </w:r>
      <w:r>
        <w:t>анодное пассивирование (</w:t>
      </w:r>
      <w:r>
        <w:t>электрополировка</w:t>
      </w:r>
      <w:r>
        <w:t>)</w:t>
      </w:r>
      <w:r>
        <w:t>;</w:t>
      </w:r>
    </w:p>
    <w:p w14:paraId="8C000000">
      <w:pPr>
        <w:ind w:firstLine="708" w:left="0"/>
      </w:pPr>
      <w:r>
        <w:t xml:space="preserve">- </w:t>
      </w:r>
      <w:r>
        <w:t>меднение</w:t>
      </w:r>
      <w:r>
        <w:t>;</w:t>
      </w:r>
    </w:p>
    <w:p w14:paraId="8D000000">
      <w:pPr>
        <w:ind w:firstLine="708" w:left="0"/>
      </w:pPr>
      <w:r>
        <w:t xml:space="preserve">- </w:t>
      </w:r>
      <w:r>
        <w:t>пассивирование медных сплавов</w:t>
      </w:r>
      <w:r>
        <w:t>;</w:t>
      </w:r>
    </w:p>
    <w:p w14:paraId="8E000000">
      <w:pPr>
        <w:ind w:firstLine="708" w:left="0"/>
      </w:pPr>
      <w:r>
        <w:t xml:space="preserve">- </w:t>
      </w:r>
      <w:r>
        <w:t>палладирование</w:t>
      </w:r>
      <w:r>
        <w:t>;</w:t>
      </w:r>
    </w:p>
    <w:p w14:paraId="8F000000">
      <w:pPr>
        <w:ind w:firstLine="708" w:left="0"/>
      </w:pPr>
      <w:r>
        <w:t xml:space="preserve">- </w:t>
      </w:r>
      <w:r>
        <w:t>покрытие олово-свинец</w:t>
      </w:r>
      <w:r>
        <w:t>;</w:t>
      </w:r>
    </w:p>
    <w:p w14:paraId="90000000">
      <w:pPr>
        <w:ind w:firstLine="708" w:left="0"/>
        <w:rPr>
          <w:i w:val="1"/>
        </w:rPr>
      </w:pPr>
      <w:r>
        <w:rPr>
          <w:i w:val="1"/>
        </w:rPr>
        <w:t>Холодно-листовая штамповка</w:t>
      </w:r>
    </w:p>
    <w:p w14:paraId="91000000">
      <w:pPr>
        <w:ind w:firstLine="708" w:left="0"/>
      </w:pPr>
      <w:r>
        <w:t xml:space="preserve">- </w:t>
      </w:r>
      <w:r>
        <w:t>изготовление деталей в штампах</w:t>
      </w:r>
      <w:r>
        <w:t>;</w:t>
      </w:r>
    </w:p>
    <w:p w14:paraId="92000000">
      <w:pPr>
        <w:ind w:firstLine="708" w:left="0"/>
      </w:pPr>
      <w:r>
        <w:t xml:space="preserve">- </w:t>
      </w:r>
      <w:r>
        <w:t>вытяжка деталей коробчатой, осесимметричной формы и т.д.</w:t>
      </w:r>
      <w:r>
        <w:t>;</w:t>
      </w:r>
    </w:p>
    <w:p w14:paraId="93000000">
      <w:pPr>
        <w:ind w:firstLine="708" w:left="0"/>
      </w:pPr>
      <w:r>
        <w:t xml:space="preserve">- </w:t>
      </w:r>
      <w:r>
        <w:t>гибка, формовка профилей</w:t>
      </w:r>
      <w:r>
        <w:t>;</w:t>
      </w:r>
    </w:p>
    <w:p w14:paraId="94000000">
      <w:pPr>
        <w:ind w:firstLine="708" w:left="0"/>
      </w:pPr>
      <w:r>
        <w:t xml:space="preserve">- </w:t>
      </w:r>
      <w:r>
        <w:t>гибка профилей типа «П», «уголок», «полоса»</w:t>
      </w:r>
      <w:r>
        <w:t>;</w:t>
      </w:r>
    </w:p>
    <w:p w14:paraId="95000000">
      <w:pPr>
        <w:ind w:firstLine="708" w:left="0"/>
      </w:pPr>
      <w:r>
        <w:t xml:space="preserve">- </w:t>
      </w:r>
      <w:r>
        <w:t>ротационная вытяжка</w:t>
      </w:r>
      <w:r>
        <w:t>;</w:t>
      </w:r>
    </w:p>
    <w:p w14:paraId="96000000">
      <w:pPr>
        <w:ind w:firstLine="708" w:left="0"/>
        <w:rPr>
          <w:i w:val="1"/>
        </w:rPr>
      </w:pPr>
      <w:r>
        <w:rPr>
          <w:i w:val="1"/>
        </w:rPr>
        <w:t>Механическая обработка</w:t>
      </w:r>
    </w:p>
    <w:p w14:paraId="97000000">
      <w:pPr>
        <w:ind w:firstLine="708" w:left="0"/>
      </w:pPr>
      <w:r>
        <w:t xml:space="preserve">- </w:t>
      </w:r>
      <w:r>
        <w:t>токарная</w:t>
      </w:r>
      <w:r>
        <w:t>;</w:t>
      </w:r>
    </w:p>
    <w:p w14:paraId="98000000">
      <w:pPr>
        <w:ind w:firstLine="708" w:left="0"/>
      </w:pPr>
      <w:r>
        <w:t xml:space="preserve">- </w:t>
      </w:r>
      <w:r>
        <w:t>фрезерная</w:t>
      </w:r>
      <w:r>
        <w:t>;</w:t>
      </w:r>
    </w:p>
    <w:p w14:paraId="99000000">
      <w:pPr>
        <w:ind w:firstLine="708" w:left="0"/>
      </w:pPr>
      <w:r>
        <w:t xml:space="preserve">- </w:t>
      </w:r>
      <w:r>
        <w:t>карусельная</w:t>
      </w:r>
      <w:r>
        <w:t>;</w:t>
      </w:r>
    </w:p>
    <w:p w14:paraId="9A000000">
      <w:pPr>
        <w:ind w:firstLine="708" w:left="0"/>
      </w:pPr>
      <w:r>
        <w:t xml:space="preserve">- </w:t>
      </w:r>
      <w:r>
        <w:t>расточные работы</w:t>
      </w:r>
      <w:r>
        <w:t>;</w:t>
      </w:r>
    </w:p>
    <w:p w14:paraId="9B000000">
      <w:pPr>
        <w:ind w:firstLine="708" w:left="0"/>
      </w:pPr>
      <w:r>
        <w:t xml:space="preserve">- </w:t>
      </w:r>
      <w:r>
        <w:t>координатная обработка</w:t>
      </w:r>
      <w:r>
        <w:t>;</w:t>
      </w:r>
    </w:p>
    <w:p w14:paraId="9C000000">
      <w:pPr>
        <w:ind w:firstLine="708" w:left="0"/>
      </w:pPr>
      <w:r>
        <w:t xml:space="preserve">- </w:t>
      </w:r>
      <w:r>
        <w:t>шлифовка</w:t>
      </w:r>
      <w:r>
        <w:t>;</w:t>
      </w:r>
    </w:p>
    <w:p w14:paraId="9D000000">
      <w:pPr>
        <w:ind w:firstLine="708" w:left="0"/>
      </w:pPr>
      <w:r>
        <w:t xml:space="preserve">- </w:t>
      </w:r>
      <w:r>
        <w:t>хонинговка</w:t>
      </w:r>
      <w:r>
        <w:t>;</w:t>
      </w:r>
    </w:p>
    <w:p w14:paraId="9E000000">
      <w:pPr>
        <w:ind w:firstLine="708" w:left="0"/>
      </w:pPr>
      <w:r>
        <w:t xml:space="preserve">- </w:t>
      </w:r>
      <w:r>
        <w:t xml:space="preserve">зубодолбежная обработка от модуля 0,1 до 12 </w:t>
      </w:r>
      <w:r>
        <w:t>max</w:t>
      </w:r>
      <w:r>
        <w:t xml:space="preserve"> Ø 2240 мм</w:t>
      </w:r>
      <w:r>
        <w:t>;</w:t>
      </w:r>
    </w:p>
    <w:p w14:paraId="9F000000">
      <w:pPr>
        <w:ind w:firstLine="708" w:left="0"/>
      </w:pPr>
      <w:r>
        <w:t xml:space="preserve">- </w:t>
      </w:r>
      <w:r>
        <w:t>зубострогательная</w:t>
      </w:r>
      <w:r>
        <w:t xml:space="preserve"> обработка модуля 1 до 10 </w:t>
      </w:r>
      <w:r>
        <w:t>max</w:t>
      </w:r>
      <w:r>
        <w:t xml:space="preserve"> Ø 500 мм</w:t>
      </w:r>
      <w:r>
        <w:t>;</w:t>
      </w:r>
    </w:p>
    <w:p w14:paraId="A0000000">
      <w:pPr>
        <w:ind w:firstLine="708" w:left="0"/>
      </w:pPr>
      <w:r>
        <w:t xml:space="preserve"> </w:t>
      </w:r>
      <w:r>
        <w:t>зубошлифовальная</w:t>
      </w:r>
      <w:r>
        <w:t xml:space="preserve"> от модуля 0,5 до 7 </w:t>
      </w:r>
      <w:r>
        <w:t>max</w:t>
      </w:r>
      <w:r>
        <w:t xml:space="preserve"> Ø 340 мм</w:t>
      </w:r>
      <w:r>
        <w:t>;</w:t>
      </w:r>
    </w:p>
    <w:p w14:paraId="A1000000">
      <w:pPr>
        <w:ind w:firstLine="708" w:left="0"/>
      </w:pPr>
      <w:r>
        <w:t xml:space="preserve">- </w:t>
      </w:r>
      <w:r>
        <w:t>зубофрезерная</w:t>
      </w:r>
      <w:r>
        <w:t xml:space="preserve"> от модуля 0,5 до 10 </w:t>
      </w:r>
      <w:r>
        <w:t>max</w:t>
      </w:r>
      <w:r>
        <w:t xml:space="preserve"> Ø 420 мм</w:t>
      </w:r>
      <w:r>
        <w:t>;</w:t>
      </w:r>
    </w:p>
    <w:p w14:paraId="A2000000">
      <w:pPr>
        <w:ind w:firstLine="708" w:left="0"/>
      </w:pPr>
      <w:r>
        <w:t xml:space="preserve">- </w:t>
      </w:r>
      <w:r>
        <w:t>глубокое сверление</w:t>
      </w:r>
      <w:r>
        <w:t>;</w:t>
      </w:r>
    </w:p>
    <w:p w14:paraId="A3000000">
      <w:pPr>
        <w:ind w:firstLine="708" w:left="0"/>
      </w:pPr>
      <w:r>
        <w:t xml:space="preserve">- </w:t>
      </w:r>
      <w:r>
        <w:t>строгальные, долбежные работы</w:t>
      </w:r>
      <w:r>
        <w:t>;</w:t>
      </w:r>
    </w:p>
    <w:p w14:paraId="A4000000">
      <w:pPr>
        <w:ind w:firstLine="708" w:left="0"/>
      </w:pPr>
      <w:r>
        <w:t xml:space="preserve">- </w:t>
      </w:r>
      <w:r>
        <w:t>протягивание</w:t>
      </w:r>
      <w:r>
        <w:t>;</w:t>
      </w:r>
    </w:p>
    <w:p w14:paraId="A5000000">
      <w:pPr>
        <w:ind w:firstLine="708" w:left="0"/>
      </w:pPr>
    </w:p>
    <w:p w14:paraId="A6000000">
      <w:pPr>
        <w:ind w:firstLine="708" w:left="0"/>
      </w:pPr>
      <w:r>
        <w:t>Предприятие на договорной основе проводит ремонт, модернизацию и запуск технологического оборудования.</w:t>
      </w:r>
    </w:p>
    <w:p w14:paraId="A7000000">
      <w:pPr>
        <w:ind w:firstLine="708" w:left="0"/>
      </w:pPr>
      <w:r>
        <w:t>Предприятие придерживается политики рационального использования имущества. На договорной основе возможна сдача в аренду высвобожденных в результате реструктуризации площадей. Завод реализует различное неиспользуемое в производственном цикле излишнее технологическое оборудование. Конструкторско-технологический центр предприятия выполнит проектные работы различной сложности на высоком инженерном уровне с использованием сквозного автоматизированного проектирования (от дизайна изделия до разработки управляющих программ для станков с ЧПУ).</w:t>
      </w:r>
    </w:p>
    <w:p w14:paraId="A8000000">
      <w:pPr>
        <w:ind w:firstLine="708" w:left="0"/>
      </w:pPr>
      <w:r>
        <w:br w:type="page"/>
      </w:r>
    </w:p>
    <w:sectPr>
      <w:footerReference r:id="rId1" w:type="default"/>
      <w:pgSz w:h="16838" w:orient="portrait" w:w="11906"/>
      <w:pgMar w:bottom="1134" w:footer="708" w:gutter="0" w:header="708" w:left="1701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3000000">
    <w:pPr>
      <w:pStyle w:val="Style_1"/>
      <w:ind/>
      <w:jc w:val="center"/>
    </w:pPr>
  </w:p>
  <w:p w14:paraId="04000000">
    <w:pPr>
      <w:pStyle w:val="Style_1"/>
    </w:pP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5000000">
    <w:pPr>
      <w:pStyle w:val="Style_1"/>
      <w:ind/>
      <w:jc w:val="center"/>
    </w:pPr>
  </w:p>
  <w:p w14:paraId="06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"/>
      <w:lvlJc w:val="left"/>
      <w:pPr>
        <w:ind w:hanging="420" w:left="420"/>
      </w:pPr>
    </w:lvl>
    <w:lvl w:ilvl="1">
      <w:start w:val="1"/>
      <w:numFmt w:val="decimal"/>
      <w:lvlText w:val="%1.%2"/>
      <w:lvlJc w:val="left"/>
      <w:pPr>
        <w:ind w:hanging="420" w:left="420"/>
      </w:pPr>
    </w:lvl>
    <w:lvl w:ilvl="2">
      <w:start w:val="1"/>
      <w:numFmt w:val="decimal"/>
      <w:lvlText w:val="%1.%2.%3"/>
      <w:lvlJc w:val="left"/>
      <w:pPr>
        <w:ind w:hanging="720" w:left="720"/>
      </w:pPr>
    </w:lvl>
    <w:lvl w:ilvl="3">
      <w:start w:val="1"/>
      <w:numFmt w:val="decimal"/>
      <w:lvlText w:val="%1.%2.%3.%4"/>
      <w:lvlJc w:val="left"/>
      <w:pPr>
        <w:ind w:hanging="1080" w:left="1080"/>
      </w:pPr>
    </w:lvl>
    <w:lvl w:ilvl="4">
      <w:start w:val="1"/>
      <w:numFmt w:val="decimal"/>
      <w:lvlText w:val="%1.%2.%3.%4.%5"/>
      <w:lvlJc w:val="left"/>
      <w:pPr>
        <w:ind w:hanging="1080" w:left="1080"/>
      </w:pPr>
    </w:lvl>
    <w:lvl w:ilvl="5">
      <w:start w:val="1"/>
      <w:numFmt w:val="decimal"/>
      <w:lvlText w:val="%1.%2.%3.%4.%5.%6"/>
      <w:lvlJc w:val="left"/>
      <w:pPr>
        <w:ind w:hanging="1440" w:left="1440"/>
      </w:pPr>
    </w:lvl>
    <w:lvl w:ilvl="6">
      <w:start w:val="1"/>
      <w:numFmt w:val="decimal"/>
      <w:lvlText w:val="%1.%2.%3.%4.%5.%6.%7"/>
      <w:lvlJc w:val="left"/>
      <w:pPr>
        <w:ind w:hanging="1440" w:left="1440"/>
      </w:pPr>
    </w:lvl>
    <w:lvl w:ilvl="7">
      <w:start w:val="1"/>
      <w:numFmt w:val="decimal"/>
      <w:lvlText w:val="%1.%2.%3.%4.%5.%6.%7.%8"/>
      <w:lvlJc w:val="left"/>
      <w:pPr>
        <w:ind w:hanging="1800" w:left="1800"/>
      </w:pPr>
    </w:lvl>
    <w:lvl w:ilvl="8">
      <w:start w:val="1"/>
      <w:numFmt w:val="decimal"/>
      <w:lvlText w:val="%1.%2.%3.%4.%5.%6.%7.%8.%9"/>
      <w:lvlJc w:val="left"/>
      <w:pPr>
        <w:ind w:hanging="2160" w:left="216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pPr>
      <w:spacing w:line="360" w:lineRule="auto"/>
      <w:ind w:firstLine="709" w:left="0"/>
      <w:jc w:val="both"/>
    </w:pPr>
    <w:rPr>
      <w:sz w:val="28"/>
    </w:rPr>
  </w:style>
  <w:style w:default="1" w:styleId="Style_7_ch" w:type="character">
    <w:name w:val="Normal"/>
    <w:link w:val="Style_7"/>
    <w:rPr>
      <w:sz w:val="28"/>
    </w:rPr>
  </w:style>
  <w:style w:styleId="Style_8" w:type="paragraph">
    <w:name w:val="_НижнийИндекс"/>
    <w:link w:val="Style_8_ch"/>
    <w:rPr>
      <w:vertAlign w:val="subscript"/>
    </w:rPr>
  </w:style>
  <w:style w:styleId="Style_8_ch" w:type="character">
    <w:name w:val="_НижнийИндекс"/>
    <w:link w:val="Style_8"/>
    <w:rPr>
      <w:vertAlign w:val="subscript"/>
    </w:rPr>
  </w:style>
  <w:style w:styleId="Style_9" w:type="paragraph">
    <w:name w:val="toc 2"/>
    <w:basedOn w:val="Style_7"/>
    <w:next w:val="Style_7"/>
    <w:link w:val="Style_9_ch"/>
    <w:uiPriority w:val="39"/>
    <w:pPr>
      <w:tabs>
        <w:tab w:leader="dot" w:pos="9345" w:val="right"/>
      </w:tabs>
      <w:spacing w:after="100"/>
      <w:ind w:firstLine="4" w:left="280"/>
    </w:pPr>
  </w:style>
  <w:style w:styleId="Style_9_ch" w:type="character">
    <w:name w:val="toc 2"/>
    <w:basedOn w:val="Style_7_ch"/>
    <w:link w:val="Style_9"/>
  </w:style>
  <w:style w:styleId="Style_10" w:type="paragraph">
    <w:name w:val="Body Text 2"/>
    <w:basedOn w:val="Style_7"/>
    <w:link w:val="Style_10_ch"/>
    <w:pPr>
      <w:spacing w:after="120" w:line="480" w:lineRule="auto"/>
      <w:ind w:firstLine="0" w:left="0"/>
      <w:jc w:val="left"/>
    </w:pPr>
    <w:rPr>
      <w:sz w:val="24"/>
    </w:rPr>
  </w:style>
  <w:style w:styleId="Style_10_ch" w:type="character">
    <w:name w:val="Body Text 2"/>
    <w:basedOn w:val="Style_7_ch"/>
    <w:link w:val="Style_10"/>
    <w:rPr>
      <w:sz w:val="24"/>
    </w:rPr>
  </w:style>
  <w:style w:styleId="Style_11" w:type="paragraph">
    <w:name w:val="annotation text"/>
    <w:basedOn w:val="Style_7"/>
    <w:link w:val="Style_11_ch"/>
    <w:pPr>
      <w:spacing w:line="240" w:lineRule="auto"/>
      <w:ind/>
    </w:pPr>
    <w:rPr>
      <w:sz w:val="20"/>
    </w:rPr>
  </w:style>
  <w:style w:styleId="Style_11_ch" w:type="character">
    <w:name w:val="annotation text"/>
    <w:basedOn w:val="Style_7_ch"/>
    <w:link w:val="Style_11"/>
    <w:rPr>
      <w:sz w:val="20"/>
    </w:rPr>
  </w:style>
  <w:style w:styleId="Style_12" w:type="paragraph">
    <w:name w:val="toc 4"/>
    <w:next w:val="Style_7"/>
    <w:link w:val="Style_12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2_ch" w:type="character">
    <w:name w:val="toc 4"/>
    <w:link w:val="Style_12"/>
    <w:rPr>
      <w:rFonts w:ascii="XO Thames" w:hAnsi="XO Thames"/>
      <w:sz w:val="28"/>
    </w:rPr>
  </w:style>
  <w:style w:styleId="Style_13" w:type="paragraph">
    <w:name w:val="heading 7"/>
    <w:basedOn w:val="Style_7"/>
    <w:next w:val="Style_7"/>
    <w:link w:val="Style_13_ch"/>
    <w:uiPriority w:val="9"/>
    <w:qFormat/>
    <w:pPr>
      <w:keepNext w:val="1"/>
      <w:spacing w:line="240" w:lineRule="auto"/>
      <w:ind w:firstLine="0" w:left="0"/>
      <w:jc w:val="center"/>
      <w:outlineLvl w:val="6"/>
    </w:pPr>
    <w:rPr>
      <w:rFonts w:ascii="Arial" w:hAnsi="Arial"/>
    </w:rPr>
  </w:style>
  <w:style w:styleId="Style_13_ch" w:type="character">
    <w:name w:val="heading 7"/>
    <w:basedOn w:val="Style_7_ch"/>
    <w:link w:val="Style_13"/>
    <w:rPr>
      <w:rFonts w:ascii="Arial" w:hAnsi="Arial"/>
    </w:rPr>
  </w:style>
  <w:style w:styleId="Style_14" w:type="paragraph">
    <w:name w:val="Body Text"/>
    <w:basedOn w:val="Style_7"/>
    <w:link w:val="Style_14_ch"/>
    <w:pPr>
      <w:widowControl w:val="0"/>
      <w:tabs>
        <w:tab w:leader="none" w:pos="1985" w:val="left"/>
      </w:tabs>
      <w:ind w:firstLine="0" w:left="0"/>
      <w:jc w:val="left"/>
    </w:pPr>
    <w:rPr>
      <w:rFonts w:ascii="Arial" w:hAnsi="Arial"/>
    </w:rPr>
  </w:style>
  <w:style w:styleId="Style_14_ch" w:type="character">
    <w:name w:val="Body Text"/>
    <w:basedOn w:val="Style_7_ch"/>
    <w:link w:val="Style_14"/>
    <w:rPr>
      <w:rFonts w:ascii="Arial" w:hAnsi="Arial"/>
    </w:rPr>
  </w:style>
  <w:style w:styleId="Style_15" w:type="paragraph">
    <w:name w:val="toc 6"/>
    <w:next w:val="Style_7"/>
    <w:link w:val="Style_15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toc 7"/>
    <w:next w:val="Style_7"/>
    <w:link w:val="Style_16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17" w:type="paragraph">
    <w:name w:val="Block Text"/>
    <w:basedOn w:val="Style_7"/>
    <w:link w:val="Style_17_ch"/>
    <w:pPr>
      <w:spacing w:line="240" w:lineRule="auto"/>
      <w:ind w:hanging="570" w:left="570" w:right="33"/>
      <w:jc w:val="left"/>
    </w:pPr>
    <w:rPr>
      <w:rFonts w:ascii="Verdana" w:hAnsi="Verdana"/>
      <w:sz w:val="24"/>
    </w:rPr>
  </w:style>
  <w:style w:styleId="Style_17_ch" w:type="character">
    <w:name w:val="Block Text"/>
    <w:basedOn w:val="Style_7_ch"/>
    <w:link w:val="Style_17"/>
    <w:rPr>
      <w:rFonts w:ascii="Verdana" w:hAnsi="Verdana"/>
      <w:sz w:val="24"/>
    </w:rPr>
  </w:style>
  <w:style w:styleId="Style_18" w:type="paragraph">
    <w:name w:val="Default"/>
    <w:link w:val="Style_18_ch"/>
    <w:rPr>
      <w:color w:val="000000"/>
      <w:sz w:val="24"/>
    </w:rPr>
  </w:style>
  <w:style w:styleId="Style_18_ch" w:type="character">
    <w:name w:val="Default"/>
    <w:link w:val="Style_18"/>
    <w:rPr>
      <w:color w:val="000000"/>
      <w:sz w:val="24"/>
    </w:rPr>
  </w:style>
  <w:style w:styleId="Style_19" w:type="paragraph">
    <w:name w:val="heading 3"/>
    <w:basedOn w:val="Style_7"/>
    <w:next w:val="Style_7"/>
    <w:link w:val="Style_19_ch"/>
    <w:uiPriority w:val="9"/>
    <w:qFormat/>
    <w:pPr>
      <w:keepNext w:val="1"/>
      <w:keepLines w:val="1"/>
      <w:spacing w:before="200"/>
      <w:ind/>
      <w:outlineLvl w:val="2"/>
    </w:pPr>
    <w:rPr>
      <w:rFonts w:ascii="Calibri Light" w:hAnsi="Calibri Light"/>
      <w:b w:val="1"/>
      <w:color w:val="5B9BD5"/>
    </w:rPr>
  </w:style>
  <w:style w:styleId="Style_19_ch" w:type="character">
    <w:name w:val="heading 3"/>
    <w:basedOn w:val="Style_7_ch"/>
    <w:link w:val="Style_19"/>
    <w:rPr>
      <w:rFonts w:ascii="Calibri Light" w:hAnsi="Calibri Light"/>
      <w:b w:val="1"/>
      <w:color w:val="5B9BD5"/>
    </w:rPr>
  </w:style>
  <w:style w:styleId="Style_20" w:type="paragraph">
    <w:name w:val="Balloon Text"/>
    <w:basedOn w:val="Style_7"/>
    <w:link w:val="Style_20_ch"/>
    <w:pPr>
      <w:spacing w:line="240" w:lineRule="auto"/>
      <w:ind/>
    </w:pPr>
    <w:rPr>
      <w:rFonts w:ascii="Segoe UI" w:hAnsi="Segoe UI"/>
      <w:sz w:val="18"/>
    </w:rPr>
  </w:style>
  <w:style w:styleId="Style_20_ch" w:type="character">
    <w:name w:val="Balloon Text"/>
    <w:basedOn w:val="Style_7_ch"/>
    <w:link w:val="Style_20"/>
    <w:rPr>
      <w:rFonts w:ascii="Segoe UI" w:hAnsi="Segoe UI"/>
      <w:sz w:val="18"/>
    </w:rPr>
  </w:style>
  <w:style w:styleId="Style_21" w:type="paragraph">
    <w:name w:val="HTML Cite"/>
    <w:basedOn w:val="Style_22"/>
    <w:link w:val="Style_21_ch"/>
    <w:rPr>
      <w:i w:val="1"/>
    </w:rPr>
  </w:style>
  <w:style w:styleId="Style_21_ch" w:type="character">
    <w:name w:val="HTML Cite"/>
    <w:basedOn w:val="Style_22_ch"/>
    <w:link w:val="Style_21"/>
    <w:rPr>
      <w:i w:val="1"/>
    </w:rPr>
  </w:style>
  <w:style w:styleId="Style_23" w:type="paragraph">
    <w:name w:val="heading 9"/>
    <w:basedOn w:val="Style_7"/>
    <w:next w:val="Style_7"/>
    <w:link w:val="Style_23_ch"/>
    <w:uiPriority w:val="9"/>
    <w:qFormat/>
    <w:pPr>
      <w:keepNext w:val="1"/>
      <w:spacing w:line="240" w:lineRule="auto"/>
      <w:ind w:firstLine="0" w:left="0"/>
      <w:jc w:val="center"/>
      <w:outlineLvl w:val="8"/>
    </w:pPr>
    <w:rPr>
      <w:rFonts w:ascii="Arial" w:hAnsi="Arial"/>
      <w:b w:val="1"/>
      <w:sz w:val="24"/>
    </w:rPr>
  </w:style>
  <w:style w:styleId="Style_23_ch" w:type="character">
    <w:name w:val="heading 9"/>
    <w:basedOn w:val="Style_7_ch"/>
    <w:link w:val="Style_23"/>
    <w:rPr>
      <w:rFonts w:ascii="Arial" w:hAnsi="Arial"/>
      <w:b w:val="1"/>
      <w:sz w:val="24"/>
    </w:rPr>
  </w:style>
  <w:style w:styleId="Style_24" w:type="paragraph">
    <w:name w:val="Абзац списка1"/>
    <w:basedOn w:val="Style_7"/>
    <w:link w:val="Style_24_ch"/>
    <w:pPr>
      <w:spacing w:line="240" w:lineRule="auto"/>
      <w:ind w:firstLine="0" w:left="0"/>
      <w:jc w:val="left"/>
    </w:pPr>
    <w:rPr>
      <w:sz w:val="24"/>
    </w:rPr>
  </w:style>
  <w:style w:styleId="Style_24_ch" w:type="character">
    <w:name w:val="Абзац списка1"/>
    <w:basedOn w:val="Style_7_ch"/>
    <w:link w:val="Style_24"/>
    <w:rPr>
      <w:sz w:val="24"/>
    </w:rPr>
  </w:style>
  <w:style w:styleId="Style_25" w:type="paragraph">
    <w:name w:val="annotation subject"/>
    <w:basedOn w:val="Style_11"/>
    <w:next w:val="Style_11"/>
    <w:link w:val="Style_25_ch"/>
    <w:rPr>
      <w:b w:val="1"/>
    </w:rPr>
  </w:style>
  <w:style w:styleId="Style_25_ch" w:type="character">
    <w:name w:val="annotation subject"/>
    <w:basedOn w:val="Style_11_ch"/>
    <w:link w:val="Style_25"/>
    <w:rPr>
      <w:b w:val="1"/>
    </w:rPr>
  </w:style>
  <w:style w:styleId="Style_26" w:type="paragraph">
    <w:name w:val="Стиль1"/>
    <w:basedOn w:val="Style_7"/>
    <w:link w:val="Style_26_ch"/>
    <w:pPr>
      <w:spacing w:line="240" w:lineRule="auto"/>
      <w:ind w:firstLine="0" w:left="0"/>
      <w:jc w:val="center"/>
    </w:pPr>
    <w:rPr>
      <w:rFonts w:ascii="CG Times" w:hAnsi="CG Times"/>
      <w:i w:val="1"/>
      <w:sz w:val="24"/>
    </w:rPr>
  </w:style>
  <w:style w:styleId="Style_26_ch" w:type="character">
    <w:name w:val="Стиль1"/>
    <w:basedOn w:val="Style_7_ch"/>
    <w:link w:val="Style_26"/>
    <w:rPr>
      <w:rFonts w:ascii="CG Times" w:hAnsi="CG Times"/>
      <w:i w:val="1"/>
      <w:sz w:val="24"/>
    </w:rPr>
  </w:style>
  <w:style w:styleId="Style_27" w:type="paragraph">
    <w:name w:val="p4"/>
    <w:basedOn w:val="Style_7"/>
    <w:link w:val="Style_27_ch"/>
    <w:pPr>
      <w:spacing w:afterAutospacing="on" w:beforeAutospacing="on" w:line="240" w:lineRule="auto"/>
      <w:ind w:firstLine="0" w:left="0"/>
      <w:jc w:val="left"/>
    </w:pPr>
    <w:rPr>
      <w:rFonts w:ascii="TimesNewRoman" w:hAnsi="TimesNewRoman"/>
      <w:sz w:val="24"/>
    </w:rPr>
  </w:style>
  <w:style w:styleId="Style_27_ch" w:type="character">
    <w:name w:val="p4"/>
    <w:basedOn w:val="Style_7_ch"/>
    <w:link w:val="Style_27"/>
    <w:rPr>
      <w:rFonts w:ascii="TimesNewRoman" w:hAnsi="TimesNewRoman"/>
      <w:sz w:val="24"/>
    </w:rPr>
  </w:style>
  <w:style w:styleId="Style_28" w:type="paragraph">
    <w:name w:val="_ВерхнийИндекс"/>
    <w:link w:val="Style_28_ch"/>
    <w:rPr>
      <w:vertAlign w:val="superscript"/>
    </w:rPr>
  </w:style>
  <w:style w:styleId="Style_28_ch" w:type="character">
    <w:name w:val="_ВерхнийИндекс"/>
    <w:link w:val="Style_28"/>
    <w:rPr>
      <w:vertAlign w:val="superscript"/>
    </w:rPr>
  </w:style>
  <w:style w:styleId="Style_29" w:type="paragraph">
    <w:name w:val="Body Text Indent 3"/>
    <w:basedOn w:val="Style_7"/>
    <w:link w:val="Style_29_ch"/>
    <w:pPr>
      <w:widowControl w:val="0"/>
      <w:tabs>
        <w:tab w:leader="none" w:pos="2552" w:val="left"/>
      </w:tabs>
      <w:ind w:hanging="1843" w:left="2694"/>
      <w:jc w:val="left"/>
    </w:pPr>
    <w:rPr>
      <w:rFonts w:ascii="Arial" w:hAnsi="Arial"/>
    </w:rPr>
  </w:style>
  <w:style w:styleId="Style_29_ch" w:type="character">
    <w:name w:val="Body Text Indent 3"/>
    <w:basedOn w:val="Style_7_ch"/>
    <w:link w:val="Style_29"/>
    <w:rPr>
      <w:rFonts w:ascii="Arial" w:hAnsi="Arial"/>
    </w:rPr>
  </w:style>
  <w:style w:styleId="Style_30" w:type="paragraph">
    <w:name w:val="Emphasis"/>
    <w:basedOn w:val="Style_22"/>
    <w:link w:val="Style_30_ch"/>
    <w:rPr>
      <w:i w:val="1"/>
    </w:rPr>
  </w:style>
  <w:style w:styleId="Style_30_ch" w:type="character">
    <w:name w:val="Emphasis"/>
    <w:basedOn w:val="Style_22_ch"/>
    <w:link w:val="Style_30"/>
    <w:rPr>
      <w:i w:val="1"/>
    </w:rPr>
  </w:style>
  <w:style w:styleId="Style_31" w:type="paragraph">
    <w:name w:val="apple-style-span"/>
    <w:link w:val="Style_31_ch"/>
  </w:style>
  <w:style w:styleId="Style_31_ch" w:type="character">
    <w:name w:val="apple-style-span"/>
    <w:link w:val="Style_31"/>
  </w:style>
  <w:style w:styleId="Style_32" w:type="paragraph">
    <w:name w:val="Strong"/>
    <w:basedOn w:val="Style_22"/>
    <w:link w:val="Style_32_ch"/>
    <w:rPr>
      <w:b w:val="1"/>
    </w:rPr>
  </w:style>
  <w:style w:styleId="Style_32_ch" w:type="character">
    <w:name w:val="Strong"/>
    <w:basedOn w:val="Style_22_ch"/>
    <w:link w:val="Style_32"/>
    <w:rPr>
      <w:b w:val="1"/>
    </w:rPr>
  </w:style>
  <w:style w:styleId="Style_33" w:type="paragraph">
    <w:name w:val="toc 3"/>
    <w:basedOn w:val="Style_7"/>
    <w:next w:val="Style_7"/>
    <w:link w:val="Style_33_ch"/>
    <w:uiPriority w:val="39"/>
    <w:pPr>
      <w:spacing w:after="100"/>
      <w:ind w:firstLine="0" w:left="560"/>
    </w:pPr>
  </w:style>
  <w:style w:styleId="Style_33_ch" w:type="character">
    <w:name w:val="toc 3"/>
    <w:basedOn w:val="Style_7_ch"/>
    <w:link w:val="Style_33"/>
  </w:style>
  <w:style w:styleId="Style_1" w:type="paragraph">
    <w:name w:val="footer"/>
    <w:basedOn w:val="Style_7"/>
    <w:link w:val="Style_1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1_ch" w:type="character">
    <w:name w:val="footer"/>
    <w:basedOn w:val="Style_7_ch"/>
    <w:link w:val="Style_1"/>
  </w:style>
  <w:style w:styleId="Style_34" w:type="paragraph">
    <w:name w:val="Название1"/>
    <w:basedOn w:val="Style_22"/>
    <w:link w:val="Style_34_ch"/>
  </w:style>
  <w:style w:styleId="Style_34_ch" w:type="character">
    <w:name w:val="Название1"/>
    <w:basedOn w:val="Style_22_ch"/>
    <w:link w:val="Style_34"/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35" w:type="paragraph">
    <w:name w:val="ConsPlusNormal"/>
    <w:link w:val="Style_35_ch"/>
    <w:pPr>
      <w:widowControl w:val="0"/>
      <w:ind/>
    </w:pPr>
    <w:rPr>
      <w:rFonts w:ascii="Book Antiqua" w:hAnsi="Book Antiqua"/>
    </w:rPr>
  </w:style>
  <w:style w:styleId="Style_35_ch" w:type="character">
    <w:name w:val="ConsPlusNormal"/>
    <w:link w:val="Style_35"/>
    <w:rPr>
      <w:rFonts w:ascii="Book Antiqua" w:hAnsi="Book Antiqua"/>
    </w:rPr>
  </w:style>
  <w:style w:styleId="Style_36" w:type="paragraph">
    <w:name w:val="annotation reference"/>
    <w:basedOn w:val="Style_22"/>
    <w:link w:val="Style_36_ch"/>
    <w:rPr>
      <w:sz w:val="16"/>
    </w:rPr>
  </w:style>
  <w:style w:styleId="Style_36_ch" w:type="character">
    <w:name w:val="annotation reference"/>
    <w:basedOn w:val="Style_22_ch"/>
    <w:link w:val="Style_36"/>
    <w:rPr>
      <w:sz w:val="16"/>
    </w:rPr>
  </w:style>
  <w:style w:styleId="Style_37" w:type="paragraph">
    <w:name w:val="FR1"/>
    <w:link w:val="Style_37_ch"/>
    <w:pPr>
      <w:widowControl w:val="0"/>
      <w:spacing w:line="276" w:lineRule="auto"/>
      <w:ind w:firstLine="700" w:left="0"/>
    </w:pPr>
  </w:style>
  <w:style w:styleId="Style_37_ch" w:type="character">
    <w:name w:val="FR1"/>
    <w:link w:val="Style_37"/>
  </w:style>
  <w:style w:styleId="Style_38" w:type="paragraph">
    <w:name w:val="HTML Variable"/>
    <w:basedOn w:val="Style_22"/>
    <w:link w:val="Style_38_ch"/>
    <w:rPr>
      <w:i w:val="1"/>
    </w:rPr>
  </w:style>
  <w:style w:styleId="Style_38_ch" w:type="character">
    <w:name w:val="HTML Variable"/>
    <w:basedOn w:val="Style_22_ch"/>
    <w:link w:val="Style_38"/>
    <w:rPr>
      <w:i w:val="1"/>
    </w:rPr>
  </w:style>
  <w:style w:styleId="Style_39" w:type="paragraph">
    <w:name w:val="Основной текст 2 Знак"/>
    <w:basedOn w:val="Style_22"/>
    <w:link w:val="Style_39_ch"/>
    <w:rPr>
      <w:sz w:val="28"/>
    </w:rPr>
  </w:style>
  <w:style w:styleId="Style_39_ch" w:type="character">
    <w:name w:val="Основной текст 2 Знак"/>
    <w:basedOn w:val="Style_22_ch"/>
    <w:link w:val="Style_39"/>
    <w:rPr>
      <w:sz w:val="28"/>
    </w:rPr>
  </w:style>
  <w:style w:styleId="Style_40" w:type="paragraph">
    <w:name w:val="heading 5"/>
    <w:basedOn w:val="Style_7"/>
    <w:next w:val="Style_7"/>
    <w:link w:val="Style_40_ch"/>
    <w:uiPriority w:val="9"/>
    <w:qFormat/>
    <w:pPr>
      <w:keepNext w:val="1"/>
      <w:widowControl w:val="0"/>
      <w:tabs>
        <w:tab w:leader="none" w:pos="2694" w:val="left"/>
      </w:tabs>
      <w:ind w:hanging="2126" w:left="2977"/>
      <w:jc w:val="left"/>
      <w:outlineLvl w:val="4"/>
    </w:pPr>
    <w:rPr>
      <w:rFonts w:ascii="Arial" w:hAnsi="Arial"/>
    </w:rPr>
  </w:style>
  <w:style w:styleId="Style_40_ch" w:type="character">
    <w:name w:val="heading 5"/>
    <w:basedOn w:val="Style_7_ch"/>
    <w:link w:val="Style_40"/>
    <w:rPr>
      <w:rFonts w:ascii="Arial" w:hAnsi="Arial"/>
    </w:rPr>
  </w:style>
  <w:style w:styleId="Style_3" w:type="paragraph">
    <w:name w:val="heading 1"/>
    <w:basedOn w:val="Style_7"/>
    <w:next w:val="Style_7"/>
    <w:link w:val="Style_3_ch"/>
    <w:uiPriority w:val="9"/>
    <w:qFormat/>
    <w:pPr>
      <w:keepNext w:val="1"/>
      <w:keepLines w:val="1"/>
      <w:spacing w:before="240"/>
      <w:ind/>
      <w:outlineLvl w:val="0"/>
    </w:pPr>
    <w:rPr>
      <w:rFonts w:ascii="Calibri Light" w:hAnsi="Calibri Light"/>
      <w:color w:val="2E74B5"/>
      <w:sz w:val="32"/>
    </w:rPr>
  </w:style>
  <w:style w:styleId="Style_3_ch" w:type="character">
    <w:name w:val="heading 1"/>
    <w:basedOn w:val="Style_7_ch"/>
    <w:link w:val="Style_3"/>
    <w:rPr>
      <w:rFonts w:ascii="Calibri Light" w:hAnsi="Calibri Light"/>
      <w:color w:val="2E74B5"/>
      <w:sz w:val="32"/>
    </w:rPr>
  </w:style>
  <w:style w:styleId="Style_41" w:type="paragraph">
    <w:name w:val="Чертежный"/>
    <w:link w:val="Style_41_ch"/>
    <w:pPr>
      <w:ind/>
      <w:jc w:val="both"/>
    </w:pPr>
    <w:rPr>
      <w:rFonts w:ascii="ISOCPEUR" w:hAnsi="ISOCPEUR"/>
      <w:i w:val="1"/>
      <w:sz w:val="28"/>
    </w:rPr>
  </w:style>
  <w:style w:styleId="Style_41_ch" w:type="character">
    <w:name w:val="Чертежный"/>
    <w:link w:val="Style_41"/>
    <w:rPr>
      <w:rFonts w:ascii="ISOCPEUR" w:hAnsi="ISOCPEUR"/>
      <w:i w:val="1"/>
      <w:sz w:val="28"/>
    </w:rPr>
  </w:style>
  <w:style w:styleId="Style_42" w:type="paragraph">
    <w:name w:val="Hyperlink"/>
    <w:basedOn w:val="Style_22"/>
    <w:link w:val="Style_42_ch"/>
    <w:rPr>
      <w:color w:val="0563C1"/>
      <w:u w:val="single"/>
    </w:rPr>
  </w:style>
  <w:style w:styleId="Style_42_ch" w:type="character">
    <w:name w:val="Hyperlink"/>
    <w:basedOn w:val="Style_22_ch"/>
    <w:link w:val="Style_42"/>
    <w:rPr>
      <w:color w:val="0563C1"/>
      <w:u w:val="single"/>
    </w:rPr>
  </w:style>
  <w:style w:styleId="Style_43" w:type="paragraph">
    <w:name w:val="Footnote"/>
    <w:basedOn w:val="Style_7"/>
    <w:link w:val="Style_43_ch"/>
    <w:pPr>
      <w:spacing w:line="240" w:lineRule="auto"/>
      <w:ind w:firstLine="0" w:left="0"/>
      <w:jc w:val="left"/>
    </w:pPr>
    <w:rPr>
      <w:sz w:val="20"/>
    </w:rPr>
  </w:style>
  <w:style w:styleId="Style_43_ch" w:type="character">
    <w:name w:val="Footnote"/>
    <w:basedOn w:val="Style_7_ch"/>
    <w:link w:val="Style_43"/>
    <w:rPr>
      <w:sz w:val="20"/>
    </w:rPr>
  </w:style>
  <w:style w:styleId="Style_44" w:type="paragraph">
    <w:name w:val="heading 8"/>
    <w:basedOn w:val="Style_7"/>
    <w:next w:val="Style_7"/>
    <w:link w:val="Style_44_ch"/>
    <w:uiPriority w:val="9"/>
    <w:qFormat/>
    <w:pPr>
      <w:keepNext w:val="1"/>
      <w:widowControl w:val="0"/>
      <w:ind w:firstLine="851" w:left="0"/>
      <w:jc w:val="left"/>
      <w:outlineLvl w:val="7"/>
    </w:pPr>
    <w:rPr>
      <w:rFonts w:ascii="Arial" w:hAnsi="Arial"/>
    </w:rPr>
  </w:style>
  <w:style w:styleId="Style_44_ch" w:type="character">
    <w:name w:val="heading 8"/>
    <w:basedOn w:val="Style_7_ch"/>
    <w:link w:val="Style_44"/>
    <w:rPr>
      <w:rFonts w:ascii="Arial" w:hAnsi="Arial"/>
    </w:rPr>
  </w:style>
  <w:style w:styleId="Style_45" w:type="paragraph">
    <w:name w:val="toc 1"/>
    <w:basedOn w:val="Style_7"/>
    <w:next w:val="Style_7"/>
    <w:link w:val="Style_45_ch"/>
    <w:uiPriority w:val="39"/>
    <w:pPr>
      <w:tabs>
        <w:tab w:leader="dot" w:pos="9345" w:val="right"/>
      </w:tabs>
      <w:ind w:firstLine="0" w:left="0"/>
    </w:pPr>
  </w:style>
  <w:style w:styleId="Style_45_ch" w:type="character">
    <w:name w:val="toc 1"/>
    <w:basedOn w:val="Style_7_ch"/>
    <w:link w:val="Style_45"/>
  </w:style>
  <w:style w:styleId="Style_46" w:type="paragraph">
    <w:name w:val="Оглавление"/>
    <w:basedOn w:val="Style_33"/>
    <w:link w:val="Style_46_ch"/>
    <w:pPr>
      <w:tabs>
        <w:tab w:leader="dot" w:pos="9345" w:val="right"/>
      </w:tabs>
      <w:spacing w:after="0"/>
      <w:ind w:firstLine="149" w:left="0"/>
    </w:pPr>
  </w:style>
  <w:style w:styleId="Style_46_ch" w:type="character">
    <w:name w:val="Оглавление"/>
    <w:basedOn w:val="Style_33_ch"/>
    <w:link w:val="Style_46"/>
  </w:style>
  <w:style w:styleId="Style_47" w:type="paragraph">
    <w:name w:val="Header and Footer"/>
    <w:link w:val="Style_47_ch"/>
    <w:pPr>
      <w:spacing w:line="240" w:lineRule="auto"/>
      <w:ind/>
      <w:jc w:val="both"/>
    </w:pPr>
    <w:rPr>
      <w:rFonts w:ascii="XO Thames" w:hAnsi="XO Thames"/>
      <w:sz w:val="20"/>
    </w:rPr>
  </w:style>
  <w:style w:styleId="Style_47_ch" w:type="character">
    <w:name w:val="Header and Footer"/>
    <w:link w:val="Style_47"/>
    <w:rPr>
      <w:rFonts w:ascii="XO Thames" w:hAnsi="XO Thames"/>
      <w:sz w:val="20"/>
    </w:rPr>
  </w:style>
  <w:style w:styleId="Style_2" w:type="paragraph">
    <w:name w:val="Normal (Web)"/>
    <w:basedOn w:val="Style_7"/>
    <w:link w:val="Style_2_ch"/>
    <w:pPr>
      <w:spacing w:afterAutospacing="on" w:beforeAutospacing="on" w:line="240" w:lineRule="auto"/>
      <w:ind w:firstLine="0" w:left="0"/>
      <w:jc w:val="left"/>
    </w:pPr>
    <w:rPr>
      <w:sz w:val="24"/>
    </w:rPr>
  </w:style>
  <w:style w:styleId="Style_2_ch" w:type="character">
    <w:name w:val="Normal (Web)"/>
    <w:basedOn w:val="Style_7_ch"/>
    <w:link w:val="Style_2"/>
    <w:rPr>
      <w:sz w:val="24"/>
    </w:rPr>
  </w:style>
  <w:style w:styleId="Style_48" w:type="paragraph">
    <w:name w:val="Основной текст с отступом 31"/>
    <w:basedOn w:val="Style_49"/>
    <w:link w:val="Style_48_ch"/>
    <w:pPr>
      <w:spacing w:line="360" w:lineRule="auto"/>
      <w:ind w:firstLine="0" w:left="-360"/>
      <w:jc w:val="both"/>
    </w:pPr>
    <w:rPr>
      <w:rFonts w:ascii="Times New Roman" w:hAnsi="Times New Roman"/>
      <w:sz w:val="28"/>
    </w:rPr>
  </w:style>
  <w:style w:styleId="Style_48_ch" w:type="character">
    <w:name w:val="Основной текст с отступом 31"/>
    <w:basedOn w:val="Style_49_ch"/>
    <w:link w:val="Style_48"/>
    <w:rPr>
      <w:rFonts w:ascii="Times New Roman" w:hAnsi="Times New Roman"/>
      <w:sz w:val="28"/>
    </w:rPr>
  </w:style>
  <w:style w:styleId="Style_50" w:type="paragraph">
    <w:name w:val="Body Text 3"/>
    <w:basedOn w:val="Style_7"/>
    <w:link w:val="Style_50_ch"/>
    <w:pPr>
      <w:spacing w:line="240" w:lineRule="auto"/>
      <w:ind w:firstLine="0" w:left="0"/>
    </w:pPr>
    <w:rPr>
      <w:color w:val="000000"/>
    </w:rPr>
  </w:style>
  <w:style w:styleId="Style_50_ch" w:type="character">
    <w:name w:val="Body Text 3"/>
    <w:basedOn w:val="Style_7_ch"/>
    <w:link w:val="Style_50"/>
    <w:rPr>
      <w:color w:val="000000"/>
    </w:rPr>
  </w:style>
  <w:style w:styleId="Style_51" w:type="paragraph">
    <w:name w:val="Body text (2)"/>
    <w:basedOn w:val="Style_7"/>
    <w:link w:val="Style_51_ch"/>
    <w:pPr>
      <w:widowControl w:val="0"/>
      <w:spacing w:before="540" w:line="440" w:lineRule="exact"/>
      <w:ind w:firstLine="920" w:left="0"/>
    </w:pPr>
    <w:rPr>
      <w:i w:val="1"/>
      <w:sz w:val="38"/>
    </w:rPr>
  </w:style>
  <w:style w:styleId="Style_51_ch" w:type="character">
    <w:name w:val="Body text (2)"/>
    <w:basedOn w:val="Style_7_ch"/>
    <w:link w:val="Style_51"/>
    <w:rPr>
      <w:i w:val="1"/>
      <w:sz w:val="38"/>
    </w:rPr>
  </w:style>
  <w:style w:styleId="Style_52" w:type="paragraph">
    <w:name w:val="toc 9"/>
    <w:next w:val="Style_7"/>
    <w:link w:val="Style_52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52_ch" w:type="character">
    <w:name w:val="toc 9"/>
    <w:link w:val="Style_52"/>
    <w:rPr>
      <w:rFonts w:ascii="XO Thames" w:hAnsi="XO Thames"/>
      <w:sz w:val="28"/>
    </w:rPr>
  </w:style>
  <w:style w:styleId="Style_53" w:type="paragraph">
    <w:name w:val="Body Text Indent"/>
    <w:basedOn w:val="Style_7"/>
    <w:link w:val="Style_53_ch"/>
    <w:pPr>
      <w:spacing w:after="120" w:line="240" w:lineRule="auto"/>
      <w:ind w:firstLine="0" w:left="283"/>
      <w:jc w:val="left"/>
    </w:pPr>
    <w:rPr>
      <w:sz w:val="24"/>
    </w:rPr>
  </w:style>
  <w:style w:styleId="Style_53_ch" w:type="character">
    <w:name w:val="Body Text Indent"/>
    <w:basedOn w:val="Style_7_ch"/>
    <w:link w:val="Style_53"/>
    <w:rPr>
      <w:sz w:val="24"/>
    </w:rPr>
  </w:style>
  <w:style w:styleId="Style_54" w:type="paragraph">
    <w:name w:val="toc 8"/>
    <w:next w:val="Style_7"/>
    <w:link w:val="Style_5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54_ch" w:type="character">
    <w:name w:val="toc 8"/>
    <w:link w:val="Style_54"/>
    <w:rPr>
      <w:rFonts w:ascii="XO Thames" w:hAnsi="XO Thames"/>
      <w:sz w:val="28"/>
    </w:rPr>
  </w:style>
  <w:style w:styleId="Style_55" w:type="paragraph">
    <w:name w:val="Абзац списка2"/>
    <w:basedOn w:val="Style_7"/>
    <w:link w:val="Style_55_ch"/>
    <w:pPr>
      <w:spacing w:line="240" w:lineRule="auto"/>
      <w:ind w:firstLine="0" w:left="0"/>
      <w:jc w:val="left"/>
    </w:pPr>
    <w:rPr>
      <w:sz w:val="24"/>
    </w:rPr>
  </w:style>
  <w:style w:styleId="Style_55_ch" w:type="character">
    <w:name w:val="Абзац списка2"/>
    <w:basedOn w:val="Style_7_ch"/>
    <w:link w:val="Style_55"/>
    <w:rPr>
      <w:sz w:val="24"/>
    </w:rPr>
  </w:style>
  <w:style w:styleId="Style_56" w:type="paragraph">
    <w:name w:val="page number"/>
    <w:basedOn w:val="Style_22"/>
    <w:link w:val="Style_56_ch"/>
  </w:style>
  <w:style w:styleId="Style_56_ch" w:type="character">
    <w:name w:val="page number"/>
    <w:basedOn w:val="Style_22_ch"/>
    <w:link w:val="Style_56"/>
  </w:style>
  <w:style w:styleId="Style_57" w:type="paragraph">
    <w:name w:val="s5"/>
    <w:basedOn w:val="Style_22"/>
    <w:link w:val="Style_57_ch"/>
  </w:style>
  <w:style w:styleId="Style_57_ch" w:type="character">
    <w:name w:val="s5"/>
    <w:basedOn w:val="Style_22_ch"/>
    <w:link w:val="Style_57"/>
  </w:style>
  <w:style w:styleId="Style_58" w:type="paragraph">
    <w:name w:val="toc 5"/>
    <w:next w:val="Style_7"/>
    <w:link w:val="Style_5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58_ch" w:type="character">
    <w:name w:val="toc 5"/>
    <w:link w:val="Style_58"/>
    <w:rPr>
      <w:rFonts w:ascii="XO Thames" w:hAnsi="XO Thames"/>
      <w:sz w:val="28"/>
    </w:rPr>
  </w:style>
  <w:style w:styleId="Style_59" w:type="paragraph">
    <w:name w:val="List"/>
    <w:basedOn w:val="Style_7"/>
    <w:link w:val="Style_59_ch"/>
    <w:pPr>
      <w:ind w:firstLine="0" w:left="0"/>
    </w:pPr>
    <w:rPr>
      <w:rFonts w:ascii="Arial" w:hAnsi="Arial"/>
      <w:sz w:val="24"/>
    </w:rPr>
  </w:style>
  <w:style w:styleId="Style_59_ch" w:type="character">
    <w:name w:val="List"/>
    <w:basedOn w:val="Style_7_ch"/>
    <w:link w:val="Style_59"/>
    <w:rPr>
      <w:rFonts w:ascii="Arial" w:hAnsi="Arial"/>
      <w:sz w:val="24"/>
    </w:rPr>
  </w:style>
  <w:style w:styleId="Style_60" w:type="paragraph">
    <w:name w:val="Body Text Indent 2"/>
    <w:basedOn w:val="Style_7"/>
    <w:link w:val="Style_60_ch"/>
    <w:pPr>
      <w:widowControl w:val="0"/>
      <w:spacing w:line="348" w:lineRule="auto"/>
      <w:ind w:firstLine="851" w:left="0"/>
      <w:jc w:val="left"/>
    </w:pPr>
    <w:rPr>
      <w:rFonts w:ascii="Arial" w:hAnsi="Arial"/>
    </w:rPr>
  </w:style>
  <w:style w:styleId="Style_60_ch" w:type="character">
    <w:name w:val="Body Text Indent 2"/>
    <w:basedOn w:val="Style_7_ch"/>
    <w:link w:val="Style_60"/>
    <w:rPr>
      <w:rFonts w:ascii="Arial" w:hAnsi="Arial"/>
    </w:rPr>
  </w:style>
  <w:style w:styleId="Style_61" w:type="paragraph">
    <w:name w:val="No Spacing"/>
    <w:link w:val="Style_61_ch"/>
    <w:rPr>
      <w:rFonts w:ascii="Calibri" w:hAnsi="Calibri"/>
      <w:sz w:val="22"/>
    </w:rPr>
  </w:style>
  <w:style w:styleId="Style_61_ch" w:type="character">
    <w:name w:val="No Spacing"/>
    <w:link w:val="Style_61"/>
    <w:rPr>
      <w:rFonts w:ascii="Calibri" w:hAnsi="Calibri"/>
      <w:sz w:val="22"/>
    </w:rPr>
  </w:style>
  <w:style w:styleId="Style_62" w:type="paragraph">
    <w:name w:val="s4"/>
    <w:basedOn w:val="Style_22"/>
    <w:link w:val="Style_62_ch"/>
  </w:style>
  <w:style w:styleId="Style_62_ch" w:type="character">
    <w:name w:val="s4"/>
    <w:basedOn w:val="Style_22_ch"/>
    <w:link w:val="Style_62"/>
  </w:style>
  <w:style w:styleId="Style_63" w:type="paragraph">
    <w:name w:val="header"/>
    <w:basedOn w:val="Style_7"/>
    <w:link w:val="Style_63_ch"/>
    <w:pPr>
      <w:tabs>
        <w:tab w:leader="none" w:pos="4677" w:val="center"/>
        <w:tab w:leader="none" w:pos="9355" w:val="right"/>
      </w:tabs>
      <w:spacing w:line="240" w:lineRule="auto"/>
      <w:ind/>
    </w:pPr>
  </w:style>
  <w:style w:styleId="Style_63_ch" w:type="character">
    <w:name w:val="header"/>
    <w:basedOn w:val="Style_7_ch"/>
    <w:link w:val="Style_63"/>
  </w:style>
  <w:style w:styleId="Style_64" w:type="paragraph">
    <w:name w:val="lead"/>
    <w:basedOn w:val="Style_7"/>
    <w:link w:val="Style_64_ch"/>
    <w:pPr>
      <w:spacing w:afterAutospacing="on" w:beforeAutospacing="on" w:line="240" w:lineRule="auto"/>
      <w:ind w:firstLine="0" w:left="0"/>
      <w:jc w:val="left"/>
    </w:pPr>
    <w:rPr>
      <w:sz w:val="24"/>
    </w:rPr>
  </w:style>
  <w:style w:styleId="Style_64_ch" w:type="character">
    <w:name w:val="lead"/>
    <w:basedOn w:val="Style_7_ch"/>
    <w:link w:val="Style_64"/>
    <w:rPr>
      <w:sz w:val="24"/>
    </w:rPr>
  </w:style>
  <w:style w:styleId="Style_49" w:type="paragraph">
    <w:name w:val="Обычный1"/>
    <w:link w:val="Style_49_ch"/>
    <w:rPr>
      <w:rFonts w:ascii="MS Sans Serif" w:hAnsi="MS Sans Serif"/>
    </w:rPr>
  </w:style>
  <w:style w:styleId="Style_49_ch" w:type="character">
    <w:name w:val="Обычный1"/>
    <w:link w:val="Style_49"/>
    <w:rPr>
      <w:rFonts w:ascii="MS Sans Serif" w:hAnsi="MS Sans Serif"/>
    </w:rPr>
  </w:style>
  <w:style w:styleId="Style_65" w:type="paragraph">
    <w:name w:val="Subtitle"/>
    <w:basedOn w:val="Style_7"/>
    <w:link w:val="Style_65_ch"/>
    <w:uiPriority w:val="11"/>
    <w:qFormat/>
    <w:pPr>
      <w:spacing w:line="240" w:lineRule="auto"/>
      <w:ind w:firstLine="0" w:left="0"/>
    </w:pPr>
    <w:rPr>
      <w:rFonts w:ascii="Verdana" w:hAnsi="Verdana"/>
      <w:sz w:val="24"/>
    </w:rPr>
  </w:style>
  <w:style w:styleId="Style_65_ch" w:type="character">
    <w:name w:val="Subtitle"/>
    <w:basedOn w:val="Style_7_ch"/>
    <w:link w:val="Style_65"/>
    <w:rPr>
      <w:rFonts w:ascii="Verdana" w:hAnsi="Verdana"/>
      <w:sz w:val="24"/>
    </w:rPr>
  </w:style>
  <w:style w:styleId="Style_66" w:type="paragraph">
    <w:name w:val="apple-converted-space"/>
    <w:link w:val="Style_66_ch"/>
  </w:style>
  <w:style w:styleId="Style_66_ch" w:type="character">
    <w:name w:val="apple-converted-space"/>
    <w:link w:val="Style_66"/>
  </w:style>
  <w:style w:styleId="Style_67" w:type="paragraph">
    <w:name w:val="caption"/>
    <w:basedOn w:val="Style_7"/>
    <w:next w:val="Style_7"/>
    <w:link w:val="Style_67_ch"/>
    <w:pPr>
      <w:tabs>
        <w:tab w:leader="none" w:pos="2694" w:val="left"/>
      </w:tabs>
      <w:spacing w:line="240" w:lineRule="auto"/>
      <w:ind w:firstLine="851" w:left="0"/>
      <w:jc w:val="left"/>
    </w:pPr>
    <w:rPr>
      <w:rFonts w:ascii="Arial" w:hAnsi="Arial"/>
    </w:rPr>
  </w:style>
  <w:style w:styleId="Style_67_ch" w:type="character">
    <w:name w:val="caption"/>
    <w:basedOn w:val="Style_7_ch"/>
    <w:link w:val="Style_67"/>
    <w:rPr>
      <w:rFonts w:ascii="Arial" w:hAnsi="Arial"/>
    </w:rPr>
  </w:style>
  <w:style w:styleId="Style_68" w:type="paragraph">
    <w:name w:val="s3"/>
    <w:basedOn w:val="Style_22"/>
    <w:link w:val="Style_68_ch"/>
  </w:style>
  <w:style w:styleId="Style_68_ch" w:type="character">
    <w:name w:val="s3"/>
    <w:basedOn w:val="Style_22_ch"/>
    <w:link w:val="Style_68"/>
  </w:style>
  <w:style w:styleId="Style_69" w:type="paragraph">
    <w:name w:val="Стиль курсового"/>
    <w:basedOn w:val="Style_7"/>
    <w:link w:val="Style_69_ch"/>
    <w:pPr>
      <w:spacing w:line="240" w:lineRule="auto"/>
      <w:ind w:firstLine="851" w:left="0"/>
    </w:pPr>
    <w:rPr>
      <w:rFonts w:ascii="Tahoma" w:hAnsi="Tahoma"/>
      <w:sz w:val="22"/>
    </w:rPr>
  </w:style>
  <w:style w:styleId="Style_69_ch" w:type="character">
    <w:name w:val="Стиль курсового"/>
    <w:basedOn w:val="Style_7_ch"/>
    <w:link w:val="Style_69"/>
    <w:rPr>
      <w:rFonts w:ascii="Tahoma" w:hAnsi="Tahoma"/>
      <w:sz w:val="22"/>
    </w:rPr>
  </w:style>
  <w:style w:styleId="Style_70" w:type="paragraph">
    <w:name w:val="Title"/>
    <w:basedOn w:val="Style_7"/>
    <w:link w:val="Style_70_ch"/>
    <w:uiPriority w:val="10"/>
    <w:qFormat/>
    <w:pPr>
      <w:widowControl w:val="0"/>
      <w:ind w:firstLine="0" w:left="0"/>
      <w:jc w:val="center"/>
    </w:pPr>
    <w:rPr>
      <w:rFonts w:ascii="Arial" w:hAnsi="Arial"/>
    </w:rPr>
  </w:style>
  <w:style w:styleId="Style_70_ch" w:type="character">
    <w:name w:val="Title"/>
    <w:basedOn w:val="Style_7_ch"/>
    <w:link w:val="Style_70"/>
    <w:rPr>
      <w:rFonts w:ascii="Arial" w:hAnsi="Arial"/>
    </w:rPr>
  </w:style>
  <w:style w:styleId="Style_71" w:type="paragraph">
    <w:name w:val="heading 4"/>
    <w:basedOn w:val="Style_7"/>
    <w:next w:val="Style_7"/>
    <w:link w:val="Style_71_ch"/>
    <w:uiPriority w:val="9"/>
    <w:qFormat/>
    <w:pPr>
      <w:keepNext w:val="1"/>
      <w:widowControl w:val="0"/>
      <w:tabs>
        <w:tab w:leader="none" w:pos="6804" w:val="left"/>
      </w:tabs>
      <w:spacing w:line="240" w:lineRule="auto"/>
      <w:ind w:firstLine="0" w:left="0"/>
      <w:jc w:val="left"/>
      <w:outlineLvl w:val="3"/>
    </w:pPr>
    <w:rPr>
      <w:rFonts w:ascii="Arial" w:hAnsi="Arial"/>
      <w:u w:val="single"/>
    </w:rPr>
  </w:style>
  <w:style w:styleId="Style_71_ch" w:type="character">
    <w:name w:val="heading 4"/>
    <w:basedOn w:val="Style_7_ch"/>
    <w:link w:val="Style_71"/>
    <w:rPr>
      <w:rFonts w:ascii="Arial" w:hAnsi="Arial"/>
      <w:u w:val="single"/>
    </w:rPr>
  </w:style>
  <w:style w:styleId="Style_72" w:type="paragraph">
    <w:name w:val="heading 2"/>
    <w:basedOn w:val="Style_7"/>
    <w:next w:val="Style_7"/>
    <w:link w:val="Style_72_ch"/>
    <w:uiPriority w:val="9"/>
    <w:qFormat/>
    <w:pPr>
      <w:keepNext w:val="1"/>
      <w:keepLines w:val="1"/>
      <w:spacing w:before="40"/>
      <w:ind/>
      <w:outlineLvl w:val="1"/>
    </w:pPr>
    <w:rPr>
      <w:rFonts w:ascii="Calibri Light" w:hAnsi="Calibri Light"/>
      <w:color w:val="2E74B5"/>
      <w:sz w:val="26"/>
    </w:rPr>
  </w:style>
  <w:style w:styleId="Style_72_ch" w:type="character">
    <w:name w:val="heading 2"/>
    <w:basedOn w:val="Style_7_ch"/>
    <w:link w:val="Style_72"/>
    <w:rPr>
      <w:rFonts w:ascii="Calibri Light" w:hAnsi="Calibri Light"/>
      <w:color w:val="2E74B5"/>
      <w:sz w:val="26"/>
    </w:rPr>
  </w:style>
  <w:style w:styleId="Style_73" w:type="paragraph">
    <w:name w:val="List Paragraph"/>
    <w:basedOn w:val="Style_7"/>
    <w:link w:val="Style_73_ch"/>
    <w:pPr>
      <w:ind w:firstLine="0" w:left="720"/>
      <w:contextualSpacing w:val="1"/>
    </w:pPr>
  </w:style>
  <w:style w:styleId="Style_73_ch" w:type="character">
    <w:name w:val="List Paragraph"/>
    <w:basedOn w:val="Style_7_ch"/>
    <w:link w:val="Style_73"/>
  </w:style>
  <w:style w:styleId="Style_74" w:type="paragraph">
    <w:name w:val="Обычный + 14 пт"/>
    <w:basedOn w:val="Style_7"/>
    <w:link w:val="Style_74_ch"/>
    <w:pPr>
      <w:spacing w:line="240" w:lineRule="auto"/>
      <w:ind w:firstLine="0" w:left="0"/>
    </w:pPr>
  </w:style>
  <w:style w:styleId="Style_74_ch" w:type="character">
    <w:name w:val="Обычный + 14 пт"/>
    <w:basedOn w:val="Style_7_ch"/>
    <w:link w:val="Style_74"/>
  </w:style>
  <w:style w:styleId="Style_75" w:type="paragraph">
    <w:name w:val="heading 6"/>
    <w:basedOn w:val="Style_7"/>
    <w:next w:val="Style_7"/>
    <w:link w:val="Style_75_ch"/>
    <w:uiPriority w:val="9"/>
    <w:qFormat/>
    <w:pPr>
      <w:keepNext w:val="1"/>
      <w:widowControl w:val="0"/>
      <w:spacing w:line="240" w:lineRule="auto"/>
      <w:ind w:firstLine="0" w:left="0"/>
      <w:jc w:val="left"/>
      <w:outlineLvl w:val="5"/>
    </w:pPr>
    <w:rPr>
      <w:rFonts w:ascii="Arial" w:hAnsi="Arial"/>
    </w:rPr>
  </w:style>
  <w:style w:styleId="Style_75_ch" w:type="character">
    <w:name w:val="heading 6"/>
    <w:basedOn w:val="Style_7_ch"/>
    <w:link w:val="Style_75"/>
    <w:rPr>
      <w:rFonts w:ascii="Arial" w:hAnsi="Arial"/>
    </w:rPr>
  </w:style>
  <w:style w:styleId="Style_4" w:type="table">
    <w:name w:val="Сетка таблицы2"/>
    <w:basedOn w:val="Style_76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6" w:type="table">
    <w:name w:val="Table Grid"/>
    <w:basedOn w:val="Style_76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5" w:type="table">
    <w:name w:val="Сетка таблицы3"/>
    <w:basedOn w:val="Style_76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7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Сетка таблицы11"/>
    <w:basedOn w:val="Style_76"/>
    <w:rPr>
      <w:rFonts w:ascii="Constantia" w:hAnsi="Constantia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78" w:type="table">
    <w:name w:val="Сетка таблицы1"/>
    <w:basedOn w:val="Style_76"/>
    <w:rPr>
      <w:rFonts w:ascii="Constantia" w:hAnsi="Constantia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1" Target="theme/theme1.xml" Type="http://schemas.openxmlformats.org/officeDocument/2006/relationships/theme"/>
  <Relationship Id="rId10" Target="webSettings.xml" Type="http://schemas.openxmlformats.org/officeDocument/2006/relationships/webSettings"/>
  <Relationship Id="rId9" Target="stylesWithEffects.xml" Type="http://schemas.microsoft.com/office/2007/relationships/stylesWithEffects"/>
  <Relationship Id="rId8" Target="styles.xml" Type="http://schemas.openxmlformats.org/officeDocument/2006/relationships/styles"/>
  <Relationship Id="rId7" Target="settings.xml" Type="http://schemas.openxmlformats.org/officeDocument/2006/relationships/settings"/>
  <Relationship Id="rId6" Target="fontTable.xml" Type="http://schemas.openxmlformats.org/officeDocument/2006/relationships/fontTable"/>
  <Relationship Id="rId5" Target="media/2.png" Type="http://schemas.openxmlformats.org/officeDocument/2006/relationships/image"/>
  <Relationship Id="rId4" Target="media/1.jpeg" Type="http://schemas.openxmlformats.org/officeDocument/2006/relationships/image"/>
  <Relationship Id="rId12" Target="numbering.xml" Type="http://schemas.openxmlformats.org/officeDocument/2006/relationships/numbering"/>
  <Relationship Id="rId3" Target="footer3.xml" Type="http://schemas.openxmlformats.org/officeDocument/2006/relationships/footer"/>
  <Relationship Id="rId2" Target="footer2.xml" Type="http://schemas.openxmlformats.org/officeDocument/2006/relationships/footer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2026-08-04T12:15:29Z</dcterms:modified>
</cp:coreProperties>
</file>