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rPr>
          <w:rFonts w:ascii="Times New Roman" w:hAnsi="Times New Roman"/>
          <w:b w:val="1"/>
          <w:sz w:val="24"/>
        </w:rPr>
      </w:pPr>
    </w:p>
    <w:p w14:paraId="03000000">
      <w:pPr>
        <w:spacing w:before="120"/>
        <w:ind w:right="-143"/>
        <w:jc w:val="center"/>
        <w:rPr>
          <w:rFonts w:ascii="Times New Roman" w:hAnsi="Times New Roman"/>
          <w:sz w:val="28"/>
        </w:rPr>
      </w:pPr>
      <w:r>
        <w:rPr>
          <w:rFonts w:ascii="Times New Roman" w:hAnsi="Times New Roman"/>
          <w:sz w:val="28"/>
        </w:rPr>
        <w:t xml:space="preserve">АВТОНОМНАЯ НЕКОММЕРЧЕСКАЯ ОРГАНИЗАЦИЯ </w:t>
      </w:r>
    </w:p>
    <w:p w14:paraId="04000000">
      <w:pPr>
        <w:spacing w:before="120"/>
        <w:ind w:right="-143"/>
        <w:jc w:val="center"/>
        <w:rPr>
          <w:rFonts w:ascii="Times New Roman" w:hAnsi="Times New Roman"/>
          <w:sz w:val="28"/>
        </w:rPr>
      </w:pPr>
      <w:r>
        <w:rPr>
          <w:rFonts w:ascii="Times New Roman" w:hAnsi="Times New Roman"/>
          <w:sz w:val="28"/>
        </w:rPr>
        <w:t>ВЫСШЕГО ОБРАЗОВАНИЯ</w:t>
      </w:r>
    </w:p>
    <w:p w14:paraId="05000000">
      <w:pPr>
        <w:spacing w:before="120"/>
        <w:ind w:right="-143"/>
        <w:jc w:val="center"/>
        <w:rPr>
          <w:rFonts w:ascii="Times New Roman" w:hAnsi="Times New Roman"/>
          <w:sz w:val="28"/>
        </w:rPr>
      </w:pPr>
      <w:r>
        <w:rPr>
          <w:rFonts w:ascii="Times New Roman" w:hAnsi="Times New Roman"/>
          <w:b w:val="1"/>
          <w:sz w:val="28"/>
        </w:rPr>
        <w:t xml:space="preserve">«МОСКОВСКИЙ УНИВЕРСИТЕТ «СИНЕРГИЯ» </w:t>
      </w:r>
    </w:p>
    <w:p w14:paraId="06000000">
      <w:pPr>
        <w:spacing w:before="120"/>
        <w:ind/>
        <w:jc w:val="center"/>
        <w:rPr>
          <w:rFonts w:ascii="Times New Roman" w:hAnsi="Times New Roman"/>
          <w:sz w:val="30"/>
        </w:rPr>
      </w:pPr>
      <w:r>
        <w:rPr>
          <w:rFonts w:ascii="Times New Roman" w:hAnsi="Times New Roman"/>
          <w:sz w:val="30"/>
        </w:rPr>
        <w:t>Факультет ____</w:t>
      </w:r>
      <w:r>
        <w:rPr>
          <w:rFonts w:ascii="Times New Roman" w:hAnsi="Times New Roman"/>
          <w:sz w:val="30"/>
          <w:u w:val="single"/>
        </w:rPr>
        <w:t>Юридический</w:t>
      </w:r>
      <w:r>
        <w:rPr>
          <w:rFonts w:ascii="Times New Roman" w:hAnsi="Times New Roman"/>
          <w:sz w:val="30"/>
        </w:rPr>
        <w:t xml:space="preserve"> </w:t>
      </w:r>
      <w:r>
        <w:rPr>
          <w:rFonts w:ascii="Times New Roman" w:hAnsi="Times New Roman"/>
          <w:sz w:val="30"/>
        </w:rPr>
        <w:t>______</w:t>
      </w:r>
    </w:p>
    <w:tbl>
      <w:tblPr>
        <w:tblStyle w:val="Style_2"/>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1701"/>
        <w:gridCol w:w="5387"/>
        <w:gridCol w:w="1158"/>
        <w:gridCol w:w="1349"/>
      </w:tblGrid>
      <w:tr>
        <w:tc>
          <w:tcPr>
            <w:tcW w:type="dxa" w:w="1701"/>
            <w:tcBorders>
              <w:top w:color="000000" w:sz="4" w:val="nil"/>
              <w:left w:color="000000" w:sz="4" w:val="nil"/>
              <w:bottom w:color="000000" w:sz="4" w:val="nil"/>
              <w:right w:color="000000" w:sz="4" w:val="nil"/>
            </w:tcBorders>
            <w:vAlign w:val="center"/>
          </w:tcPr>
          <w:p w14:paraId="07000000">
            <w:pPr>
              <w:rPr>
                <w:rFonts w:ascii="Times New Roman" w:hAnsi="Times New Roman"/>
                <w:b w:val="1"/>
                <w:sz w:val="24"/>
              </w:rPr>
            </w:pPr>
            <w:r>
              <w:rPr>
                <w:rFonts w:ascii="Times New Roman" w:hAnsi="Times New Roman"/>
                <w:b w:val="1"/>
                <w:sz w:val="24"/>
              </w:rPr>
              <w:t>Направление подготовки:</w:t>
            </w:r>
          </w:p>
        </w:tc>
        <w:tc>
          <w:tcPr>
            <w:tcW w:type="dxa" w:w="5387"/>
            <w:tcBorders>
              <w:top w:sz="4" w:val="nil"/>
              <w:left w:sz="4" w:val="nil"/>
              <w:bottom w:color="000000" w:sz="4" w:val="single"/>
              <w:right w:sz="4" w:val="nil"/>
            </w:tcBorders>
            <w:vAlign w:val="center"/>
          </w:tcPr>
          <w:p w14:paraId="08000000">
            <w:pPr>
              <w:ind/>
              <w:jc w:val="center"/>
              <w:rPr>
                <w:rFonts w:ascii="Times New Roman" w:hAnsi="Times New Roman"/>
                <w:sz w:val="24"/>
              </w:rPr>
            </w:pPr>
          </w:p>
        </w:tc>
        <w:tc>
          <w:tcPr>
            <w:tcW w:type="dxa" w:w="1158"/>
            <w:tcBorders>
              <w:top w:color="000000" w:sz="4" w:val="nil"/>
              <w:left w:color="000000" w:sz="4" w:val="nil"/>
              <w:bottom w:color="000000" w:sz="4" w:val="nil"/>
              <w:right w:color="000000" w:sz="4" w:val="nil"/>
            </w:tcBorders>
            <w:vAlign w:val="center"/>
          </w:tcPr>
          <w:p w14:paraId="09000000">
            <w:pPr>
              <w:ind/>
              <w:jc w:val="center"/>
              <w:rPr>
                <w:rFonts w:ascii="Times New Roman" w:hAnsi="Times New Roman"/>
                <w:b w:val="1"/>
                <w:sz w:val="24"/>
              </w:rPr>
            </w:pPr>
            <w:r>
              <w:rPr>
                <w:rFonts w:ascii="Times New Roman" w:hAnsi="Times New Roman"/>
                <w:b w:val="1"/>
                <w:sz w:val="24"/>
              </w:rPr>
              <w:t>Кафедра</w:t>
            </w:r>
          </w:p>
        </w:tc>
        <w:tc>
          <w:tcPr>
            <w:tcW w:type="dxa" w:w="1349"/>
            <w:tcBorders>
              <w:top w:sz="4" w:val="nil"/>
              <w:left w:sz="4" w:val="nil"/>
              <w:bottom w:color="000000" w:sz="4" w:val="single"/>
              <w:right w:sz="4" w:val="nil"/>
            </w:tcBorders>
            <w:vAlign w:val="center"/>
          </w:tcPr>
          <w:p w14:paraId="0A000000">
            <w:pPr>
              <w:ind/>
              <w:jc w:val="center"/>
              <w:rPr>
                <w:rFonts w:ascii="Times New Roman" w:hAnsi="Times New Roman"/>
                <w:sz w:val="24"/>
              </w:rPr>
            </w:pPr>
            <w:r>
              <w:rPr>
                <w:rFonts w:ascii="Times New Roman" w:hAnsi="Times New Roman"/>
                <w:sz w:val="24"/>
              </w:rPr>
              <w:t>ПРБиГС</w:t>
            </w:r>
          </w:p>
        </w:tc>
      </w:tr>
      <w:tr>
        <w:tc>
          <w:tcPr>
            <w:tcW w:type="dxa" w:w="1701"/>
            <w:tcBorders>
              <w:top w:color="000000" w:sz="4" w:val="nil"/>
              <w:left w:color="000000" w:sz="4" w:val="nil"/>
              <w:bottom w:color="000000" w:sz="4" w:val="nil"/>
              <w:right w:color="000000" w:sz="4" w:val="nil"/>
            </w:tcBorders>
            <w:vAlign w:val="center"/>
          </w:tcPr>
          <w:p w14:paraId="0B000000">
            <w:pPr>
              <w:rPr>
                <w:rFonts w:ascii="Times New Roman" w:hAnsi="Times New Roman"/>
                <w:b w:val="1"/>
              </w:rPr>
            </w:pPr>
          </w:p>
        </w:tc>
        <w:tc>
          <w:tcPr>
            <w:tcW w:type="dxa" w:w="5387"/>
            <w:tcBorders>
              <w:top w:color="000000" w:sz="4" w:val="single"/>
              <w:left w:sz="4" w:val="nil"/>
              <w:bottom w:sz="4" w:val="nil"/>
              <w:right w:sz="4" w:val="nil"/>
            </w:tcBorders>
            <w:vAlign w:val="center"/>
          </w:tcPr>
          <w:p w14:paraId="0C000000">
            <w:pPr>
              <w:ind/>
              <w:jc w:val="center"/>
              <w:rPr>
                <w:rFonts w:ascii="Times New Roman" w:hAnsi="Times New Roman"/>
              </w:rPr>
            </w:pPr>
            <w:r>
              <w:rPr>
                <w:rFonts w:ascii="Times New Roman" w:hAnsi="Times New Roman"/>
                <w:i w:val="1"/>
                <w:vertAlign w:val="superscript"/>
              </w:rPr>
              <w:t>(код, наименование)</w:t>
            </w:r>
          </w:p>
        </w:tc>
        <w:tc>
          <w:tcPr>
            <w:tcW w:type="dxa" w:w="1158"/>
            <w:tcBorders>
              <w:top w:color="000000" w:sz="4" w:val="nil"/>
              <w:left w:color="000000" w:sz="4" w:val="nil"/>
              <w:bottom w:color="000000" w:sz="4" w:val="nil"/>
              <w:right w:color="000000" w:sz="4" w:val="nil"/>
            </w:tcBorders>
            <w:vAlign w:val="center"/>
          </w:tcPr>
          <w:p w14:paraId="0D000000">
            <w:pPr>
              <w:rPr>
                <w:rFonts w:ascii="Times New Roman" w:hAnsi="Times New Roman"/>
                <w:b w:val="1"/>
              </w:rPr>
            </w:pPr>
          </w:p>
        </w:tc>
        <w:tc>
          <w:tcPr>
            <w:tcW w:type="dxa" w:w="1349"/>
            <w:tcBorders>
              <w:top w:color="000000" w:sz="4" w:val="single"/>
              <w:left w:sz="4" w:val="nil"/>
              <w:bottom w:sz="4" w:val="nil"/>
              <w:right w:sz="4" w:val="nil"/>
            </w:tcBorders>
            <w:vAlign w:val="center"/>
          </w:tcPr>
          <w:p w14:paraId="0E000000">
            <w:pPr>
              <w:ind/>
              <w:jc w:val="center"/>
              <w:rPr>
                <w:rFonts w:ascii="Times New Roman" w:hAnsi="Times New Roman"/>
              </w:rPr>
            </w:pPr>
            <w:r>
              <w:rPr>
                <w:rFonts w:ascii="Times New Roman" w:hAnsi="Times New Roman"/>
                <w:i w:val="1"/>
                <w:vertAlign w:val="superscript"/>
              </w:rPr>
              <w:t>(аббревиатура)</w:t>
            </w:r>
          </w:p>
        </w:tc>
      </w:tr>
      <w:tr>
        <w:tc>
          <w:tcPr>
            <w:tcW w:type="dxa" w:w="1701"/>
            <w:tcBorders>
              <w:top w:color="000000" w:sz="4" w:val="nil"/>
              <w:left w:color="000000" w:sz="4" w:val="nil"/>
              <w:bottom w:color="000000" w:sz="4" w:val="nil"/>
              <w:right w:color="000000" w:sz="4" w:val="nil"/>
            </w:tcBorders>
            <w:vAlign w:val="center"/>
          </w:tcPr>
          <w:p w14:paraId="0F000000">
            <w:pPr>
              <w:rPr>
                <w:rFonts w:ascii="Times New Roman" w:hAnsi="Times New Roman"/>
                <w:b w:val="1"/>
              </w:rPr>
            </w:pPr>
            <w:r>
              <w:rPr>
                <w:rFonts w:ascii="Times New Roman" w:hAnsi="Times New Roman"/>
                <w:b w:val="1"/>
                <w:sz w:val="24"/>
              </w:rPr>
              <w:t>Профиль:</w:t>
            </w:r>
          </w:p>
        </w:tc>
        <w:tc>
          <w:tcPr>
            <w:tcW w:type="dxa" w:w="7894"/>
            <w:gridSpan w:val="3"/>
            <w:tcBorders>
              <w:top w:sz="4" w:val="nil"/>
              <w:left w:sz="4" w:val="nil"/>
              <w:bottom w:color="000000" w:sz="4" w:val="single"/>
              <w:right w:sz="4" w:val="nil"/>
            </w:tcBorders>
            <w:vAlign w:val="center"/>
          </w:tcPr>
          <w:p w14:paraId="10000000">
            <w:pPr>
              <w:ind/>
              <w:jc w:val="center"/>
              <w:rPr>
                <w:rFonts w:ascii="Times New Roman" w:hAnsi="Times New Roman"/>
                <w:i w:val="1"/>
                <w:vertAlign w:val="superscript"/>
              </w:rPr>
            </w:pPr>
          </w:p>
        </w:tc>
      </w:tr>
    </w:tbl>
    <w:p w14:paraId="11000000">
      <w:pPr>
        <w:ind/>
        <w:jc w:val="right"/>
        <w:rPr>
          <w:rFonts w:ascii="Times New Roman" w:hAnsi="Times New Roman"/>
        </w:rPr>
      </w:pPr>
    </w:p>
    <w:p w14:paraId="12000000">
      <w:pPr>
        <w:ind/>
        <w:jc w:val="center"/>
        <w:rPr>
          <w:rFonts w:ascii="Times New Roman" w:hAnsi="Times New Roman"/>
          <w:b w:val="1"/>
          <w:caps w:val="1"/>
          <w:sz w:val="36"/>
        </w:rPr>
      </w:pPr>
      <w:r>
        <w:rPr>
          <w:rFonts w:ascii="Times New Roman" w:hAnsi="Times New Roman"/>
          <w:b w:val="1"/>
          <w:caps w:val="1"/>
          <w:sz w:val="32"/>
        </w:rPr>
        <w:t>ВЫПУСКНАЯ КВАЛИФИКАЦИОННАЯ РАБОТА – БАКАЛАВРСКАЯ РАБОТА</w:t>
      </w:r>
    </w:p>
    <w:tbl>
      <w:tblPr>
        <w:tblStyle w:val="Style_3"/>
        <w:tblLayout w:type="fixed"/>
      </w:tblPr>
      <w:tblGrid>
        <w:gridCol w:w="2201"/>
        <w:gridCol w:w="8008"/>
      </w:tblGrid>
      <w:tr>
        <w:trPr>
          <w:trHeight w:hRule="atLeast" w:val="20"/>
        </w:trPr>
        <w:tc>
          <w:tcPr>
            <w:tcW w:type="dxa" w:w="2201"/>
            <w:vAlign w:val="center"/>
          </w:tcPr>
          <w:p w14:paraId="13000000">
            <w:pPr>
              <w:keepNext w:val="1"/>
              <w:spacing w:after="0" w:before="120" w:line="240" w:lineRule="auto"/>
              <w:ind/>
              <w:outlineLvl w:val="3"/>
              <w:rPr>
                <w:rFonts w:ascii="Times New Roman" w:hAnsi="Times New Roman"/>
                <w:b w:val="1"/>
                <w:caps w:val="1"/>
                <w:sz w:val="28"/>
              </w:rPr>
            </w:pPr>
            <w:r>
              <w:rPr>
                <w:rFonts w:ascii="Times New Roman" w:hAnsi="Times New Roman"/>
                <w:b w:val="1"/>
                <w:sz w:val="28"/>
              </w:rPr>
              <w:t>н</w:t>
            </w:r>
            <w:r>
              <w:rPr>
                <w:rFonts w:ascii="Times New Roman" w:hAnsi="Times New Roman"/>
                <w:b w:val="1"/>
                <w:sz w:val="28"/>
              </w:rPr>
              <w:t>а тему</w:t>
            </w:r>
          </w:p>
        </w:tc>
        <w:tc>
          <w:tcPr>
            <w:tcW w:type="dxa" w:w="8008"/>
            <w:tcBorders>
              <w:top w:sz="4" w:val="nil"/>
              <w:left w:sz="4" w:val="nil"/>
              <w:bottom w:color="000000" w:sz="4" w:val="single"/>
              <w:right w:sz="4" w:val="nil"/>
            </w:tcBorders>
            <w:vAlign w:val="center"/>
          </w:tcPr>
          <w:p w14:paraId="14000000">
            <w:pPr>
              <w:keepNext w:val="1"/>
              <w:spacing w:after="0" w:before="120" w:line="240" w:lineRule="auto"/>
              <w:ind w:firstLine="1134" w:left="-1638"/>
              <w:jc w:val="center"/>
              <w:outlineLvl w:val="3"/>
              <w:rPr>
                <w:rFonts w:ascii="Times New Roman" w:hAnsi="Times New Roman"/>
                <w:b w:val="1"/>
                <w:caps w:val="1"/>
                <w:sz w:val="24"/>
              </w:rPr>
            </w:pPr>
            <w:r>
              <w:rPr>
                <w:rFonts w:ascii="Times New Roman" w:hAnsi="Times New Roman"/>
                <w:b w:val="1"/>
                <w:caps w:val="1"/>
                <w:sz w:val="24"/>
              </w:rPr>
              <w:t xml:space="preserve">Субсидиарная </w:t>
            </w:r>
            <w:r>
              <w:rPr>
                <w:rFonts w:ascii="Times New Roman" w:hAnsi="Times New Roman"/>
                <w:b w:val="1"/>
                <w:caps w:val="1"/>
                <w:sz w:val="24"/>
              </w:rPr>
              <w:t>ответственность в</w:t>
            </w:r>
            <w:r>
              <w:rPr>
                <w:rFonts w:ascii="Times New Roman" w:hAnsi="Times New Roman"/>
                <w:b w:val="1"/>
                <w:caps w:val="1"/>
                <w:sz w:val="24"/>
              </w:rPr>
              <w:t xml:space="preserve"> </w:t>
            </w:r>
          </w:p>
        </w:tc>
      </w:tr>
      <w:tr>
        <w:trPr>
          <w:trHeight w:hRule="atLeast" w:val="20"/>
        </w:trPr>
        <w:tc>
          <w:tcPr>
            <w:tcW w:type="dxa" w:w="10209"/>
            <w:gridSpan w:val="2"/>
            <w:tcBorders>
              <w:top w:sz="4" w:val="nil"/>
              <w:left w:sz="4" w:val="nil"/>
              <w:bottom w:color="000000" w:sz="4" w:val="single"/>
              <w:right w:sz="4" w:val="nil"/>
            </w:tcBorders>
            <w:vAlign w:val="center"/>
          </w:tcPr>
          <w:p w14:paraId="15000000">
            <w:pPr>
              <w:keepNext w:val="1"/>
              <w:spacing w:after="0" w:before="120" w:line="240" w:lineRule="auto"/>
              <w:ind w:firstLine="142" w:left="-221"/>
              <w:jc w:val="center"/>
              <w:outlineLvl w:val="3"/>
              <w:rPr>
                <w:rFonts w:ascii="Times New Roman" w:hAnsi="Times New Roman"/>
                <w:b w:val="1"/>
                <w:caps w:val="1"/>
                <w:sz w:val="24"/>
              </w:rPr>
            </w:pPr>
            <w:r>
              <w:rPr>
                <w:rFonts w:ascii="Times New Roman" w:hAnsi="Times New Roman"/>
                <w:b w:val="1"/>
                <w:caps w:val="1"/>
                <w:sz w:val="24"/>
              </w:rPr>
              <w:t>гражданском праве</w:t>
            </w:r>
          </w:p>
        </w:tc>
      </w:tr>
      <w:tr>
        <w:trPr>
          <w:trHeight w:hRule="atLeast" w:val="20"/>
        </w:trPr>
        <w:tc>
          <w:tcPr>
            <w:tcW w:type="dxa" w:w="10209"/>
            <w:gridSpan w:val="2"/>
            <w:tcBorders>
              <w:top w:sz="4" w:val="nil"/>
              <w:left w:sz="4" w:val="nil"/>
              <w:bottom w:color="000000" w:sz="4" w:val="single"/>
              <w:right w:sz="4" w:val="nil"/>
            </w:tcBorders>
            <w:vAlign w:val="center"/>
          </w:tcPr>
          <w:p w14:paraId="16000000">
            <w:pPr>
              <w:keepNext w:val="1"/>
              <w:spacing w:after="0" w:before="120" w:line="240" w:lineRule="auto"/>
              <w:ind w:firstLine="142" w:left="-221"/>
              <w:jc w:val="center"/>
              <w:outlineLvl w:val="3"/>
              <w:rPr>
                <w:rFonts w:ascii="Times New Roman" w:hAnsi="Times New Roman"/>
                <w:b w:val="1"/>
                <w:caps w:val="1"/>
                <w:sz w:val="24"/>
              </w:rPr>
            </w:pPr>
          </w:p>
        </w:tc>
      </w:tr>
    </w:tbl>
    <w:p w14:paraId="17000000">
      <w:pPr>
        <w:ind/>
        <w:jc w:val="center"/>
        <w:rPr>
          <w:rFonts w:ascii="Times New Roman" w:hAnsi="Times New Roman"/>
        </w:rPr>
      </w:pPr>
      <w:r>
        <w:rPr>
          <w:rFonts w:ascii="Times New Roman" w:hAnsi="Times New Roman"/>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page">
                  <wp:posOffset>5795010</wp:posOffset>
                </wp:positionH>
                <wp:positionV relativeFrom="paragraph">
                  <wp:posOffset>240030</wp:posOffset>
                </wp:positionV>
                <wp:extent cx="1620520" cy="1216660"/>
                <wp:wrapNone/>
                <wp:docPr hidden="false" id="1" name="Picture 1"/>
                <a:graphic>
                  <a:graphicData uri="http://schemas.microsoft.com/office/word/2010/wordprocessingGroup">
                    <wpg:wgp>
                      <wpg:cNvGrpSpPr/>
                      <wpg:grpSpPr>
                        <a:xfrm flipH="false" flipV="false" rot="0">
                          <a:off x="0" y="0"/>
                          <a:ext cx="1620520" cy="1216660"/>
                          <a:chOff x="0" y="0"/>
                          <a:chExt cx="1620520" cy="1216660"/>
                        </a:xfrm>
                      </wpg:grpSpPr>
                      <wps:wsp>
                        <wps:cNvSpPr txBox="false"/>
                        <wps:spPr>
                          <a:xfrm flipH="false" flipV="false" rot="0">
                            <a:off x="252" y="616328"/>
                            <a:ext cx="1620267"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1620520" name="ODFRight"/>
                              <a:gd fmla="val 6350" name="ODFBottom"/>
                              <a:gd fmla="val 1620520" name="ODFWidth"/>
                              <a:gd fmla="val 6350" name="ODFHeight"/>
                            </a:gdLst>
                            <a:rect b="OXMLTextRectB" l="OXMLTextRectL" r="OXMLTextRectR" t="OXMLTextRectT"/>
                            <a:pathLst>
                              <a:path fill="norm" h="6350" stroke="true" w="1620520">
                                <a:moveTo>
                                  <a:pt x="1620266" y="0"/>
                                </a:moveTo>
                                <a:lnTo>
                                  <a:pt x="0" y="0"/>
                                </a:lnTo>
                                <a:lnTo>
                                  <a:pt x="0" y="6096"/>
                                </a:lnTo>
                                <a:lnTo>
                                  <a:pt x="1620266" y="6096"/>
                                </a:lnTo>
                                <a:lnTo>
                                  <a:pt x="1620266" y="0"/>
                                </a:lnTo>
                                <a:close/>
                              </a:path>
                            </a:pathLst>
                          </a:custGeom>
                          <a:solidFill>
                            <a:srgbClr val="000000"/>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18000000">
      <w:pPr>
        <w:widowControl w:val="0"/>
        <w:spacing w:after="0" w:line="240" w:lineRule="auto"/>
        <w:ind/>
        <w:jc w:val="center"/>
        <w:rPr>
          <w:rFonts w:ascii="Times New Roman" w:hAnsi="Times New Roman"/>
          <w:sz w:val="28"/>
        </w:rPr>
      </w:pPr>
    </w:p>
    <w:p w14:paraId="19000000">
      <w:pPr>
        <w:widowControl w:val="0"/>
        <w:spacing w:after="0" w:line="240" w:lineRule="auto"/>
        <w:ind/>
        <w:jc w:val="center"/>
        <w:rPr>
          <w:rFonts w:ascii="Times New Roman" w:hAnsi="Times New Roman"/>
          <w:sz w:val="28"/>
        </w:rPr>
      </w:pPr>
    </w:p>
    <w:p w14:paraId="1A000000">
      <w:pPr>
        <w:widowControl w:val="0"/>
        <w:spacing w:after="0" w:line="240" w:lineRule="auto"/>
        <w:ind/>
        <w:jc w:val="center"/>
        <w:rPr>
          <w:rFonts w:ascii="Times New Roman" w:hAnsi="Times New Roman"/>
          <w:sz w:val="28"/>
        </w:rPr>
      </w:pPr>
    </w:p>
    <w:tbl>
      <w:tblPr>
        <w:tblStyle w:val="Style_3"/>
        <w:tblLayout w:type="fixed"/>
      </w:tblPr>
      <w:tblGrid>
        <w:gridCol w:w="3350"/>
        <w:gridCol w:w="4365"/>
        <w:gridCol w:w="566"/>
        <w:gridCol w:w="2047"/>
        <w:gridCol w:w="1915"/>
        <w:gridCol w:w="1915"/>
      </w:tblGrid>
      <w:tr>
        <w:trPr>
          <w:trHeight w:hRule="atLeast" w:val="567"/>
        </w:trPr>
        <w:tc>
          <w:tcPr>
            <w:tcW w:type="dxa" w:w="3350"/>
            <w:vAlign w:val="bottom"/>
          </w:tcPr>
          <w:p w14:paraId="1B000000">
            <w:pPr>
              <w:widowControl w:val="0"/>
              <w:tabs>
                <w:tab w:leader="none" w:pos="0" w:val="left"/>
              </w:tabs>
              <w:spacing w:after="0" w:line="240" w:lineRule="auto"/>
              <w:ind/>
              <w:rPr>
                <w:rFonts w:ascii="Times New Roman" w:hAnsi="Times New Roman"/>
                <w:b w:val="1"/>
                <w:sz w:val="28"/>
              </w:rPr>
            </w:pPr>
            <w:r>
              <w:rPr>
                <w:rFonts w:ascii="Times New Roman" w:hAnsi="Times New Roman"/>
                <w:b w:val="1"/>
                <w:sz w:val="28"/>
              </w:rPr>
              <w:t>Обучающийся</w:t>
            </w:r>
          </w:p>
        </w:tc>
        <w:tc>
          <w:tcPr>
            <w:tcW w:type="dxa" w:w="4365"/>
            <w:tcBorders>
              <w:top w:sz="4" w:val="nil"/>
              <w:left w:sz="4" w:val="nil"/>
              <w:bottom w:color="000000" w:sz="4" w:val="single"/>
              <w:right w:sz="4" w:val="nil"/>
            </w:tcBorders>
            <w:vAlign w:val="bottom"/>
          </w:tcPr>
          <w:p w14:paraId="1C000000">
            <w:pPr>
              <w:widowControl w:val="0"/>
              <w:spacing w:after="0" w:line="240" w:lineRule="auto"/>
              <w:ind w:firstLine="34" w:left="0"/>
              <w:jc w:val="center"/>
              <w:rPr>
                <w:rFonts w:ascii="Times New Roman" w:hAnsi="Times New Roman"/>
                <w:i w:val="1"/>
                <w:color w:val="000080"/>
                <w:sz w:val="28"/>
              </w:rPr>
            </w:pPr>
          </w:p>
        </w:tc>
        <w:tc>
          <w:tcPr>
            <w:tcW w:type="dxa" w:w="566"/>
            <w:vAlign w:val="bottom"/>
          </w:tcPr>
          <w:p w14:paraId="1D000000">
            <w:pPr>
              <w:widowControl w:val="0"/>
              <w:spacing w:after="0" w:line="240" w:lineRule="auto"/>
              <w:ind w:firstLine="280" w:left="0"/>
              <w:rPr>
                <w:rFonts w:ascii="Times New Roman" w:hAnsi="Times New Roman"/>
                <w:i w:val="1"/>
                <w:color w:val="000080"/>
                <w:sz w:val="28"/>
              </w:rPr>
            </w:pPr>
            <w:r>
              <w:rPr>
                <w:rFonts w:ascii="Times New Roman" w:hAnsi="Times New Roman"/>
                <w:i w:val="1"/>
                <w:color w:val="000080"/>
                <w:sz w:val="28"/>
              </w:rPr>
              <w:t> </w:t>
            </w:r>
          </w:p>
        </w:tc>
        <w:tc>
          <w:tcPr>
            <w:tcW w:type="dxa" w:w="2047"/>
            <w:tcBorders>
              <w:top w:sz="4" w:val="nil"/>
              <w:left w:sz="4" w:val="nil"/>
              <w:bottom w:color="000000" w:sz="4" w:val="single"/>
              <w:right w:sz="4" w:val="nil"/>
            </w:tcBorders>
            <w:vAlign w:val="bottom"/>
          </w:tcPr>
          <w:p w14:paraId="1E000000">
            <w:pPr>
              <w:widowControl w:val="0"/>
              <w:spacing w:after="0" w:line="240" w:lineRule="auto"/>
              <w:ind/>
              <w:jc w:val="center"/>
              <w:rPr>
                <w:rFonts w:ascii="Times New Roman" w:hAnsi="Times New Roman"/>
                <w:color w:val="000080"/>
                <w:sz w:val="28"/>
              </w:rPr>
            </w:pPr>
            <w:r>
              <w:rPr>
                <w:rFonts w:ascii="Times New Roman" w:hAnsi="Times New Roman"/>
                <w:color w:val="000080"/>
                <w:sz w:val="28"/>
              </w:rPr>
              <w:t> </w:t>
            </w:r>
          </w:p>
        </w:tc>
        <w:tc>
          <w:tcPr>
            <w:tcW w:type="dxa" w:w="1915"/>
          </w:tcPr>
          <w:p/>
        </w:tc>
        <w:tc>
          <w:tcPr>
            <w:tcW w:type="dxa" w:w="1915"/>
          </w:tcPr>
          <w:p/>
        </w:tc>
      </w:tr>
      <w:tr>
        <w:trPr>
          <w:trHeight w:hRule="atLeast" w:val="340"/>
        </w:trPr>
        <w:tc>
          <w:tcPr>
            <w:tcW w:type="dxa" w:w="3350"/>
            <w:vAlign w:val="center"/>
          </w:tcPr>
          <w:p w14:paraId="1F000000">
            <w:pPr>
              <w:widowControl w:val="0"/>
              <w:spacing w:after="0" w:line="240" w:lineRule="auto"/>
              <w:ind/>
              <w:jc w:val="center"/>
              <w:rPr>
                <w:rFonts w:ascii="Times New Roman" w:hAnsi="Times New Roman"/>
                <w:b w:val="1"/>
              </w:rPr>
            </w:pPr>
          </w:p>
        </w:tc>
        <w:tc>
          <w:tcPr>
            <w:tcW w:type="dxa" w:w="4365"/>
            <w:tcBorders>
              <w:top w:color="000000" w:sz="4" w:val="single"/>
              <w:left w:sz="4" w:val="nil"/>
              <w:bottom w:sz="4" w:val="nil"/>
              <w:right w:sz="4" w:val="nil"/>
            </w:tcBorders>
            <w:vAlign w:val="center"/>
          </w:tcPr>
          <w:p w14:paraId="20000000">
            <w:pPr>
              <w:widowControl w:val="0"/>
              <w:spacing w:after="0" w:line="240" w:lineRule="auto"/>
              <w:ind/>
              <w:jc w:val="center"/>
              <w:rPr>
                <w:rFonts w:ascii="Times New Roman" w:hAnsi="Times New Roman"/>
                <w:sz w:val="16"/>
              </w:rPr>
            </w:pPr>
            <w:r>
              <w:rPr>
                <w:rFonts w:ascii="Times New Roman" w:hAnsi="Times New Roman"/>
                <w:sz w:val="16"/>
              </w:rPr>
              <w:t>(Фамилия, Имя</w:t>
            </w:r>
            <w:r>
              <w:rPr>
                <w:rFonts w:ascii="Times New Roman" w:hAnsi="Times New Roman"/>
                <w:sz w:val="16"/>
              </w:rPr>
              <w:t>,</w:t>
            </w:r>
            <w:r>
              <w:rPr>
                <w:rFonts w:ascii="Times New Roman" w:hAnsi="Times New Roman"/>
                <w:sz w:val="16"/>
              </w:rPr>
              <w:t xml:space="preserve"> Отчество)</w:t>
            </w:r>
          </w:p>
        </w:tc>
        <w:tc>
          <w:tcPr>
            <w:tcW w:type="dxa" w:w="566"/>
            <w:vAlign w:val="center"/>
          </w:tcPr>
          <w:p w14:paraId="21000000">
            <w:pPr>
              <w:widowControl w:val="0"/>
              <w:spacing w:after="0" w:line="240" w:lineRule="auto"/>
              <w:ind/>
              <w:jc w:val="center"/>
              <w:rPr>
                <w:rFonts w:ascii="Times New Roman" w:hAnsi="Times New Roman"/>
                <w:sz w:val="16"/>
              </w:rPr>
            </w:pPr>
          </w:p>
        </w:tc>
        <w:tc>
          <w:tcPr>
            <w:tcW w:type="dxa" w:w="2047"/>
            <w:tcBorders>
              <w:top w:color="000000" w:sz="4" w:val="single"/>
              <w:left w:sz="4" w:val="nil"/>
              <w:bottom w:sz="4" w:val="nil"/>
              <w:right w:sz="4" w:val="nil"/>
            </w:tcBorders>
            <w:vAlign w:val="center"/>
          </w:tcPr>
          <w:p w14:paraId="22000000">
            <w:pPr>
              <w:widowControl w:val="0"/>
              <w:spacing w:after="0" w:line="240" w:lineRule="auto"/>
              <w:ind/>
              <w:jc w:val="center"/>
              <w:rPr>
                <w:rFonts w:ascii="Times New Roman" w:hAnsi="Times New Roman"/>
                <w:sz w:val="16"/>
              </w:rPr>
            </w:pPr>
            <w:r>
              <w:rPr>
                <w:rFonts w:ascii="Times New Roman" w:hAnsi="Times New Roman"/>
                <w:sz w:val="16"/>
              </w:rPr>
              <w:t>(подпись)</w:t>
            </w:r>
          </w:p>
        </w:tc>
        <w:tc>
          <w:tcPr>
            <w:tcW w:type="dxa" w:w="1915"/>
          </w:tcPr>
          <w:p/>
        </w:tc>
        <w:tc>
          <w:tcPr>
            <w:tcW w:type="dxa" w:w="1915"/>
          </w:tcPr>
          <w:p/>
        </w:tc>
      </w:tr>
      <w:tr>
        <w:trPr>
          <w:trHeight w:hRule="atLeast" w:val="567"/>
        </w:trPr>
        <w:tc>
          <w:tcPr>
            <w:tcW w:type="dxa" w:w="3350"/>
            <w:vAlign w:val="bottom"/>
          </w:tcPr>
          <w:p w14:paraId="23000000">
            <w:pPr>
              <w:widowControl w:val="0"/>
              <w:spacing w:after="0" w:line="240" w:lineRule="auto"/>
              <w:ind/>
              <w:rPr>
                <w:rFonts w:ascii="Times New Roman" w:hAnsi="Times New Roman"/>
                <w:b w:val="1"/>
                <w:sz w:val="28"/>
              </w:rPr>
            </w:pPr>
            <w:r>
              <w:rPr>
                <w:rFonts w:ascii="Times New Roman" w:hAnsi="Times New Roman"/>
                <w:b w:val="1"/>
                <w:sz w:val="28"/>
              </w:rPr>
              <w:t xml:space="preserve">Руководитель </w:t>
            </w:r>
          </w:p>
        </w:tc>
        <w:tc>
          <w:tcPr>
            <w:tcW w:type="dxa" w:w="4365"/>
            <w:tcBorders>
              <w:top w:sz="4" w:val="nil"/>
              <w:left w:sz="4" w:val="nil"/>
              <w:bottom w:color="000000" w:sz="4" w:val="single"/>
              <w:right w:sz="4" w:val="nil"/>
            </w:tcBorders>
            <w:vAlign w:val="bottom"/>
          </w:tcPr>
          <w:p/>
        </w:tc>
        <w:tc>
          <w:tcPr>
            <w:tcW w:type="dxa" w:w="566"/>
            <w:vAlign w:val="bottom"/>
          </w:tcPr>
          <w:p w14:paraId="24000000">
            <w:pPr>
              <w:widowControl w:val="0"/>
              <w:spacing w:after="0" w:line="240" w:lineRule="auto"/>
              <w:ind w:firstLine="160" w:left="0"/>
              <w:rPr>
                <w:rFonts w:ascii="Times New Roman" w:hAnsi="Times New Roman"/>
                <w:i w:val="1"/>
                <w:color w:val="000080"/>
                <w:sz w:val="16"/>
              </w:rPr>
            </w:pPr>
          </w:p>
        </w:tc>
        <w:tc>
          <w:tcPr>
            <w:tcW w:type="dxa" w:w="2047"/>
            <w:tcBorders>
              <w:top w:sz="4" w:val="nil"/>
              <w:left w:sz="4" w:val="nil"/>
              <w:bottom w:color="000000" w:sz="4" w:val="single"/>
              <w:right w:sz="4" w:val="nil"/>
            </w:tcBorders>
            <w:vAlign w:val="bottom"/>
          </w:tcPr>
          <w:p w14:paraId="25000000">
            <w:pPr>
              <w:widowControl w:val="0"/>
              <w:spacing w:after="0" w:line="240" w:lineRule="auto"/>
              <w:ind/>
              <w:jc w:val="center"/>
              <w:rPr>
                <w:rFonts w:ascii="Times New Roman" w:hAnsi="Times New Roman"/>
                <w:color w:val="000080"/>
                <w:sz w:val="16"/>
              </w:rPr>
            </w:pPr>
            <w:r>
              <w:rPr>
                <w:rFonts w:ascii="Times New Roman" w:hAnsi="Times New Roman"/>
                <w:color w:val="000080"/>
                <w:sz w:val="16"/>
              </w:rPr>
              <w:t> </w:t>
            </w:r>
          </w:p>
        </w:tc>
        <w:tc>
          <w:tcPr>
            <w:tcW w:type="dxa" w:w="1915"/>
          </w:tcPr>
          <w:p/>
        </w:tc>
        <w:tc>
          <w:tcPr>
            <w:tcW w:type="dxa" w:w="1915"/>
          </w:tcPr>
          <w:p/>
        </w:tc>
      </w:tr>
      <w:tr>
        <w:trPr>
          <w:trHeight w:hRule="atLeast" w:val="340"/>
        </w:trPr>
        <w:tc>
          <w:tcPr>
            <w:tcW w:type="dxa" w:w="3350"/>
            <w:vAlign w:val="center"/>
          </w:tcPr>
          <w:p w14:paraId="26000000">
            <w:pPr>
              <w:widowControl w:val="0"/>
              <w:spacing w:after="0" w:line="240" w:lineRule="auto"/>
              <w:ind/>
              <w:jc w:val="center"/>
              <w:rPr>
                <w:rFonts w:ascii="Times New Roman" w:hAnsi="Times New Roman"/>
              </w:rPr>
            </w:pPr>
          </w:p>
        </w:tc>
        <w:tc>
          <w:tcPr>
            <w:tcW w:type="dxa" w:w="4365"/>
            <w:tcBorders>
              <w:top w:color="000000" w:sz="4" w:val="single"/>
              <w:left w:sz="4" w:val="nil"/>
              <w:bottom w:sz="4" w:val="nil"/>
              <w:right w:sz="4" w:val="nil"/>
            </w:tcBorders>
            <w:vAlign w:val="center"/>
          </w:tcPr>
          <w:p w14:paraId="27000000">
            <w:pPr>
              <w:widowControl w:val="0"/>
              <w:spacing w:after="0" w:line="240" w:lineRule="auto"/>
              <w:ind/>
              <w:jc w:val="center"/>
              <w:rPr>
                <w:rFonts w:ascii="Times New Roman" w:hAnsi="Times New Roman"/>
                <w:sz w:val="16"/>
              </w:rPr>
            </w:pPr>
            <w:r>
              <w:rPr>
                <w:rFonts w:ascii="Times New Roman" w:hAnsi="Times New Roman"/>
                <w:sz w:val="16"/>
              </w:rPr>
              <w:t>(Фамилия, Имя</w:t>
            </w:r>
            <w:r>
              <w:rPr>
                <w:rFonts w:ascii="Times New Roman" w:hAnsi="Times New Roman"/>
                <w:sz w:val="16"/>
              </w:rPr>
              <w:t>,</w:t>
            </w:r>
            <w:r>
              <w:rPr>
                <w:rFonts w:ascii="Times New Roman" w:hAnsi="Times New Roman"/>
                <w:sz w:val="16"/>
              </w:rPr>
              <w:t xml:space="preserve"> Отчество)</w:t>
            </w:r>
          </w:p>
        </w:tc>
        <w:tc>
          <w:tcPr>
            <w:tcW w:type="dxa" w:w="566"/>
            <w:vAlign w:val="center"/>
          </w:tcPr>
          <w:p w14:paraId="28000000">
            <w:pPr>
              <w:widowControl w:val="0"/>
              <w:spacing w:after="0" w:line="240" w:lineRule="auto"/>
              <w:ind/>
              <w:jc w:val="center"/>
              <w:rPr>
                <w:rFonts w:ascii="Times New Roman" w:hAnsi="Times New Roman"/>
                <w:sz w:val="16"/>
              </w:rPr>
            </w:pPr>
          </w:p>
        </w:tc>
        <w:tc>
          <w:tcPr>
            <w:tcW w:type="dxa" w:w="2047"/>
            <w:tcBorders>
              <w:top w:color="000000" w:sz="4" w:val="single"/>
              <w:left w:sz="4" w:val="nil"/>
              <w:bottom w:sz="4" w:val="nil"/>
              <w:right w:sz="4" w:val="nil"/>
            </w:tcBorders>
            <w:vAlign w:val="center"/>
          </w:tcPr>
          <w:p w14:paraId="29000000">
            <w:pPr>
              <w:widowControl w:val="0"/>
              <w:spacing w:after="0" w:line="240" w:lineRule="auto"/>
              <w:ind/>
              <w:jc w:val="center"/>
              <w:rPr>
                <w:rFonts w:ascii="Times New Roman" w:hAnsi="Times New Roman"/>
                <w:sz w:val="16"/>
              </w:rPr>
            </w:pPr>
            <w:r>
              <w:rPr>
                <w:rFonts w:ascii="Times New Roman" w:hAnsi="Times New Roman"/>
                <w:sz w:val="16"/>
              </w:rPr>
              <w:t>(подпись)</w:t>
            </w:r>
          </w:p>
        </w:tc>
        <w:tc>
          <w:tcPr>
            <w:tcW w:type="dxa" w:w="1915"/>
            <w:vAlign w:val="center"/>
          </w:tcPr>
          <w:p w14:paraId="2A000000">
            <w:pPr>
              <w:spacing w:after="0" w:line="240" w:lineRule="auto"/>
              <w:ind/>
              <w:rPr>
                <w:rFonts w:ascii="Calibri" w:hAnsi="Calibri"/>
              </w:rPr>
            </w:pPr>
          </w:p>
        </w:tc>
        <w:tc>
          <w:tcPr>
            <w:tcW w:type="dxa" w:w="1915"/>
            <w:vAlign w:val="center"/>
          </w:tcPr>
          <w:p w14:paraId="2B000000">
            <w:pPr>
              <w:spacing w:after="0" w:line="240" w:lineRule="auto"/>
              <w:ind/>
            </w:pPr>
            <w:r>
              <w:rPr>
                <w:rFonts w:ascii="Times New Roman" w:hAnsi="Times New Roman"/>
                <w:sz w:val="16"/>
              </w:rPr>
              <w:t>(подпись)</w:t>
            </w:r>
          </w:p>
        </w:tc>
      </w:tr>
    </w:tbl>
    <w:p w14:paraId="2C000000">
      <w:pPr>
        <w:ind/>
        <w:jc w:val="center"/>
        <w:rPr>
          <w:rFonts w:ascii="Times New Roman" w:hAnsi="Times New Roman"/>
          <w:b w:val="1"/>
          <w:sz w:val="24"/>
        </w:rPr>
      </w:pPr>
    </w:p>
    <w:p w14:paraId="2D000000">
      <w:pPr>
        <w:ind/>
        <w:jc w:val="center"/>
        <w:rPr>
          <w:rFonts w:ascii="Times New Roman" w:hAnsi="Times New Roman"/>
          <w:b w:val="1"/>
          <w:sz w:val="24"/>
        </w:rPr>
      </w:pPr>
    </w:p>
    <w:p w14:paraId="2E000000">
      <w:pPr>
        <w:ind/>
        <w:jc w:val="center"/>
        <w:rPr>
          <w:rFonts w:ascii="Times New Roman" w:hAnsi="Times New Roman"/>
          <w:b w:val="1"/>
          <w:sz w:val="24"/>
        </w:rPr>
      </w:pPr>
    </w:p>
    <w:p w14:paraId="2F000000">
      <w:pPr>
        <w:ind/>
        <w:jc w:val="center"/>
        <w:rPr>
          <w:rFonts w:ascii="Times New Roman" w:hAnsi="Times New Roman"/>
          <w:b w:val="1"/>
          <w:sz w:val="24"/>
        </w:rPr>
      </w:pPr>
    </w:p>
    <w:p w14:paraId="30000000">
      <w:pPr>
        <w:ind/>
        <w:jc w:val="center"/>
        <w:rPr>
          <w:rFonts w:ascii="Times New Roman" w:hAnsi="Times New Roman"/>
          <w:b w:val="1"/>
          <w:sz w:val="24"/>
        </w:rPr>
      </w:pPr>
    </w:p>
    <w:p w14:paraId="31000000">
      <w:pPr>
        <w:ind/>
        <w:jc w:val="center"/>
        <w:rPr>
          <w:rFonts w:ascii="Times New Roman" w:hAnsi="Times New Roman"/>
          <w:b w:val="1"/>
          <w:sz w:val="24"/>
        </w:rPr>
      </w:pPr>
    </w:p>
    <w:p w14:paraId="32000000">
      <w:pPr>
        <w:ind/>
        <w:jc w:val="center"/>
        <w:rPr>
          <w:rFonts w:ascii="Times New Roman" w:hAnsi="Times New Roman"/>
          <w:b w:val="1"/>
          <w:sz w:val="24"/>
        </w:rPr>
      </w:pPr>
    </w:p>
    <w:p w14:paraId="33000000">
      <w:pPr>
        <w:ind/>
        <w:jc w:val="center"/>
        <w:rPr>
          <w:rFonts w:ascii="Calibri" w:hAnsi="Calibri"/>
        </w:rPr>
      </w:pPr>
      <w:r>
        <w:rPr>
          <w:rFonts w:ascii="Times New Roman" w:hAnsi="Times New Roman"/>
          <w:b w:val="1"/>
          <w:sz w:val="28"/>
        </w:rPr>
        <w:t>МОСКВА 2026 г.</w:t>
      </w:r>
    </w:p>
    <w:p w14:paraId="34000000">
      <w:pPr>
        <w:spacing w:line="360" w:lineRule="auto"/>
        <w:ind/>
        <w:rPr>
          <w:color w:themeColor="text1" w:val="000000"/>
          <w:sz w:val="32"/>
        </w:rPr>
      </w:pPr>
    </w:p>
    <w:p w14:paraId="35000000">
      <w:pPr>
        <w:rPr>
          <w:rFonts w:ascii="Times New Roman" w:hAnsi="Times New Roman"/>
          <w:b w:val="1"/>
          <w:color w:themeColor="text1" w:val="000000"/>
          <w:sz w:val="32"/>
        </w:rPr>
      </w:pPr>
      <w:r>
        <w:rPr>
          <w:rFonts w:ascii="Times New Roman" w:hAnsi="Times New Roman"/>
          <w:b w:val="1"/>
          <w:color w:themeColor="text1" w:val="000000"/>
        </w:rPr>
        <w:br w:type="page"/>
      </w:r>
    </w:p>
    <w:p w14:paraId="36000000">
      <w:pPr>
        <w:widowControl w:val="0"/>
        <w:spacing w:after="0" w:line="240" w:lineRule="auto"/>
        <w:ind w:firstLine="0" w:left="165"/>
        <w:rPr>
          <w:rFonts w:ascii="Times New Roman" w:hAnsi="Times New Roman"/>
          <w:sz w:val="20"/>
        </w:rPr>
      </w:pPr>
      <w:r>
        <w:rPr>
          <w:rFonts w:ascii="Times New Roman" w:hAnsi="Times New Roman"/>
          <w:sz w:val="20"/>
        </w:rPr>
        <w:drawing>
          <wp:inline>
            <wp:extent cx="1242060" cy="236220"/>
            <wp:effectExtent b="0" l="0" r="0" t="0"/>
            <wp:docPr hidden="false" id="3" name="Picture 3"/>
            <a:graphic>
              <a:graphicData uri="http://schemas.openxmlformats.org/drawingml/2006/picture">
                <pic:pic>
                  <pic:nvPicPr>
                    <pic:cNvPr hidden="false" id="2" name="Picture 2"/>
                    <pic:cNvPicPr preferRelativeResize="true"/>
                  </pic:nvPicPr>
                  <pic:blipFill>
                    <a:blip r:embed="rId2"/>
                    <a:srcRect b="0" l="0" r="0" t="0"/>
                    <a:stretch/>
                  </pic:blipFill>
                  <pic:spPr>
                    <a:xfrm flipH="false" flipV="false" rot="0">
                      <a:ext cx="1242060" cy="236220"/>
                    </a:xfrm>
                    <a:prstGeom prst="rect"/>
                  </pic:spPr>
                </pic:pic>
              </a:graphicData>
            </a:graphic>
          </wp:inline>
        </w:drawing>
      </w:r>
    </w:p>
    <w:p w14:paraId="37000000">
      <w:pPr>
        <w:widowControl w:val="0"/>
        <w:spacing w:after="0" w:before="34" w:line="240" w:lineRule="auto"/>
        <w:ind/>
        <w:rPr>
          <w:rFonts w:ascii="Times New Roman" w:hAnsi="Times New Roman"/>
          <w:sz w:val="20"/>
        </w:rPr>
      </w:pPr>
    </w:p>
    <w:tbl>
      <w:tblPr>
        <w:tblStyle w:val="Style_4"/>
        <w:tblInd w:type="dxa" w:w="192"/>
        <w:tblLayout w:type="fixed"/>
      </w:tblPr>
      <w:tblGrid>
        <w:gridCol w:w="1138"/>
        <w:gridCol w:w="4746"/>
        <w:gridCol w:w="3573"/>
      </w:tblGrid>
      <w:tr>
        <w:trPr>
          <w:trHeight w:hRule="atLeast" w:val="1739"/>
        </w:trPr>
        <w:tc>
          <w:tcPr>
            <w:tcW w:type="dxa" w:w="5884"/>
            <w:gridSpan w:val="2"/>
          </w:tcPr>
          <w:p w14:paraId="38000000">
            <w:pPr>
              <w:spacing w:before="101"/>
              <w:ind/>
              <w:rPr>
                <w:rFonts w:ascii="Times New Roman" w:hAnsi="Times New Roman"/>
              </w:rPr>
            </w:pPr>
          </w:p>
          <w:p w14:paraId="39000000">
            <w:pPr>
              <w:ind w:firstLine="0" w:left="389" w:right="789"/>
              <w:jc w:val="center"/>
              <w:rPr>
                <w:rFonts w:ascii="Times New Roman" w:hAnsi="Times New Roman"/>
              </w:rPr>
            </w:pPr>
            <w:r>
              <w:rPr>
                <w:rFonts w:ascii="Times New Roman" w:hAnsi="Times New Roman"/>
              </w:rPr>
              <w:t>Автономная</w:t>
            </w:r>
            <w:r>
              <w:rPr>
                <w:rFonts w:ascii="Times New Roman" w:hAnsi="Times New Roman"/>
                <w:spacing w:val="-14"/>
              </w:rPr>
              <w:t xml:space="preserve"> </w:t>
            </w:r>
            <w:r>
              <w:rPr>
                <w:rFonts w:ascii="Times New Roman" w:hAnsi="Times New Roman"/>
              </w:rPr>
              <w:t>некоммерческая</w:t>
            </w:r>
            <w:r>
              <w:rPr>
                <w:rFonts w:ascii="Times New Roman" w:hAnsi="Times New Roman"/>
                <w:spacing w:val="-14"/>
              </w:rPr>
              <w:t xml:space="preserve"> </w:t>
            </w:r>
            <w:r>
              <w:rPr>
                <w:rFonts w:ascii="Times New Roman" w:hAnsi="Times New Roman"/>
              </w:rPr>
              <w:t>организация высшего образования</w:t>
            </w:r>
          </w:p>
          <w:p w14:paraId="3A000000">
            <w:pPr>
              <w:ind w:firstLine="0" w:left="391" w:right="789"/>
              <w:jc w:val="center"/>
              <w:rPr>
                <w:rFonts w:ascii="Times New Roman" w:hAnsi="Times New Roman"/>
              </w:rPr>
            </w:pPr>
            <w:r>
              <w:rPr>
                <w:rFonts w:ascii="Times New Roman" w:hAnsi="Times New Roman"/>
              </w:rPr>
              <w:t>«Московский</w:t>
            </w:r>
            <w:r>
              <w:rPr>
                <w:rFonts w:ascii="Times New Roman" w:hAnsi="Times New Roman"/>
                <w:spacing w:val="-11"/>
              </w:rPr>
              <w:t xml:space="preserve"> </w:t>
            </w:r>
            <w:r>
              <w:rPr>
                <w:rFonts w:ascii="Times New Roman" w:hAnsi="Times New Roman"/>
              </w:rPr>
              <w:t>университет</w:t>
            </w:r>
            <w:r>
              <w:rPr>
                <w:rFonts w:ascii="Times New Roman" w:hAnsi="Times New Roman"/>
                <w:spacing w:val="-7"/>
              </w:rPr>
              <w:t xml:space="preserve"> </w:t>
            </w:r>
            <w:r>
              <w:rPr>
                <w:rFonts w:ascii="Times New Roman" w:hAnsi="Times New Roman"/>
                <w:spacing w:val="-2"/>
              </w:rPr>
              <w:t>«Синергия»</w:t>
            </w:r>
          </w:p>
        </w:tc>
        <w:tc>
          <w:tcPr>
            <w:tcW w:type="dxa" w:w="3573"/>
          </w:tcPr>
          <w:p w14:paraId="3B000000">
            <w:pPr>
              <w:spacing w:line="243" w:lineRule="exact"/>
              <w:ind w:firstLine="0" w:left="200"/>
              <w:jc w:val="center"/>
              <w:rPr>
                <w:rFonts w:ascii="Times New Roman" w:hAnsi="Times New Roman"/>
                <w:b w:val="1"/>
              </w:rPr>
            </w:pPr>
            <w:r>
              <w:rPr>
                <w:rFonts w:ascii="Times New Roman" w:hAnsi="Times New Roman"/>
                <w:b w:val="1"/>
                <w:spacing w:val="-2"/>
              </w:rPr>
              <w:t>УТВЕРЖДАЮ</w:t>
            </w:r>
          </w:p>
          <w:p w14:paraId="3C000000">
            <w:pPr>
              <w:ind w:firstLine="0" w:left="206"/>
              <w:jc w:val="center"/>
              <w:rPr>
                <w:rFonts w:ascii="Times New Roman" w:hAnsi="Times New Roman"/>
              </w:rPr>
            </w:pPr>
            <w:r>
              <w:rPr>
                <w:rFonts w:ascii="Times New Roman" w:hAnsi="Times New Roman"/>
              </w:rPr>
              <w:t>Руководитель</w:t>
            </w:r>
            <w:r>
              <w:rPr>
                <w:rFonts w:ascii="Times New Roman" w:hAnsi="Times New Roman"/>
                <w:spacing w:val="-12"/>
              </w:rPr>
              <w:t xml:space="preserve"> </w:t>
            </w:r>
            <w:r>
              <w:rPr>
                <w:rFonts w:ascii="Times New Roman" w:hAnsi="Times New Roman"/>
              </w:rPr>
              <w:t>ВКР</w:t>
            </w:r>
            <w:r>
              <w:rPr>
                <w:rFonts w:ascii="Times New Roman" w:hAnsi="Times New Roman"/>
                <w:spacing w:val="-11"/>
              </w:rPr>
              <w:t xml:space="preserve"> </w:t>
            </w:r>
            <w:r>
              <w:rPr>
                <w:rFonts w:ascii="Times New Roman" w:hAnsi="Times New Roman"/>
              </w:rPr>
              <w:t>-</w:t>
            </w:r>
            <w:r>
              <w:rPr>
                <w:rFonts w:ascii="Times New Roman" w:hAnsi="Times New Roman"/>
                <w:spacing w:val="-12"/>
              </w:rPr>
              <w:t xml:space="preserve"> </w:t>
            </w:r>
            <w:r>
              <w:rPr>
                <w:rFonts w:ascii="Times New Roman" w:hAnsi="Times New Roman"/>
              </w:rPr>
              <w:t xml:space="preserve">магистерской </w:t>
            </w:r>
            <w:r>
              <w:rPr>
                <w:rFonts w:ascii="Times New Roman" w:hAnsi="Times New Roman"/>
                <w:spacing w:val="-2"/>
              </w:rPr>
              <w:t>диссертации</w:t>
            </w:r>
          </w:p>
          <w:p w14:paraId="3D000000">
            <w:pPr>
              <w:spacing w:line="251" w:lineRule="exact"/>
              <w:ind w:firstLine="0" w:left="204"/>
              <w:jc w:val="center"/>
              <w:rPr>
                <w:rFonts w:ascii="Times New Roman" w:hAnsi="Times New Roman"/>
              </w:rPr>
            </w:pPr>
            <w:r>
              <w:rPr>
                <w:rFonts w:ascii="Times New Roman" w:hAnsi="Times New Roman"/>
              </w:rPr>
              <w:t>Университета</w:t>
            </w:r>
            <w:r>
              <w:rPr>
                <w:rFonts w:ascii="Times New Roman" w:hAnsi="Times New Roman"/>
                <w:spacing w:val="-7"/>
              </w:rPr>
              <w:t xml:space="preserve"> </w:t>
            </w:r>
            <w:r>
              <w:rPr>
                <w:rFonts w:ascii="Times New Roman" w:hAnsi="Times New Roman"/>
                <w:spacing w:val="-2"/>
              </w:rPr>
              <w:t>«Синергия»</w:t>
            </w:r>
          </w:p>
          <w:p w14:paraId="3E000000">
            <w:pPr>
              <w:tabs>
                <w:tab w:leader="none" w:pos="1577" w:val="left"/>
              </w:tabs>
              <w:spacing w:before="252"/>
              <w:ind w:firstLine="0" w:left="205"/>
              <w:jc w:val="center"/>
              <w:rPr>
                <w:rFonts w:ascii="Times New Roman" w:hAnsi="Times New Roman"/>
              </w:rPr>
            </w:pPr>
            <w:r>
              <w:rPr>
                <w:rFonts w:ascii="Times New Roman" w:hAnsi="Times New Roman"/>
                <w:u w:val="single"/>
              </w:rPr>
              <w:tab/>
            </w:r>
            <w:r>
              <w:rPr>
                <w:rFonts w:ascii="Times New Roman" w:hAnsi="Times New Roman"/>
                <w:spacing w:val="40"/>
              </w:rPr>
              <w:t xml:space="preserve"> </w:t>
            </w:r>
          </w:p>
          <w:p w14:paraId="3F000000">
            <w:pPr>
              <w:tabs>
                <w:tab w:leader="none" w:pos="1829" w:val="left"/>
              </w:tabs>
              <w:spacing w:before="1" w:line="213" w:lineRule="exact"/>
              <w:ind w:firstLine="0" w:left="196"/>
              <w:jc w:val="center"/>
              <w:rPr>
                <w:rFonts w:ascii="Times New Roman" w:hAnsi="Times New Roman"/>
                <w:sz w:val="20"/>
              </w:rPr>
            </w:pPr>
            <w:r>
              <w:rPr>
                <w:rFonts w:ascii="Times New Roman" w:hAnsi="Times New Roman"/>
                <w:spacing w:val="-2"/>
                <w:sz w:val="20"/>
              </w:rPr>
              <w:t>(подпись)</w:t>
            </w:r>
            <w:r>
              <w:rPr>
                <w:rFonts w:ascii="Times New Roman" w:hAnsi="Times New Roman"/>
                <w:sz w:val="20"/>
              </w:rPr>
              <w:tab/>
            </w:r>
            <w:r>
              <w:rPr>
                <w:rFonts w:ascii="Times New Roman" w:hAnsi="Times New Roman"/>
                <w:sz w:val="20"/>
              </w:rPr>
              <w:t>(</w:t>
            </w:r>
            <w:r>
              <w:rPr>
                <w:rFonts w:ascii="Times New Roman" w:hAnsi="Times New Roman"/>
                <w:sz w:val="20"/>
              </w:rPr>
              <w:t>И.О</w:t>
            </w:r>
            <w:r>
              <w:rPr>
                <w:rFonts w:ascii="Times New Roman" w:hAnsi="Times New Roman"/>
                <w:sz w:val="20"/>
              </w:rPr>
              <w:t>.</w:t>
            </w:r>
            <w:r>
              <w:rPr>
                <w:rFonts w:ascii="Times New Roman" w:hAnsi="Times New Roman"/>
                <w:spacing w:val="-5"/>
                <w:sz w:val="20"/>
              </w:rPr>
              <w:t xml:space="preserve"> </w:t>
            </w:r>
            <w:r>
              <w:rPr>
                <w:rFonts w:ascii="Times New Roman" w:hAnsi="Times New Roman"/>
                <w:spacing w:val="-2"/>
                <w:sz w:val="20"/>
              </w:rPr>
              <w:t>Фамилия)</w:t>
            </w:r>
          </w:p>
        </w:tc>
      </w:tr>
      <w:tr>
        <w:trPr>
          <w:trHeight w:hRule="atLeast" w:val="266"/>
        </w:trPr>
        <w:tc>
          <w:tcPr>
            <w:tcW w:type="dxa" w:w="1138"/>
          </w:tcPr>
          <w:p w14:paraId="40000000">
            <w:pPr>
              <w:spacing w:line="246" w:lineRule="exact"/>
              <w:ind w:firstLine="0" w:left="2" w:right="47"/>
              <w:jc w:val="center"/>
              <w:rPr>
                <w:rFonts w:ascii="Times New Roman" w:hAnsi="Times New Roman"/>
              </w:rPr>
            </w:pPr>
            <w:r>
              <w:rPr>
                <w:rFonts w:ascii="Times New Roman" w:hAnsi="Times New Roman"/>
                <w:spacing w:val="-2"/>
              </w:rPr>
              <w:t>Факультет</w:t>
            </w:r>
          </w:p>
        </w:tc>
        <w:tc>
          <w:tcPr>
            <w:tcW w:type="dxa" w:w="4746"/>
          </w:tcPr>
          <w:p w14:paraId="41000000">
            <w:pPr>
              <w:tabs>
                <w:tab w:leader="none" w:pos="1476" w:val="left"/>
                <w:tab w:leader="none" w:pos="4395" w:val="left"/>
              </w:tabs>
              <w:spacing w:line="246" w:lineRule="exact"/>
              <w:ind w:right="153"/>
              <w:jc w:val="center"/>
              <w:rPr>
                <w:rFonts w:ascii="Times New Roman" w:hAnsi="Times New Roman"/>
                <w:b w:val="1"/>
              </w:rPr>
            </w:pPr>
            <w:r>
              <w:rPr>
                <w:rFonts w:ascii="Times New Roman" w:hAnsi="Times New Roman"/>
                <w:u w:val="single"/>
              </w:rPr>
              <w:tab/>
            </w:r>
            <w:r>
              <w:rPr>
                <w:rFonts w:ascii="Times New Roman" w:hAnsi="Times New Roman"/>
                <w:b w:val="1"/>
                <w:spacing w:val="-2"/>
                <w:u w:val="single"/>
              </w:rPr>
              <w:t>Юридический</w:t>
            </w:r>
            <w:r>
              <w:rPr>
                <w:rFonts w:ascii="Times New Roman" w:hAnsi="Times New Roman"/>
                <w:b w:val="1"/>
                <w:u w:val="single"/>
              </w:rPr>
              <w:tab/>
            </w:r>
          </w:p>
        </w:tc>
        <w:tc>
          <w:tcPr>
            <w:tcW w:type="dxa" w:w="3573"/>
          </w:tcPr>
          <w:p w14:paraId="42000000">
            <w:pPr>
              <w:rPr>
                <w:rFonts w:ascii="Times New Roman" w:hAnsi="Times New Roman"/>
                <w:sz w:val="18"/>
              </w:rPr>
            </w:pPr>
          </w:p>
        </w:tc>
      </w:tr>
      <w:tr>
        <w:trPr>
          <w:trHeight w:hRule="atLeast" w:val="245"/>
        </w:trPr>
        <w:tc>
          <w:tcPr>
            <w:tcW w:type="dxa" w:w="1138"/>
          </w:tcPr>
          <w:p w14:paraId="43000000">
            <w:pPr>
              <w:spacing w:line="226" w:lineRule="exact"/>
              <w:ind w:right="47"/>
              <w:jc w:val="center"/>
              <w:rPr>
                <w:rFonts w:ascii="Times New Roman" w:hAnsi="Times New Roman"/>
              </w:rPr>
            </w:pPr>
            <w:r>
              <w:rPr>
                <w:rFonts w:ascii="Times New Roman" w:hAnsi="Times New Roman"/>
                <w:spacing w:val="-2"/>
              </w:rPr>
              <w:t>Кафедра</w:t>
            </w:r>
          </w:p>
        </w:tc>
        <w:tc>
          <w:tcPr>
            <w:tcW w:type="dxa" w:w="4746"/>
          </w:tcPr>
          <w:p w14:paraId="44000000">
            <w:pPr>
              <w:tabs>
                <w:tab w:leader="none" w:pos="1810" w:val="left"/>
                <w:tab w:leader="none" w:pos="4409" w:val="left"/>
              </w:tabs>
              <w:spacing w:line="226" w:lineRule="exact"/>
              <w:ind w:right="167"/>
              <w:jc w:val="center"/>
              <w:rPr>
                <w:rFonts w:ascii="Times New Roman" w:hAnsi="Times New Roman"/>
              </w:rPr>
            </w:pPr>
            <w:r>
              <w:rPr>
                <w:rFonts w:ascii="Times New Roman" w:hAnsi="Times New Roman"/>
                <w:u w:val="single"/>
              </w:rPr>
              <w:tab/>
            </w:r>
            <w:r>
              <w:rPr>
                <w:rFonts w:ascii="Times New Roman" w:hAnsi="Times New Roman"/>
                <w:spacing w:val="-2"/>
                <w:u w:val="single"/>
              </w:rPr>
              <w:t>ПРБиГС</w:t>
            </w:r>
            <w:r>
              <w:rPr>
                <w:rFonts w:ascii="Times New Roman" w:hAnsi="Times New Roman"/>
                <w:u w:val="single"/>
              </w:rPr>
              <w:tab/>
            </w:r>
          </w:p>
        </w:tc>
        <w:tc>
          <w:tcPr>
            <w:tcW w:type="dxa" w:w="3573"/>
          </w:tcPr>
          <w:p w14:paraId="45000000">
            <w:pPr>
              <w:rPr>
                <w:rFonts w:ascii="Times New Roman" w:hAnsi="Times New Roman"/>
                <w:sz w:val="16"/>
              </w:rPr>
            </w:pPr>
          </w:p>
        </w:tc>
      </w:tr>
    </w:tbl>
    <w:p w14:paraId="46000000">
      <w:pPr>
        <w:widowControl w:val="0"/>
        <w:spacing w:after="0" w:before="17" w:line="240" w:lineRule="auto"/>
        <w:ind/>
        <w:rPr>
          <w:rFonts w:ascii="Times New Roman" w:hAnsi="Times New Roman"/>
          <w:sz w:val="24"/>
        </w:rPr>
      </w:pPr>
    </w:p>
    <w:p w14:paraId="47000000">
      <w:bookmarkStart w:id="1" w:name="__RefHeading___1"/>
      <w:bookmarkEnd w:id="1"/>
      <w:pPr>
        <w:widowControl w:val="0"/>
        <w:spacing w:after="0" w:line="240" w:lineRule="auto"/>
        <w:ind w:firstLine="0" w:left="5"/>
        <w:jc w:val="center"/>
        <w:outlineLvl w:val="0"/>
        <w:rPr>
          <w:rFonts w:ascii="Times New Roman" w:hAnsi="Times New Roman"/>
          <w:b w:val="1"/>
          <w:sz w:val="24"/>
        </w:rPr>
      </w:pPr>
      <w:r>
        <w:rPr>
          <w:rFonts w:ascii="Times New Roman" w:hAnsi="Times New Roman"/>
          <w:b w:val="1"/>
          <w:spacing w:val="-2"/>
          <w:sz w:val="24"/>
        </w:rPr>
        <w:t>КОНЦЕПЦИЯ</w:t>
      </w:r>
    </w:p>
    <w:p w14:paraId="48000000">
      <w:pPr>
        <w:widowControl w:val="0"/>
        <w:spacing w:after="0" w:before="137" w:line="240" w:lineRule="auto"/>
        <w:ind w:firstLine="0" w:left="5" w:right="2"/>
        <w:jc w:val="center"/>
        <w:rPr>
          <w:rFonts w:ascii="Times New Roman" w:hAnsi="Times New Roman"/>
          <w:b w:val="1"/>
          <w:color w:themeColor="text1" w:val="000000"/>
          <w:sz w:val="24"/>
        </w:rPr>
      </w:pPr>
      <w:r>
        <w:rPr>
          <w:rFonts w:ascii="Times New Roman" w:hAnsi="Times New Roman"/>
          <w:b w:val="1"/>
          <w:color w:themeColor="text1" w:val="000000"/>
          <w:sz w:val="24"/>
        </w:rPr>
        <w:t>выпускной</w:t>
      </w:r>
      <w:r>
        <w:rPr>
          <w:rFonts w:ascii="Times New Roman" w:hAnsi="Times New Roman"/>
          <w:b w:val="1"/>
          <w:color w:themeColor="text1" w:val="000000"/>
          <w:spacing w:val="-8"/>
          <w:sz w:val="24"/>
        </w:rPr>
        <w:t xml:space="preserve"> </w:t>
      </w:r>
      <w:r>
        <w:rPr>
          <w:rFonts w:ascii="Times New Roman" w:hAnsi="Times New Roman"/>
          <w:b w:val="1"/>
          <w:color w:themeColor="text1" w:val="000000"/>
          <w:sz w:val="24"/>
        </w:rPr>
        <w:t>квалификационной</w:t>
      </w:r>
      <w:r>
        <w:rPr>
          <w:rFonts w:ascii="Times New Roman" w:hAnsi="Times New Roman"/>
          <w:b w:val="1"/>
          <w:color w:themeColor="text1" w:val="000000"/>
          <w:spacing w:val="-5"/>
          <w:sz w:val="24"/>
        </w:rPr>
        <w:t xml:space="preserve"> </w:t>
      </w:r>
      <w:r>
        <w:rPr>
          <w:rFonts w:ascii="Times New Roman" w:hAnsi="Times New Roman"/>
          <w:b w:val="1"/>
          <w:color w:themeColor="text1" w:val="000000"/>
          <w:sz w:val="24"/>
        </w:rPr>
        <w:t>работы</w:t>
      </w:r>
      <w:r>
        <w:rPr>
          <w:rFonts w:ascii="Times New Roman" w:hAnsi="Times New Roman"/>
          <w:b w:val="1"/>
          <w:color w:themeColor="text1" w:val="000000"/>
          <w:spacing w:val="-1"/>
          <w:sz w:val="24"/>
        </w:rPr>
        <w:t xml:space="preserve"> </w:t>
      </w:r>
      <w:r>
        <w:rPr>
          <w:rFonts w:ascii="Times New Roman" w:hAnsi="Times New Roman"/>
          <w:b w:val="1"/>
          <w:color w:themeColor="text1" w:val="000000"/>
          <w:sz w:val="24"/>
        </w:rPr>
        <w:t>-</w:t>
      </w:r>
      <w:r>
        <w:rPr>
          <w:rFonts w:ascii="Times New Roman" w:hAnsi="Times New Roman"/>
          <w:b w:val="1"/>
          <w:color w:themeColor="text1" w:val="000000"/>
          <w:spacing w:val="-5"/>
          <w:sz w:val="24"/>
        </w:rPr>
        <w:t xml:space="preserve"> </w:t>
      </w:r>
      <w:r>
        <w:rPr>
          <w:rFonts w:ascii="Times New Roman" w:hAnsi="Times New Roman"/>
          <w:b w:val="1"/>
          <w:color w:themeColor="text1" w:val="000000"/>
          <w:sz w:val="24"/>
        </w:rPr>
        <w:t>магистерской</w:t>
      </w:r>
      <w:r>
        <w:rPr>
          <w:rFonts w:ascii="Times New Roman" w:hAnsi="Times New Roman"/>
          <w:b w:val="1"/>
          <w:color w:themeColor="text1" w:val="000000"/>
          <w:spacing w:val="-5"/>
          <w:sz w:val="24"/>
        </w:rPr>
        <w:t xml:space="preserve"> </w:t>
      </w:r>
      <w:r>
        <w:rPr>
          <w:rFonts w:ascii="Times New Roman" w:hAnsi="Times New Roman"/>
          <w:b w:val="1"/>
          <w:color w:themeColor="text1" w:val="000000"/>
          <w:spacing w:val="-2"/>
          <w:sz w:val="24"/>
        </w:rPr>
        <w:t>диссертации</w:t>
      </w:r>
    </w:p>
    <w:p w14:paraId="49000000">
      <w:pPr>
        <w:widowControl w:val="0"/>
        <w:spacing w:after="0" w:before="65" w:line="240" w:lineRule="auto"/>
        <w:ind/>
        <w:rPr>
          <w:rFonts w:ascii="Times New Roman" w:hAnsi="Times New Roman"/>
          <w:b w:val="1"/>
          <w:color w:themeColor="text1" w:val="000000"/>
          <w:sz w:val="24"/>
        </w:rPr>
      </w:pPr>
    </w:p>
    <w:p w14:paraId="4A000000">
      <w:pPr>
        <w:widowControl w:val="0"/>
        <w:spacing w:after="0" w:before="1" w:line="240" w:lineRule="auto"/>
        <w:ind w:firstLine="0" w:left="143"/>
        <w:jc w:val="both"/>
        <w:rPr>
          <w:rFonts w:ascii="Times New Roman" w:hAnsi="Times New Roman"/>
          <w:color w:themeColor="text1" w:val="000000"/>
          <w:sz w:val="24"/>
        </w:rPr>
      </w:pPr>
      <w:r>
        <w:rPr>
          <w:rFonts w:ascii="Times New Roman" w:hAnsi="Times New Roman"/>
          <w:b w:val="1"/>
          <w:color w:themeColor="text1" w:val="000000"/>
          <w:sz w:val="24"/>
        </w:rPr>
        <w:t>Обучающийся</w:t>
      </w:r>
    </w:p>
    <w:p w14:paraId="4B000000">
      <w:pPr>
        <w:widowControl w:val="0"/>
        <w:spacing w:after="0" w:before="1" w:line="240" w:lineRule="auto"/>
        <w:ind w:firstLine="0" w:left="143"/>
        <w:jc w:val="both"/>
        <w:rPr>
          <w:rFonts w:ascii="Times New Roman" w:hAnsi="Times New Roman"/>
          <w:color w:themeColor="text1" w:val="000000"/>
          <w:sz w:val="24"/>
        </w:rPr>
      </w:pPr>
      <w:r>
        <w:rPr>
          <w:rFonts w:ascii="Times New Roman" w:hAnsi="Times New Roman"/>
          <w:b w:val="1"/>
          <w:color w:themeColor="text1" w:val="000000"/>
          <w:sz w:val="24"/>
        </w:rPr>
        <w:t>Тема</w:t>
      </w:r>
      <w:r>
        <w:rPr>
          <w:rFonts w:ascii="Times New Roman" w:hAnsi="Times New Roman"/>
          <w:b w:val="1"/>
          <w:color w:themeColor="text1" w:val="000000"/>
          <w:spacing w:val="-4"/>
          <w:sz w:val="24"/>
        </w:rPr>
        <w:t xml:space="preserve"> </w:t>
      </w:r>
      <w:r>
        <w:rPr>
          <w:rFonts w:ascii="Times New Roman" w:hAnsi="Times New Roman"/>
          <w:b w:val="1"/>
          <w:color w:themeColor="text1" w:val="000000"/>
          <w:sz w:val="24"/>
        </w:rPr>
        <w:t>магистерской</w:t>
      </w:r>
      <w:r>
        <w:rPr>
          <w:rFonts w:ascii="Times New Roman" w:hAnsi="Times New Roman"/>
          <w:b w:val="1"/>
          <w:color w:themeColor="text1" w:val="000000"/>
          <w:spacing w:val="-4"/>
          <w:sz w:val="24"/>
        </w:rPr>
        <w:t xml:space="preserve"> </w:t>
      </w:r>
      <w:r>
        <w:rPr>
          <w:rFonts w:ascii="Times New Roman" w:hAnsi="Times New Roman"/>
          <w:b w:val="1"/>
          <w:color w:themeColor="text1" w:val="000000"/>
          <w:spacing w:val="-2"/>
          <w:sz w:val="24"/>
        </w:rPr>
        <w:t>диссертации</w:t>
      </w:r>
    </w:p>
    <w:p w14:paraId="4C000000">
      <w:pPr>
        <w:widowControl w:val="0"/>
        <w:spacing w:after="0" w:before="135" w:line="240" w:lineRule="auto"/>
        <w:ind w:firstLine="0" w:left="143"/>
        <w:jc w:val="both"/>
        <w:rPr>
          <w:rFonts w:ascii="Times New Roman" w:hAnsi="Times New Roman"/>
          <w:color w:themeColor="text1" w:val="000000"/>
          <w:sz w:val="24"/>
        </w:rPr>
      </w:pPr>
      <w:r>
        <w:rPr>
          <w:rFonts w:ascii="Times New Roman" w:hAnsi="Times New Roman"/>
          <w:color w:themeColor="text1" w:val="000000"/>
          <w:sz w:val="24"/>
        </w:rPr>
        <w:t>Субсидиарная</w:t>
      </w:r>
      <w:r>
        <w:rPr>
          <w:rFonts w:ascii="Times New Roman" w:hAnsi="Times New Roman"/>
          <w:color w:themeColor="text1" w:val="000000"/>
          <w:spacing w:val="-7"/>
          <w:sz w:val="24"/>
        </w:rPr>
        <w:t xml:space="preserve"> </w:t>
      </w:r>
      <w:r>
        <w:rPr>
          <w:rFonts w:ascii="Times New Roman" w:hAnsi="Times New Roman"/>
          <w:color w:themeColor="text1" w:val="000000"/>
          <w:sz w:val="24"/>
        </w:rPr>
        <w:t>ответственность</w:t>
      </w:r>
      <w:r>
        <w:rPr>
          <w:rFonts w:ascii="Times New Roman" w:hAnsi="Times New Roman"/>
          <w:color w:themeColor="text1" w:val="000000"/>
          <w:spacing w:val="-3"/>
          <w:sz w:val="24"/>
        </w:rPr>
        <w:t xml:space="preserve"> </w:t>
      </w:r>
      <w:r>
        <w:rPr>
          <w:rFonts w:ascii="Times New Roman" w:hAnsi="Times New Roman"/>
          <w:color w:themeColor="text1" w:val="000000"/>
          <w:sz w:val="24"/>
        </w:rPr>
        <w:t>в</w:t>
      </w:r>
      <w:r>
        <w:rPr>
          <w:rFonts w:ascii="Times New Roman" w:hAnsi="Times New Roman"/>
          <w:color w:themeColor="text1" w:val="000000"/>
          <w:spacing w:val="-5"/>
          <w:sz w:val="24"/>
        </w:rPr>
        <w:t xml:space="preserve"> </w:t>
      </w:r>
      <w:r>
        <w:rPr>
          <w:rFonts w:ascii="Times New Roman" w:hAnsi="Times New Roman"/>
          <w:color w:themeColor="text1" w:val="000000"/>
          <w:sz w:val="24"/>
        </w:rPr>
        <w:t>гражданском</w:t>
      </w:r>
      <w:r>
        <w:rPr>
          <w:rFonts w:ascii="Times New Roman" w:hAnsi="Times New Roman"/>
          <w:color w:themeColor="text1" w:val="000000"/>
          <w:spacing w:val="-4"/>
          <w:sz w:val="24"/>
        </w:rPr>
        <w:t xml:space="preserve"> </w:t>
      </w:r>
      <w:r>
        <w:rPr>
          <w:rFonts w:ascii="Times New Roman" w:hAnsi="Times New Roman"/>
          <w:color w:themeColor="text1" w:val="000000"/>
          <w:spacing w:val="-2"/>
          <w:sz w:val="24"/>
        </w:rPr>
        <w:t>праве</w:t>
      </w:r>
    </w:p>
    <w:p w14:paraId="4D000000">
      <w:bookmarkStart w:id="2" w:name="__RefHeading___2"/>
      <w:bookmarkEnd w:id="2"/>
      <w:pPr>
        <w:widowControl w:val="0"/>
        <w:numPr>
          <w:ilvl w:val="0"/>
          <w:numId w:val="1"/>
        </w:numPr>
        <w:tabs>
          <w:tab w:leader="none" w:pos="922" w:val="left"/>
        </w:tabs>
        <w:spacing w:after="0" w:before="141" w:line="240" w:lineRule="auto"/>
        <w:ind w:hanging="419" w:left="922"/>
        <w:jc w:val="both"/>
        <w:outlineLvl w:val="0"/>
        <w:rPr>
          <w:rFonts w:ascii="Times New Roman" w:hAnsi="Times New Roman"/>
          <w:b w:val="1"/>
          <w:color w:themeColor="text1" w:val="000000"/>
          <w:sz w:val="24"/>
        </w:rPr>
      </w:pPr>
      <w:r>
        <w:rPr>
          <w:rFonts w:ascii="Times New Roman" w:hAnsi="Times New Roman"/>
          <w:b w:val="1"/>
          <w:color w:themeColor="text1" w:val="000000"/>
          <w:sz w:val="24"/>
        </w:rPr>
        <w:t>Исходные</w:t>
      </w:r>
      <w:r>
        <w:rPr>
          <w:rFonts w:ascii="Times New Roman" w:hAnsi="Times New Roman"/>
          <w:b w:val="1"/>
          <w:color w:themeColor="text1" w:val="000000"/>
          <w:spacing w:val="-5"/>
          <w:sz w:val="24"/>
        </w:rPr>
        <w:t xml:space="preserve"> </w:t>
      </w:r>
      <w:r>
        <w:rPr>
          <w:rFonts w:ascii="Times New Roman" w:hAnsi="Times New Roman"/>
          <w:b w:val="1"/>
          <w:color w:themeColor="text1" w:val="000000"/>
          <w:sz w:val="24"/>
        </w:rPr>
        <w:t>данные</w:t>
      </w:r>
      <w:r>
        <w:rPr>
          <w:rFonts w:ascii="Times New Roman" w:hAnsi="Times New Roman"/>
          <w:b w:val="1"/>
          <w:color w:themeColor="text1" w:val="000000"/>
          <w:spacing w:val="-5"/>
          <w:sz w:val="24"/>
        </w:rPr>
        <w:t xml:space="preserve"> </w:t>
      </w:r>
      <w:r>
        <w:rPr>
          <w:rFonts w:ascii="Times New Roman" w:hAnsi="Times New Roman"/>
          <w:b w:val="1"/>
          <w:color w:themeColor="text1" w:val="000000"/>
          <w:sz w:val="24"/>
        </w:rPr>
        <w:t>по</w:t>
      </w:r>
      <w:r>
        <w:rPr>
          <w:rFonts w:ascii="Times New Roman" w:hAnsi="Times New Roman"/>
          <w:b w:val="1"/>
          <w:color w:themeColor="text1" w:val="000000"/>
          <w:spacing w:val="-6"/>
          <w:sz w:val="24"/>
        </w:rPr>
        <w:t xml:space="preserve"> </w:t>
      </w:r>
      <w:r>
        <w:rPr>
          <w:rFonts w:ascii="Times New Roman" w:hAnsi="Times New Roman"/>
          <w:b w:val="1"/>
          <w:color w:themeColor="text1" w:val="000000"/>
          <w:sz w:val="24"/>
        </w:rPr>
        <w:t>магистерской</w:t>
      </w:r>
      <w:r>
        <w:rPr>
          <w:rFonts w:ascii="Times New Roman" w:hAnsi="Times New Roman"/>
          <w:b w:val="1"/>
          <w:color w:themeColor="text1" w:val="000000"/>
          <w:spacing w:val="-3"/>
          <w:sz w:val="24"/>
        </w:rPr>
        <w:t xml:space="preserve"> </w:t>
      </w:r>
      <w:r>
        <w:rPr>
          <w:rFonts w:ascii="Times New Roman" w:hAnsi="Times New Roman"/>
          <w:b w:val="1"/>
          <w:color w:themeColor="text1" w:val="000000"/>
          <w:spacing w:val="-2"/>
          <w:sz w:val="24"/>
        </w:rPr>
        <w:t>диссертации</w:t>
      </w:r>
    </w:p>
    <w:p w14:paraId="4E000000">
      <w:pPr>
        <w:widowControl w:val="0"/>
        <w:spacing w:after="0" w:before="135" w:line="360" w:lineRule="auto"/>
        <w:ind w:firstLine="0" w:left="143" w:right="139"/>
        <w:jc w:val="both"/>
        <w:rPr>
          <w:rFonts w:ascii="Times New Roman" w:hAnsi="Times New Roman"/>
          <w:color w:themeColor="text1" w:val="000000"/>
          <w:sz w:val="24"/>
        </w:rPr>
      </w:pPr>
      <w:r>
        <w:rPr>
          <w:rFonts w:ascii="Times New Roman" w:hAnsi="Times New Roman"/>
          <w:b w:val="1"/>
          <w:color w:themeColor="text1" w:val="000000"/>
          <w:sz w:val="24"/>
        </w:rPr>
        <w:t>Объектом</w:t>
      </w:r>
      <w:r>
        <w:rPr>
          <w:rFonts w:ascii="Times New Roman" w:hAnsi="Times New Roman"/>
          <w:b w:val="1"/>
          <w:color w:themeColor="text1" w:val="000000"/>
          <w:spacing w:val="-5"/>
          <w:sz w:val="24"/>
        </w:rPr>
        <w:t xml:space="preserve"> </w:t>
      </w:r>
      <w:r>
        <w:rPr>
          <w:rFonts w:ascii="Times New Roman" w:hAnsi="Times New Roman"/>
          <w:b w:val="1"/>
          <w:color w:themeColor="text1" w:val="000000"/>
          <w:sz w:val="24"/>
        </w:rPr>
        <w:t>исследования</w:t>
      </w:r>
      <w:r>
        <w:rPr>
          <w:rFonts w:ascii="Times New Roman" w:hAnsi="Times New Roman"/>
          <w:b w:val="1"/>
          <w:color w:themeColor="text1" w:val="000000"/>
          <w:spacing w:val="-4"/>
          <w:sz w:val="24"/>
        </w:rPr>
        <w:t xml:space="preserve"> </w:t>
      </w:r>
      <w:r>
        <w:rPr>
          <w:rFonts w:ascii="Times New Roman" w:hAnsi="Times New Roman"/>
          <w:b w:val="1"/>
          <w:color w:themeColor="text1" w:val="000000"/>
          <w:sz w:val="24"/>
        </w:rPr>
        <w:t>будут</w:t>
      </w:r>
      <w:r>
        <w:rPr>
          <w:rFonts w:ascii="Times New Roman" w:hAnsi="Times New Roman"/>
          <w:b w:val="1"/>
          <w:color w:themeColor="text1" w:val="000000"/>
          <w:spacing w:val="-3"/>
          <w:sz w:val="24"/>
        </w:rPr>
        <w:t xml:space="preserve"> </w:t>
      </w:r>
      <w:r>
        <w:rPr>
          <w:rFonts w:ascii="Times New Roman" w:hAnsi="Times New Roman"/>
          <w:b w:val="1"/>
          <w:color w:themeColor="text1" w:val="000000"/>
          <w:sz w:val="24"/>
        </w:rPr>
        <w:t>являться</w:t>
      </w:r>
      <w:r>
        <w:rPr>
          <w:rFonts w:ascii="Times New Roman" w:hAnsi="Times New Roman"/>
          <w:b w:val="1"/>
          <w:color w:themeColor="text1" w:val="000000"/>
          <w:spacing w:val="-2"/>
          <w:sz w:val="24"/>
        </w:rPr>
        <w:t xml:space="preserve"> </w:t>
      </w:r>
      <w:r>
        <w:rPr>
          <w:rFonts w:ascii="Times New Roman" w:hAnsi="Times New Roman"/>
          <w:color w:themeColor="text1" w:val="000000"/>
          <w:sz w:val="24"/>
        </w:rPr>
        <w:t>общественные</w:t>
      </w:r>
      <w:r>
        <w:rPr>
          <w:rFonts w:ascii="Times New Roman" w:hAnsi="Times New Roman"/>
          <w:color w:themeColor="text1" w:val="000000"/>
          <w:spacing w:val="-5"/>
          <w:sz w:val="24"/>
        </w:rPr>
        <w:t xml:space="preserve"> </w:t>
      </w:r>
      <w:r>
        <w:rPr>
          <w:rFonts w:ascii="Times New Roman" w:hAnsi="Times New Roman"/>
          <w:color w:themeColor="text1" w:val="000000"/>
          <w:sz w:val="24"/>
        </w:rPr>
        <w:t>отношения,</w:t>
      </w:r>
      <w:r>
        <w:rPr>
          <w:rFonts w:ascii="Times New Roman" w:hAnsi="Times New Roman"/>
          <w:color w:themeColor="text1" w:val="000000"/>
          <w:spacing w:val="-4"/>
          <w:sz w:val="24"/>
        </w:rPr>
        <w:t xml:space="preserve"> </w:t>
      </w:r>
      <w:r>
        <w:rPr>
          <w:rFonts w:ascii="Times New Roman" w:hAnsi="Times New Roman"/>
          <w:color w:themeColor="text1" w:val="000000"/>
          <w:sz w:val="24"/>
        </w:rPr>
        <w:t>которые</w:t>
      </w:r>
      <w:r>
        <w:rPr>
          <w:rFonts w:ascii="Times New Roman" w:hAnsi="Times New Roman"/>
          <w:color w:themeColor="text1" w:val="000000"/>
          <w:spacing w:val="-5"/>
          <w:sz w:val="24"/>
        </w:rPr>
        <w:t xml:space="preserve"> </w:t>
      </w:r>
      <w:r>
        <w:rPr>
          <w:rFonts w:ascii="Times New Roman" w:hAnsi="Times New Roman"/>
          <w:color w:themeColor="text1" w:val="000000"/>
          <w:sz w:val="24"/>
        </w:rPr>
        <w:t>возникают,</w:t>
      </w:r>
      <w:r>
        <w:rPr>
          <w:rFonts w:ascii="Times New Roman" w:hAnsi="Times New Roman"/>
          <w:color w:themeColor="text1" w:val="000000"/>
          <w:spacing w:val="-4"/>
          <w:sz w:val="24"/>
        </w:rPr>
        <w:t xml:space="preserve"> </w:t>
      </w:r>
      <w:r>
        <w:rPr>
          <w:rFonts w:ascii="Times New Roman" w:hAnsi="Times New Roman"/>
          <w:color w:themeColor="text1" w:val="000000"/>
          <w:sz w:val="24"/>
        </w:rPr>
        <w:t>когда к субсидиарной ответственности привлекают контролирующих должника лиц (руководителей, учредителей, фактических бенефициаров).</w:t>
      </w:r>
    </w:p>
    <w:p w14:paraId="4F000000">
      <w:pPr>
        <w:widowControl w:val="0"/>
        <w:spacing w:after="0" w:line="360" w:lineRule="auto"/>
        <w:ind w:firstLine="0" w:left="143" w:right="143"/>
        <w:jc w:val="both"/>
        <w:rPr>
          <w:rFonts w:ascii="Times New Roman" w:hAnsi="Times New Roman"/>
          <w:color w:themeColor="text1" w:val="000000"/>
          <w:sz w:val="24"/>
        </w:rPr>
      </w:pPr>
      <w:r>
        <w:rPr>
          <w:rFonts w:ascii="Times New Roman" w:hAnsi="Times New Roman"/>
          <w:b w:val="1"/>
          <w:color w:themeColor="text1" w:val="000000"/>
          <w:sz w:val="24"/>
        </w:rPr>
        <w:t>Предметом исследования будут являться</w:t>
      </w:r>
      <w:r>
        <w:rPr>
          <w:rFonts w:ascii="Times New Roman" w:hAnsi="Times New Roman"/>
          <w:b w:val="1"/>
          <w:color w:themeColor="text1" w:val="000000"/>
          <w:spacing w:val="-1"/>
          <w:sz w:val="24"/>
        </w:rPr>
        <w:t xml:space="preserve"> </w:t>
      </w:r>
      <w:r>
        <w:rPr>
          <w:rFonts w:ascii="Times New Roman" w:hAnsi="Times New Roman"/>
          <w:color w:themeColor="text1" w:val="000000"/>
          <w:sz w:val="24"/>
        </w:rPr>
        <w:t>-</w:t>
      </w:r>
      <w:r>
        <w:rPr>
          <w:rFonts w:ascii="Times New Roman" w:hAnsi="Times New Roman"/>
          <w:color w:themeColor="text1" w:val="000000"/>
          <w:sz w:val="24"/>
        </w:rPr>
        <w:t xml:space="preserve"> конкретные правовые нормы (в том числе в Законе</w:t>
      </w:r>
      <w:r>
        <w:rPr>
          <w:rFonts w:ascii="Times New Roman" w:hAnsi="Times New Roman"/>
          <w:color w:themeColor="text1" w:val="000000"/>
          <w:spacing w:val="-9"/>
          <w:sz w:val="24"/>
        </w:rPr>
        <w:t xml:space="preserve"> </w:t>
      </w:r>
      <w:r>
        <w:rPr>
          <w:rFonts w:ascii="Times New Roman" w:hAnsi="Times New Roman"/>
          <w:color w:themeColor="text1" w:val="000000"/>
          <w:sz w:val="24"/>
        </w:rPr>
        <w:t>о</w:t>
      </w:r>
      <w:r>
        <w:rPr>
          <w:rFonts w:ascii="Times New Roman" w:hAnsi="Times New Roman"/>
          <w:color w:themeColor="text1" w:val="000000"/>
          <w:spacing w:val="-8"/>
          <w:sz w:val="24"/>
        </w:rPr>
        <w:t xml:space="preserve"> </w:t>
      </w:r>
      <w:r>
        <w:rPr>
          <w:rFonts w:ascii="Times New Roman" w:hAnsi="Times New Roman"/>
          <w:color w:themeColor="text1" w:val="000000"/>
          <w:sz w:val="24"/>
        </w:rPr>
        <w:t>банкротстве),</w:t>
      </w:r>
      <w:r>
        <w:rPr>
          <w:rFonts w:ascii="Times New Roman" w:hAnsi="Times New Roman"/>
          <w:color w:themeColor="text1" w:val="000000"/>
          <w:spacing w:val="-7"/>
          <w:sz w:val="24"/>
        </w:rPr>
        <w:t xml:space="preserve"> </w:t>
      </w:r>
      <w:r>
        <w:rPr>
          <w:rFonts w:ascii="Times New Roman" w:hAnsi="Times New Roman"/>
          <w:color w:themeColor="text1" w:val="000000"/>
          <w:sz w:val="24"/>
        </w:rPr>
        <w:t>судебная</w:t>
      </w:r>
      <w:r>
        <w:rPr>
          <w:rFonts w:ascii="Times New Roman" w:hAnsi="Times New Roman"/>
          <w:color w:themeColor="text1" w:val="000000"/>
          <w:spacing w:val="-8"/>
          <w:sz w:val="24"/>
        </w:rPr>
        <w:t xml:space="preserve"> </w:t>
      </w:r>
      <w:r>
        <w:rPr>
          <w:rFonts w:ascii="Times New Roman" w:hAnsi="Times New Roman"/>
          <w:color w:themeColor="text1" w:val="000000"/>
          <w:sz w:val="24"/>
        </w:rPr>
        <w:t>практика</w:t>
      </w:r>
      <w:r>
        <w:rPr>
          <w:rFonts w:ascii="Times New Roman" w:hAnsi="Times New Roman"/>
          <w:color w:themeColor="text1" w:val="000000"/>
          <w:spacing w:val="-9"/>
          <w:sz w:val="24"/>
        </w:rPr>
        <w:t xml:space="preserve"> </w:t>
      </w:r>
      <w:r>
        <w:rPr>
          <w:rFonts w:ascii="Times New Roman" w:hAnsi="Times New Roman"/>
          <w:color w:themeColor="text1" w:val="000000"/>
          <w:sz w:val="24"/>
        </w:rPr>
        <w:t>(например,</w:t>
      </w:r>
      <w:r>
        <w:rPr>
          <w:rFonts w:ascii="Times New Roman" w:hAnsi="Times New Roman"/>
          <w:color w:themeColor="text1" w:val="000000"/>
          <w:spacing w:val="-8"/>
          <w:sz w:val="24"/>
        </w:rPr>
        <w:t xml:space="preserve"> </w:t>
      </w:r>
      <w:r>
        <w:rPr>
          <w:rFonts w:ascii="Times New Roman" w:hAnsi="Times New Roman"/>
          <w:color w:themeColor="text1" w:val="000000"/>
          <w:sz w:val="24"/>
        </w:rPr>
        <w:t>по</w:t>
      </w:r>
      <w:r>
        <w:rPr>
          <w:rFonts w:ascii="Times New Roman" w:hAnsi="Times New Roman"/>
          <w:color w:themeColor="text1" w:val="000000"/>
          <w:spacing w:val="-8"/>
          <w:sz w:val="24"/>
        </w:rPr>
        <w:t xml:space="preserve"> </w:t>
      </w:r>
      <w:r>
        <w:rPr>
          <w:rFonts w:ascii="Times New Roman" w:hAnsi="Times New Roman"/>
          <w:color w:themeColor="text1" w:val="000000"/>
          <w:sz w:val="24"/>
        </w:rPr>
        <w:t>делам</w:t>
      </w:r>
      <w:r>
        <w:rPr>
          <w:rFonts w:ascii="Times New Roman" w:hAnsi="Times New Roman"/>
          <w:color w:themeColor="text1" w:val="000000"/>
          <w:spacing w:val="-9"/>
          <w:sz w:val="24"/>
        </w:rPr>
        <w:t xml:space="preserve"> </w:t>
      </w:r>
      <w:r>
        <w:rPr>
          <w:rFonts w:ascii="Times New Roman" w:hAnsi="Times New Roman"/>
          <w:color w:themeColor="text1" w:val="000000"/>
          <w:sz w:val="24"/>
        </w:rPr>
        <w:t>о</w:t>
      </w:r>
      <w:r>
        <w:rPr>
          <w:rFonts w:ascii="Times New Roman" w:hAnsi="Times New Roman"/>
          <w:color w:themeColor="text1" w:val="000000"/>
          <w:spacing w:val="-6"/>
          <w:sz w:val="24"/>
        </w:rPr>
        <w:t xml:space="preserve"> </w:t>
      </w:r>
      <w:r>
        <w:rPr>
          <w:rFonts w:ascii="Times New Roman" w:hAnsi="Times New Roman"/>
          <w:color w:themeColor="text1" w:val="000000"/>
          <w:sz w:val="24"/>
        </w:rPr>
        <w:t>привлечении</w:t>
      </w:r>
      <w:r>
        <w:rPr>
          <w:rFonts w:ascii="Times New Roman" w:hAnsi="Times New Roman"/>
          <w:color w:themeColor="text1" w:val="000000"/>
          <w:spacing w:val="-7"/>
          <w:sz w:val="24"/>
        </w:rPr>
        <w:t xml:space="preserve"> </w:t>
      </w:r>
      <w:r>
        <w:rPr>
          <w:rFonts w:ascii="Times New Roman" w:hAnsi="Times New Roman"/>
          <w:color w:themeColor="text1" w:val="000000"/>
          <w:sz w:val="24"/>
        </w:rPr>
        <w:t>к</w:t>
      </w:r>
      <w:r>
        <w:rPr>
          <w:rFonts w:ascii="Times New Roman" w:hAnsi="Times New Roman"/>
          <w:color w:themeColor="text1" w:val="000000"/>
          <w:spacing w:val="-8"/>
          <w:sz w:val="24"/>
        </w:rPr>
        <w:t xml:space="preserve"> </w:t>
      </w:r>
      <w:r>
        <w:rPr>
          <w:rFonts w:ascii="Times New Roman" w:hAnsi="Times New Roman"/>
          <w:color w:themeColor="text1" w:val="000000"/>
          <w:sz w:val="24"/>
        </w:rPr>
        <w:t xml:space="preserve">ответственности при банкротстве) и </w:t>
      </w:r>
      <w:r>
        <w:rPr>
          <w:rFonts w:ascii="Times New Roman" w:hAnsi="Times New Roman"/>
          <w:color w:themeColor="text1" w:val="000000"/>
          <w:sz w:val="24"/>
        </w:rPr>
        <w:t>цивилистическая</w:t>
      </w:r>
      <w:r>
        <w:rPr>
          <w:rFonts w:ascii="Times New Roman" w:hAnsi="Times New Roman"/>
          <w:color w:themeColor="text1" w:val="000000"/>
          <w:sz w:val="24"/>
        </w:rPr>
        <w:t xml:space="preserve"> доктрина по этим вопросам.</w:t>
      </w:r>
    </w:p>
    <w:p w14:paraId="50000000">
      <w:pPr>
        <w:widowControl w:val="0"/>
        <w:spacing w:after="0" w:before="5" w:line="240" w:lineRule="auto"/>
        <w:ind w:firstLine="0" w:left="143"/>
        <w:jc w:val="both"/>
        <w:rPr>
          <w:rFonts w:ascii="Times New Roman" w:hAnsi="Times New Roman"/>
          <w:b w:val="1"/>
          <w:color w:themeColor="text1" w:val="000000"/>
          <w:sz w:val="24"/>
        </w:rPr>
      </w:pPr>
      <w:r>
        <w:rPr>
          <w:rFonts w:ascii="Times New Roman" w:hAnsi="Times New Roman"/>
          <w:b w:val="1"/>
          <w:color w:themeColor="text1" w:val="000000"/>
          <w:sz w:val="24"/>
        </w:rPr>
        <w:t>Нормативная</w:t>
      </w:r>
      <w:r>
        <w:rPr>
          <w:rFonts w:ascii="Times New Roman" w:hAnsi="Times New Roman"/>
          <w:b w:val="1"/>
          <w:color w:themeColor="text1" w:val="000000"/>
          <w:spacing w:val="-5"/>
          <w:sz w:val="24"/>
        </w:rPr>
        <w:t xml:space="preserve"> </w:t>
      </w:r>
      <w:r>
        <w:rPr>
          <w:rFonts w:ascii="Times New Roman" w:hAnsi="Times New Roman"/>
          <w:b w:val="1"/>
          <w:color w:themeColor="text1" w:val="000000"/>
          <w:spacing w:val="-2"/>
          <w:sz w:val="24"/>
        </w:rPr>
        <w:t>база:</w:t>
      </w:r>
    </w:p>
    <w:p w14:paraId="51000000">
      <w:pPr>
        <w:widowControl w:val="0"/>
        <w:spacing w:after="0" w:before="132" w:line="360" w:lineRule="auto"/>
        <w:ind w:firstLine="0" w:left="143" w:right="140"/>
        <w:jc w:val="both"/>
        <w:rPr>
          <w:rFonts w:ascii="Times New Roman" w:hAnsi="Times New Roman"/>
          <w:color w:themeColor="text1" w:val="000000"/>
          <w:sz w:val="24"/>
        </w:rPr>
      </w:pPr>
      <w:r>
        <w:rPr>
          <w:rFonts w:ascii="Times New Roman" w:hAnsi="Times New Roman"/>
          <w:b w:val="1"/>
          <w:color w:themeColor="text1" w:val="000000"/>
          <w:sz w:val="24"/>
        </w:rPr>
        <w:t xml:space="preserve">Гражданский кодекс РФ </w:t>
      </w:r>
      <w:r>
        <w:rPr>
          <w:rFonts w:ascii="Times New Roman" w:hAnsi="Times New Roman"/>
          <w:color w:themeColor="text1" w:val="000000"/>
          <w:sz w:val="24"/>
        </w:rPr>
        <w:t xml:space="preserve">(в первую очередь глава 25 «Ответственность за нарушение обязательств», а также отдельные нормы о поручительстве и других формах субсидиарной </w:t>
      </w:r>
      <w:r>
        <w:rPr>
          <w:rFonts w:ascii="Times New Roman" w:hAnsi="Times New Roman"/>
          <w:color w:themeColor="text1" w:val="000000"/>
          <w:spacing w:val="-2"/>
          <w:sz w:val="24"/>
        </w:rPr>
        <w:t>ответственности).</w:t>
      </w:r>
    </w:p>
    <w:p w14:paraId="52000000">
      <w:pPr>
        <w:widowControl w:val="0"/>
        <w:spacing w:after="0" w:before="1" w:line="360" w:lineRule="auto"/>
        <w:ind w:firstLine="0" w:left="143" w:right="22"/>
        <w:rPr>
          <w:rFonts w:ascii="Times New Roman" w:hAnsi="Times New Roman"/>
          <w:color w:themeColor="text1" w:val="000000"/>
          <w:sz w:val="24"/>
        </w:rPr>
      </w:pPr>
      <w:r>
        <w:rPr>
          <w:rFonts w:ascii="Times New Roman" w:hAnsi="Times New Roman"/>
          <w:b w:val="1"/>
          <w:color w:themeColor="text1" w:val="000000"/>
          <w:sz w:val="24"/>
        </w:rPr>
        <w:t>Закон</w:t>
      </w:r>
      <w:r>
        <w:rPr>
          <w:rFonts w:ascii="Times New Roman" w:hAnsi="Times New Roman"/>
          <w:b w:val="1"/>
          <w:color w:themeColor="text1" w:val="000000"/>
          <w:spacing w:val="-15"/>
          <w:sz w:val="24"/>
        </w:rPr>
        <w:t xml:space="preserve"> </w:t>
      </w:r>
      <w:r>
        <w:rPr>
          <w:rFonts w:ascii="Times New Roman" w:hAnsi="Times New Roman"/>
          <w:b w:val="1"/>
          <w:color w:themeColor="text1" w:val="000000"/>
          <w:sz w:val="24"/>
        </w:rPr>
        <w:t>о</w:t>
      </w:r>
      <w:r>
        <w:rPr>
          <w:rFonts w:ascii="Times New Roman" w:hAnsi="Times New Roman"/>
          <w:b w:val="1"/>
          <w:color w:themeColor="text1" w:val="000000"/>
          <w:spacing w:val="-15"/>
          <w:sz w:val="24"/>
        </w:rPr>
        <w:t xml:space="preserve"> </w:t>
      </w:r>
      <w:r>
        <w:rPr>
          <w:rFonts w:ascii="Times New Roman" w:hAnsi="Times New Roman"/>
          <w:b w:val="1"/>
          <w:color w:themeColor="text1" w:val="000000"/>
          <w:sz w:val="24"/>
        </w:rPr>
        <w:t>банкротстве</w:t>
      </w:r>
      <w:r>
        <w:rPr>
          <w:rFonts w:ascii="Times New Roman" w:hAnsi="Times New Roman"/>
          <w:b w:val="1"/>
          <w:color w:themeColor="text1" w:val="000000"/>
          <w:spacing w:val="-15"/>
          <w:sz w:val="24"/>
        </w:rPr>
        <w:t xml:space="preserve"> </w:t>
      </w:r>
      <w:r>
        <w:rPr>
          <w:rFonts w:ascii="Times New Roman" w:hAnsi="Times New Roman"/>
          <w:color w:themeColor="text1" w:val="000000"/>
          <w:sz w:val="24"/>
        </w:rPr>
        <w:t>(Федеральный</w:t>
      </w:r>
      <w:r>
        <w:rPr>
          <w:rFonts w:ascii="Times New Roman" w:hAnsi="Times New Roman"/>
          <w:color w:themeColor="text1" w:val="000000"/>
          <w:spacing w:val="-15"/>
          <w:sz w:val="24"/>
        </w:rPr>
        <w:t xml:space="preserve"> </w:t>
      </w:r>
      <w:r>
        <w:rPr>
          <w:rFonts w:ascii="Times New Roman" w:hAnsi="Times New Roman"/>
          <w:color w:themeColor="text1" w:val="000000"/>
          <w:sz w:val="24"/>
        </w:rPr>
        <w:t>закон</w:t>
      </w:r>
      <w:r>
        <w:rPr>
          <w:rFonts w:ascii="Times New Roman" w:hAnsi="Times New Roman"/>
          <w:color w:themeColor="text1" w:val="000000"/>
          <w:spacing w:val="-15"/>
          <w:sz w:val="24"/>
        </w:rPr>
        <w:t xml:space="preserve"> </w:t>
      </w:r>
      <w:r>
        <w:rPr>
          <w:rFonts w:ascii="Times New Roman" w:hAnsi="Times New Roman"/>
          <w:color w:themeColor="text1" w:val="000000"/>
          <w:sz w:val="24"/>
        </w:rPr>
        <w:t>от</w:t>
      </w:r>
      <w:r>
        <w:rPr>
          <w:rFonts w:ascii="Times New Roman" w:hAnsi="Times New Roman"/>
          <w:color w:themeColor="text1" w:val="000000"/>
          <w:spacing w:val="-15"/>
          <w:sz w:val="24"/>
        </w:rPr>
        <w:t xml:space="preserve"> </w:t>
      </w:r>
      <w:r>
        <w:rPr>
          <w:rFonts w:ascii="Times New Roman" w:hAnsi="Times New Roman"/>
          <w:color w:themeColor="text1" w:val="000000"/>
          <w:sz w:val="24"/>
        </w:rPr>
        <w:t>26.10.2002</w:t>
      </w:r>
      <w:r>
        <w:rPr>
          <w:rFonts w:ascii="Times New Roman" w:hAnsi="Times New Roman"/>
          <w:color w:themeColor="text1" w:val="000000"/>
          <w:spacing w:val="-15"/>
          <w:sz w:val="24"/>
        </w:rPr>
        <w:t xml:space="preserve"> </w:t>
      </w:r>
      <w:r>
        <w:rPr>
          <w:rFonts w:ascii="Times New Roman" w:hAnsi="Times New Roman"/>
          <w:color w:themeColor="text1" w:val="000000"/>
          <w:sz w:val="24"/>
        </w:rPr>
        <w:t>№</w:t>
      </w:r>
      <w:r>
        <w:rPr>
          <w:rFonts w:ascii="Times New Roman" w:hAnsi="Times New Roman"/>
          <w:color w:themeColor="text1" w:val="000000"/>
          <w:spacing w:val="-16"/>
          <w:sz w:val="24"/>
        </w:rPr>
        <w:t xml:space="preserve"> </w:t>
      </w:r>
      <w:r>
        <w:rPr>
          <w:rFonts w:ascii="Times New Roman" w:hAnsi="Times New Roman"/>
          <w:color w:themeColor="text1" w:val="000000"/>
          <w:sz w:val="24"/>
        </w:rPr>
        <w:t>127-ФЗ)</w:t>
      </w:r>
      <w:r>
        <w:rPr>
          <w:rFonts w:ascii="Times New Roman" w:hAnsi="Times New Roman"/>
          <w:color w:themeColor="text1" w:val="000000"/>
          <w:spacing w:val="-15"/>
          <w:sz w:val="24"/>
        </w:rPr>
        <w:t xml:space="preserve"> </w:t>
      </w:r>
      <w:r>
        <w:rPr>
          <w:rFonts w:ascii="Times New Roman" w:hAnsi="Times New Roman"/>
          <w:color w:themeColor="text1" w:val="000000"/>
          <w:sz w:val="24"/>
        </w:rPr>
        <w:t>-</w:t>
      </w:r>
      <w:r>
        <w:rPr>
          <w:rFonts w:ascii="Times New Roman" w:hAnsi="Times New Roman"/>
          <w:color w:themeColor="text1" w:val="000000"/>
          <w:spacing w:val="-15"/>
          <w:sz w:val="24"/>
        </w:rPr>
        <w:t xml:space="preserve"> </w:t>
      </w:r>
      <w:r>
        <w:rPr>
          <w:rFonts w:ascii="Times New Roman" w:hAnsi="Times New Roman"/>
          <w:color w:themeColor="text1" w:val="000000"/>
          <w:sz w:val="24"/>
        </w:rPr>
        <w:t>это</w:t>
      </w:r>
      <w:r>
        <w:rPr>
          <w:rFonts w:ascii="Times New Roman" w:hAnsi="Times New Roman"/>
          <w:color w:themeColor="text1" w:val="000000"/>
          <w:spacing w:val="-15"/>
          <w:sz w:val="24"/>
        </w:rPr>
        <w:t xml:space="preserve"> </w:t>
      </w:r>
      <w:r>
        <w:rPr>
          <w:rFonts w:ascii="Times New Roman" w:hAnsi="Times New Roman"/>
          <w:color w:themeColor="text1" w:val="000000"/>
          <w:sz w:val="24"/>
        </w:rPr>
        <w:t>главный</w:t>
      </w:r>
      <w:r>
        <w:rPr>
          <w:rFonts w:ascii="Times New Roman" w:hAnsi="Times New Roman"/>
          <w:color w:themeColor="text1" w:val="000000"/>
          <w:spacing w:val="-15"/>
          <w:sz w:val="24"/>
        </w:rPr>
        <w:t xml:space="preserve"> </w:t>
      </w:r>
      <w:r>
        <w:rPr>
          <w:rFonts w:ascii="Times New Roman" w:hAnsi="Times New Roman"/>
          <w:color w:themeColor="text1" w:val="000000"/>
          <w:sz w:val="24"/>
        </w:rPr>
        <w:t xml:space="preserve">практический фокус, так как именно здесь институт субсидиарной ответственности применяется чаще всего. </w:t>
      </w:r>
      <w:r>
        <w:rPr>
          <w:rFonts w:ascii="Times New Roman" w:hAnsi="Times New Roman"/>
          <w:b w:val="1"/>
          <w:color w:themeColor="text1" w:val="000000"/>
          <w:sz w:val="24"/>
        </w:rPr>
        <w:t>Подзаконные</w:t>
      </w:r>
      <w:r>
        <w:rPr>
          <w:rFonts w:ascii="Times New Roman" w:hAnsi="Times New Roman"/>
          <w:b w:val="1"/>
          <w:color w:themeColor="text1" w:val="000000"/>
          <w:spacing w:val="-15"/>
          <w:sz w:val="24"/>
        </w:rPr>
        <w:t xml:space="preserve"> </w:t>
      </w:r>
      <w:r>
        <w:rPr>
          <w:rFonts w:ascii="Times New Roman" w:hAnsi="Times New Roman"/>
          <w:b w:val="1"/>
          <w:color w:themeColor="text1" w:val="000000"/>
          <w:sz w:val="24"/>
        </w:rPr>
        <w:t>акты</w:t>
      </w:r>
      <w:r>
        <w:rPr>
          <w:rFonts w:ascii="Times New Roman" w:hAnsi="Times New Roman"/>
          <w:b w:val="1"/>
          <w:color w:themeColor="text1" w:val="000000"/>
          <w:spacing w:val="-12"/>
          <w:sz w:val="24"/>
        </w:rPr>
        <w:t xml:space="preserve"> </w:t>
      </w:r>
      <w:r>
        <w:rPr>
          <w:rFonts w:ascii="Times New Roman" w:hAnsi="Times New Roman"/>
          <w:color w:themeColor="text1" w:val="000000"/>
          <w:sz w:val="24"/>
        </w:rPr>
        <w:t>(постановления</w:t>
      </w:r>
      <w:r>
        <w:rPr>
          <w:rFonts w:ascii="Times New Roman" w:hAnsi="Times New Roman"/>
          <w:color w:themeColor="text1" w:val="000000"/>
          <w:spacing w:val="-15"/>
          <w:sz w:val="24"/>
        </w:rPr>
        <w:t xml:space="preserve"> </w:t>
      </w:r>
      <w:r>
        <w:rPr>
          <w:rFonts w:ascii="Times New Roman" w:hAnsi="Times New Roman"/>
          <w:color w:themeColor="text1" w:val="000000"/>
          <w:sz w:val="24"/>
        </w:rPr>
        <w:t>Пленума</w:t>
      </w:r>
      <w:r>
        <w:rPr>
          <w:rFonts w:ascii="Times New Roman" w:hAnsi="Times New Roman"/>
          <w:color w:themeColor="text1" w:val="000000"/>
          <w:spacing w:val="-15"/>
          <w:sz w:val="24"/>
        </w:rPr>
        <w:t xml:space="preserve"> </w:t>
      </w:r>
      <w:r>
        <w:rPr>
          <w:rFonts w:ascii="Times New Roman" w:hAnsi="Times New Roman"/>
          <w:color w:themeColor="text1" w:val="000000"/>
          <w:sz w:val="24"/>
        </w:rPr>
        <w:t>Верховного</w:t>
      </w:r>
      <w:r>
        <w:rPr>
          <w:rFonts w:ascii="Times New Roman" w:hAnsi="Times New Roman"/>
          <w:color w:themeColor="text1" w:val="000000"/>
          <w:spacing w:val="-15"/>
          <w:sz w:val="24"/>
        </w:rPr>
        <w:t xml:space="preserve"> </w:t>
      </w:r>
      <w:r>
        <w:rPr>
          <w:rFonts w:ascii="Times New Roman" w:hAnsi="Times New Roman"/>
          <w:color w:themeColor="text1" w:val="000000"/>
          <w:sz w:val="24"/>
        </w:rPr>
        <w:t>Суда</w:t>
      </w:r>
      <w:r>
        <w:rPr>
          <w:rFonts w:ascii="Times New Roman" w:hAnsi="Times New Roman"/>
          <w:color w:themeColor="text1" w:val="000000"/>
          <w:spacing w:val="-15"/>
          <w:sz w:val="24"/>
        </w:rPr>
        <w:t xml:space="preserve"> </w:t>
      </w:r>
      <w:r>
        <w:rPr>
          <w:rFonts w:ascii="Times New Roman" w:hAnsi="Times New Roman"/>
          <w:color w:themeColor="text1" w:val="000000"/>
          <w:sz w:val="24"/>
        </w:rPr>
        <w:t>РФ,</w:t>
      </w:r>
      <w:r>
        <w:rPr>
          <w:rFonts w:ascii="Times New Roman" w:hAnsi="Times New Roman"/>
          <w:color w:themeColor="text1" w:val="000000"/>
          <w:spacing w:val="-15"/>
          <w:sz w:val="24"/>
        </w:rPr>
        <w:t xml:space="preserve"> </w:t>
      </w:r>
      <w:r>
        <w:rPr>
          <w:rFonts w:ascii="Times New Roman" w:hAnsi="Times New Roman"/>
          <w:color w:themeColor="text1" w:val="000000"/>
          <w:sz w:val="24"/>
        </w:rPr>
        <w:t>например,</w:t>
      </w:r>
      <w:r>
        <w:rPr>
          <w:rFonts w:ascii="Times New Roman" w:hAnsi="Times New Roman"/>
          <w:color w:themeColor="text1" w:val="000000"/>
          <w:spacing w:val="-15"/>
          <w:sz w:val="24"/>
        </w:rPr>
        <w:t xml:space="preserve"> </w:t>
      </w:r>
      <w:r>
        <w:rPr>
          <w:rFonts w:ascii="Times New Roman" w:hAnsi="Times New Roman"/>
          <w:color w:themeColor="text1" w:val="000000"/>
          <w:sz w:val="24"/>
        </w:rPr>
        <w:t>Постановление</w:t>
      </w:r>
      <w:r>
        <w:rPr>
          <w:rFonts w:ascii="Times New Roman" w:hAnsi="Times New Roman"/>
          <w:color w:themeColor="text1" w:val="000000"/>
          <w:spacing w:val="-15"/>
          <w:sz w:val="24"/>
        </w:rPr>
        <w:t xml:space="preserve"> </w:t>
      </w:r>
      <w:r>
        <w:rPr>
          <w:rFonts w:ascii="Times New Roman" w:hAnsi="Times New Roman"/>
          <w:color w:themeColor="text1" w:val="000000"/>
          <w:sz w:val="24"/>
        </w:rPr>
        <w:t>от 21.12.2017</w:t>
      </w:r>
      <w:r>
        <w:rPr>
          <w:rFonts w:ascii="Times New Roman" w:hAnsi="Times New Roman"/>
          <w:color w:themeColor="text1" w:val="000000"/>
          <w:spacing w:val="-11"/>
          <w:sz w:val="24"/>
        </w:rPr>
        <w:t xml:space="preserve"> </w:t>
      </w:r>
      <w:r>
        <w:rPr>
          <w:rFonts w:ascii="Times New Roman" w:hAnsi="Times New Roman"/>
          <w:color w:themeColor="text1" w:val="000000"/>
          <w:sz w:val="24"/>
        </w:rPr>
        <w:t>№</w:t>
      </w:r>
      <w:r>
        <w:rPr>
          <w:rFonts w:ascii="Times New Roman" w:hAnsi="Times New Roman"/>
          <w:color w:themeColor="text1" w:val="000000"/>
          <w:spacing w:val="-12"/>
          <w:sz w:val="24"/>
        </w:rPr>
        <w:t xml:space="preserve"> </w:t>
      </w:r>
      <w:r>
        <w:rPr>
          <w:rFonts w:ascii="Times New Roman" w:hAnsi="Times New Roman"/>
          <w:color w:themeColor="text1" w:val="000000"/>
          <w:sz w:val="24"/>
        </w:rPr>
        <w:t>53</w:t>
      </w:r>
      <w:r>
        <w:rPr>
          <w:rFonts w:ascii="Times New Roman" w:hAnsi="Times New Roman"/>
          <w:color w:themeColor="text1" w:val="000000"/>
          <w:spacing w:val="-7"/>
          <w:sz w:val="24"/>
        </w:rPr>
        <w:t xml:space="preserve"> </w:t>
      </w:r>
      <w:r>
        <w:rPr>
          <w:rFonts w:ascii="Times New Roman" w:hAnsi="Times New Roman"/>
          <w:color w:themeColor="text1" w:val="000000"/>
          <w:sz w:val="24"/>
        </w:rPr>
        <w:t>«О</w:t>
      </w:r>
      <w:r>
        <w:rPr>
          <w:rFonts w:ascii="Times New Roman" w:hAnsi="Times New Roman"/>
          <w:color w:themeColor="text1" w:val="000000"/>
          <w:spacing w:val="-10"/>
          <w:sz w:val="24"/>
        </w:rPr>
        <w:t xml:space="preserve"> </w:t>
      </w:r>
      <w:r>
        <w:rPr>
          <w:rFonts w:ascii="Times New Roman" w:hAnsi="Times New Roman"/>
          <w:color w:themeColor="text1" w:val="000000"/>
          <w:sz w:val="24"/>
        </w:rPr>
        <w:t>некоторых</w:t>
      </w:r>
      <w:r>
        <w:rPr>
          <w:rFonts w:ascii="Times New Roman" w:hAnsi="Times New Roman"/>
          <w:color w:themeColor="text1" w:val="000000"/>
          <w:spacing w:val="-9"/>
          <w:sz w:val="24"/>
        </w:rPr>
        <w:t xml:space="preserve"> </w:t>
      </w:r>
      <w:r>
        <w:rPr>
          <w:rFonts w:ascii="Times New Roman" w:hAnsi="Times New Roman"/>
          <w:color w:themeColor="text1" w:val="000000"/>
          <w:sz w:val="24"/>
        </w:rPr>
        <w:t>вопросах,</w:t>
      </w:r>
      <w:r>
        <w:rPr>
          <w:rFonts w:ascii="Times New Roman" w:hAnsi="Times New Roman"/>
          <w:color w:themeColor="text1" w:val="000000"/>
          <w:spacing w:val="-11"/>
          <w:sz w:val="24"/>
        </w:rPr>
        <w:t xml:space="preserve"> </w:t>
      </w:r>
      <w:r>
        <w:rPr>
          <w:rFonts w:ascii="Times New Roman" w:hAnsi="Times New Roman"/>
          <w:color w:themeColor="text1" w:val="000000"/>
          <w:sz w:val="24"/>
        </w:rPr>
        <w:t>связанных</w:t>
      </w:r>
      <w:r>
        <w:rPr>
          <w:rFonts w:ascii="Times New Roman" w:hAnsi="Times New Roman"/>
          <w:color w:themeColor="text1" w:val="000000"/>
          <w:spacing w:val="-10"/>
          <w:sz w:val="24"/>
        </w:rPr>
        <w:t xml:space="preserve"> </w:t>
      </w:r>
      <w:r>
        <w:rPr>
          <w:rFonts w:ascii="Times New Roman" w:hAnsi="Times New Roman"/>
          <w:color w:themeColor="text1" w:val="000000"/>
          <w:sz w:val="24"/>
        </w:rPr>
        <w:t>с</w:t>
      </w:r>
      <w:r>
        <w:rPr>
          <w:rFonts w:ascii="Times New Roman" w:hAnsi="Times New Roman"/>
          <w:color w:themeColor="text1" w:val="000000"/>
          <w:spacing w:val="-12"/>
          <w:sz w:val="24"/>
        </w:rPr>
        <w:t xml:space="preserve"> </w:t>
      </w:r>
      <w:r>
        <w:rPr>
          <w:rFonts w:ascii="Times New Roman" w:hAnsi="Times New Roman"/>
          <w:color w:themeColor="text1" w:val="000000"/>
          <w:sz w:val="24"/>
        </w:rPr>
        <w:t>привлечением</w:t>
      </w:r>
      <w:r>
        <w:rPr>
          <w:rFonts w:ascii="Times New Roman" w:hAnsi="Times New Roman"/>
          <w:color w:themeColor="text1" w:val="000000"/>
          <w:spacing w:val="-11"/>
          <w:sz w:val="24"/>
        </w:rPr>
        <w:t xml:space="preserve"> </w:t>
      </w:r>
      <w:r>
        <w:rPr>
          <w:rFonts w:ascii="Times New Roman" w:hAnsi="Times New Roman"/>
          <w:color w:themeColor="text1" w:val="000000"/>
          <w:sz w:val="24"/>
        </w:rPr>
        <w:t>контролирующих</w:t>
      </w:r>
      <w:r>
        <w:rPr>
          <w:rFonts w:ascii="Times New Roman" w:hAnsi="Times New Roman"/>
          <w:color w:themeColor="text1" w:val="000000"/>
          <w:spacing w:val="-10"/>
          <w:sz w:val="24"/>
        </w:rPr>
        <w:t xml:space="preserve"> </w:t>
      </w:r>
      <w:r>
        <w:rPr>
          <w:rFonts w:ascii="Times New Roman" w:hAnsi="Times New Roman"/>
          <w:color w:themeColor="text1" w:val="000000"/>
          <w:sz w:val="24"/>
        </w:rPr>
        <w:t>должника лиц к ответственности при банкротстве»).</w:t>
      </w:r>
    </w:p>
    <w:p w14:paraId="53000000">
      <w:bookmarkStart w:id="3" w:name="__RefHeading___3"/>
      <w:bookmarkEnd w:id="3"/>
      <w:pPr>
        <w:widowControl w:val="0"/>
        <w:numPr>
          <w:ilvl w:val="0"/>
          <w:numId w:val="1"/>
        </w:numPr>
        <w:tabs>
          <w:tab w:leader="none" w:pos="862" w:val="left"/>
        </w:tabs>
        <w:spacing w:after="0" w:before="5" w:line="240" w:lineRule="auto"/>
        <w:ind w:hanging="359" w:left="862"/>
        <w:outlineLvl w:val="0"/>
        <w:rPr>
          <w:rFonts w:ascii="Times New Roman" w:hAnsi="Times New Roman"/>
          <w:b w:val="1"/>
          <w:sz w:val="24"/>
        </w:rPr>
      </w:pPr>
      <w:r>
        <w:rPr>
          <w:rFonts w:ascii="Times New Roman" w:hAnsi="Times New Roman"/>
          <w:b w:val="1"/>
          <w:sz w:val="24"/>
        </w:rPr>
        <w:t>Обоснование</w:t>
      </w:r>
      <w:r>
        <w:rPr>
          <w:rFonts w:ascii="Times New Roman" w:hAnsi="Times New Roman"/>
          <w:b w:val="1"/>
          <w:spacing w:val="-8"/>
          <w:sz w:val="24"/>
        </w:rPr>
        <w:t xml:space="preserve"> </w:t>
      </w:r>
      <w:r>
        <w:rPr>
          <w:rFonts w:ascii="Times New Roman" w:hAnsi="Times New Roman"/>
          <w:b w:val="1"/>
          <w:sz w:val="24"/>
        </w:rPr>
        <w:t>актуальности</w:t>
      </w:r>
      <w:r>
        <w:rPr>
          <w:rFonts w:ascii="Times New Roman" w:hAnsi="Times New Roman"/>
          <w:b w:val="1"/>
          <w:spacing w:val="-6"/>
          <w:sz w:val="24"/>
        </w:rPr>
        <w:t xml:space="preserve"> </w:t>
      </w:r>
      <w:r>
        <w:rPr>
          <w:rFonts w:ascii="Times New Roman" w:hAnsi="Times New Roman"/>
          <w:b w:val="1"/>
          <w:sz w:val="24"/>
        </w:rPr>
        <w:t>темы</w:t>
      </w:r>
      <w:r>
        <w:rPr>
          <w:rFonts w:ascii="Times New Roman" w:hAnsi="Times New Roman"/>
          <w:b w:val="1"/>
          <w:spacing w:val="-5"/>
          <w:sz w:val="24"/>
        </w:rPr>
        <w:t xml:space="preserve"> </w:t>
      </w:r>
      <w:r>
        <w:rPr>
          <w:rFonts w:ascii="Times New Roman" w:hAnsi="Times New Roman"/>
          <w:b w:val="1"/>
          <w:sz w:val="24"/>
        </w:rPr>
        <w:t>магистерской</w:t>
      </w:r>
      <w:r>
        <w:rPr>
          <w:rFonts w:ascii="Times New Roman" w:hAnsi="Times New Roman"/>
          <w:b w:val="1"/>
          <w:spacing w:val="-4"/>
          <w:sz w:val="24"/>
        </w:rPr>
        <w:t xml:space="preserve"> </w:t>
      </w:r>
      <w:r>
        <w:rPr>
          <w:rFonts w:ascii="Times New Roman" w:hAnsi="Times New Roman"/>
          <w:b w:val="1"/>
          <w:spacing w:val="-2"/>
          <w:sz w:val="24"/>
        </w:rPr>
        <w:t>диссертации</w:t>
      </w:r>
    </w:p>
    <w:p w14:paraId="54000000">
      <w:pPr>
        <w:widowControl w:val="0"/>
        <w:spacing w:after="0" w:before="132" w:line="360" w:lineRule="auto"/>
        <w:ind w:firstLine="0" w:left="143" w:right="141"/>
        <w:jc w:val="both"/>
        <w:rPr>
          <w:rFonts w:ascii="Times New Roman" w:hAnsi="Times New Roman"/>
          <w:sz w:val="24"/>
        </w:rPr>
      </w:pPr>
      <w:r>
        <w:rPr>
          <w:rFonts w:ascii="Times New Roman" w:hAnsi="Times New Roman"/>
          <w:sz w:val="24"/>
        </w:rPr>
        <w:t>Субсидиарная ответственность является эффективным механизмом, способствующим стабилизации гражданских правоотношений, а также совершенствованию и развитию гражданского</w:t>
      </w:r>
      <w:r>
        <w:rPr>
          <w:rFonts w:ascii="Times New Roman" w:hAnsi="Times New Roman"/>
          <w:spacing w:val="-15"/>
          <w:sz w:val="24"/>
        </w:rPr>
        <w:t xml:space="preserve"> </w:t>
      </w:r>
      <w:r>
        <w:rPr>
          <w:rFonts w:ascii="Times New Roman" w:hAnsi="Times New Roman"/>
          <w:sz w:val="24"/>
        </w:rPr>
        <w:t>общества.</w:t>
      </w:r>
      <w:r>
        <w:rPr>
          <w:rFonts w:ascii="Times New Roman" w:hAnsi="Times New Roman"/>
          <w:spacing w:val="-4"/>
          <w:sz w:val="24"/>
        </w:rPr>
        <w:t xml:space="preserve"> </w:t>
      </w:r>
      <w:r>
        <w:rPr>
          <w:rFonts w:ascii="Times New Roman" w:hAnsi="Times New Roman"/>
          <w:sz w:val="24"/>
        </w:rPr>
        <w:t>Актуальность</w:t>
      </w:r>
      <w:r>
        <w:rPr>
          <w:rFonts w:ascii="Times New Roman" w:hAnsi="Times New Roman"/>
          <w:spacing w:val="-15"/>
          <w:sz w:val="24"/>
        </w:rPr>
        <w:t xml:space="preserve"> </w:t>
      </w:r>
      <w:r>
        <w:rPr>
          <w:rFonts w:ascii="Times New Roman" w:hAnsi="Times New Roman"/>
          <w:sz w:val="24"/>
        </w:rPr>
        <w:t>темы</w:t>
      </w:r>
      <w:r>
        <w:rPr>
          <w:rFonts w:ascii="Times New Roman" w:hAnsi="Times New Roman"/>
          <w:spacing w:val="-15"/>
          <w:sz w:val="24"/>
        </w:rPr>
        <w:t xml:space="preserve"> </w:t>
      </w:r>
      <w:r>
        <w:rPr>
          <w:rFonts w:ascii="Times New Roman" w:hAnsi="Times New Roman"/>
          <w:sz w:val="24"/>
        </w:rPr>
        <w:t>обусловлена</w:t>
      </w:r>
      <w:r>
        <w:rPr>
          <w:rFonts w:ascii="Times New Roman" w:hAnsi="Times New Roman"/>
          <w:spacing w:val="-15"/>
          <w:sz w:val="24"/>
        </w:rPr>
        <w:t xml:space="preserve"> </w:t>
      </w:r>
      <w:r>
        <w:rPr>
          <w:rFonts w:ascii="Times New Roman" w:hAnsi="Times New Roman"/>
          <w:sz w:val="24"/>
        </w:rPr>
        <w:t>тем,</w:t>
      </w:r>
      <w:r>
        <w:rPr>
          <w:rFonts w:ascii="Times New Roman" w:hAnsi="Times New Roman"/>
          <w:spacing w:val="-15"/>
          <w:sz w:val="24"/>
        </w:rPr>
        <w:t xml:space="preserve"> </w:t>
      </w:r>
      <w:r>
        <w:rPr>
          <w:rFonts w:ascii="Times New Roman" w:hAnsi="Times New Roman"/>
          <w:sz w:val="24"/>
        </w:rPr>
        <w:t>что</w:t>
      </w:r>
      <w:r>
        <w:rPr>
          <w:rFonts w:ascii="Times New Roman" w:hAnsi="Times New Roman"/>
          <w:spacing w:val="-15"/>
          <w:sz w:val="24"/>
        </w:rPr>
        <w:t xml:space="preserve"> </w:t>
      </w:r>
      <w:r>
        <w:rPr>
          <w:rFonts w:ascii="Times New Roman" w:hAnsi="Times New Roman"/>
          <w:sz w:val="24"/>
        </w:rPr>
        <w:t>круг</w:t>
      </w:r>
      <w:r>
        <w:rPr>
          <w:rFonts w:ascii="Times New Roman" w:hAnsi="Times New Roman"/>
          <w:spacing w:val="-15"/>
          <w:sz w:val="24"/>
        </w:rPr>
        <w:t xml:space="preserve"> </w:t>
      </w:r>
      <w:r>
        <w:rPr>
          <w:rFonts w:ascii="Times New Roman" w:hAnsi="Times New Roman"/>
          <w:sz w:val="24"/>
        </w:rPr>
        <w:t>субъектов,</w:t>
      </w:r>
      <w:r>
        <w:rPr>
          <w:rFonts w:ascii="Times New Roman" w:hAnsi="Times New Roman"/>
          <w:spacing w:val="-15"/>
          <w:sz w:val="24"/>
        </w:rPr>
        <w:t xml:space="preserve"> </w:t>
      </w:r>
      <w:r>
        <w:rPr>
          <w:rFonts w:ascii="Times New Roman" w:hAnsi="Times New Roman"/>
          <w:sz w:val="24"/>
        </w:rPr>
        <w:t>которые</w:t>
      </w:r>
      <w:r>
        <w:rPr>
          <w:rFonts w:ascii="Times New Roman" w:hAnsi="Times New Roman"/>
          <w:spacing w:val="-15"/>
          <w:sz w:val="24"/>
        </w:rPr>
        <w:t xml:space="preserve"> </w:t>
      </w:r>
      <w:r>
        <w:rPr>
          <w:rFonts w:ascii="Times New Roman" w:hAnsi="Times New Roman"/>
          <w:sz w:val="24"/>
        </w:rPr>
        <w:t>могут быть привлечены к такой ответственности, достаточно широк и может определяться не только на</w:t>
      </w:r>
      <w:r>
        <w:rPr>
          <w:rFonts w:ascii="Times New Roman" w:hAnsi="Times New Roman"/>
          <w:spacing w:val="-14"/>
          <w:sz w:val="24"/>
        </w:rPr>
        <w:t xml:space="preserve"> </w:t>
      </w:r>
      <w:r>
        <w:rPr>
          <w:rFonts w:ascii="Times New Roman" w:hAnsi="Times New Roman"/>
          <w:sz w:val="24"/>
        </w:rPr>
        <w:t>основании</w:t>
      </w:r>
      <w:r>
        <w:rPr>
          <w:rFonts w:ascii="Times New Roman" w:hAnsi="Times New Roman"/>
          <w:spacing w:val="-12"/>
          <w:sz w:val="24"/>
        </w:rPr>
        <w:t xml:space="preserve"> </w:t>
      </w:r>
      <w:r>
        <w:rPr>
          <w:rFonts w:ascii="Times New Roman" w:hAnsi="Times New Roman"/>
          <w:sz w:val="24"/>
        </w:rPr>
        <w:t>законодательных</w:t>
      </w:r>
      <w:r>
        <w:rPr>
          <w:rFonts w:ascii="Times New Roman" w:hAnsi="Times New Roman"/>
          <w:spacing w:val="-14"/>
          <w:sz w:val="24"/>
        </w:rPr>
        <w:t xml:space="preserve"> </w:t>
      </w:r>
      <w:r>
        <w:rPr>
          <w:rFonts w:ascii="Times New Roman" w:hAnsi="Times New Roman"/>
          <w:sz w:val="24"/>
        </w:rPr>
        <w:t>презумпций</w:t>
      </w:r>
      <w:r>
        <w:rPr>
          <w:rFonts w:ascii="Times New Roman" w:hAnsi="Times New Roman"/>
          <w:spacing w:val="-12"/>
          <w:sz w:val="24"/>
        </w:rPr>
        <w:t xml:space="preserve"> </w:t>
      </w:r>
      <w:r>
        <w:rPr>
          <w:rFonts w:ascii="Times New Roman" w:hAnsi="Times New Roman"/>
          <w:sz w:val="24"/>
        </w:rPr>
        <w:t>и</w:t>
      </w:r>
      <w:r>
        <w:rPr>
          <w:rFonts w:ascii="Times New Roman" w:hAnsi="Times New Roman"/>
          <w:spacing w:val="-12"/>
          <w:sz w:val="24"/>
        </w:rPr>
        <w:t xml:space="preserve"> </w:t>
      </w:r>
      <w:r>
        <w:rPr>
          <w:rFonts w:ascii="Times New Roman" w:hAnsi="Times New Roman"/>
          <w:sz w:val="24"/>
        </w:rPr>
        <w:t>прямых</w:t>
      </w:r>
      <w:r>
        <w:rPr>
          <w:rFonts w:ascii="Times New Roman" w:hAnsi="Times New Roman"/>
          <w:spacing w:val="-10"/>
          <w:sz w:val="24"/>
        </w:rPr>
        <w:t xml:space="preserve"> </w:t>
      </w:r>
      <w:r>
        <w:rPr>
          <w:rFonts w:ascii="Times New Roman" w:hAnsi="Times New Roman"/>
          <w:sz w:val="24"/>
        </w:rPr>
        <w:t>указаний,</w:t>
      </w:r>
      <w:r>
        <w:rPr>
          <w:rFonts w:ascii="Times New Roman" w:hAnsi="Times New Roman"/>
          <w:spacing w:val="-13"/>
          <w:sz w:val="24"/>
        </w:rPr>
        <w:t xml:space="preserve"> </w:t>
      </w:r>
      <w:r>
        <w:rPr>
          <w:rFonts w:ascii="Times New Roman" w:hAnsi="Times New Roman"/>
          <w:sz w:val="24"/>
        </w:rPr>
        <w:t>а</w:t>
      </w:r>
      <w:r>
        <w:rPr>
          <w:rFonts w:ascii="Times New Roman" w:hAnsi="Times New Roman"/>
          <w:spacing w:val="-14"/>
          <w:sz w:val="24"/>
        </w:rPr>
        <w:t xml:space="preserve"> </w:t>
      </w:r>
      <w:r>
        <w:rPr>
          <w:rFonts w:ascii="Times New Roman" w:hAnsi="Times New Roman"/>
          <w:sz w:val="24"/>
        </w:rPr>
        <w:t>на</w:t>
      </w:r>
      <w:r>
        <w:rPr>
          <w:rFonts w:ascii="Times New Roman" w:hAnsi="Times New Roman"/>
          <w:spacing w:val="-14"/>
          <w:sz w:val="24"/>
        </w:rPr>
        <w:t xml:space="preserve"> </w:t>
      </w:r>
      <w:r>
        <w:rPr>
          <w:rFonts w:ascii="Times New Roman" w:hAnsi="Times New Roman"/>
          <w:sz w:val="24"/>
        </w:rPr>
        <w:t>основании,</w:t>
      </w:r>
      <w:r>
        <w:rPr>
          <w:rFonts w:ascii="Times New Roman" w:hAnsi="Times New Roman"/>
          <w:spacing w:val="-13"/>
          <w:sz w:val="24"/>
        </w:rPr>
        <w:t xml:space="preserve"> </w:t>
      </w:r>
      <w:r>
        <w:rPr>
          <w:rFonts w:ascii="Times New Roman" w:hAnsi="Times New Roman"/>
          <w:sz w:val="24"/>
        </w:rPr>
        <w:t>релевантном</w:t>
      </w:r>
      <w:r>
        <w:rPr>
          <w:rFonts w:ascii="Times New Roman" w:hAnsi="Times New Roman"/>
          <w:spacing w:val="-14"/>
          <w:sz w:val="24"/>
        </w:rPr>
        <w:t xml:space="preserve"> </w:t>
      </w:r>
      <w:r>
        <w:rPr>
          <w:rFonts w:ascii="Times New Roman" w:hAnsi="Times New Roman"/>
          <w:sz w:val="24"/>
        </w:rPr>
        <w:t>для</w:t>
      </w:r>
    </w:p>
    <w:p w14:paraId="55000000">
      <w:pPr>
        <w:sectPr>
          <w:pgSz w:h="16840" w:orient="portrait" w:w="11910"/>
          <w:pgMar w:bottom="1134" w:footer="720" w:gutter="0" w:header="720" w:left="1134" w:right="567" w:top="1134"/>
        </w:sectPr>
      </w:pPr>
    </w:p>
    <w:p w14:paraId="56000000">
      <w:pPr>
        <w:widowControl w:val="0"/>
        <w:spacing w:after="0" w:before="72" w:line="360" w:lineRule="auto"/>
        <w:ind w:firstLine="0" w:left="143" w:right="142"/>
        <w:jc w:val="both"/>
        <w:rPr>
          <w:rFonts w:ascii="Times New Roman" w:hAnsi="Times New Roman"/>
          <w:sz w:val="24"/>
        </w:rPr>
      </w:pPr>
      <w:r>
        <w:rPr>
          <w:rFonts w:ascii="Times New Roman" w:hAnsi="Times New Roman"/>
          <w:sz w:val="24"/>
        </w:rPr>
        <w:t>конкретного</w:t>
      </w:r>
      <w:r>
        <w:rPr>
          <w:rFonts w:ascii="Times New Roman" w:hAnsi="Times New Roman"/>
          <w:spacing w:val="-9"/>
          <w:sz w:val="24"/>
        </w:rPr>
        <w:t xml:space="preserve"> </w:t>
      </w:r>
      <w:r>
        <w:rPr>
          <w:rFonts w:ascii="Times New Roman" w:hAnsi="Times New Roman"/>
          <w:sz w:val="24"/>
        </w:rPr>
        <w:t>дела.</w:t>
      </w:r>
      <w:r>
        <w:rPr>
          <w:rFonts w:ascii="Times New Roman" w:hAnsi="Times New Roman"/>
          <w:spacing w:val="-9"/>
          <w:sz w:val="24"/>
        </w:rPr>
        <w:t xml:space="preserve"> </w:t>
      </w:r>
      <w:r>
        <w:rPr>
          <w:rFonts w:ascii="Times New Roman" w:hAnsi="Times New Roman"/>
          <w:sz w:val="24"/>
        </w:rPr>
        <w:t>Актуальность</w:t>
      </w:r>
      <w:r>
        <w:rPr>
          <w:rFonts w:ascii="Times New Roman" w:hAnsi="Times New Roman"/>
          <w:spacing w:val="-8"/>
          <w:sz w:val="24"/>
        </w:rPr>
        <w:t xml:space="preserve"> </w:t>
      </w:r>
      <w:r>
        <w:rPr>
          <w:rFonts w:ascii="Times New Roman" w:hAnsi="Times New Roman"/>
          <w:sz w:val="24"/>
        </w:rPr>
        <w:t>темы</w:t>
      </w:r>
      <w:r>
        <w:rPr>
          <w:rFonts w:ascii="Times New Roman" w:hAnsi="Times New Roman"/>
          <w:spacing w:val="-10"/>
          <w:sz w:val="24"/>
        </w:rPr>
        <w:t xml:space="preserve"> </w:t>
      </w:r>
      <w:r>
        <w:rPr>
          <w:rFonts w:ascii="Times New Roman" w:hAnsi="Times New Roman"/>
          <w:sz w:val="24"/>
        </w:rPr>
        <w:t>связана</w:t>
      </w:r>
      <w:r>
        <w:rPr>
          <w:rFonts w:ascii="Times New Roman" w:hAnsi="Times New Roman"/>
          <w:spacing w:val="-10"/>
          <w:sz w:val="24"/>
        </w:rPr>
        <w:t xml:space="preserve"> </w:t>
      </w:r>
      <w:r>
        <w:rPr>
          <w:rFonts w:ascii="Times New Roman" w:hAnsi="Times New Roman"/>
          <w:sz w:val="24"/>
        </w:rPr>
        <w:t>с</w:t>
      </w:r>
      <w:r>
        <w:rPr>
          <w:rFonts w:ascii="Times New Roman" w:hAnsi="Times New Roman"/>
          <w:spacing w:val="-10"/>
          <w:sz w:val="24"/>
        </w:rPr>
        <w:t xml:space="preserve"> </w:t>
      </w:r>
      <w:r>
        <w:rPr>
          <w:rFonts w:ascii="Times New Roman" w:hAnsi="Times New Roman"/>
          <w:sz w:val="24"/>
        </w:rPr>
        <w:t>введением</w:t>
      </w:r>
      <w:r>
        <w:rPr>
          <w:rFonts w:ascii="Times New Roman" w:hAnsi="Times New Roman"/>
          <w:spacing w:val="-10"/>
          <w:sz w:val="24"/>
        </w:rPr>
        <w:t xml:space="preserve"> </w:t>
      </w:r>
      <w:r>
        <w:rPr>
          <w:rFonts w:ascii="Times New Roman" w:hAnsi="Times New Roman"/>
          <w:sz w:val="24"/>
        </w:rPr>
        <w:t>новых</w:t>
      </w:r>
      <w:r>
        <w:rPr>
          <w:rFonts w:ascii="Times New Roman" w:hAnsi="Times New Roman"/>
          <w:spacing w:val="-8"/>
          <w:sz w:val="24"/>
        </w:rPr>
        <w:t xml:space="preserve"> </w:t>
      </w:r>
      <w:r>
        <w:rPr>
          <w:rFonts w:ascii="Times New Roman" w:hAnsi="Times New Roman"/>
          <w:sz w:val="24"/>
        </w:rPr>
        <w:t>законодательных</w:t>
      </w:r>
      <w:r>
        <w:rPr>
          <w:rFonts w:ascii="Times New Roman" w:hAnsi="Times New Roman"/>
          <w:spacing w:val="-8"/>
          <w:sz w:val="24"/>
        </w:rPr>
        <w:t xml:space="preserve"> </w:t>
      </w:r>
      <w:r>
        <w:rPr>
          <w:rFonts w:ascii="Times New Roman" w:hAnsi="Times New Roman"/>
          <w:sz w:val="24"/>
        </w:rPr>
        <w:t>положений</w:t>
      </w:r>
      <w:r>
        <w:rPr>
          <w:rFonts w:ascii="Times New Roman" w:hAnsi="Times New Roman"/>
          <w:spacing w:val="-8"/>
          <w:sz w:val="24"/>
        </w:rPr>
        <w:t xml:space="preserve"> </w:t>
      </w:r>
      <w:r>
        <w:rPr>
          <w:rFonts w:ascii="Times New Roman" w:hAnsi="Times New Roman"/>
          <w:sz w:val="24"/>
        </w:rPr>
        <w:t>и с вынесением соответствующих актов судебными органами Российской Федерации.</w:t>
      </w:r>
    </w:p>
    <w:p w14:paraId="57000000">
      <w:bookmarkStart w:id="4" w:name="__RefHeading___4"/>
      <w:bookmarkEnd w:id="4"/>
      <w:pPr>
        <w:widowControl w:val="0"/>
        <w:numPr>
          <w:ilvl w:val="0"/>
          <w:numId w:val="1"/>
        </w:numPr>
        <w:tabs>
          <w:tab w:leader="none" w:pos="862" w:val="left"/>
        </w:tabs>
        <w:spacing w:after="0" w:line="276" w:lineRule="exact"/>
        <w:ind w:hanging="359" w:left="862"/>
        <w:jc w:val="both"/>
        <w:outlineLvl w:val="0"/>
        <w:rPr>
          <w:rFonts w:ascii="Times New Roman" w:hAnsi="Times New Roman"/>
          <w:b w:val="1"/>
          <w:sz w:val="24"/>
        </w:rPr>
      </w:pPr>
      <w:r>
        <w:rPr>
          <w:rFonts w:ascii="Times New Roman" w:hAnsi="Times New Roman"/>
          <w:b w:val="1"/>
          <w:sz w:val="24"/>
        </w:rPr>
        <w:t>Цель</w:t>
      </w:r>
      <w:r>
        <w:rPr>
          <w:rFonts w:ascii="Times New Roman" w:hAnsi="Times New Roman"/>
          <w:b w:val="1"/>
          <w:spacing w:val="-1"/>
          <w:sz w:val="24"/>
        </w:rPr>
        <w:t xml:space="preserve"> </w:t>
      </w:r>
      <w:r>
        <w:rPr>
          <w:rFonts w:ascii="Times New Roman" w:hAnsi="Times New Roman"/>
          <w:b w:val="1"/>
          <w:spacing w:val="-2"/>
          <w:sz w:val="24"/>
        </w:rPr>
        <w:t>исследования</w:t>
      </w:r>
    </w:p>
    <w:p w14:paraId="58000000">
      <w:pPr>
        <w:widowControl w:val="0"/>
        <w:spacing w:after="0" w:before="135" w:line="360" w:lineRule="auto"/>
        <w:ind w:firstLine="0" w:left="143" w:right="138"/>
        <w:jc w:val="both"/>
        <w:rPr>
          <w:rFonts w:ascii="Times New Roman" w:hAnsi="Times New Roman"/>
          <w:sz w:val="24"/>
        </w:rPr>
      </w:pPr>
      <w:r>
        <w:rPr>
          <w:rFonts w:ascii="Times New Roman" w:hAnsi="Times New Roman"/>
          <w:sz w:val="24"/>
        </w:rPr>
        <w:t>Целью исследования является комплексный анализ субсидиарной ответственности для выявления теоретических и практических проблем в исследуемой сфере и нахождение эффективных средств их решения, восполнение имеющихся законодательных и доктринальных пробелов обоснованными предложениями по модернизации отечественного законодательства.</w:t>
      </w:r>
    </w:p>
    <w:p w14:paraId="59000000">
      <w:bookmarkStart w:id="5" w:name="__RefHeading___5"/>
      <w:bookmarkEnd w:id="5"/>
      <w:pPr>
        <w:widowControl w:val="0"/>
        <w:numPr>
          <w:ilvl w:val="0"/>
          <w:numId w:val="1"/>
        </w:numPr>
        <w:tabs>
          <w:tab w:leader="none" w:pos="862" w:val="left"/>
        </w:tabs>
        <w:spacing w:after="0" w:before="5" w:line="240" w:lineRule="auto"/>
        <w:ind w:hanging="359" w:left="862"/>
        <w:outlineLvl w:val="0"/>
        <w:rPr>
          <w:rFonts w:ascii="Times New Roman" w:hAnsi="Times New Roman"/>
          <w:b w:val="1"/>
          <w:sz w:val="24"/>
        </w:rPr>
      </w:pPr>
      <w:r>
        <w:rPr>
          <w:rFonts w:ascii="Times New Roman" w:hAnsi="Times New Roman"/>
          <w:b w:val="1"/>
          <w:sz w:val="24"/>
        </w:rPr>
        <w:t xml:space="preserve">Задачи </w:t>
      </w:r>
      <w:r>
        <w:rPr>
          <w:rFonts w:ascii="Times New Roman" w:hAnsi="Times New Roman"/>
          <w:b w:val="1"/>
          <w:spacing w:val="-2"/>
          <w:sz w:val="24"/>
        </w:rPr>
        <w:t>исследования</w:t>
      </w:r>
    </w:p>
    <w:p w14:paraId="5A000000">
      <w:pPr>
        <w:widowControl w:val="0"/>
        <w:numPr>
          <w:ilvl w:val="0"/>
          <w:numId w:val="2"/>
        </w:numPr>
        <w:tabs>
          <w:tab w:leader="none" w:pos="863" w:val="left"/>
        </w:tabs>
        <w:spacing w:after="0" w:before="132" w:line="360" w:lineRule="auto"/>
        <w:ind w:right="141"/>
        <w:rPr>
          <w:rFonts w:ascii="Times New Roman" w:hAnsi="Times New Roman"/>
          <w:sz w:val="24"/>
        </w:rPr>
      </w:pPr>
      <w:r>
        <w:rPr>
          <w:rFonts w:ascii="Times New Roman" w:hAnsi="Times New Roman"/>
          <w:sz w:val="24"/>
        </w:rPr>
        <w:t>Исследование</w:t>
      </w:r>
      <w:r>
        <w:rPr>
          <w:rFonts w:ascii="Times New Roman" w:hAnsi="Times New Roman"/>
          <w:spacing w:val="80"/>
          <w:sz w:val="24"/>
        </w:rPr>
        <w:t xml:space="preserve"> </w:t>
      </w:r>
      <w:r>
        <w:rPr>
          <w:rFonts w:ascii="Times New Roman" w:hAnsi="Times New Roman"/>
          <w:sz w:val="24"/>
        </w:rPr>
        <w:t>истории</w:t>
      </w:r>
      <w:r>
        <w:rPr>
          <w:rFonts w:ascii="Times New Roman" w:hAnsi="Times New Roman"/>
          <w:spacing w:val="80"/>
          <w:sz w:val="24"/>
        </w:rPr>
        <w:t xml:space="preserve"> </w:t>
      </w:r>
      <w:r>
        <w:rPr>
          <w:rFonts w:ascii="Times New Roman" w:hAnsi="Times New Roman"/>
          <w:sz w:val="24"/>
        </w:rPr>
        <w:t>становления</w:t>
      </w:r>
      <w:r>
        <w:rPr>
          <w:rFonts w:ascii="Times New Roman" w:hAnsi="Times New Roman"/>
          <w:spacing w:val="80"/>
          <w:sz w:val="24"/>
        </w:rPr>
        <w:t xml:space="preserve"> </w:t>
      </w:r>
      <w:r>
        <w:rPr>
          <w:rFonts w:ascii="Times New Roman" w:hAnsi="Times New Roman"/>
          <w:sz w:val="24"/>
        </w:rPr>
        <w:t>и</w:t>
      </w:r>
      <w:r>
        <w:rPr>
          <w:rFonts w:ascii="Times New Roman" w:hAnsi="Times New Roman"/>
          <w:spacing w:val="80"/>
          <w:sz w:val="24"/>
        </w:rPr>
        <w:t xml:space="preserve"> </w:t>
      </w:r>
      <w:r>
        <w:rPr>
          <w:rFonts w:ascii="Times New Roman" w:hAnsi="Times New Roman"/>
          <w:sz w:val="24"/>
        </w:rPr>
        <w:t>развития</w:t>
      </w:r>
      <w:r>
        <w:rPr>
          <w:rFonts w:ascii="Times New Roman" w:hAnsi="Times New Roman"/>
          <w:spacing w:val="80"/>
          <w:sz w:val="24"/>
        </w:rPr>
        <w:t xml:space="preserve"> </w:t>
      </w:r>
      <w:r>
        <w:rPr>
          <w:rFonts w:ascii="Times New Roman" w:hAnsi="Times New Roman"/>
          <w:sz w:val="24"/>
        </w:rPr>
        <w:t>субсидиарной</w:t>
      </w:r>
      <w:r>
        <w:rPr>
          <w:rFonts w:ascii="Times New Roman" w:hAnsi="Times New Roman"/>
          <w:spacing w:val="80"/>
          <w:sz w:val="24"/>
        </w:rPr>
        <w:t xml:space="preserve"> </w:t>
      </w:r>
      <w:r>
        <w:rPr>
          <w:rFonts w:ascii="Times New Roman" w:hAnsi="Times New Roman"/>
          <w:sz w:val="24"/>
        </w:rPr>
        <w:t>ответственности</w:t>
      </w:r>
      <w:r>
        <w:rPr>
          <w:rFonts w:ascii="Times New Roman" w:hAnsi="Times New Roman"/>
          <w:spacing w:val="80"/>
          <w:sz w:val="24"/>
        </w:rPr>
        <w:t xml:space="preserve"> </w:t>
      </w:r>
      <w:r>
        <w:rPr>
          <w:rFonts w:ascii="Times New Roman" w:hAnsi="Times New Roman"/>
          <w:sz w:val="24"/>
        </w:rPr>
        <w:t>в отечественном гражданском праве.</w:t>
      </w:r>
    </w:p>
    <w:p w14:paraId="5B000000">
      <w:pPr>
        <w:widowControl w:val="0"/>
        <w:numPr>
          <w:ilvl w:val="0"/>
          <w:numId w:val="2"/>
        </w:numPr>
        <w:tabs>
          <w:tab w:leader="none" w:pos="862" w:val="left"/>
        </w:tabs>
        <w:spacing w:after="0" w:line="240" w:lineRule="auto"/>
        <w:ind w:hanging="359" w:left="862"/>
        <w:rPr>
          <w:rFonts w:ascii="Times New Roman" w:hAnsi="Times New Roman"/>
          <w:sz w:val="24"/>
        </w:rPr>
      </w:pPr>
      <w:r>
        <w:rPr>
          <w:rFonts w:ascii="Times New Roman" w:hAnsi="Times New Roman"/>
          <w:sz w:val="24"/>
        </w:rPr>
        <w:t>Выявление</w:t>
      </w:r>
      <w:r>
        <w:rPr>
          <w:rFonts w:ascii="Times New Roman" w:hAnsi="Times New Roman"/>
          <w:spacing w:val="-7"/>
          <w:sz w:val="24"/>
        </w:rPr>
        <w:t xml:space="preserve"> </w:t>
      </w:r>
      <w:r>
        <w:rPr>
          <w:rFonts w:ascii="Times New Roman" w:hAnsi="Times New Roman"/>
          <w:sz w:val="24"/>
        </w:rPr>
        <w:t>правовой</w:t>
      </w:r>
      <w:r>
        <w:rPr>
          <w:rFonts w:ascii="Times New Roman" w:hAnsi="Times New Roman"/>
          <w:spacing w:val="-4"/>
          <w:sz w:val="24"/>
        </w:rPr>
        <w:t xml:space="preserve"> </w:t>
      </w:r>
      <w:r>
        <w:rPr>
          <w:rFonts w:ascii="Times New Roman" w:hAnsi="Times New Roman"/>
          <w:sz w:val="24"/>
        </w:rPr>
        <w:t>природы</w:t>
      </w:r>
      <w:r>
        <w:rPr>
          <w:rFonts w:ascii="Times New Roman" w:hAnsi="Times New Roman"/>
          <w:spacing w:val="-4"/>
          <w:sz w:val="24"/>
        </w:rPr>
        <w:t xml:space="preserve"> </w:t>
      </w:r>
      <w:r>
        <w:rPr>
          <w:rFonts w:ascii="Times New Roman" w:hAnsi="Times New Roman"/>
          <w:sz w:val="24"/>
        </w:rPr>
        <w:t>субсидиарной</w:t>
      </w:r>
      <w:r>
        <w:rPr>
          <w:rFonts w:ascii="Times New Roman" w:hAnsi="Times New Roman"/>
          <w:spacing w:val="-4"/>
          <w:sz w:val="24"/>
        </w:rPr>
        <w:t xml:space="preserve"> </w:t>
      </w:r>
      <w:r>
        <w:rPr>
          <w:rFonts w:ascii="Times New Roman" w:hAnsi="Times New Roman"/>
          <w:sz w:val="24"/>
        </w:rPr>
        <w:t>ответственности</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ее</w:t>
      </w:r>
      <w:r>
        <w:rPr>
          <w:rFonts w:ascii="Times New Roman" w:hAnsi="Times New Roman"/>
          <w:spacing w:val="-4"/>
          <w:sz w:val="24"/>
        </w:rPr>
        <w:t xml:space="preserve"> </w:t>
      </w:r>
      <w:r>
        <w:rPr>
          <w:rFonts w:ascii="Times New Roman" w:hAnsi="Times New Roman"/>
          <w:spacing w:val="-2"/>
          <w:sz w:val="24"/>
        </w:rPr>
        <w:t>значения.</w:t>
      </w:r>
    </w:p>
    <w:p w14:paraId="5C000000">
      <w:pPr>
        <w:widowControl w:val="0"/>
        <w:numPr>
          <w:ilvl w:val="0"/>
          <w:numId w:val="2"/>
        </w:numPr>
        <w:tabs>
          <w:tab w:leader="none" w:pos="863" w:val="left"/>
        </w:tabs>
        <w:spacing w:after="0" w:before="140" w:line="360" w:lineRule="auto"/>
        <w:ind w:right="140"/>
        <w:rPr>
          <w:rFonts w:ascii="Times New Roman" w:hAnsi="Times New Roman"/>
          <w:sz w:val="24"/>
        </w:rPr>
      </w:pPr>
      <w:r>
        <w:rPr>
          <w:rFonts w:ascii="Times New Roman" w:hAnsi="Times New Roman"/>
          <w:sz w:val="24"/>
        </w:rPr>
        <w:t>Раскрытие</w:t>
      </w:r>
      <w:r>
        <w:rPr>
          <w:rFonts w:ascii="Times New Roman" w:hAnsi="Times New Roman"/>
          <w:spacing w:val="80"/>
          <w:sz w:val="24"/>
        </w:rPr>
        <w:t xml:space="preserve"> </w:t>
      </w:r>
      <w:r>
        <w:rPr>
          <w:rFonts w:ascii="Times New Roman" w:hAnsi="Times New Roman"/>
          <w:sz w:val="24"/>
        </w:rPr>
        <w:t>понятия</w:t>
      </w:r>
      <w:r>
        <w:rPr>
          <w:rFonts w:ascii="Times New Roman" w:hAnsi="Times New Roman"/>
          <w:spacing w:val="80"/>
          <w:sz w:val="24"/>
        </w:rPr>
        <w:t xml:space="preserve"> </w:t>
      </w:r>
      <w:r>
        <w:rPr>
          <w:rFonts w:ascii="Times New Roman" w:hAnsi="Times New Roman"/>
          <w:sz w:val="24"/>
        </w:rPr>
        <w:t>субсидиарной</w:t>
      </w:r>
      <w:r>
        <w:rPr>
          <w:rFonts w:ascii="Times New Roman" w:hAnsi="Times New Roman"/>
          <w:spacing w:val="80"/>
          <w:sz w:val="24"/>
        </w:rPr>
        <w:t xml:space="preserve"> </w:t>
      </w:r>
      <w:r>
        <w:rPr>
          <w:rFonts w:ascii="Times New Roman" w:hAnsi="Times New Roman"/>
          <w:sz w:val="24"/>
        </w:rPr>
        <w:t>ответственности</w:t>
      </w:r>
      <w:r>
        <w:rPr>
          <w:rFonts w:ascii="Times New Roman" w:hAnsi="Times New Roman"/>
          <w:spacing w:val="80"/>
          <w:sz w:val="24"/>
        </w:rPr>
        <w:t xml:space="preserve"> </w:t>
      </w:r>
      <w:r>
        <w:rPr>
          <w:rFonts w:ascii="Times New Roman" w:hAnsi="Times New Roman"/>
          <w:sz w:val="24"/>
        </w:rPr>
        <w:t>и</w:t>
      </w:r>
      <w:r>
        <w:rPr>
          <w:rFonts w:ascii="Times New Roman" w:hAnsi="Times New Roman"/>
          <w:spacing w:val="80"/>
          <w:sz w:val="24"/>
        </w:rPr>
        <w:t xml:space="preserve"> </w:t>
      </w:r>
      <w:r>
        <w:rPr>
          <w:rFonts w:ascii="Times New Roman" w:hAnsi="Times New Roman"/>
          <w:sz w:val="24"/>
        </w:rPr>
        <w:t>соотнесение</w:t>
      </w:r>
      <w:r>
        <w:rPr>
          <w:rFonts w:ascii="Times New Roman" w:hAnsi="Times New Roman"/>
          <w:spacing w:val="80"/>
          <w:sz w:val="24"/>
        </w:rPr>
        <w:t xml:space="preserve"> </w:t>
      </w:r>
      <w:r>
        <w:rPr>
          <w:rFonts w:ascii="Times New Roman" w:hAnsi="Times New Roman"/>
          <w:sz w:val="24"/>
        </w:rPr>
        <w:t>ее</w:t>
      </w:r>
      <w:r>
        <w:rPr>
          <w:rFonts w:ascii="Times New Roman" w:hAnsi="Times New Roman"/>
          <w:spacing w:val="80"/>
          <w:sz w:val="24"/>
        </w:rPr>
        <w:t xml:space="preserve"> </w:t>
      </w:r>
      <w:r>
        <w:rPr>
          <w:rFonts w:ascii="Times New Roman" w:hAnsi="Times New Roman"/>
          <w:sz w:val="24"/>
        </w:rPr>
        <w:t>со</w:t>
      </w:r>
      <w:r>
        <w:rPr>
          <w:rFonts w:ascii="Times New Roman" w:hAnsi="Times New Roman"/>
          <w:spacing w:val="80"/>
          <w:sz w:val="24"/>
        </w:rPr>
        <w:t xml:space="preserve"> </w:t>
      </w:r>
      <w:r>
        <w:rPr>
          <w:rFonts w:ascii="Times New Roman" w:hAnsi="Times New Roman"/>
          <w:sz w:val="24"/>
        </w:rPr>
        <w:t>схожими</w:t>
      </w:r>
      <w:r>
        <w:rPr>
          <w:rFonts w:ascii="Times New Roman" w:hAnsi="Times New Roman"/>
          <w:spacing w:val="40"/>
          <w:sz w:val="24"/>
        </w:rPr>
        <w:t xml:space="preserve"> </w:t>
      </w:r>
      <w:r>
        <w:rPr>
          <w:rFonts w:ascii="Times New Roman" w:hAnsi="Times New Roman"/>
          <w:sz w:val="24"/>
        </w:rPr>
        <w:t>правовыми категориями.</w:t>
      </w:r>
    </w:p>
    <w:p w14:paraId="5D000000">
      <w:pPr>
        <w:widowControl w:val="0"/>
        <w:numPr>
          <w:ilvl w:val="0"/>
          <w:numId w:val="2"/>
        </w:numPr>
        <w:tabs>
          <w:tab w:leader="none" w:pos="863" w:val="left"/>
        </w:tabs>
        <w:spacing w:after="0" w:line="360" w:lineRule="auto"/>
        <w:ind w:right="146"/>
        <w:rPr>
          <w:rFonts w:ascii="Times New Roman" w:hAnsi="Times New Roman"/>
          <w:sz w:val="24"/>
        </w:rPr>
      </w:pPr>
      <w:r>
        <w:rPr>
          <w:rFonts w:ascii="Times New Roman" w:hAnsi="Times New Roman"/>
          <w:sz w:val="24"/>
        </w:rPr>
        <w:t>Исследование</w:t>
      </w:r>
      <w:r>
        <w:rPr>
          <w:rFonts w:ascii="Times New Roman" w:hAnsi="Times New Roman"/>
          <w:spacing w:val="-1"/>
          <w:sz w:val="24"/>
        </w:rPr>
        <w:t xml:space="preserve"> </w:t>
      </w:r>
      <w:r>
        <w:rPr>
          <w:rFonts w:ascii="Times New Roman" w:hAnsi="Times New Roman"/>
          <w:sz w:val="24"/>
        </w:rPr>
        <w:t>условий</w:t>
      </w:r>
      <w:r>
        <w:rPr>
          <w:rFonts w:ascii="Times New Roman" w:hAnsi="Times New Roman"/>
          <w:spacing w:val="-2"/>
          <w:sz w:val="24"/>
        </w:rPr>
        <w:t xml:space="preserve"> </w:t>
      </w:r>
      <w:r>
        <w:rPr>
          <w:rFonts w:ascii="Times New Roman" w:hAnsi="Times New Roman"/>
          <w:sz w:val="24"/>
        </w:rPr>
        <w:t>применения</w:t>
      </w:r>
      <w:r>
        <w:rPr>
          <w:rFonts w:ascii="Times New Roman" w:hAnsi="Times New Roman"/>
          <w:spacing w:val="-5"/>
          <w:sz w:val="24"/>
        </w:rPr>
        <w:t xml:space="preserve"> </w:t>
      </w:r>
      <w:r>
        <w:rPr>
          <w:rFonts w:ascii="Times New Roman" w:hAnsi="Times New Roman"/>
          <w:sz w:val="24"/>
        </w:rPr>
        <w:t>субсидиарной</w:t>
      </w:r>
      <w:r>
        <w:rPr>
          <w:rFonts w:ascii="Times New Roman" w:hAnsi="Times New Roman"/>
          <w:spacing w:val="-4"/>
          <w:sz w:val="24"/>
        </w:rPr>
        <w:t xml:space="preserve"> </w:t>
      </w:r>
      <w:r>
        <w:rPr>
          <w:rFonts w:ascii="Times New Roman" w:hAnsi="Times New Roman"/>
          <w:sz w:val="24"/>
        </w:rPr>
        <w:t>ответственности,</w:t>
      </w:r>
      <w:r>
        <w:rPr>
          <w:rFonts w:ascii="Times New Roman" w:hAnsi="Times New Roman"/>
          <w:spacing w:val="-5"/>
          <w:sz w:val="24"/>
        </w:rPr>
        <w:t xml:space="preserve"> </w:t>
      </w:r>
      <w:r>
        <w:rPr>
          <w:rFonts w:ascii="Times New Roman" w:hAnsi="Times New Roman"/>
          <w:sz w:val="24"/>
        </w:rPr>
        <w:t>порядка</w:t>
      </w:r>
      <w:r>
        <w:rPr>
          <w:rFonts w:ascii="Times New Roman" w:hAnsi="Times New Roman"/>
          <w:spacing w:val="-6"/>
          <w:sz w:val="24"/>
        </w:rPr>
        <w:t xml:space="preserve"> </w:t>
      </w:r>
      <w:r>
        <w:rPr>
          <w:rFonts w:ascii="Times New Roman" w:hAnsi="Times New Roman"/>
          <w:sz w:val="24"/>
        </w:rPr>
        <w:t>наступления и классификаций субсидиарной ответственности</w:t>
      </w:r>
    </w:p>
    <w:p w14:paraId="5E000000">
      <w:pPr>
        <w:widowControl w:val="0"/>
        <w:numPr>
          <w:ilvl w:val="0"/>
          <w:numId w:val="2"/>
        </w:numPr>
        <w:tabs>
          <w:tab w:leader="none" w:pos="863" w:val="left"/>
          <w:tab w:leader="none" w:pos="2257" w:val="left"/>
          <w:tab w:leader="none" w:pos="4093" w:val="left"/>
          <w:tab w:leader="none" w:pos="4806" w:val="left"/>
          <w:tab w:leader="none" w:pos="6506" w:val="left"/>
          <w:tab w:leader="none" w:pos="8464" w:val="left"/>
          <w:tab w:leader="none" w:pos="9938" w:val="left"/>
        </w:tabs>
        <w:spacing w:after="0" w:line="360" w:lineRule="auto"/>
        <w:ind w:right="136"/>
        <w:rPr>
          <w:rFonts w:ascii="Times New Roman" w:hAnsi="Times New Roman"/>
          <w:sz w:val="24"/>
        </w:rPr>
      </w:pPr>
      <w:r>
        <w:rPr>
          <w:rFonts w:ascii="Times New Roman" w:hAnsi="Times New Roman"/>
          <w:spacing w:val="-2"/>
          <w:sz w:val="24"/>
        </w:rPr>
        <w:t>Выявление</w:t>
      </w:r>
      <w:r>
        <w:rPr>
          <w:rFonts w:ascii="Times New Roman" w:hAnsi="Times New Roman"/>
          <w:sz w:val="24"/>
        </w:rPr>
        <w:tab/>
      </w:r>
      <w:r>
        <w:rPr>
          <w:rFonts w:ascii="Times New Roman" w:hAnsi="Times New Roman"/>
          <w:spacing w:val="-2"/>
          <w:sz w:val="24"/>
        </w:rPr>
        <w:t>отличительных</w:t>
      </w:r>
      <w:r>
        <w:rPr>
          <w:rFonts w:ascii="Times New Roman" w:hAnsi="Times New Roman"/>
          <w:sz w:val="24"/>
        </w:rPr>
        <w:tab/>
      </w:r>
      <w:r>
        <w:rPr>
          <w:rFonts w:ascii="Times New Roman" w:hAnsi="Times New Roman"/>
          <w:spacing w:val="-4"/>
          <w:sz w:val="24"/>
        </w:rPr>
        <w:t>черт</w:t>
      </w:r>
      <w:r>
        <w:rPr>
          <w:rFonts w:ascii="Times New Roman" w:hAnsi="Times New Roman"/>
          <w:sz w:val="24"/>
        </w:rPr>
        <w:tab/>
      </w:r>
      <w:r>
        <w:rPr>
          <w:rFonts w:ascii="Times New Roman" w:hAnsi="Times New Roman"/>
          <w:spacing w:val="-2"/>
          <w:sz w:val="24"/>
        </w:rPr>
        <w:t>субсидиарной</w:t>
      </w:r>
      <w:r>
        <w:rPr>
          <w:rFonts w:ascii="Times New Roman" w:hAnsi="Times New Roman"/>
          <w:sz w:val="24"/>
        </w:rPr>
        <w:tab/>
      </w:r>
      <w:r>
        <w:rPr>
          <w:rFonts w:ascii="Times New Roman" w:hAnsi="Times New Roman"/>
          <w:spacing w:val="-2"/>
          <w:sz w:val="24"/>
        </w:rPr>
        <w:t>ответственности</w:t>
      </w:r>
      <w:r>
        <w:rPr>
          <w:rFonts w:ascii="Times New Roman" w:hAnsi="Times New Roman"/>
          <w:sz w:val="24"/>
        </w:rPr>
        <w:tab/>
      </w:r>
      <w:r>
        <w:rPr>
          <w:rFonts w:ascii="Times New Roman" w:hAnsi="Times New Roman"/>
          <w:spacing w:val="-2"/>
          <w:sz w:val="24"/>
        </w:rPr>
        <w:t>физических</w:t>
      </w:r>
      <w:r>
        <w:rPr>
          <w:rFonts w:ascii="Times New Roman" w:hAnsi="Times New Roman"/>
          <w:sz w:val="24"/>
        </w:rPr>
        <w:tab/>
      </w:r>
      <w:r>
        <w:rPr>
          <w:rFonts w:ascii="Times New Roman" w:hAnsi="Times New Roman"/>
          <w:spacing w:val="-10"/>
          <w:sz w:val="24"/>
        </w:rPr>
        <w:t xml:space="preserve">и </w:t>
      </w:r>
      <w:r>
        <w:rPr>
          <w:rFonts w:ascii="Times New Roman" w:hAnsi="Times New Roman"/>
          <w:sz w:val="24"/>
        </w:rPr>
        <w:t>юридических лиц.</w:t>
      </w:r>
    </w:p>
    <w:p w14:paraId="5F000000">
      <w:bookmarkStart w:id="6" w:name="__RefHeading___6"/>
      <w:bookmarkEnd w:id="6"/>
      <w:pPr>
        <w:widowControl w:val="0"/>
        <w:numPr>
          <w:ilvl w:val="0"/>
          <w:numId w:val="2"/>
        </w:numPr>
        <w:tabs>
          <w:tab w:leader="none" w:pos="863" w:val="left"/>
        </w:tabs>
        <w:spacing w:after="0" w:before="5" w:line="360" w:lineRule="auto"/>
        <w:ind w:right="144"/>
        <w:outlineLvl w:val="0"/>
        <w:rPr>
          <w:rFonts w:ascii="Times New Roman" w:hAnsi="Times New Roman"/>
          <w:b w:val="1"/>
          <w:sz w:val="24"/>
        </w:rPr>
      </w:pPr>
      <w:r>
        <w:rPr>
          <w:rFonts w:ascii="Times New Roman" w:hAnsi="Times New Roman"/>
          <w:b w:val="1"/>
          <w:sz w:val="24"/>
        </w:rPr>
        <w:t>Организация,</w:t>
      </w:r>
      <w:r>
        <w:rPr>
          <w:rFonts w:ascii="Times New Roman" w:hAnsi="Times New Roman"/>
          <w:b w:val="1"/>
          <w:spacing w:val="40"/>
          <w:sz w:val="24"/>
        </w:rPr>
        <w:t xml:space="preserve"> </w:t>
      </w:r>
      <w:r>
        <w:rPr>
          <w:rFonts w:ascii="Times New Roman" w:hAnsi="Times New Roman"/>
          <w:b w:val="1"/>
          <w:sz w:val="24"/>
        </w:rPr>
        <w:t>результаты</w:t>
      </w:r>
      <w:r>
        <w:rPr>
          <w:rFonts w:ascii="Times New Roman" w:hAnsi="Times New Roman"/>
          <w:b w:val="1"/>
          <w:spacing w:val="40"/>
          <w:sz w:val="24"/>
        </w:rPr>
        <w:t xml:space="preserve"> </w:t>
      </w:r>
      <w:r>
        <w:rPr>
          <w:rFonts w:ascii="Times New Roman" w:hAnsi="Times New Roman"/>
          <w:b w:val="1"/>
          <w:sz w:val="24"/>
        </w:rPr>
        <w:t>деятельности</w:t>
      </w:r>
      <w:r>
        <w:rPr>
          <w:rFonts w:ascii="Times New Roman" w:hAnsi="Times New Roman"/>
          <w:b w:val="1"/>
          <w:spacing w:val="40"/>
          <w:sz w:val="24"/>
        </w:rPr>
        <w:t xml:space="preserve"> </w:t>
      </w:r>
      <w:r>
        <w:rPr>
          <w:rFonts w:ascii="Times New Roman" w:hAnsi="Times New Roman"/>
          <w:b w:val="1"/>
          <w:sz w:val="24"/>
        </w:rPr>
        <w:t>которой</w:t>
      </w:r>
      <w:r>
        <w:rPr>
          <w:rFonts w:ascii="Times New Roman" w:hAnsi="Times New Roman"/>
          <w:b w:val="1"/>
          <w:spacing w:val="40"/>
          <w:sz w:val="24"/>
        </w:rPr>
        <w:t xml:space="preserve"> </w:t>
      </w:r>
      <w:r>
        <w:rPr>
          <w:rFonts w:ascii="Times New Roman" w:hAnsi="Times New Roman"/>
          <w:b w:val="1"/>
          <w:sz w:val="24"/>
        </w:rPr>
        <w:t>использованы</w:t>
      </w:r>
      <w:r>
        <w:rPr>
          <w:rFonts w:ascii="Times New Roman" w:hAnsi="Times New Roman"/>
          <w:b w:val="1"/>
          <w:spacing w:val="40"/>
          <w:sz w:val="24"/>
        </w:rPr>
        <w:t xml:space="preserve"> </w:t>
      </w:r>
      <w:r>
        <w:rPr>
          <w:rFonts w:ascii="Times New Roman" w:hAnsi="Times New Roman"/>
          <w:b w:val="1"/>
          <w:sz w:val="24"/>
        </w:rPr>
        <w:t>в</w:t>
      </w:r>
      <w:r>
        <w:rPr>
          <w:rFonts w:ascii="Times New Roman" w:hAnsi="Times New Roman"/>
          <w:b w:val="1"/>
          <w:spacing w:val="40"/>
          <w:sz w:val="24"/>
        </w:rPr>
        <w:t xml:space="preserve"> </w:t>
      </w:r>
      <w:r>
        <w:rPr>
          <w:rFonts w:ascii="Times New Roman" w:hAnsi="Times New Roman"/>
          <w:b w:val="1"/>
          <w:sz w:val="24"/>
        </w:rPr>
        <w:t>магистерской</w:t>
      </w:r>
      <w:r>
        <w:rPr>
          <w:rFonts w:ascii="Times New Roman" w:hAnsi="Times New Roman"/>
          <w:b w:val="1"/>
          <w:spacing w:val="40"/>
          <w:sz w:val="24"/>
        </w:rPr>
        <w:t xml:space="preserve"> </w:t>
      </w:r>
      <w:r>
        <w:rPr>
          <w:rFonts w:ascii="Times New Roman" w:hAnsi="Times New Roman"/>
          <w:b w:val="1"/>
          <w:sz w:val="24"/>
        </w:rPr>
        <w:t>диссертации в качестве объекта исследования</w:t>
      </w:r>
    </w:p>
    <w:p w14:paraId="60000000">
      <w:pPr>
        <w:widowControl w:val="0"/>
        <w:spacing w:after="0" w:line="269" w:lineRule="exact"/>
        <w:ind w:firstLine="0" w:left="143"/>
        <w:jc w:val="both"/>
        <w:rPr>
          <w:rFonts w:ascii="Times New Roman" w:hAnsi="Times New Roman"/>
          <w:sz w:val="24"/>
        </w:rPr>
      </w:pPr>
      <w:r>
        <w:rPr>
          <w:rFonts w:ascii="Times New Roman" w:hAnsi="Times New Roman"/>
          <w:sz w:val="24"/>
        </w:rPr>
        <w:t>Общество</w:t>
      </w:r>
      <w:r>
        <w:rPr>
          <w:rFonts w:ascii="Times New Roman" w:hAnsi="Times New Roman"/>
          <w:spacing w:val="-5"/>
          <w:sz w:val="24"/>
        </w:rPr>
        <w:t xml:space="preserve"> </w:t>
      </w:r>
      <w:r>
        <w:rPr>
          <w:rFonts w:ascii="Times New Roman" w:hAnsi="Times New Roman"/>
          <w:sz w:val="24"/>
        </w:rPr>
        <w:t>с</w:t>
      </w:r>
      <w:r>
        <w:rPr>
          <w:rFonts w:ascii="Times New Roman" w:hAnsi="Times New Roman"/>
          <w:spacing w:val="-3"/>
          <w:sz w:val="24"/>
        </w:rPr>
        <w:t xml:space="preserve"> </w:t>
      </w:r>
      <w:r>
        <w:rPr>
          <w:rFonts w:ascii="Times New Roman" w:hAnsi="Times New Roman"/>
          <w:sz w:val="24"/>
        </w:rPr>
        <w:t>ограниченной</w:t>
      </w:r>
      <w:r>
        <w:rPr>
          <w:rFonts w:ascii="Times New Roman" w:hAnsi="Times New Roman"/>
          <w:spacing w:val="-2"/>
          <w:sz w:val="24"/>
        </w:rPr>
        <w:t xml:space="preserve"> </w:t>
      </w:r>
      <w:r>
        <w:rPr>
          <w:rFonts w:ascii="Times New Roman" w:hAnsi="Times New Roman"/>
          <w:sz w:val="24"/>
        </w:rPr>
        <w:t>ответственностью</w:t>
      </w:r>
      <w:r>
        <w:rPr>
          <w:rFonts w:ascii="Times New Roman" w:hAnsi="Times New Roman"/>
          <w:spacing w:val="-2"/>
          <w:sz w:val="24"/>
        </w:rPr>
        <w:t xml:space="preserve"> </w:t>
      </w:r>
      <w:r>
        <w:rPr>
          <w:rFonts w:ascii="Times New Roman" w:hAnsi="Times New Roman"/>
          <w:sz w:val="24"/>
        </w:rPr>
        <w:t>"</w:t>
      </w:r>
      <w:r>
        <w:rPr>
          <w:rFonts w:ascii="Times New Roman" w:hAnsi="Times New Roman"/>
          <w:sz w:val="24"/>
        </w:rPr>
        <w:t>Паблотан</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Зест</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pacing w:val="-5"/>
          <w:sz w:val="24"/>
        </w:rPr>
        <w:t>к".</w:t>
      </w:r>
    </w:p>
    <w:p w14:paraId="61000000">
      <w:pPr>
        <w:widowControl w:val="0"/>
        <w:spacing w:after="0" w:before="182" w:line="360" w:lineRule="auto"/>
        <w:ind w:firstLine="0" w:left="143" w:right="139"/>
        <w:jc w:val="both"/>
        <w:rPr>
          <w:rFonts w:ascii="Times New Roman" w:hAnsi="Times New Roman"/>
          <w:sz w:val="24"/>
        </w:rPr>
      </w:pPr>
      <w:r>
        <w:rPr>
          <w:rFonts w:ascii="Times New Roman" w:hAnsi="Times New Roman"/>
          <w:sz w:val="24"/>
        </w:rPr>
        <w:t>ООО «</w:t>
      </w:r>
      <w:r>
        <w:rPr>
          <w:rFonts w:ascii="Times New Roman" w:hAnsi="Times New Roman"/>
          <w:sz w:val="24"/>
        </w:rPr>
        <w:t>Паблотан</w:t>
      </w:r>
      <w:r>
        <w:rPr>
          <w:rFonts w:ascii="Times New Roman" w:hAnsi="Times New Roman"/>
          <w:sz w:val="24"/>
        </w:rPr>
        <w:t xml:space="preserve"> - </w:t>
      </w:r>
      <w:r>
        <w:rPr>
          <w:rFonts w:ascii="Times New Roman" w:hAnsi="Times New Roman"/>
          <w:sz w:val="24"/>
        </w:rPr>
        <w:t>Зест</w:t>
      </w:r>
      <w:r>
        <w:rPr>
          <w:rFonts w:ascii="Times New Roman" w:hAnsi="Times New Roman"/>
          <w:sz w:val="24"/>
        </w:rPr>
        <w:t xml:space="preserve"> и к» находится в процессе ликвидации. Компания была основана в 1998 году, зарегистрирована в Находке и занималась оптовой торговлей лесоматериалами и стройматериалами. С июля 2020 года управление осуществляет генеральный директор Егор Александрович</w:t>
      </w:r>
      <w:r>
        <w:rPr>
          <w:rFonts w:ascii="Times New Roman" w:hAnsi="Times New Roman"/>
          <w:spacing w:val="-1"/>
          <w:sz w:val="24"/>
        </w:rPr>
        <w:t xml:space="preserve"> </w:t>
      </w:r>
      <w:r>
        <w:rPr>
          <w:rFonts w:ascii="Times New Roman" w:hAnsi="Times New Roman"/>
          <w:sz w:val="24"/>
        </w:rPr>
        <w:t>Зырянов, который также является единственным учредителем, что указывает на полную</w:t>
      </w:r>
      <w:r>
        <w:rPr>
          <w:rFonts w:ascii="Times New Roman" w:hAnsi="Times New Roman"/>
          <w:spacing w:val="-15"/>
          <w:sz w:val="24"/>
        </w:rPr>
        <w:t xml:space="preserve"> </w:t>
      </w:r>
      <w:r>
        <w:rPr>
          <w:rFonts w:ascii="Times New Roman" w:hAnsi="Times New Roman"/>
          <w:sz w:val="24"/>
        </w:rPr>
        <w:t>концентрацию</w:t>
      </w:r>
      <w:r>
        <w:rPr>
          <w:rFonts w:ascii="Times New Roman" w:hAnsi="Times New Roman"/>
          <w:spacing w:val="-15"/>
          <w:sz w:val="24"/>
        </w:rPr>
        <w:t xml:space="preserve"> </w:t>
      </w:r>
      <w:r>
        <w:rPr>
          <w:rFonts w:ascii="Times New Roman" w:hAnsi="Times New Roman"/>
          <w:sz w:val="24"/>
        </w:rPr>
        <w:t>контроля.</w:t>
      </w:r>
      <w:r>
        <w:rPr>
          <w:rFonts w:ascii="Times New Roman" w:hAnsi="Times New Roman"/>
          <w:spacing w:val="-15"/>
          <w:sz w:val="24"/>
        </w:rPr>
        <w:t xml:space="preserve"> </w:t>
      </w:r>
      <w:r>
        <w:rPr>
          <w:rFonts w:ascii="Times New Roman" w:hAnsi="Times New Roman"/>
          <w:sz w:val="24"/>
        </w:rPr>
        <w:t>Штат</w:t>
      </w:r>
      <w:r>
        <w:rPr>
          <w:rFonts w:ascii="Times New Roman" w:hAnsi="Times New Roman"/>
          <w:spacing w:val="-15"/>
          <w:sz w:val="24"/>
        </w:rPr>
        <w:t xml:space="preserve"> </w:t>
      </w:r>
      <w:r>
        <w:rPr>
          <w:rFonts w:ascii="Times New Roman" w:hAnsi="Times New Roman"/>
          <w:sz w:val="24"/>
        </w:rPr>
        <w:t>компании</w:t>
      </w:r>
      <w:r>
        <w:rPr>
          <w:rFonts w:ascii="Times New Roman" w:hAnsi="Times New Roman"/>
          <w:spacing w:val="-15"/>
          <w:sz w:val="24"/>
        </w:rPr>
        <w:t xml:space="preserve"> </w:t>
      </w:r>
      <w:r>
        <w:rPr>
          <w:rFonts w:ascii="Times New Roman" w:hAnsi="Times New Roman"/>
          <w:sz w:val="24"/>
        </w:rPr>
        <w:t>последовательно</w:t>
      </w:r>
      <w:r>
        <w:rPr>
          <w:rFonts w:ascii="Times New Roman" w:hAnsi="Times New Roman"/>
          <w:spacing w:val="-15"/>
          <w:sz w:val="24"/>
        </w:rPr>
        <w:t xml:space="preserve"> </w:t>
      </w:r>
      <w:r>
        <w:rPr>
          <w:rFonts w:ascii="Times New Roman" w:hAnsi="Times New Roman"/>
          <w:sz w:val="24"/>
        </w:rPr>
        <w:t>сокращался:</w:t>
      </w:r>
      <w:r>
        <w:rPr>
          <w:rFonts w:ascii="Times New Roman" w:hAnsi="Times New Roman"/>
          <w:spacing w:val="-15"/>
          <w:sz w:val="24"/>
        </w:rPr>
        <w:t xml:space="preserve"> </w:t>
      </w:r>
      <w:r>
        <w:rPr>
          <w:rFonts w:ascii="Times New Roman" w:hAnsi="Times New Roman"/>
          <w:sz w:val="24"/>
        </w:rPr>
        <w:t>с</w:t>
      </w:r>
      <w:r>
        <w:rPr>
          <w:rFonts w:ascii="Times New Roman" w:hAnsi="Times New Roman"/>
          <w:spacing w:val="-15"/>
          <w:sz w:val="24"/>
        </w:rPr>
        <w:t xml:space="preserve"> </w:t>
      </w:r>
      <w:r>
        <w:rPr>
          <w:rFonts w:ascii="Times New Roman" w:hAnsi="Times New Roman"/>
          <w:sz w:val="24"/>
        </w:rPr>
        <w:t>15</w:t>
      </w:r>
      <w:r>
        <w:rPr>
          <w:rFonts w:ascii="Times New Roman" w:hAnsi="Times New Roman"/>
          <w:spacing w:val="-15"/>
          <w:sz w:val="24"/>
        </w:rPr>
        <w:t xml:space="preserve"> </w:t>
      </w:r>
      <w:r>
        <w:rPr>
          <w:rFonts w:ascii="Times New Roman" w:hAnsi="Times New Roman"/>
          <w:sz w:val="24"/>
        </w:rPr>
        <w:t>сотрудников в 2018-2019 годах до 1 человека в 2022 году. Компания не имеет филиалов, а её единственный офис расположен в Краснодарском крае, что отличается от юридического адреса в Приморье. Лицензии, товарные знаки и действующие связанные организации отсутствуют.</w:t>
      </w:r>
    </w:p>
    <w:p w14:paraId="62000000">
      <w:pPr>
        <w:widowControl w:val="0"/>
        <w:spacing w:after="0" w:before="1" w:line="360" w:lineRule="auto"/>
        <w:ind w:firstLine="0" w:left="143" w:right="139"/>
        <w:jc w:val="both"/>
        <w:rPr>
          <w:rFonts w:ascii="Times New Roman" w:hAnsi="Times New Roman"/>
          <w:sz w:val="24"/>
        </w:rPr>
      </w:pPr>
      <w:r>
        <w:rPr>
          <w:rFonts w:ascii="Times New Roman" w:hAnsi="Times New Roman"/>
          <w:sz w:val="24"/>
        </w:rPr>
        <w:t>Финансовые показатели ООО «</w:t>
      </w:r>
      <w:r>
        <w:rPr>
          <w:rFonts w:ascii="Times New Roman" w:hAnsi="Times New Roman"/>
          <w:sz w:val="24"/>
        </w:rPr>
        <w:t>Паблотан</w:t>
      </w:r>
      <w:r>
        <w:rPr>
          <w:rFonts w:ascii="Times New Roman" w:hAnsi="Times New Roman"/>
          <w:sz w:val="24"/>
        </w:rPr>
        <w:t xml:space="preserve"> - </w:t>
      </w:r>
      <w:r>
        <w:rPr>
          <w:rFonts w:ascii="Times New Roman" w:hAnsi="Times New Roman"/>
          <w:sz w:val="24"/>
        </w:rPr>
        <w:t>Зест</w:t>
      </w:r>
      <w:r>
        <w:rPr>
          <w:rFonts w:ascii="Times New Roman" w:hAnsi="Times New Roman"/>
          <w:sz w:val="24"/>
        </w:rPr>
        <w:t xml:space="preserve"> и к» демонстрируют резкий спад деятельности. Выручка</w:t>
      </w:r>
      <w:r>
        <w:rPr>
          <w:rFonts w:ascii="Times New Roman" w:hAnsi="Times New Roman"/>
          <w:spacing w:val="-9"/>
          <w:sz w:val="24"/>
        </w:rPr>
        <w:t xml:space="preserve"> </w:t>
      </w:r>
      <w:r>
        <w:rPr>
          <w:rFonts w:ascii="Times New Roman" w:hAnsi="Times New Roman"/>
          <w:sz w:val="24"/>
        </w:rPr>
        <w:t>упала</w:t>
      </w:r>
      <w:r>
        <w:rPr>
          <w:rFonts w:ascii="Times New Roman" w:hAnsi="Times New Roman"/>
          <w:spacing w:val="-11"/>
          <w:sz w:val="24"/>
        </w:rPr>
        <w:t xml:space="preserve"> </w:t>
      </w:r>
      <w:r>
        <w:rPr>
          <w:rFonts w:ascii="Times New Roman" w:hAnsi="Times New Roman"/>
          <w:sz w:val="24"/>
        </w:rPr>
        <w:t>со</w:t>
      </w:r>
      <w:r>
        <w:rPr>
          <w:rFonts w:ascii="Times New Roman" w:hAnsi="Times New Roman"/>
          <w:spacing w:val="-11"/>
          <w:sz w:val="24"/>
        </w:rPr>
        <w:t xml:space="preserve"> </w:t>
      </w:r>
      <w:r>
        <w:rPr>
          <w:rFonts w:ascii="Times New Roman" w:hAnsi="Times New Roman"/>
          <w:sz w:val="24"/>
        </w:rPr>
        <w:t>544</w:t>
      </w:r>
      <w:r>
        <w:rPr>
          <w:rFonts w:ascii="Times New Roman" w:hAnsi="Times New Roman"/>
          <w:spacing w:val="-11"/>
          <w:sz w:val="24"/>
        </w:rPr>
        <w:t xml:space="preserve"> </w:t>
      </w:r>
      <w:r>
        <w:rPr>
          <w:rFonts w:ascii="Times New Roman" w:hAnsi="Times New Roman"/>
          <w:sz w:val="24"/>
        </w:rPr>
        <w:t>млн</w:t>
      </w:r>
      <w:r>
        <w:rPr>
          <w:rFonts w:ascii="Times New Roman" w:hAnsi="Times New Roman"/>
          <w:spacing w:val="-10"/>
          <w:sz w:val="24"/>
        </w:rPr>
        <w:t xml:space="preserve"> </w:t>
      </w:r>
      <w:r>
        <w:rPr>
          <w:rFonts w:ascii="Times New Roman" w:hAnsi="Times New Roman"/>
          <w:sz w:val="24"/>
        </w:rPr>
        <w:t>рублей</w:t>
      </w:r>
      <w:r>
        <w:rPr>
          <w:rFonts w:ascii="Times New Roman" w:hAnsi="Times New Roman"/>
          <w:spacing w:val="-10"/>
          <w:sz w:val="24"/>
        </w:rPr>
        <w:t xml:space="preserve"> </w:t>
      </w:r>
      <w:r>
        <w:rPr>
          <w:rFonts w:ascii="Times New Roman" w:hAnsi="Times New Roman"/>
          <w:sz w:val="24"/>
        </w:rPr>
        <w:t>в</w:t>
      </w:r>
      <w:r>
        <w:rPr>
          <w:rFonts w:ascii="Times New Roman" w:hAnsi="Times New Roman"/>
          <w:spacing w:val="-11"/>
          <w:sz w:val="24"/>
        </w:rPr>
        <w:t xml:space="preserve"> </w:t>
      </w:r>
      <w:r>
        <w:rPr>
          <w:rFonts w:ascii="Times New Roman" w:hAnsi="Times New Roman"/>
          <w:sz w:val="24"/>
        </w:rPr>
        <w:t>2019</w:t>
      </w:r>
      <w:r>
        <w:rPr>
          <w:rFonts w:ascii="Times New Roman" w:hAnsi="Times New Roman"/>
          <w:spacing w:val="-11"/>
          <w:sz w:val="24"/>
        </w:rPr>
        <w:t xml:space="preserve"> </w:t>
      </w:r>
      <w:r>
        <w:rPr>
          <w:rFonts w:ascii="Times New Roman" w:hAnsi="Times New Roman"/>
          <w:sz w:val="24"/>
        </w:rPr>
        <w:t>году</w:t>
      </w:r>
      <w:r>
        <w:rPr>
          <w:rFonts w:ascii="Times New Roman" w:hAnsi="Times New Roman"/>
          <w:spacing w:val="-15"/>
          <w:sz w:val="24"/>
        </w:rPr>
        <w:t xml:space="preserve"> </w:t>
      </w:r>
      <w:r>
        <w:rPr>
          <w:rFonts w:ascii="Times New Roman" w:hAnsi="Times New Roman"/>
          <w:sz w:val="24"/>
        </w:rPr>
        <w:t>до</w:t>
      </w:r>
      <w:r>
        <w:rPr>
          <w:rFonts w:ascii="Times New Roman" w:hAnsi="Times New Roman"/>
          <w:spacing w:val="-11"/>
          <w:sz w:val="24"/>
        </w:rPr>
        <w:t xml:space="preserve"> </w:t>
      </w:r>
      <w:r>
        <w:rPr>
          <w:rFonts w:ascii="Times New Roman" w:hAnsi="Times New Roman"/>
          <w:sz w:val="24"/>
        </w:rPr>
        <w:t>30</w:t>
      </w:r>
      <w:r>
        <w:rPr>
          <w:rFonts w:ascii="Times New Roman" w:hAnsi="Times New Roman"/>
          <w:spacing w:val="-11"/>
          <w:sz w:val="24"/>
        </w:rPr>
        <w:t xml:space="preserve"> </w:t>
      </w:r>
      <w:r>
        <w:rPr>
          <w:rFonts w:ascii="Times New Roman" w:hAnsi="Times New Roman"/>
          <w:sz w:val="24"/>
        </w:rPr>
        <w:t>тыс.</w:t>
      </w:r>
      <w:r>
        <w:rPr>
          <w:rFonts w:ascii="Times New Roman" w:hAnsi="Times New Roman"/>
          <w:spacing w:val="-11"/>
          <w:sz w:val="24"/>
        </w:rPr>
        <w:t xml:space="preserve"> </w:t>
      </w:r>
      <w:r>
        <w:rPr>
          <w:rFonts w:ascii="Times New Roman" w:hAnsi="Times New Roman"/>
          <w:sz w:val="24"/>
        </w:rPr>
        <w:t>рублей</w:t>
      </w:r>
      <w:r>
        <w:rPr>
          <w:rFonts w:ascii="Times New Roman" w:hAnsi="Times New Roman"/>
          <w:spacing w:val="-10"/>
          <w:sz w:val="24"/>
        </w:rPr>
        <w:t xml:space="preserve"> </w:t>
      </w:r>
      <w:r>
        <w:rPr>
          <w:rFonts w:ascii="Times New Roman" w:hAnsi="Times New Roman"/>
          <w:sz w:val="24"/>
        </w:rPr>
        <w:t>в</w:t>
      </w:r>
      <w:r>
        <w:rPr>
          <w:rFonts w:ascii="Times New Roman" w:hAnsi="Times New Roman"/>
          <w:spacing w:val="-11"/>
          <w:sz w:val="24"/>
        </w:rPr>
        <w:t xml:space="preserve"> </w:t>
      </w:r>
      <w:r>
        <w:rPr>
          <w:rFonts w:ascii="Times New Roman" w:hAnsi="Times New Roman"/>
          <w:sz w:val="24"/>
        </w:rPr>
        <w:t>2021,</w:t>
      </w:r>
      <w:r>
        <w:rPr>
          <w:rFonts w:ascii="Times New Roman" w:hAnsi="Times New Roman"/>
          <w:spacing w:val="-11"/>
          <w:sz w:val="24"/>
        </w:rPr>
        <w:t xml:space="preserve"> </w:t>
      </w:r>
      <w:r>
        <w:rPr>
          <w:rFonts w:ascii="Times New Roman" w:hAnsi="Times New Roman"/>
          <w:sz w:val="24"/>
        </w:rPr>
        <w:t>что</w:t>
      </w:r>
      <w:r>
        <w:rPr>
          <w:rFonts w:ascii="Times New Roman" w:hAnsi="Times New Roman"/>
          <w:spacing w:val="-10"/>
          <w:sz w:val="24"/>
        </w:rPr>
        <w:t xml:space="preserve"> </w:t>
      </w:r>
      <w:r>
        <w:rPr>
          <w:rFonts w:ascii="Times New Roman" w:hAnsi="Times New Roman"/>
          <w:sz w:val="24"/>
        </w:rPr>
        <w:t>является</w:t>
      </w:r>
      <w:r>
        <w:rPr>
          <w:rFonts w:ascii="Times New Roman" w:hAnsi="Times New Roman"/>
          <w:spacing w:val="-11"/>
          <w:sz w:val="24"/>
        </w:rPr>
        <w:t xml:space="preserve"> </w:t>
      </w:r>
      <w:r>
        <w:rPr>
          <w:rFonts w:ascii="Times New Roman" w:hAnsi="Times New Roman"/>
          <w:sz w:val="24"/>
        </w:rPr>
        <w:t xml:space="preserve">практически полной остановкой операций. Чистая прибыль сократилась с 4,4 млн рублей до 2 тыс. рублей. Финансовая модель компании крайне неустойчива: коэффициент автономии составляет 0,02, обеспеченность собственными средствами </w:t>
      </w:r>
      <w:r>
        <w:rPr>
          <w:rFonts w:ascii="Times New Roman" w:hAnsi="Times New Roman"/>
          <w:sz w:val="24"/>
        </w:rPr>
        <w:t>-</w:t>
      </w:r>
      <w:r>
        <w:rPr>
          <w:rFonts w:ascii="Times New Roman" w:hAnsi="Times New Roman"/>
          <w:sz w:val="24"/>
        </w:rPr>
        <w:t xml:space="preserve"> 0,01, что говорит о критической зависимости от заёмных средств. Платёжеспособность оценивается как рискованная, хотя коэффициент абсолютной</w:t>
      </w:r>
      <w:r>
        <w:rPr>
          <w:rFonts w:ascii="Times New Roman" w:hAnsi="Times New Roman"/>
          <w:spacing w:val="40"/>
          <w:sz w:val="24"/>
        </w:rPr>
        <w:t xml:space="preserve"> </w:t>
      </w:r>
      <w:r>
        <w:rPr>
          <w:rFonts w:ascii="Times New Roman" w:hAnsi="Times New Roman"/>
          <w:sz w:val="24"/>
        </w:rPr>
        <w:t>ликвидности</w:t>
      </w:r>
      <w:r>
        <w:rPr>
          <w:rFonts w:ascii="Times New Roman" w:hAnsi="Times New Roman"/>
          <w:spacing w:val="40"/>
          <w:sz w:val="24"/>
        </w:rPr>
        <w:t xml:space="preserve"> </w:t>
      </w:r>
      <w:r>
        <w:rPr>
          <w:rFonts w:ascii="Times New Roman" w:hAnsi="Times New Roman"/>
          <w:sz w:val="24"/>
        </w:rPr>
        <w:t>(0,89)</w:t>
      </w:r>
      <w:r>
        <w:rPr>
          <w:rFonts w:ascii="Times New Roman" w:hAnsi="Times New Roman"/>
          <w:spacing w:val="40"/>
          <w:sz w:val="24"/>
        </w:rPr>
        <w:t xml:space="preserve"> </w:t>
      </w:r>
      <w:r>
        <w:rPr>
          <w:rFonts w:ascii="Times New Roman" w:hAnsi="Times New Roman"/>
          <w:sz w:val="24"/>
        </w:rPr>
        <w:t>указывает</w:t>
      </w:r>
      <w:r>
        <w:rPr>
          <w:rFonts w:ascii="Times New Roman" w:hAnsi="Times New Roman"/>
          <w:spacing w:val="40"/>
          <w:sz w:val="24"/>
        </w:rPr>
        <w:t xml:space="preserve"> </w:t>
      </w:r>
      <w:r>
        <w:rPr>
          <w:rFonts w:ascii="Times New Roman" w:hAnsi="Times New Roman"/>
          <w:sz w:val="24"/>
        </w:rPr>
        <w:t>на</w:t>
      </w:r>
      <w:r>
        <w:rPr>
          <w:rFonts w:ascii="Times New Roman" w:hAnsi="Times New Roman"/>
          <w:spacing w:val="40"/>
          <w:sz w:val="24"/>
        </w:rPr>
        <w:t xml:space="preserve"> </w:t>
      </w:r>
      <w:r>
        <w:rPr>
          <w:rFonts w:ascii="Times New Roman" w:hAnsi="Times New Roman"/>
          <w:sz w:val="24"/>
        </w:rPr>
        <w:t>наличие</w:t>
      </w:r>
      <w:r>
        <w:rPr>
          <w:rFonts w:ascii="Times New Roman" w:hAnsi="Times New Roman"/>
          <w:spacing w:val="40"/>
          <w:sz w:val="24"/>
        </w:rPr>
        <w:t xml:space="preserve"> </w:t>
      </w:r>
      <w:r>
        <w:rPr>
          <w:rFonts w:ascii="Times New Roman" w:hAnsi="Times New Roman"/>
          <w:sz w:val="24"/>
        </w:rPr>
        <w:t>средств</w:t>
      </w:r>
      <w:r>
        <w:rPr>
          <w:rFonts w:ascii="Times New Roman" w:hAnsi="Times New Roman"/>
          <w:spacing w:val="40"/>
          <w:sz w:val="24"/>
        </w:rPr>
        <w:t xml:space="preserve"> </w:t>
      </w:r>
      <w:r>
        <w:rPr>
          <w:rFonts w:ascii="Times New Roman" w:hAnsi="Times New Roman"/>
          <w:sz w:val="24"/>
        </w:rPr>
        <w:t>для</w:t>
      </w:r>
      <w:r>
        <w:rPr>
          <w:rFonts w:ascii="Times New Roman" w:hAnsi="Times New Roman"/>
          <w:spacing w:val="40"/>
          <w:sz w:val="24"/>
        </w:rPr>
        <w:t xml:space="preserve"> </w:t>
      </w:r>
      <w:r>
        <w:rPr>
          <w:rFonts w:ascii="Times New Roman" w:hAnsi="Times New Roman"/>
          <w:sz w:val="24"/>
        </w:rPr>
        <w:t>немедленного</w:t>
      </w:r>
      <w:r>
        <w:rPr>
          <w:rFonts w:ascii="Times New Roman" w:hAnsi="Times New Roman"/>
          <w:spacing w:val="40"/>
          <w:sz w:val="24"/>
        </w:rPr>
        <w:t xml:space="preserve"> </w:t>
      </w:r>
      <w:r>
        <w:rPr>
          <w:rFonts w:ascii="Times New Roman" w:hAnsi="Times New Roman"/>
          <w:sz w:val="24"/>
        </w:rPr>
        <w:t>погашения</w:t>
      </w:r>
    </w:p>
    <w:p w14:paraId="63000000">
      <w:pPr>
        <w:sectPr>
          <w:pgSz w:h="16840" w:orient="portrait" w:w="11910"/>
          <w:pgMar w:bottom="280" w:footer="720" w:gutter="0" w:header="720" w:left="1275" w:right="425" w:top="1060"/>
        </w:sectPr>
      </w:pPr>
    </w:p>
    <w:p w14:paraId="64000000">
      <w:pPr>
        <w:widowControl w:val="0"/>
        <w:spacing w:after="0" w:before="72" w:line="360" w:lineRule="auto"/>
        <w:ind w:firstLine="0" w:left="143" w:right="139"/>
        <w:jc w:val="both"/>
        <w:rPr>
          <w:rFonts w:ascii="Times New Roman" w:hAnsi="Times New Roman"/>
          <w:sz w:val="24"/>
        </w:rPr>
      </w:pPr>
      <w:r>
        <w:rPr>
          <w:rFonts w:ascii="Times New Roman" w:hAnsi="Times New Roman"/>
          <w:sz w:val="24"/>
        </w:rPr>
        <w:t>обязательств. При этом рентабельность деятельности по итогам 2021 года близка к нулю. Текущий статус ликвидации и ничтожный оборот делают оценку перспектив бессмысленной.</w:t>
      </w:r>
    </w:p>
    <w:p w14:paraId="65000000">
      <w:pPr>
        <w:widowControl w:val="0"/>
        <w:spacing w:after="0" w:line="360" w:lineRule="auto"/>
        <w:ind w:firstLine="0" w:left="143" w:right="135"/>
        <w:jc w:val="both"/>
        <w:rPr>
          <w:rFonts w:ascii="Times New Roman" w:hAnsi="Times New Roman"/>
          <w:sz w:val="24"/>
        </w:rPr>
      </w:pPr>
      <w:r>
        <w:rPr>
          <w:rFonts w:ascii="Times New Roman" w:hAnsi="Times New Roman"/>
          <w:sz w:val="24"/>
        </w:rPr>
        <w:t>Юридическая активность ООО «</w:t>
      </w:r>
      <w:r>
        <w:rPr>
          <w:rFonts w:ascii="Times New Roman" w:hAnsi="Times New Roman"/>
          <w:sz w:val="24"/>
        </w:rPr>
        <w:t>Паблотан</w:t>
      </w:r>
      <w:r>
        <w:rPr>
          <w:rFonts w:ascii="Times New Roman" w:hAnsi="Times New Roman"/>
          <w:sz w:val="24"/>
        </w:rPr>
        <w:t xml:space="preserve"> - </w:t>
      </w:r>
      <w:r>
        <w:rPr>
          <w:rFonts w:ascii="Times New Roman" w:hAnsi="Times New Roman"/>
          <w:sz w:val="24"/>
        </w:rPr>
        <w:t>Зест</w:t>
      </w:r>
      <w:r>
        <w:rPr>
          <w:rFonts w:ascii="Times New Roman" w:hAnsi="Times New Roman"/>
          <w:sz w:val="24"/>
        </w:rPr>
        <w:t xml:space="preserve"> и к» включает 27 арбитражных дел на общую сумму</w:t>
      </w:r>
      <w:r>
        <w:rPr>
          <w:rFonts w:ascii="Times New Roman" w:hAnsi="Times New Roman"/>
          <w:spacing w:val="-5"/>
          <w:sz w:val="24"/>
        </w:rPr>
        <w:t xml:space="preserve"> </w:t>
      </w:r>
      <w:r>
        <w:rPr>
          <w:rFonts w:ascii="Times New Roman" w:hAnsi="Times New Roman"/>
          <w:sz w:val="24"/>
        </w:rPr>
        <w:t>около 4,5 млрд рублей. Компания чаще выступала</w:t>
      </w:r>
      <w:r>
        <w:rPr>
          <w:rFonts w:ascii="Times New Roman" w:hAnsi="Times New Roman"/>
          <w:spacing w:val="-1"/>
          <w:sz w:val="24"/>
        </w:rPr>
        <w:t xml:space="preserve"> </w:t>
      </w:r>
      <w:r>
        <w:rPr>
          <w:rFonts w:ascii="Times New Roman" w:hAnsi="Times New Roman"/>
          <w:sz w:val="24"/>
        </w:rPr>
        <w:t>истцом: 20 завершённых дел на</w:t>
      </w:r>
      <w:r>
        <w:rPr>
          <w:rFonts w:ascii="Times New Roman" w:hAnsi="Times New Roman"/>
          <w:spacing w:val="-1"/>
          <w:sz w:val="24"/>
        </w:rPr>
        <w:t xml:space="preserve"> </w:t>
      </w:r>
      <w:r>
        <w:rPr>
          <w:rFonts w:ascii="Times New Roman" w:hAnsi="Times New Roman"/>
          <w:sz w:val="24"/>
        </w:rPr>
        <w:t xml:space="preserve">сумму 1,5 млн рублей, из которых лишь три выиграны. В роли ответчика </w:t>
      </w:r>
      <w:r>
        <w:rPr>
          <w:rFonts w:ascii="Times New Roman" w:hAnsi="Times New Roman"/>
          <w:sz w:val="24"/>
        </w:rPr>
        <w:t>-</w:t>
      </w:r>
      <w:r>
        <w:rPr>
          <w:rFonts w:ascii="Times New Roman" w:hAnsi="Times New Roman"/>
          <w:sz w:val="24"/>
        </w:rPr>
        <w:t xml:space="preserve"> 4 завершённых дела на сумму</w:t>
      </w:r>
      <w:r>
        <w:rPr>
          <w:rFonts w:ascii="Times New Roman" w:hAnsi="Times New Roman"/>
          <w:spacing w:val="-1"/>
          <w:sz w:val="24"/>
        </w:rPr>
        <w:t xml:space="preserve"> </w:t>
      </w:r>
      <w:r>
        <w:rPr>
          <w:rFonts w:ascii="Times New Roman" w:hAnsi="Times New Roman"/>
          <w:sz w:val="24"/>
        </w:rPr>
        <w:t>543 млн рублей, по которым решений в пользу</w:t>
      </w:r>
      <w:r>
        <w:rPr>
          <w:rFonts w:ascii="Times New Roman" w:hAnsi="Times New Roman"/>
          <w:spacing w:val="-3"/>
          <w:sz w:val="24"/>
        </w:rPr>
        <w:t xml:space="preserve"> </w:t>
      </w:r>
      <w:r>
        <w:rPr>
          <w:rFonts w:ascii="Times New Roman" w:hAnsi="Times New Roman"/>
          <w:sz w:val="24"/>
        </w:rPr>
        <w:t xml:space="preserve">компании не было. Одно дело на 545 млн рублей находится в производстве. Основная категория споров </w:t>
      </w:r>
      <w:r>
        <w:rPr>
          <w:rFonts w:ascii="Times New Roman" w:hAnsi="Times New Roman"/>
          <w:sz w:val="24"/>
        </w:rPr>
        <w:t>-</w:t>
      </w:r>
      <w:r>
        <w:rPr>
          <w:rFonts w:ascii="Times New Roman" w:hAnsi="Times New Roman"/>
          <w:sz w:val="24"/>
        </w:rPr>
        <w:t xml:space="preserve"> оспаривание действий госорганов.</w:t>
      </w:r>
      <w:r>
        <w:rPr>
          <w:rFonts w:ascii="Times New Roman" w:hAnsi="Times New Roman"/>
          <w:spacing w:val="-15"/>
          <w:sz w:val="24"/>
        </w:rPr>
        <w:t xml:space="preserve"> </w:t>
      </w:r>
      <w:r>
        <w:rPr>
          <w:rFonts w:ascii="Times New Roman" w:hAnsi="Times New Roman"/>
          <w:sz w:val="24"/>
        </w:rPr>
        <w:t>Также</w:t>
      </w:r>
      <w:r>
        <w:rPr>
          <w:rFonts w:ascii="Times New Roman" w:hAnsi="Times New Roman"/>
          <w:spacing w:val="-15"/>
          <w:sz w:val="24"/>
        </w:rPr>
        <w:t xml:space="preserve"> </w:t>
      </w:r>
      <w:r>
        <w:rPr>
          <w:rFonts w:ascii="Times New Roman" w:hAnsi="Times New Roman"/>
          <w:sz w:val="24"/>
        </w:rPr>
        <w:t>зафиксированы</w:t>
      </w:r>
      <w:r>
        <w:rPr>
          <w:rFonts w:ascii="Times New Roman" w:hAnsi="Times New Roman"/>
          <w:spacing w:val="-15"/>
          <w:sz w:val="24"/>
        </w:rPr>
        <w:t xml:space="preserve"> </w:t>
      </w:r>
      <w:r>
        <w:rPr>
          <w:rFonts w:ascii="Times New Roman" w:hAnsi="Times New Roman"/>
          <w:sz w:val="24"/>
        </w:rPr>
        <w:t>4</w:t>
      </w:r>
      <w:r>
        <w:rPr>
          <w:rFonts w:ascii="Times New Roman" w:hAnsi="Times New Roman"/>
          <w:spacing w:val="-15"/>
          <w:sz w:val="24"/>
        </w:rPr>
        <w:t xml:space="preserve"> </w:t>
      </w:r>
      <w:r>
        <w:rPr>
          <w:rFonts w:ascii="Times New Roman" w:hAnsi="Times New Roman"/>
          <w:sz w:val="24"/>
        </w:rPr>
        <w:t>дела</w:t>
      </w:r>
      <w:r>
        <w:rPr>
          <w:rFonts w:ascii="Times New Roman" w:hAnsi="Times New Roman"/>
          <w:spacing w:val="-15"/>
          <w:sz w:val="24"/>
        </w:rPr>
        <w:t xml:space="preserve"> </w:t>
      </w:r>
      <w:r>
        <w:rPr>
          <w:rFonts w:ascii="Times New Roman" w:hAnsi="Times New Roman"/>
          <w:sz w:val="24"/>
        </w:rPr>
        <w:t>в</w:t>
      </w:r>
      <w:r>
        <w:rPr>
          <w:rFonts w:ascii="Times New Roman" w:hAnsi="Times New Roman"/>
          <w:spacing w:val="-15"/>
          <w:sz w:val="24"/>
        </w:rPr>
        <w:t xml:space="preserve"> </w:t>
      </w:r>
      <w:r>
        <w:rPr>
          <w:rFonts w:ascii="Times New Roman" w:hAnsi="Times New Roman"/>
          <w:sz w:val="24"/>
        </w:rPr>
        <w:t>судах</w:t>
      </w:r>
      <w:r>
        <w:rPr>
          <w:rFonts w:ascii="Times New Roman" w:hAnsi="Times New Roman"/>
          <w:spacing w:val="-15"/>
          <w:sz w:val="24"/>
        </w:rPr>
        <w:t xml:space="preserve"> </w:t>
      </w:r>
      <w:r>
        <w:rPr>
          <w:rFonts w:ascii="Times New Roman" w:hAnsi="Times New Roman"/>
          <w:sz w:val="24"/>
        </w:rPr>
        <w:t>общей</w:t>
      </w:r>
      <w:r>
        <w:rPr>
          <w:rFonts w:ascii="Times New Roman" w:hAnsi="Times New Roman"/>
          <w:spacing w:val="-15"/>
          <w:sz w:val="24"/>
        </w:rPr>
        <w:t xml:space="preserve"> </w:t>
      </w:r>
      <w:r>
        <w:rPr>
          <w:rFonts w:ascii="Times New Roman" w:hAnsi="Times New Roman"/>
          <w:sz w:val="24"/>
        </w:rPr>
        <w:t>юрисдикции.</w:t>
      </w:r>
      <w:r>
        <w:rPr>
          <w:rFonts w:ascii="Times New Roman" w:hAnsi="Times New Roman"/>
          <w:spacing w:val="-15"/>
          <w:sz w:val="24"/>
        </w:rPr>
        <w:t xml:space="preserve"> </w:t>
      </w:r>
      <w:r>
        <w:rPr>
          <w:rFonts w:ascii="Times New Roman" w:hAnsi="Times New Roman"/>
          <w:sz w:val="24"/>
        </w:rPr>
        <w:t>Открыто</w:t>
      </w:r>
      <w:r>
        <w:rPr>
          <w:rFonts w:ascii="Times New Roman" w:hAnsi="Times New Roman"/>
          <w:spacing w:val="-15"/>
          <w:sz w:val="24"/>
        </w:rPr>
        <w:t xml:space="preserve"> </w:t>
      </w:r>
      <w:r>
        <w:rPr>
          <w:rFonts w:ascii="Times New Roman" w:hAnsi="Times New Roman"/>
          <w:sz w:val="24"/>
        </w:rPr>
        <w:t>9</w:t>
      </w:r>
      <w:r>
        <w:rPr>
          <w:rFonts w:ascii="Times New Roman" w:hAnsi="Times New Roman"/>
          <w:spacing w:val="-15"/>
          <w:sz w:val="24"/>
        </w:rPr>
        <w:t xml:space="preserve"> </w:t>
      </w:r>
      <w:r>
        <w:rPr>
          <w:rFonts w:ascii="Times New Roman" w:hAnsi="Times New Roman"/>
          <w:sz w:val="24"/>
        </w:rPr>
        <w:t>исполнительных производств с текущей задолженностью 617 млн рублей. По данным на 1 июня 2026 года, налоговая задолженность составляет 681 млн рублей.</w:t>
      </w:r>
    </w:p>
    <w:p w14:paraId="66000000">
      <w:pPr>
        <w:widowControl w:val="0"/>
        <w:spacing w:after="0" w:line="360" w:lineRule="auto"/>
        <w:ind w:firstLine="0" w:left="143" w:right="143"/>
        <w:jc w:val="both"/>
        <w:rPr>
          <w:rFonts w:ascii="Times New Roman" w:hAnsi="Times New Roman"/>
          <w:sz w:val="24"/>
        </w:rPr>
      </w:pPr>
      <w:r>
        <w:rPr>
          <w:rFonts w:ascii="Times New Roman" w:hAnsi="Times New Roman"/>
          <w:sz w:val="24"/>
        </w:rPr>
        <w:t>ООО «</w:t>
      </w:r>
      <w:r>
        <w:rPr>
          <w:rFonts w:ascii="Times New Roman" w:hAnsi="Times New Roman"/>
          <w:sz w:val="24"/>
        </w:rPr>
        <w:t>Паблотан</w:t>
      </w:r>
      <w:r>
        <w:rPr>
          <w:rFonts w:ascii="Times New Roman" w:hAnsi="Times New Roman"/>
          <w:sz w:val="24"/>
        </w:rPr>
        <w:t xml:space="preserve"> - </w:t>
      </w:r>
      <w:r>
        <w:rPr>
          <w:rFonts w:ascii="Times New Roman" w:hAnsi="Times New Roman"/>
          <w:sz w:val="24"/>
        </w:rPr>
        <w:t>Зест</w:t>
      </w:r>
      <w:r>
        <w:rPr>
          <w:rFonts w:ascii="Times New Roman" w:hAnsi="Times New Roman"/>
          <w:sz w:val="24"/>
        </w:rPr>
        <w:t xml:space="preserve"> и к» находится в стадии ликвидации с резким спадом финансовой и операционной активности. Основные риски связаны с высокой налоговой задолженностью, открытыми исполнительными производствами и незавершённым арбитражным спором на крупную сумму. Компания практически прекратила хозяйственную деятельность, её штат сокращён до минимума. Для оценки перспектив взаимодействия необходимо в первую очередь уточнить статус ликвидации и сроки её завершения, а также проанализировать актуальное решение по текущему судебному делу.</w:t>
      </w:r>
    </w:p>
    <w:p w14:paraId="67000000">
      <w:bookmarkStart w:id="7" w:name="__RefHeading___7"/>
      <w:bookmarkEnd w:id="7"/>
      <w:pPr>
        <w:widowControl w:val="0"/>
        <w:numPr>
          <w:ilvl w:val="0"/>
          <w:numId w:val="2"/>
        </w:numPr>
        <w:tabs>
          <w:tab w:leader="none" w:pos="862" w:val="left"/>
        </w:tabs>
        <w:spacing w:after="0" w:before="3" w:line="240" w:lineRule="auto"/>
        <w:ind w:hanging="359" w:left="862"/>
        <w:jc w:val="both"/>
        <w:outlineLvl w:val="0"/>
        <w:rPr>
          <w:rFonts w:ascii="Times New Roman" w:hAnsi="Times New Roman"/>
          <w:b w:val="1"/>
          <w:sz w:val="24"/>
        </w:rPr>
      </w:pPr>
      <w:r>
        <w:rPr>
          <w:rFonts w:ascii="Times New Roman" w:hAnsi="Times New Roman"/>
          <w:b w:val="1"/>
          <w:sz w:val="24"/>
        </w:rPr>
        <w:t>Предполагаемые</w:t>
      </w:r>
      <w:r>
        <w:rPr>
          <w:rFonts w:ascii="Times New Roman" w:hAnsi="Times New Roman"/>
          <w:b w:val="1"/>
          <w:spacing w:val="-6"/>
          <w:sz w:val="24"/>
        </w:rPr>
        <w:t xml:space="preserve"> </w:t>
      </w:r>
      <w:r>
        <w:rPr>
          <w:rFonts w:ascii="Times New Roman" w:hAnsi="Times New Roman"/>
          <w:b w:val="1"/>
          <w:sz w:val="24"/>
        </w:rPr>
        <w:t>методы</w:t>
      </w:r>
      <w:r>
        <w:rPr>
          <w:rFonts w:ascii="Times New Roman" w:hAnsi="Times New Roman"/>
          <w:b w:val="1"/>
          <w:spacing w:val="-4"/>
          <w:sz w:val="24"/>
        </w:rPr>
        <w:t xml:space="preserve"> </w:t>
      </w:r>
      <w:r>
        <w:rPr>
          <w:rFonts w:ascii="Times New Roman" w:hAnsi="Times New Roman"/>
          <w:b w:val="1"/>
          <w:spacing w:val="-2"/>
          <w:sz w:val="24"/>
        </w:rPr>
        <w:t>исследования</w:t>
      </w:r>
    </w:p>
    <w:p w14:paraId="68000000">
      <w:pPr>
        <w:widowControl w:val="0"/>
        <w:spacing w:after="0" w:before="132" w:line="360" w:lineRule="auto"/>
        <w:ind w:right="135"/>
        <w:jc w:val="both"/>
        <w:rPr>
          <w:rFonts w:ascii="Times New Roman" w:hAnsi="Times New Roman"/>
          <w:color w:themeColor="text1" w:val="000000"/>
          <w:sz w:val="24"/>
        </w:rPr>
      </w:pPr>
      <w:r>
        <w:rPr>
          <w:rFonts w:ascii="Times New Roman" w:hAnsi="Times New Roman"/>
          <w:color w:themeColor="text1" w:val="000000"/>
          <w:sz w:val="24"/>
        </w:rPr>
        <w:t>В</w:t>
      </w:r>
      <w:r>
        <w:rPr>
          <w:rFonts w:ascii="Times New Roman" w:hAnsi="Times New Roman"/>
          <w:color w:themeColor="text1" w:val="000000"/>
          <w:spacing w:val="-6"/>
          <w:sz w:val="24"/>
        </w:rPr>
        <w:t xml:space="preserve"> </w:t>
      </w:r>
      <w:r>
        <w:rPr>
          <w:rFonts w:ascii="Times New Roman" w:hAnsi="Times New Roman"/>
          <w:color w:themeColor="text1" w:val="000000"/>
          <w:sz w:val="24"/>
        </w:rPr>
        <w:t>основе</w:t>
      </w:r>
      <w:r>
        <w:rPr>
          <w:rFonts w:ascii="Times New Roman" w:hAnsi="Times New Roman"/>
          <w:color w:themeColor="text1" w:val="000000"/>
          <w:spacing w:val="-4"/>
          <w:sz w:val="24"/>
        </w:rPr>
        <w:t xml:space="preserve"> </w:t>
      </w:r>
      <w:r>
        <w:rPr>
          <w:rFonts w:ascii="Times New Roman" w:hAnsi="Times New Roman"/>
          <w:color w:themeColor="text1" w:val="000000"/>
          <w:sz w:val="24"/>
        </w:rPr>
        <w:t>методологии</w:t>
      </w:r>
      <w:r>
        <w:rPr>
          <w:rFonts w:ascii="Times New Roman" w:hAnsi="Times New Roman"/>
          <w:color w:themeColor="text1" w:val="000000"/>
          <w:spacing w:val="-4"/>
          <w:sz w:val="24"/>
        </w:rPr>
        <w:t xml:space="preserve"> </w:t>
      </w:r>
      <w:r>
        <w:rPr>
          <w:rFonts w:ascii="Times New Roman" w:hAnsi="Times New Roman"/>
          <w:color w:themeColor="text1" w:val="000000"/>
          <w:sz w:val="24"/>
        </w:rPr>
        <w:t>исследования</w:t>
      </w:r>
      <w:r>
        <w:rPr>
          <w:rFonts w:ascii="Times New Roman" w:hAnsi="Times New Roman"/>
          <w:color w:themeColor="text1" w:val="000000"/>
          <w:spacing w:val="-4"/>
          <w:sz w:val="24"/>
        </w:rPr>
        <w:t xml:space="preserve"> </w:t>
      </w:r>
      <w:r>
        <w:rPr>
          <w:rFonts w:ascii="Times New Roman" w:hAnsi="Times New Roman"/>
          <w:color w:themeColor="text1" w:val="000000"/>
          <w:sz w:val="24"/>
        </w:rPr>
        <w:t>лежит</w:t>
      </w:r>
      <w:r>
        <w:rPr>
          <w:rFonts w:ascii="Times New Roman" w:hAnsi="Times New Roman"/>
          <w:color w:themeColor="text1" w:val="000000"/>
          <w:spacing w:val="-4"/>
          <w:sz w:val="24"/>
        </w:rPr>
        <w:t xml:space="preserve"> </w:t>
      </w:r>
      <w:r>
        <w:rPr>
          <w:rFonts w:ascii="Times New Roman" w:hAnsi="Times New Roman"/>
          <w:color w:themeColor="text1" w:val="000000"/>
          <w:sz w:val="24"/>
        </w:rPr>
        <w:t>общенаучный</w:t>
      </w:r>
      <w:r>
        <w:rPr>
          <w:rFonts w:ascii="Times New Roman" w:hAnsi="Times New Roman"/>
          <w:color w:themeColor="text1" w:val="000000"/>
          <w:spacing w:val="-4"/>
          <w:sz w:val="24"/>
        </w:rPr>
        <w:t xml:space="preserve"> </w:t>
      </w:r>
      <w:r>
        <w:rPr>
          <w:rFonts w:ascii="Times New Roman" w:hAnsi="Times New Roman"/>
          <w:color w:themeColor="text1" w:val="000000"/>
          <w:sz w:val="24"/>
        </w:rPr>
        <w:t>метод</w:t>
      </w:r>
      <w:r>
        <w:rPr>
          <w:rFonts w:ascii="Times New Roman" w:hAnsi="Times New Roman"/>
          <w:color w:themeColor="text1" w:val="000000"/>
          <w:spacing w:val="-4"/>
          <w:sz w:val="24"/>
        </w:rPr>
        <w:t xml:space="preserve"> </w:t>
      </w:r>
      <w:r>
        <w:rPr>
          <w:rFonts w:ascii="Times New Roman" w:hAnsi="Times New Roman"/>
          <w:color w:themeColor="text1" w:val="000000"/>
          <w:sz w:val="24"/>
        </w:rPr>
        <w:t>диалектического</w:t>
      </w:r>
      <w:r>
        <w:rPr>
          <w:rFonts w:ascii="Times New Roman" w:hAnsi="Times New Roman"/>
          <w:color w:themeColor="text1" w:val="000000"/>
          <w:spacing w:val="-4"/>
          <w:sz w:val="24"/>
        </w:rPr>
        <w:t xml:space="preserve"> </w:t>
      </w:r>
      <w:r>
        <w:rPr>
          <w:rFonts w:ascii="Times New Roman" w:hAnsi="Times New Roman"/>
          <w:color w:themeColor="text1" w:val="000000"/>
          <w:sz w:val="24"/>
        </w:rPr>
        <w:t>материализма. В</w:t>
      </w:r>
      <w:r>
        <w:rPr>
          <w:rFonts w:ascii="Times New Roman" w:hAnsi="Times New Roman"/>
          <w:color w:themeColor="text1" w:val="000000"/>
          <w:spacing w:val="-13"/>
          <w:sz w:val="24"/>
        </w:rPr>
        <w:t xml:space="preserve"> </w:t>
      </w:r>
      <w:r>
        <w:rPr>
          <w:rFonts w:ascii="Times New Roman" w:hAnsi="Times New Roman"/>
          <w:color w:themeColor="text1" w:val="000000"/>
          <w:sz w:val="24"/>
        </w:rPr>
        <w:t>комплексе</w:t>
      </w:r>
      <w:r>
        <w:rPr>
          <w:rFonts w:ascii="Times New Roman" w:hAnsi="Times New Roman"/>
          <w:color w:themeColor="text1" w:val="000000"/>
          <w:spacing w:val="-13"/>
          <w:sz w:val="24"/>
        </w:rPr>
        <w:t xml:space="preserve"> </w:t>
      </w:r>
      <w:r>
        <w:rPr>
          <w:rFonts w:ascii="Times New Roman" w:hAnsi="Times New Roman"/>
          <w:color w:themeColor="text1" w:val="000000"/>
          <w:sz w:val="24"/>
        </w:rPr>
        <w:t>иных</w:t>
      </w:r>
      <w:r>
        <w:rPr>
          <w:rFonts w:ascii="Times New Roman" w:hAnsi="Times New Roman"/>
          <w:color w:themeColor="text1" w:val="000000"/>
          <w:spacing w:val="-12"/>
          <w:sz w:val="24"/>
        </w:rPr>
        <w:t xml:space="preserve"> </w:t>
      </w:r>
      <w:r>
        <w:rPr>
          <w:rFonts w:ascii="Times New Roman" w:hAnsi="Times New Roman"/>
          <w:color w:themeColor="text1" w:val="000000"/>
          <w:sz w:val="24"/>
        </w:rPr>
        <w:t>использованных</w:t>
      </w:r>
      <w:r>
        <w:rPr>
          <w:rFonts w:ascii="Times New Roman" w:hAnsi="Times New Roman"/>
          <w:color w:themeColor="text1" w:val="000000"/>
          <w:spacing w:val="-12"/>
          <w:sz w:val="24"/>
        </w:rPr>
        <w:t xml:space="preserve"> </w:t>
      </w:r>
      <w:r>
        <w:rPr>
          <w:rFonts w:ascii="Times New Roman" w:hAnsi="Times New Roman"/>
          <w:color w:themeColor="text1" w:val="000000"/>
          <w:sz w:val="24"/>
        </w:rPr>
        <w:t>при</w:t>
      </w:r>
      <w:r>
        <w:rPr>
          <w:rFonts w:ascii="Times New Roman" w:hAnsi="Times New Roman"/>
          <w:color w:themeColor="text1" w:val="000000"/>
          <w:spacing w:val="-13"/>
          <w:sz w:val="24"/>
        </w:rPr>
        <w:t xml:space="preserve"> </w:t>
      </w:r>
      <w:r>
        <w:rPr>
          <w:rFonts w:ascii="Times New Roman" w:hAnsi="Times New Roman"/>
          <w:color w:themeColor="text1" w:val="000000"/>
          <w:sz w:val="24"/>
        </w:rPr>
        <w:t>написании</w:t>
      </w:r>
      <w:r>
        <w:rPr>
          <w:rFonts w:ascii="Times New Roman" w:hAnsi="Times New Roman"/>
          <w:color w:themeColor="text1" w:val="000000"/>
          <w:spacing w:val="-13"/>
          <w:sz w:val="24"/>
        </w:rPr>
        <w:t xml:space="preserve"> </w:t>
      </w:r>
      <w:r>
        <w:rPr>
          <w:rFonts w:ascii="Times New Roman" w:hAnsi="Times New Roman"/>
          <w:color w:themeColor="text1" w:val="000000"/>
          <w:sz w:val="24"/>
        </w:rPr>
        <w:t>работы</w:t>
      </w:r>
      <w:r>
        <w:rPr>
          <w:rFonts w:ascii="Times New Roman" w:hAnsi="Times New Roman"/>
          <w:color w:themeColor="text1" w:val="000000"/>
          <w:spacing w:val="-12"/>
          <w:sz w:val="24"/>
        </w:rPr>
        <w:t xml:space="preserve"> </w:t>
      </w:r>
      <w:r>
        <w:rPr>
          <w:rFonts w:ascii="Times New Roman" w:hAnsi="Times New Roman"/>
          <w:color w:themeColor="text1" w:val="000000"/>
          <w:sz w:val="24"/>
        </w:rPr>
        <w:t>общенаучных</w:t>
      </w:r>
      <w:r>
        <w:rPr>
          <w:rFonts w:ascii="Times New Roman" w:hAnsi="Times New Roman"/>
          <w:color w:themeColor="text1" w:val="000000"/>
          <w:spacing w:val="-10"/>
          <w:sz w:val="24"/>
        </w:rPr>
        <w:t xml:space="preserve"> </w:t>
      </w:r>
      <w:r>
        <w:rPr>
          <w:rFonts w:ascii="Times New Roman" w:hAnsi="Times New Roman"/>
          <w:color w:themeColor="text1" w:val="000000"/>
          <w:sz w:val="24"/>
        </w:rPr>
        <w:t>инструментов</w:t>
      </w:r>
      <w:r>
        <w:rPr>
          <w:rFonts w:ascii="Times New Roman" w:hAnsi="Times New Roman"/>
          <w:color w:themeColor="text1" w:val="000000"/>
          <w:spacing w:val="-3"/>
          <w:sz w:val="24"/>
        </w:rPr>
        <w:t xml:space="preserve"> </w:t>
      </w:r>
      <w:r>
        <w:rPr>
          <w:rFonts w:ascii="Times New Roman" w:hAnsi="Times New Roman"/>
          <w:color w:themeColor="text1" w:val="000000"/>
          <w:sz w:val="24"/>
        </w:rPr>
        <w:t>-</w:t>
      </w:r>
      <w:r>
        <w:rPr>
          <w:rFonts w:ascii="Times New Roman" w:hAnsi="Times New Roman"/>
          <w:color w:themeColor="text1" w:val="000000"/>
          <w:spacing w:val="-12"/>
          <w:sz w:val="24"/>
        </w:rPr>
        <w:t xml:space="preserve"> </w:t>
      </w:r>
      <w:r>
        <w:rPr>
          <w:rFonts w:ascii="Times New Roman" w:hAnsi="Times New Roman"/>
          <w:color w:themeColor="text1" w:val="000000"/>
          <w:sz w:val="24"/>
        </w:rPr>
        <w:t>методы формальной</w:t>
      </w:r>
      <w:r>
        <w:rPr>
          <w:rFonts w:ascii="Times New Roman" w:hAnsi="Times New Roman"/>
          <w:color w:themeColor="text1" w:val="000000"/>
          <w:spacing w:val="-3"/>
          <w:sz w:val="24"/>
        </w:rPr>
        <w:t xml:space="preserve"> </w:t>
      </w:r>
      <w:r>
        <w:rPr>
          <w:rFonts w:ascii="Times New Roman" w:hAnsi="Times New Roman"/>
          <w:color w:themeColor="text1" w:val="000000"/>
          <w:sz w:val="24"/>
        </w:rPr>
        <w:t>логики,</w:t>
      </w:r>
      <w:r>
        <w:rPr>
          <w:rFonts w:ascii="Times New Roman" w:hAnsi="Times New Roman"/>
          <w:color w:themeColor="text1" w:val="000000"/>
          <w:spacing w:val="-2"/>
          <w:sz w:val="24"/>
        </w:rPr>
        <w:t xml:space="preserve"> </w:t>
      </w:r>
      <w:r>
        <w:rPr>
          <w:rFonts w:ascii="Times New Roman" w:hAnsi="Times New Roman"/>
          <w:color w:themeColor="text1" w:val="000000"/>
          <w:sz w:val="24"/>
        </w:rPr>
        <w:t>анализа</w:t>
      </w:r>
      <w:r>
        <w:rPr>
          <w:rFonts w:ascii="Times New Roman" w:hAnsi="Times New Roman"/>
          <w:color w:themeColor="text1" w:val="000000"/>
          <w:spacing w:val="-3"/>
          <w:sz w:val="24"/>
        </w:rPr>
        <w:t xml:space="preserve"> </w:t>
      </w:r>
      <w:r>
        <w:rPr>
          <w:rFonts w:ascii="Times New Roman" w:hAnsi="Times New Roman"/>
          <w:color w:themeColor="text1" w:val="000000"/>
          <w:sz w:val="24"/>
        </w:rPr>
        <w:t>и</w:t>
      </w:r>
      <w:r>
        <w:rPr>
          <w:rFonts w:ascii="Times New Roman" w:hAnsi="Times New Roman"/>
          <w:color w:themeColor="text1" w:val="000000"/>
          <w:spacing w:val="-3"/>
          <w:sz w:val="24"/>
        </w:rPr>
        <w:t xml:space="preserve"> </w:t>
      </w:r>
      <w:r>
        <w:rPr>
          <w:rFonts w:ascii="Times New Roman" w:hAnsi="Times New Roman"/>
          <w:color w:themeColor="text1" w:val="000000"/>
          <w:sz w:val="24"/>
        </w:rPr>
        <w:t>синтеза,</w:t>
      </w:r>
      <w:r>
        <w:rPr>
          <w:rFonts w:ascii="Times New Roman" w:hAnsi="Times New Roman"/>
          <w:color w:themeColor="text1" w:val="000000"/>
          <w:spacing w:val="-2"/>
          <w:sz w:val="24"/>
        </w:rPr>
        <w:t xml:space="preserve"> </w:t>
      </w:r>
      <w:r>
        <w:rPr>
          <w:rFonts w:ascii="Times New Roman" w:hAnsi="Times New Roman"/>
          <w:color w:themeColor="text1" w:val="000000"/>
          <w:sz w:val="24"/>
        </w:rPr>
        <w:t>индукции</w:t>
      </w:r>
      <w:r>
        <w:rPr>
          <w:rFonts w:ascii="Times New Roman" w:hAnsi="Times New Roman"/>
          <w:color w:themeColor="text1" w:val="000000"/>
          <w:spacing w:val="-3"/>
          <w:sz w:val="24"/>
        </w:rPr>
        <w:t xml:space="preserve"> </w:t>
      </w:r>
      <w:r>
        <w:rPr>
          <w:rFonts w:ascii="Times New Roman" w:hAnsi="Times New Roman"/>
          <w:color w:themeColor="text1" w:val="000000"/>
          <w:sz w:val="24"/>
        </w:rPr>
        <w:t>и</w:t>
      </w:r>
      <w:r>
        <w:rPr>
          <w:rFonts w:ascii="Times New Roman" w:hAnsi="Times New Roman"/>
          <w:color w:themeColor="text1" w:val="000000"/>
          <w:spacing w:val="-3"/>
          <w:sz w:val="24"/>
        </w:rPr>
        <w:t xml:space="preserve"> </w:t>
      </w:r>
      <w:r>
        <w:rPr>
          <w:rFonts w:ascii="Times New Roman" w:hAnsi="Times New Roman"/>
          <w:color w:themeColor="text1" w:val="000000"/>
          <w:sz w:val="24"/>
        </w:rPr>
        <w:t>дедукции,</w:t>
      </w:r>
      <w:r>
        <w:rPr>
          <w:rFonts w:ascii="Times New Roman" w:hAnsi="Times New Roman"/>
          <w:color w:themeColor="text1" w:val="000000"/>
          <w:spacing w:val="-2"/>
          <w:sz w:val="24"/>
        </w:rPr>
        <w:t xml:space="preserve"> </w:t>
      </w:r>
      <w:r>
        <w:rPr>
          <w:rFonts w:ascii="Times New Roman" w:hAnsi="Times New Roman"/>
          <w:color w:themeColor="text1" w:val="000000"/>
          <w:sz w:val="24"/>
        </w:rPr>
        <w:t>аналогии,</w:t>
      </w:r>
      <w:r>
        <w:rPr>
          <w:rFonts w:ascii="Times New Roman" w:hAnsi="Times New Roman"/>
          <w:color w:themeColor="text1" w:val="000000"/>
          <w:spacing w:val="-2"/>
          <w:sz w:val="24"/>
        </w:rPr>
        <w:t xml:space="preserve"> </w:t>
      </w:r>
      <w:r>
        <w:rPr>
          <w:rFonts w:ascii="Times New Roman" w:hAnsi="Times New Roman"/>
          <w:color w:themeColor="text1" w:val="000000"/>
          <w:sz w:val="24"/>
        </w:rPr>
        <w:t>системно-структурный, функциональный</w:t>
      </w:r>
      <w:r>
        <w:rPr>
          <w:rFonts w:ascii="Times New Roman" w:hAnsi="Times New Roman"/>
          <w:color w:themeColor="text1" w:val="000000"/>
          <w:spacing w:val="-14"/>
          <w:sz w:val="24"/>
        </w:rPr>
        <w:t xml:space="preserve"> </w:t>
      </w:r>
      <w:r>
        <w:rPr>
          <w:rFonts w:ascii="Times New Roman" w:hAnsi="Times New Roman"/>
          <w:color w:themeColor="text1" w:val="000000"/>
          <w:sz w:val="24"/>
        </w:rPr>
        <w:t>подходы.</w:t>
      </w:r>
      <w:r>
        <w:rPr>
          <w:rFonts w:ascii="Times New Roman" w:hAnsi="Times New Roman"/>
          <w:color w:themeColor="text1" w:val="000000"/>
          <w:spacing w:val="-12"/>
          <w:sz w:val="24"/>
        </w:rPr>
        <w:t xml:space="preserve"> </w:t>
      </w:r>
      <w:r>
        <w:rPr>
          <w:rFonts w:ascii="Times New Roman" w:hAnsi="Times New Roman"/>
          <w:color w:themeColor="text1" w:val="000000"/>
          <w:sz w:val="24"/>
        </w:rPr>
        <w:t>Среди</w:t>
      </w:r>
      <w:r>
        <w:rPr>
          <w:rFonts w:ascii="Times New Roman" w:hAnsi="Times New Roman"/>
          <w:color w:themeColor="text1" w:val="000000"/>
          <w:spacing w:val="-11"/>
          <w:sz w:val="24"/>
        </w:rPr>
        <w:t xml:space="preserve"> </w:t>
      </w:r>
      <w:r>
        <w:rPr>
          <w:rFonts w:ascii="Times New Roman" w:hAnsi="Times New Roman"/>
          <w:color w:themeColor="text1" w:val="000000"/>
          <w:sz w:val="24"/>
        </w:rPr>
        <w:t>применённых</w:t>
      </w:r>
      <w:r>
        <w:rPr>
          <w:rFonts w:ascii="Times New Roman" w:hAnsi="Times New Roman"/>
          <w:color w:themeColor="text1" w:val="000000"/>
          <w:spacing w:val="-10"/>
          <w:sz w:val="24"/>
        </w:rPr>
        <w:t xml:space="preserve"> </w:t>
      </w:r>
      <w:r>
        <w:rPr>
          <w:rFonts w:ascii="Times New Roman" w:hAnsi="Times New Roman"/>
          <w:color w:themeColor="text1" w:val="000000"/>
          <w:sz w:val="24"/>
        </w:rPr>
        <w:t>частных</w:t>
      </w:r>
      <w:r>
        <w:rPr>
          <w:rFonts w:ascii="Times New Roman" w:hAnsi="Times New Roman"/>
          <w:color w:themeColor="text1" w:val="000000"/>
          <w:spacing w:val="-10"/>
          <w:sz w:val="24"/>
        </w:rPr>
        <w:t xml:space="preserve"> </w:t>
      </w:r>
      <w:r>
        <w:rPr>
          <w:rFonts w:ascii="Times New Roman" w:hAnsi="Times New Roman"/>
          <w:color w:themeColor="text1" w:val="000000"/>
          <w:sz w:val="24"/>
        </w:rPr>
        <w:t>методов</w:t>
      </w:r>
      <w:r>
        <w:rPr>
          <w:rFonts w:ascii="Times New Roman" w:hAnsi="Times New Roman"/>
          <w:color w:themeColor="text1" w:val="000000"/>
          <w:spacing w:val="-12"/>
          <w:sz w:val="24"/>
        </w:rPr>
        <w:t xml:space="preserve"> </w:t>
      </w:r>
      <w:r>
        <w:rPr>
          <w:rFonts w:ascii="Times New Roman" w:hAnsi="Times New Roman"/>
          <w:color w:themeColor="text1" w:val="000000"/>
          <w:sz w:val="24"/>
        </w:rPr>
        <w:t>научного</w:t>
      </w:r>
      <w:r>
        <w:rPr>
          <w:rFonts w:ascii="Times New Roman" w:hAnsi="Times New Roman"/>
          <w:color w:themeColor="text1" w:val="000000"/>
          <w:spacing w:val="-5"/>
          <w:sz w:val="24"/>
        </w:rPr>
        <w:t xml:space="preserve"> </w:t>
      </w:r>
      <w:r>
        <w:rPr>
          <w:rFonts w:ascii="Times New Roman" w:hAnsi="Times New Roman"/>
          <w:color w:themeColor="text1" w:val="000000"/>
          <w:sz w:val="24"/>
        </w:rPr>
        <w:t>поиска</w:t>
      </w:r>
      <w:r>
        <w:rPr>
          <w:rFonts w:ascii="Times New Roman" w:hAnsi="Times New Roman"/>
          <w:color w:themeColor="text1" w:val="000000"/>
          <w:spacing w:val="-12"/>
          <w:sz w:val="24"/>
        </w:rPr>
        <w:t xml:space="preserve"> </w:t>
      </w:r>
      <w:r>
        <w:rPr>
          <w:rFonts w:ascii="Times New Roman" w:hAnsi="Times New Roman"/>
          <w:color w:themeColor="text1" w:val="000000"/>
          <w:sz w:val="24"/>
        </w:rPr>
        <w:t>-</w:t>
      </w:r>
      <w:r>
        <w:rPr>
          <w:rFonts w:ascii="Times New Roman" w:hAnsi="Times New Roman"/>
          <w:color w:themeColor="text1" w:val="000000"/>
          <w:spacing w:val="-12"/>
          <w:sz w:val="24"/>
        </w:rPr>
        <w:t xml:space="preserve"> </w:t>
      </w:r>
      <w:r>
        <w:rPr>
          <w:rFonts w:ascii="Times New Roman" w:hAnsi="Times New Roman"/>
          <w:color w:themeColor="text1" w:val="000000"/>
          <w:sz w:val="24"/>
        </w:rPr>
        <w:t>формально-юридический, исторический, сравнительно-правовой, статистический, метод правового моделирования. В работе использованы грамматический, формально-логический, систематический и исторический виды толкования правовых норм.</w:t>
      </w:r>
    </w:p>
    <w:p w14:paraId="69000000">
      <w:bookmarkStart w:id="8" w:name="__RefHeading___8"/>
      <w:bookmarkEnd w:id="8"/>
      <w:pPr>
        <w:widowControl w:val="0"/>
        <w:numPr>
          <w:ilvl w:val="0"/>
          <w:numId w:val="2"/>
        </w:numPr>
        <w:tabs>
          <w:tab w:leader="none" w:pos="862" w:val="left"/>
        </w:tabs>
        <w:spacing w:after="0" w:before="6" w:line="240" w:lineRule="auto"/>
        <w:ind w:firstLine="0" w:left="0"/>
        <w:jc w:val="both"/>
        <w:outlineLvl w:val="0"/>
        <w:rPr>
          <w:rFonts w:ascii="Times New Roman" w:hAnsi="Times New Roman"/>
          <w:b w:val="1"/>
          <w:color w:themeColor="text1" w:val="000000"/>
          <w:sz w:val="24"/>
        </w:rPr>
      </w:pPr>
      <w:r>
        <w:rPr>
          <w:rFonts w:ascii="Times New Roman" w:hAnsi="Times New Roman"/>
          <w:b w:val="1"/>
          <w:color w:themeColor="text1" w:val="000000"/>
          <w:sz w:val="24"/>
        </w:rPr>
        <w:t>Ожидаемые</w:t>
      </w:r>
      <w:r>
        <w:rPr>
          <w:rFonts w:ascii="Times New Roman" w:hAnsi="Times New Roman"/>
          <w:b w:val="1"/>
          <w:color w:themeColor="text1" w:val="000000"/>
          <w:spacing w:val="-4"/>
          <w:sz w:val="24"/>
        </w:rPr>
        <w:t xml:space="preserve"> </w:t>
      </w:r>
      <w:r>
        <w:rPr>
          <w:rFonts w:ascii="Times New Roman" w:hAnsi="Times New Roman"/>
          <w:b w:val="1"/>
          <w:color w:themeColor="text1" w:val="000000"/>
          <w:sz w:val="24"/>
        </w:rPr>
        <w:t>основные</w:t>
      </w:r>
      <w:r>
        <w:rPr>
          <w:rFonts w:ascii="Times New Roman" w:hAnsi="Times New Roman"/>
          <w:b w:val="1"/>
          <w:color w:themeColor="text1" w:val="000000"/>
          <w:spacing w:val="-2"/>
          <w:sz w:val="24"/>
        </w:rPr>
        <w:t xml:space="preserve"> </w:t>
      </w:r>
      <w:r>
        <w:rPr>
          <w:rFonts w:ascii="Times New Roman" w:hAnsi="Times New Roman"/>
          <w:b w:val="1"/>
          <w:color w:themeColor="text1" w:val="000000"/>
          <w:sz w:val="24"/>
        </w:rPr>
        <w:t>результаты</w:t>
      </w:r>
      <w:r>
        <w:rPr>
          <w:rFonts w:ascii="Times New Roman" w:hAnsi="Times New Roman"/>
          <w:b w:val="1"/>
          <w:color w:themeColor="text1" w:val="000000"/>
          <w:spacing w:val="-3"/>
          <w:sz w:val="24"/>
        </w:rPr>
        <w:t xml:space="preserve"> </w:t>
      </w:r>
      <w:r>
        <w:rPr>
          <w:rFonts w:ascii="Times New Roman" w:hAnsi="Times New Roman"/>
          <w:b w:val="1"/>
          <w:color w:themeColor="text1" w:val="000000"/>
          <w:spacing w:val="-2"/>
          <w:sz w:val="24"/>
        </w:rPr>
        <w:t>исследования</w:t>
      </w:r>
    </w:p>
    <w:p w14:paraId="6A000000">
      <w:pPr>
        <w:widowControl w:val="0"/>
        <w:numPr>
          <w:ilvl w:val="0"/>
          <w:numId w:val="3"/>
        </w:numPr>
        <w:tabs>
          <w:tab w:leader="none" w:pos="851" w:val="left"/>
        </w:tabs>
        <w:spacing w:after="0" w:before="133" w:line="360" w:lineRule="auto"/>
        <w:ind w:firstLine="0" w:left="0" w:right="136"/>
        <w:jc w:val="both"/>
        <w:rPr>
          <w:rFonts w:ascii="Times New Roman" w:hAnsi="Times New Roman"/>
          <w:color w:themeColor="text1" w:val="000000"/>
          <w:sz w:val="24"/>
        </w:rPr>
      </w:pPr>
      <w:r>
        <w:rPr>
          <w:rFonts w:ascii="Times New Roman" w:hAnsi="Times New Roman"/>
          <w:b w:val="1"/>
          <w:color w:themeColor="text1" w:val="000000"/>
          <w:sz w:val="24"/>
        </w:rPr>
        <w:t xml:space="preserve">Анализ проблемных зон в правоприменении. </w:t>
      </w:r>
      <w:r>
        <w:rPr>
          <w:rFonts w:ascii="Times New Roman" w:hAnsi="Times New Roman"/>
          <w:color w:themeColor="text1" w:val="000000"/>
          <w:sz w:val="24"/>
        </w:rPr>
        <w:t>На основе судебной практики выявляются</w:t>
      </w:r>
      <w:r>
        <w:rPr>
          <w:rFonts w:ascii="Times New Roman" w:hAnsi="Times New Roman"/>
          <w:color w:themeColor="text1" w:val="000000"/>
          <w:spacing w:val="-5"/>
          <w:sz w:val="24"/>
        </w:rPr>
        <w:t xml:space="preserve"> </w:t>
      </w:r>
      <w:r>
        <w:rPr>
          <w:rFonts w:ascii="Times New Roman" w:hAnsi="Times New Roman"/>
          <w:color w:themeColor="text1" w:val="000000"/>
          <w:sz w:val="24"/>
        </w:rPr>
        <w:t>«болевые</w:t>
      </w:r>
      <w:r>
        <w:rPr>
          <w:rFonts w:ascii="Times New Roman" w:hAnsi="Times New Roman"/>
          <w:color w:themeColor="text1" w:val="000000"/>
          <w:spacing w:val="-10"/>
          <w:sz w:val="24"/>
        </w:rPr>
        <w:t xml:space="preserve"> </w:t>
      </w:r>
      <w:r>
        <w:rPr>
          <w:rFonts w:ascii="Times New Roman" w:hAnsi="Times New Roman"/>
          <w:color w:themeColor="text1" w:val="000000"/>
          <w:sz w:val="24"/>
        </w:rPr>
        <w:t>точки»:</w:t>
      </w:r>
      <w:r>
        <w:rPr>
          <w:rFonts w:ascii="Times New Roman" w:hAnsi="Times New Roman"/>
          <w:color w:themeColor="text1" w:val="000000"/>
          <w:spacing w:val="-9"/>
          <w:sz w:val="24"/>
        </w:rPr>
        <w:t xml:space="preserve"> </w:t>
      </w:r>
      <w:r>
        <w:rPr>
          <w:rFonts w:ascii="Times New Roman" w:hAnsi="Times New Roman"/>
          <w:color w:themeColor="text1" w:val="000000"/>
          <w:sz w:val="24"/>
        </w:rPr>
        <w:t>сложности</w:t>
      </w:r>
      <w:r>
        <w:rPr>
          <w:rFonts w:ascii="Times New Roman" w:hAnsi="Times New Roman"/>
          <w:color w:themeColor="text1" w:val="000000"/>
          <w:spacing w:val="-8"/>
          <w:sz w:val="24"/>
        </w:rPr>
        <w:t xml:space="preserve"> </w:t>
      </w:r>
      <w:r>
        <w:rPr>
          <w:rFonts w:ascii="Times New Roman" w:hAnsi="Times New Roman"/>
          <w:color w:themeColor="text1" w:val="000000"/>
          <w:sz w:val="24"/>
        </w:rPr>
        <w:t>с</w:t>
      </w:r>
      <w:r>
        <w:rPr>
          <w:rFonts w:ascii="Times New Roman" w:hAnsi="Times New Roman"/>
          <w:color w:themeColor="text1" w:val="000000"/>
          <w:spacing w:val="-10"/>
          <w:sz w:val="24"/>
        </w:rPr>
        <w:t xml:space="preserve"> </w:t>
      </w:r>
      <w:r>
        <w:rPr>
          <w:rFonts w:ascii="Times New Roman" w:hAnsi="Times New Roman"/>
          <w:color w:themeColor="text1" w:val="000000"/>
          <w:sz w:val="24"/>
        </w:rPr>
        <w:t>доказыванием</w:t>
      </w:r>
      <w:r>
        <w:rPr>
          <w:rFonts w:ascii="Times New Roman" w:hAnsi="Times New Roman"/>
          <w:color w:themeColor="text1" w:val="000000"/>
          <w:spacing w:val="-10"/>
          <w:sz w:val="24"/>
        </w:rPr>
        <w:t xml:space="preserve"> </w:t>
      </w:r>
      <w:r>
        <w:rPr>
          <w:rFonts w:ascii="Times New Roman" w:hAnsi="Times New Roman"/>
          <w:color w:themeColor="text1" w:val="000000"/>
          <w:sz w:val="24"/>
        </w:rPr>
        <w:t>вины</w:t>
      </w:r>
      <w:r>
        <w:rPr>
          <w:rFonts w:ascii="Times New Roman" w:hAnsi="Times New Roman"/>
          <w:color w:themeColor="text1" w:val="000000"/>
          <w:spacing w:val="-10"/>
          <w:sz w:val="24"/>
        </w:rPr>
        <w:t xml:space="preserve"> </w:t>
      </w:r>
      <w:r>
        <w:rPr>
          <w:rFonts w:ascii="Times New Roman" w:hAnsi="Times New Roman"/>
          <w:color w:themeColor="text1" w:val="000000"/>
          <w:sz w:val="24"/>
        </w:rPr>
        <w:t>и</w:t>
      </w:r>
      <w:r>
        <w:rPr>
          <w:rFonts w:ascii="Times New Roman" w:hAnsi="Times New Roman"/>
          <w:color w:themeColor="text1" w:val="000000"/>
          <w:spacing w:val="-11"/>
          <w:sz w:val="24"/>
        </w:rPr>
        <w:t xml:space="preserve"> </w:t>
      </w:r>
      <w:r>
        <w:rPr>
          <w:rFonts w:ascii="Times New Roman" w:hAnsi="Times New Roman"/>
          <w:color w:themeColor="text1" w:val="000000"/>
          <w:sz w:val="24"/>
        </w:rPr>
        <w:t>причинно-следственной связи, неоднозначность критериев «контролирующего лица», вопросы распределения бремени</w:t>
      </w:r>
      <w:r>
        <w:rPr>
          <w:rFonts w:ascii="Times New Roman" w:hAnsi="Times New Roman"/>
          <w:color w:themeColor="text1" w:val="000000"/>
          <w:spacing w:val="-3"/>
          <w:sz w:val="24"/>
        </w:rPr>
        <w:t xml:space="preserve"> </w:t>
      </w:r>
      <w:r>
        <w:rPr>
          <w:rFonts w:ascii="Times New Roman" w:hAnsi="Times New Roman"/>
          <w:color w:themeColor="text1" w:val="000000"/>
          <w:sz w:val="24"/>
        </w:rPr>
        <w:t>доказывания</w:t>
      </w:r>
      <w:r>
        <w:rPr>
          <w:rFonts w:ascii="Times New Roman" w:hAnsi="Times New Roman"/>
          <w:color w:themeColor="text1" w:val="000000"/>
          <w:spacing w:val="-3"/>
          <w:sz w:val="24"/>
        </w:rPr>
        <w:t xml:space="preserve"> </w:t>
      </w:r>
      <w:r>
        <w:rPr>
          <w:rFonts w:ascii="Times New Roman" w:hAnsi="Times New Roman"/>
          <w:color w:themeColor="text1" w:val="000000"/>
          <w:sz w:val="24"/>
        </w:rPr>
        <w:t>(особенно</w:t>
      </w:r>
      <w:r>
        <w:rPr>
          <w:rFonts w:ascii="Times New Roman" w:hAnsi="Times New Roman"/>
          <w:color w:themeColor="text1" w:val="000000"/>
          <w:spacing w:val="-3"/>
          <w:sz w:val="24"/>
        </w:rPr>
        <w:t xml:space="preserve"> </w:t>
      </w:r>
      <w:r>
        <w:rPr>
          <w:rFonts w:ascii="Times New Roman" w:hAnsi="Times New Roman"/>
          <w:color w:themeColor="text1" w:val="000000"/>
          <w:sz w:val="24"/>
        </w:rPr>
        <w:t>когда</w:t>
      </w:r>
      <w:r>
        <w:rPr>
          <w:rFonts w:ascii="Times New Roman" w:hAnsi="Times New Roman"/>
          <w:color w:themeColor="text1" w:val="000000"/>
          <w:spacing w:val="-2"/>
          <w:sz w:val="24"/>
        </w:rPr>
        <w:t xml:space="preserve"> </w:t>
      </w:r>
      <w:r>
        <w:rPr>
          <w:rFonts w:ascii="Times New Roman" w:hAnsi="Times New Roman"/>
          <w:color w:themeColor="text1" w:val="000000"/>
          <w:sz w:val="24"/>
        </w:rPr>
        <w:t>у</w:t>
      </w:r>
      <w:r>
        <w:rPr>
          <w:rFonts w:ascii="Times New Roman" w:hAnsi="Times New Roman"/>
          <w:color w:themeColor="text1" w:val="000000"/>
          <w:spacing w:val="-7"/>
          <w:sz w:val="24"/>
        </w:rPr>
        <w:t xml:space="preserve"> </w:t>
      </w:r>
      <w:r>
        <w:rPr>
          <w:rFonts w:ascii="Times New Roman" w:hAnsi="Times New Roman"/>
          <w:color w:themeColor="text1" w:val="000000"/>
          <w:sz w:val="24"/>
        </w:rPr>
        <w:t>кредитора</w:t>
      </w:r>
      <w:r>
        <w:rPr>
          <w:rFonts w:ascii="Times New Roman" w:hAnsi="Times New Roman"/>
          <w:color w:themeColor="text1" w:val="000000"/>
          <w:spacing w:val="-3"/>
          <w:sz w:val="24"/>
        </w:rPr>
        <w:t xml:space="preserve"> </w:t>
      </w:r>
      <w:r>
        <w:rPr>
          <w:rFonts w:ascii="Times New Roman" w:hAnsi="Times New Roman"/>
          <w:color w:themeColor="text1" w:val="000000"/>
          <w:sz w:val="24"/>
        </w:rPr>
        <w:t>мало</w:t>
      </w:r>
      <w:r>
        <w:rPr>
          <w:rFonts w:ascii="Times New Roman" w:hAnsi="Times New Roman"/>
          <w:color w:themeColor="text1" w:val="000000"/>
          <w:spacing w:val="-3"/>
          <w:sz w:val="24"/>
        </w:rPr>
        <w:t xml:space="preserve"> </w:t>
      </w:r>
      <w:r>
        <w:rPr>
          <w:rFonts w:ascii="Times New Roman" w:hAnsi="Times New Roman"/>
          <w:color w:themeColor="text1" w:val="000000"/>
          <w:sz w:val="24"/>
        </w:rPr>
        <w:t>информации,</w:t>
      </w:r>
      <w:r>
        <w:rPr>
          <w:rFonts w:ascii="Times New Roman" w:hAnsi="Times New Roman"/>
          <w:color w:themeColor="text1" w:val="000000"/>
          <w:spacing w:val="-5"/>
          <w:sz w:val="24"/>
        </w:rPr>
        <w:t xml:space="preserve"> </w:t>
      </w:r>
      <w:r>
        <w:rPr>
          <w:rFonts w:ascii="Times New Roman" w:hAnsi="Times New Roman"/>
          <w:color w:themeColor="text1" w:val="000000"/>
          <w:sz w:val="24"/>
        </w:rPr>
        <w:t>а</w:t>
      </w:r>
      <w:r>
        <w:rPr>
          <w:rFonts w:ascii="Times New Roman" w:hAnsi="Times New Roman"/>
          <w:color w:themeColor="text1" w:val="000000"/>
          <w:spacing w:val="-4"/>
          <w:sz w:val="24"/>
        </w:rPr>
        <w:t xml:space="preserve"> </w:t>
      </w:r>
      <w:r>
        <w:rPr>
          <w:rFonts w:ascii="Times New Roman" w:hAnsi="Times New Roman"/>
          <w:color w:themeColor="text1" w:val="000000"/>
          <w:sz w:val="24"/>
        </w:rPr>
        <w:t>контролирующее лицо может скрыть данные), противоречия в подходах судов.</w:t>
      </w:r>
    </w:p>
    <w:p w14:paraId="6B000000">
      <w:pPr>
        <w:widowControl w:val="0"/>
        <w:numPr>
          <w:ilvl w:val="0"/>
          <w:numId w:val="3"/>
        </w:numPr>
        <w:tabs>
          <w:tab w:leader="none" w:pos="851" w:val="left"/>
        </w:tabs>
        <w:spacing w:after="0" w:line="360" w:lineRule="auto"/>
        <w:ind w:firstLine="0" w:left="0" w:right="138"/>
        <w:jc w:val="both"/>
        <w:rPr>
          <w:rFonts w:ascii="Times New Roman" w:hAnsi="Times New Roman"/>
          <w:color w:themeColor="text1" w:val="000000"/>
          <w:sz w:val="24"/>
        </w:rPr>
      </w:pPr>
      <w:r>
        <w:rPr>
          <w:rFonts w:ascii="Times New Roman" w:hAnsi="Times New Roman"/>
          <w:color w:themeColor="text1" w:val="000000"/>
          <w:sz w:val="24"/>
        </w:rPr>
        <w:t xml:space="preserve">Исследование может предложить и обосновать классификацию субсидиарной ответственности (по основаниям возникновения </w:t>
      </w:r>
      <w:r>
        <w:rPr>
          <w:rFonts w:ascii="Times New Roman" w:hAnsi="Times New Roman"/>
          <w:color w:themeColor="text1" w:val="000000"/>
          <w:sz w:val="24"/>
        </w:rPr>
        <w:t>-</w:t>
      </w:r>
      <w:r>
        <w:rPr>
          <w:rFonts w:ascii="Times New Roman" w:hAnsi="Times New Roman"/>
          <w:color w:themeColor="text1" w:val="000000"/>
          <w:sz w:val="24"/>
        </w:rPr>
        <w:t xml:space="preserve"> договорная/внедоговорная, по кругу субъектов </w:t>
      </w:r>
      <w:r>
        <w:rPr>
          <w:rFonts w:ascii="Times New Roman" w:hAnsi="Times New Roman"/>
          <w:color w:themeColor="text1" w:val="000000"/>
          <w:sz w:val="24"/>
        </w:rPr>
        <w:t>-</w:t>
      </w:r>
      <w:r>
        <w:rPr>
          <w:rFonts w:ascii="Times New Roman" w:hAnsi="Times New Roman"/>
          <w:color w:themeColor="text1" w:val="000000"/>
          <w:sz w:val="24"/>
        </w:rPr>
        <w:t xml:space="preserve"> физические/юридические лица, публично-правовые образования), выявив особенности каждого вида.</w:t>
      </w:r>
    </w:p>
    <w:p w14:paraId="6C000000">
      <w:pPr>
        <w:sectPr>
          <w:pgSz w:h="16840" w:orient="portrait" w:w="11910"/>
          <w:pgMar w:bottom="280" w:footer="720" w:gutter="0" w:header="720" w:left="1275" w:right="425" w:top="1060"/>
        </w:sectPr>
      </w:pPr>
    </w:p>
    <w:p w14:paraId="6D000000">
      <w:pPr>
        <w:widowControl w:val="0"/>
        <w:numPr>
          <w:ilvl w:val="0"/>
          <w:numId w:val="3"/>
        </w:numPr>
        <w:tabs>
          <w:tab w:leader="none" w:pos="851" w:val="left"/>
        </w:tabs>
        <w:spacing w:after="0" w:before="72" w:line="360" w:lineRule="auto"/>
        <w:ind w:firstLine="0" w:left="0" w:right="139"/>
        <w:jc w:val="both"/>
        <w:rPr>
          <w:rFonts w:ascii="Times New Roman" w:hAnsi="Times New Roman"/>
          <w:color w:themeColor="text1" w:val="000000"/>
          <w:sz w:val="24"/>
        </w:rPr>
      </w:pPr>
      <w:r>
        <w:rPr>
          <w:rFonts w:ascii="Times New Roman" w:hAnsi="Times New Roman"/>
          <w:color w:themeColor="text1" w:val="000000"/>
          <w:sz w:val="24"/>
        </w:rPr>
        <w:t>Легальный термин «субсидиарная ответственность» носит условный характер: в некоторых случаях в действиях дополнительного должника может отсутствовать противоправность, необходимая для ответственности, и тогда речь идёт скорее о мере защиты. Или аргументация самостоятельной правовой природы субсидиарной ответственности контролирующих лиц с особым порядком определения вины и распределения бремени доказывания.</w:t>
      </w:r>
    </w:p>
    <w:p w14:paraId="6E000000">
      <w:pPr>
        <w:widowControl w:val="0"/>
        <w:numPr>
          <w:ilvl w:val="0"/>
          <w:numId w:val="3"/>
        </w:numPr>
        <w:tabs>
          <w:tab w:leader="none" w:pos="851" w:val="left"/>
        </w:tabs>
        <w:spacing w:after="0" w:before="1" w:line="360" w:lineRule="auto"/>
        <w:ind w:firstLine="0" w:left="0" w:right="139"/>
        <w:jc w:val="both"/>
        <w:rPr>
          <w:rFonts w:ascii="Times New Roman" w:hAnsi="Times New Roman"/>
          <w:color w:themeColor="text1" w:val="000000"/>
          <w:sz w:val="24"/>
        </w:rPr>
      </w:pPr>
      <w:r>
        <w:rPr>
          <w:rFonts w:ascii="Times New Roman" w:hAnsi="Times New Roman"/>
          <w:color w:themeColor="text1" w:val="000000"/>
          <w:sz w:val="24"/>
        </w:rPr>
        <w:t>Анализ</w:t>
      </w:r>
      <w:r>
        <w:rPr>
          <w:rFonts w:ascii="Times New Roman" w:hAnsi="Times New Roman"/>
          <w:color w:themeColor="text1" w:val="000000"/>
          <w:spacing w:val="-4"/>
          <w:sz w:val="24"/>
        </w:rPr>
        <w:t xml:space="preserve"> </w:t>
      </w:r>
      <w:r>
        <w:rPr>
          <w:rFonts w:ascii="Times New Roman" w:hAnsi="Times New Roman"/>
          <w:color w:themeColor="text1" w:val="000000"/>
          <w:sz w:val="24"/>
        </w:rPr>
        <w:t>покажет,</w:t>
      </w:r>
      <w:r>
        <w:rPr>
          <w:rFonts w:ascii="Times New Roman" w:hAnsi="Times New Roman"/>
          <w:color w:themeColor="text1" w:val="000000"/>
          <w:spacing w:val="-4"/>
          <w:sz w:val="24"/>
        </w:rPr>
        <w:t xml:space="preserve"> </w:t>
      </w:r>
      <w:r>
        <w:rPr>
          <w:rFonts w:ascii="Times New Roman" w:hAnsi="Times New Roman"/>
          <w:color w:themeColor="text1" w:val="000000"/>
          <w:sz w:val="24"/>
        </w:rPr>
        <w:t>что</w:t>
      </w:r>
      <w:r>
        <w:rPr>
          <w:rFonts w:ascii="Times New Roman" w:hAnsi="Times New Roman"/>
          <w:color w:themeColor="text1" w:val="000000"/>
          <w:spacing w:val="-4"/>
          <w:sz w:val="24"/>
        </w:rPr>
        <w:t xml:space="preserve"> </w:t>
      </w:r>
      <w:r>
        <w:rPr>
          <w:rFonts w:ascii="Times New Roman" w:hAnsi="Times New Roman"/>
          <w:color w:themeColor="text1" w:val="000000"/>
          <w:sz w:val="24"/>
        </w:rPr>
        <w:t>конститутивным</w:t>
      </w:r>
      <w:r>
        <w:rPr>
          <w:rFonts w:ascii="Times New Roman" w:hAnsi="Times New Roman"/>
          <w:color w:themeColor="text1" w:val="000000"/>
          <w:spacing w:val="-6"/>
          <w:sz w:val="24"/>
        </w:rPr>
        <w:t xml:space="preserve"> </w:t>
      </w:r>
      <w:r>
        <w:rPr>
          <w:rFonts w:ascii="Times New Roman" w:hAnsi="Times New Roman"/>
          <w:color w:themeColor="text1" w:val="000000"/>
          <w:sz w:val="24"/>
        </w:rPr>
        <w:t>признаком</w:t>
      </w:r>
      <w:r>
        <w:rPr>
          <w:rFonts w:ascii="Times New Roman" w:hAnsi="Times New Roman"/>
          <w:color w:themeColor="text1" w:val="000000"/>
          <w:spacing w:val="-6"/>
          <w:sz w:val="24"/>
        </w:rPr>
        <w:t xml:space="preserve"> </w:t>
      </w:r>
      <w:r>
        <w:rPr>
          <w:rFonts w:ascii="Times New Roman" w:hAnsi="Times New Roman"/>
          <w:color w:themeColor="text1" w:val="000000"/>
          <w:sz w:val="24"/>
        </w:rPr>
        <w:t>является</w:t>
      </w:r>
      <w:r>
        <w:rPr>
          <w:rFonts w:ascii="Times New Roman" w:hAnsi="Times New Roman"/>
          <w:color w:themeColor="text1" w:val="000000"/>
          <w:spacing w:val="-3"/>
          <w:sz w:val="24"/>
        </w:rPr>
        <w:t xml:space="preserve"> </w:t>
      </w:r>
      <w:r>
        <w:rPr>
          <w:rFonts w:ascii="Times New Roman" w:hAnsi="Times New Roman"/>
          <w:color w:themeColor="text1" w:val="000000"/>
          <w:sz w:val="24"/>
        </w:rPr>
        <w:t>соблюдение</w:t>
      </w:r>
      <w:r>
        <w:rPr>
          <w:rFonts w:ascii="Times New Roman" w:hAnsi="Times New Roman"/>
          <w:color w:themeColor="text1" w:val="000000"/>
          <w:spacing w:val="-6"/>
          <w:sz w:val="24"/>
        </w:rPr>
        <w:t xml:space="preserve"> </w:t>
      </w:r>
      <w:r>
        <w:rPr>
          <w:rFonts w:ascii="Times New Roman" w:hAnsi="Times New Roman"/>
          <w:color w:themeColor="text1" w:val="000000"/>
          <w:sz w:val="24"/>
        </w:rPr>
        <w:t>порядка</w:t>
      </w:r>
      <w:r>
        <w:rPr>
          <w:rFonts w:ascii="Times New Roman" w:hAnsi="Times New Roman"/>
          <w:color w:themeColor="text1" w:val="000000"/>
          <w:spacing w:val="-6"/>
          <w:sz w:val="24"/>
        </w:rPr>
        <w:t xml:space="preserve"> </w:t>
      </w:r>
      <w:r>
        <w:rPr>
          <w:rFonts w:ascii="Times New Roman" w:hAnsi="Times New Roman"/>
          <w:color w:themeColor="text1" w:val="000000"/>
          <w:sz w:val="24"/>
        </w:rPr>
        <w:t>из</w:t>
      </w:r>
      <w:r>
        <w:rPr>
          <w:rFonts w:ascii="Times New Roman" w:hAnsi="Times New Roman"/>
          <w:color w:themeColor="text1" w:val="000000"/>
          <w:spacing w:val="-4"/>
          <w:sz w:val="24"/>
        </w:rPr>
        <w:t xml:space="preserve"> </w:t>
      </w:r>
      <w:r>
        <w:rPr>
          <w:rFonts w:ascii="Times New Roman" w:hAnsi="Times New Roman"/>
          <w:color w:themeColor="text1" w:val="000000"/>
          <w:sz w:val="24"/>
        </w:rPr>
        <w:t>п.</w:t>
      </w:r>
      <w:r>
        <w:rPr>
          <w:rFonts w:ascii="Times New Roman" w:hAnsi="Times New Roman"/>
          <w:color w:themeColor="text1" w:val="000000"/>
          <w:spacing w:val="-5"/>
          <w:sz w:val="24"/>
        </w:rPr>
        <w:t xml:space="preserve"> </w:t>
      </w:r>
      <w:r>
        <w:rPr>
          <w:rFonts w:ascii="Times New Roman" w:hAnsi="Times New Roman"/>
          <w:color w:themeColor="text1" w:val="000000"/>
          <w:sz w:val="24"/>
        </w:rPr>
        <w:t>1</w:t>
      </w:r>
      <w:r>
        <w:rPr>
          <w:rFonts w:ascii="Times New Roman" w:hAnsi="Times New Roman"/>
          <w:color w:themeColor="text1" w:val="000000"/>
          <w:spacing w:val="-5"/>
          <w:sz w:val="24"/>
        </w:rPr>
        <w:t xml:space="preserve"> </w:t>
      </w:r>
      <w:r>
        <w:rPr>
          <w:rFonts w:ascii="Times New Roman" w:hAnsi="Times New Roman"/>
          <w:color w:themeColor="text1" w:val="000000"/>
          <w:sz w:val="24"/>
        </w:rPr>
        <w:t xml:space="preserve">ст. 399 ГК РФ: кредитор должен сначала предъявить требование основному должнику, и только если тот отказался или не ответил в разумный срок </w:t>
      </w:r>
      <w:r>
        <w:rPr>
          <w:rFonts w:ascii="Times New Roman" w:hAnsi="Times New Roman"/>
          <w:color w:themeColor="text1" w:val="000000"/>
          <w:sz w:val="24"/>
        </w:rPr>
        <w:t>-</w:t>
      </w:r>
      <w:r>
        <w:rPr>
          <w:rFonts w:ascii="Times New Roman" w:hAnsi="Times New Roman"/>
          <w:color w:themeColor="text1" w:val="000000"/>
          <w:sz w:val="24"/>
        </w:rPr>
        <w:t xml:space="preserve"> наступает очередь субсидиарного должника.</w:t>
      </w:r>
    </w:p>
    <w:p w14:paraId="6F000000">
      <w:bookmarkStart w:id="9" w:name="__RefHeading___9"/>
      <w:bookmarkEnd w:id="9"/>
      <w:pPr>
        <w:widowControl w:val="0"/>
        <w:numPr>
          <w:ilvl w:val="0"/>
          <w:numId w:val="2"/>
        </w:numPr>
        <w:tabs>
          <w:tab w:leader="none" w:pos="862" w:val="left"/>
        </w:tabs>
        <w:spacing w:after="0" w:before="6" w:line="240" w:lineRule="auto"/>
        <w:ind w:firstLine="0" w:left="0"/>
        <w:jc w:val="both"/>
        <w:outlineLvl w:val="0"/>
        <w:rPr>
          <w:rFonts w:ascii="Times New Roman" w:hAnsi="Times New Roman"/>
          <w:b w:val="1"/>
          <w:color w:themeColor="text1" w:val="000000"/>
          <w:sz w:val="24"/>
        </w:rPr>
      </w:pPr>
      <w:r>
        <w:rPr>
          <w:rFonts w:ascii="Times New Roman" w:hAnsi="Times New Roman"/>
          <w:b w:val="1"/>
          <w:color w:themeColor="text1" w:val="000000"/>
          <w:sz w:val="24"/>
        </w:rPr>
        <w:t>Содержание</w:t>
      </w:r>
      <w:r>
        <w:rPr>
          <w:rFonts w:ascii="Times New Roman" w:hAnsi="Times New Roman"/>
          <w:b w:val="1"/>
          <w:color w:themeColor="text1" w:val="000000"/>
          <w:spacing w:val="-11"/>
          <w:sz w:val="24"/>
        </w:rPr>
        <w:t xml:space="preserve"> </w:t>
      </w:r>
      <w:r>
        <w:rPr>
          <w:rFonts w:ascii="Times New Roman" w:hAnsi="Times New Roman"/>
          <w:b w:val="1"/>
          <w:color w:themeColor="text1" w:val="000000"/>
          <w:sz w:val="24"/>
        </w:rPr>
        <w:t>разделов</w:t>
      </w:r>
      <w:r>
        <w:rPr>
          <w:rFonts w:ascii="Times New Roman" w:hAnsi="Times New Roman"/>
          <w:b w:val="1"/>
          <w:color w:themeColor="text1" w:val="000000"/>
          <w:spacing w:val="-5"/>
          <w:sz w:val="24"/>
        </w:rPr>
        <w:t xml:space="preserve"> </w:t>
      </w:r>
      <w:r>
        <w:rPr>
          <w:rFonts w:ascii="Times New Roman" w:hAnsi="Times New Roman"/>
          <w:b w:val="1"/>
          <w:color w:themeColor="text1" w:val="000000"/>
          <w:sz w:val="24"/>
        </w:rPr>
        <w:t>магистерской</w:t>
      </w:r>
      <w:r>
        <w:rPr>
          <w:rFonts w:ascii="Times New Roman" w:hAnsi="Times New Roman"/>
          <w:b w:val="1"/>
          <w:color w:themeColor="text1" w:val="000000"/>
          <w:spacing w:val="-6"/>
          <w:sz w:val="24"/>
        </w:rPr>
        <w:t xml:space="preserve"> </w:t>
      </w:r>
      <w:r>
        <w:rPr>
          <w:rFonts w:ascii="Times New Roman" w:hAnsi="Times New Roman"/>
          <w:b w:val="1"/>
          <w:color w:themeColor="text1" w:val="000000"/>
          <w:sz w:val="24"/>
        </w:rPr>
        <w:t>диссертации</w:t>
      </w:r>
      <w:r>
        <w:rPr>
          <w:rFonts w:ascii="Times New Roman" w:hAnsi="Times New Roman"/>
          <w:b w:val="1"/>
          <w:color w:themeColor="text1" w:val="000000"/>
          <w:spacing w:val="-7"/>
          <w:sz w:val="24"/>
        </w:rPr>
        <w:t xml:space="preserve"> </w:t>
      </w:r>
      <w:r>
        <w:rPr>
          <w:rFonts w:ascii="Times New Roman" w:hAnsi="Times New Roman"/>
          <w:b w:val="1"/>
          <w:color w:themeColor="text1" w:val="000000"/>
          <w:sz w:val="24"/>
        </w:rPr>
        <w:t>(наименование</w:t>
      </w:r>
      <w:r>
        <w:rPr>
          <w:rFonts w:ascii="Times New Roman" w:hAnsi="Times New Roman"/>
          <w:b w:val="1"/>
          <w:color w:themeColor="text1" w:val="000000"/>
          <w:spacing w:val="-8"/>
          <w:sz w:val="24"/>
        </w:rPr>
        <w:t xml:space="preserve"> </w:t>
      </w:r>
      <w:r>
        <w:rPr>
          <w:rFonts w:ascii="Times New Roman" w:hAnsi="Times New Roman"/>
          <w:b w:val="1"/>
          <w:color w:themeColor="text1" w:val="000000"/>
          <w:sz w:val="24"/>
        </w:rPr>
        <w:t>глав</w:t>
      </w:r>
      <w:r>
        <w:rPr>
          <w:rFonts w:ascii="Times New Roman" w:hAnsi="Times New Roman"/>
          <w:b w:val="1"/>
          <w:color w:themeColor="text1" w:val="000000"/>
          <w:spacing w:val="-8"/>
          <w:sz w:val="24"/>
        </w:rPr>
        <w:t xml:space="preserve"> </w:t>
      </w:r>
      <w:r>
        <w:rPr>
          <w:rFonts w:ascii="Times New Roman" w:hAnsi="Times New Roman"/>
          <w:b w:val="1"/>
          <w:color w:themeColor="text1" w:val="000000"/>
          <w:sz w:val="24"/>
        </w:rPr>
        <w:t>и</w:t>
      </w:r>
      <w:r>
        <w:rPr>
          <w:rFonts w:ascii="Times New Roman" w:hAnsi="Times New Roman"/>
          <w:b w:val="1"/>
          <w:color w:themeColor="text1" w:val="000000"/>
          <w:spacing w:val="-6"/>
          <w:sz w:val="24"/>
        </w:rPr>
        <w:t xml:space="preserve"> </w:t>
      </w:r>
      <w:r>
        <w:rPr>
          <w:rFonts w:ascii="Times New Roman" w:hAnsi="Times New Roman"/>
          <w:b w:val="1"/>
          <w:color w:themeColor="text1" w:val="000000"/>
          <w:spacing w:val="-2"/>
          <w:sz w:val="24"/>
        </w:rPr>
        <w:t>параграфов)</w:t>
      </w:r>
    </w:p>
    <w:p w14:paraId="70000000">
      <w:pPr>
        <w:widowControl w:val="0"/>
        <w:spacing w:after="0" w:before="134" w:line="360" w:lineRule="auto"/>
        <w:ind w:right="145"/>
        <w:jc w:val="both"/>
        <w:rPr>
          <w:rFonts w:ascii="Times New Roman" w:hAnsi="Times New Roman"/>
          <w:color w:themeColor="text1" w:val="000000"/>
          <w:sz w:val="24"/>
        </w:rPr>
      </w:pPr>
      <w:r>
        <w:rPr>
          <w:rFonts w:ascii="Times New Roman" w:hAnsi="Times New Roman"/>
          <w:b w:val="1"/>
          <w:color w:themeColor="text1" w:val="000000"/>
          <w:sz w:val="24"/>
        </w:rPr>
        <w:t xml:space="preserve">Глава 1. </w:t>
      </w:r>
      <w:r>
        <w:rPr>
          <w:rFonts w:ascii="Times New Roman" w:hAnsi="Times New Roman"/>
          <w:color w:themeColor="text1" w:val="000000"/>
          <w:sz w:val="24"/>
        </w:rPr>
        <w:t>Понятие, юридическая природа, условия наступления и порядок применения субсидиарной ответственности</w:t>
      </w:r>
    </w:p>
    <w:p w14:paraId="71000000">
      <w:pPr>
        <w:widowControl w:val="0"/>
        <w:numPr>
          <w:ilvl w:val="1"/>
          <w:numId w:val="4"/>
        </w:numPr>
        <w:tabs>
          <w:tab w:leader="none" w:pos="503" w:val="left"/>
        </w:tabs>
        <w:spacing w:after="0" w:line="360" w:lineRule="auto"/>
        <w:ind w:firstLine="0" w:left="0" w:right="142"/>
        <w:rPr>
          <w:rFonts w:ascii="Times New Roman" w:hAnsi="Times New Roman"/>
          <w:color w:themeColor="text1" w:val="000000"/>
          <w:sz w:val="24"/>
        </w:rPr>
      </w:pPr>
      <w:r>
        <w:rPr>
          <w:rFonts w:ascii="Times New Roman" w:hAnsi="Times New Roman"/>
          <w:color w:themeColor="text1" w:val="000000"/>
          <w:sz w:val="24"/>
        </w:rPr>
        <w:t>Развитие</w:t>
      </w:r>
      <w:r>
        <w:rPr>
          <w:rFonts w:ascii="Times New Roman" w:hAnsi="Times New Roman"/>
          <w:color w:themeColor="text1" w:val="000000"/>
          <w:spacing w:val="-1"/>
          <w:sz w:val="24"/>
        </w:rPr>
        <w:t xml:space="preserve"> </w:t>
      </w:r>
      <w:r>
        <w:rPr>
          <w:rFonts w:ascii="Times New Roman" w:hAnsi="Times New Roman"/>
          <w:color w:themeColor="text1" w:val="000000"/>
          <w:sz w:val="24"/>
        </w:rPr>
        <w:t>института субсидиарной ответственности в отечественном</w:t>
      </w:r>
      <w:r>
        <w:rPr>
          <w:rFonts w:ascii="Times New Roman" w:hAnsi="Times New Roman"/>
          <w:color w:themeColor="text1" w:val="000000"/>
          <w:spacing w:val="-1"/>
          <w:sz w:val="24"/>
        </w:rPr>
        <w:t xml:space="preserve"> </w:t>
      </w:r>
      <w:r>
        <w:rPr>
          <w:rFonts w:ascii="Times New Roman" w:hAnsi="Times New Roman"/>
          <w:color w:themeColor="text1" w:val="000000"/>
          <w:sz w:val="24"/>
        </w:rPr>
        <w:t>гражданском</w:t>
      </w:r>
      <w:r>
        <w:rPr>
          <w:rFonts w:ascii="Times New Roman" w:hAnsi="Times New Roman"/>
          <w:color w:themeColor="text1" w:val="000000"/>
          <w:spacing w:val="-1"/>
          <w:sz w:val="24"/>
        </w:rPr>
        <w:t xml:space="preserve"> </w:t>
      </w:r>
      <w:r>
        <w:rPr>
          <w:rFonts w:ascii="Times New Roman" w:hAnsi="Times New Roman"/>
          <w:color w:themeColor="text1" w:val="000000"/>
          <w:sz w:val="24"/>
        </w:rPr>
        <w:t>праве</w:t>
      </w:r>
      <w:r>
        <w:rPr>
          <w:rFonts w:ascii="Times New Roman" w:hAnsi="Times New Roman"/>
          <w:color w:themeColor="text1" w:val="000000"/>
          <w:spacing w:val="-1"/>
          <w:sz w:val="24"/>
        </w:rPr>
        <w:t xml:space="preserve"> </w:t>
      </w:r>
      <w:r>
        <w:rPr>
          <w:rFonts w:ascii="Times New Roman" w:hAnsi="Times New Roman"/>
          <w:color w:themeColor="text1" w:val="000000"/>
          <w:sz w:val="24"/>
        </w:rPr>
        <w:t xml:space="preserve">и ее </w:t>
      </w:r>
      <w:r>
        <w:rPr>
          <w:rFonts w:ascii="Times New Roman" w:hAnsi="Times New Roman"/>
          <w:color w:themeColor="text1" w:val="000000"/>
          <w:spacing w:val="-2"/>
          <w:sz w:val="24"/>
        </w:rPr>
        <w:t>значение</w:t>
      </w:r>
    </w:p>
    <w:p w14:paraId="72000000">
      <w:pPr>
        <w:widowControl w:val="0"/>
        <w:numPr>
          <w:ilvl w:val="1"/>
          <w:numId w:val="4"/>
        </w:numPr>
        <w:tabs>
          <w:tab w:leader="none" w:pos="503" w:val="left"/>
        </w:tabs>
        <w:spacing w:after="0" w:line="240" w:lineRule="auto"/>
        <w:ind w:firstLine="0" w:left="0"/>
        <w:rPr>
          <w:rFonts w:ascii="Times New Roman" w:hAnsi="Times New Roman"/>
          <w:color w:themeColor="text1" w:val="000000"/>
          <w:sz w:val="24"/>
        </w:rPr>
      </w:pPr>
      <w:r>
        <w:rPr>
          <w:rFonts w:ascii="Times New Roman" w:hAnsi="Times New Roman"/>
          <w:color w:themeColor="text1" w:val="000000"/>
          <w:sz w:val="24"/>
        </w:rPr>
        <w:t>Понятие</w:t>
      </w:r>
      <w:r>
        <w:rPr>
          <w:rFonts w:ascii="Times New Roman" w:hAnsi="Times New Roman"/>
          <w:color w:themeColor="text1" w:val="000000"/>
          <w:spacing w:val="-7"/>
          <w:sz w:val="24"/>
        </w:rPr>
        <w:t xml:space="preserve"> </w:t>
      </w:r>
      <w:r>
        <w:rPr>
          <w:rFonts w:ascii="Times New Roman" w:hAnsi="Times New Roman"/>
          <w:color w:themeColor="text1" w:val="000000"/>
          <w:sz w:val="24"/>
        </w:rPr>
        <w:t>и</w:t>
      </w:r>
      <w:r>
        <w:rPr>
          <w:rFonts w:ascii="Times New Roman" w:hAnsi="Times New Roman"/>
          <w:color w:themeColor="text1" w:val="000000"/>
          <w:spacing w:val="-4"/>
          <w:sz w:val="24"/>
        </w:rPr>
        <w:t xml:space="preserve"> </w:t>
      </w:r>
      <w:r>
        <w:rPr>
          <w:rFonts w:ascii="Times New Roman" w:hAnsi="Times New Roman"/>
          <w:color w:themeColor="text1" w:val="000000"/>
          <w:sz w:val="24"/>
        </w:rPr>
        <w:t>юридическая</w:t>
      </w:r>
      <w:r>
        <w:rPr>
          <w:rFonts w:ascii="Times New Roman" w:hAnsi="Times New Roman"/>
          <w:color w:themeColor="text1" w:val="000000"/>
          <w:spacing w:val="-4"/>
          <w:sz w:val="24"/>
        </w:rPr>
        <w:t xml:space="preserve"> </w:t>
      </w:r>
      <w:r>
        <w:rPr>
          <w:rFonts w:ascii="Times New Roman" w:hAnsi="Times New Roman"/>
          <w:color w:themeColor="text1" w:val="000000"/>
          <w:sz w:val="24"/>
        </w:rPr>
        <w:t>природа</w:t>
      </w:r>
      <w:r>
        <w:rPr>
          <w:rFonts w:ascii="Times New Roman" w:hAnsi="Times New Roman"/>
          <w:color w:themeColor="text1" w:val="000000"/>
          <w:spacing w:val="-5"/>
          <w:sz w:val="24"/>
        </w:rPr>
        <w:t xml:space="preserve"> </w:t>
      </w:r>
      <w:r>
        <w:rPr>
          <w:rFonts w:ascii="Times New Roman" w:hAnsi="Times New Roman"/>
          <w:color w:themeColor="text1" w:val="000000"/>
          <w:sz w:val="24"/>
        </w:rPr>
        <w:t>субсидиарной</w:t>
      </w:r>
      <w:r>
        <w:rPr>
          <w:rFonts w:ascii="Times New Roman" w:hAnsi="Times New Roman"/>
          <w:color w:themeColor="text1" w:val="000000"/>
          <w:spacing w:val="-3"/>
          <w:sz w:val="24"/>
        </w:rPr>
        <w:t xml:space="preserve"> </w:t>
      </w:r>
      <w:r>
        <w:rPr>
          <w:rFonts w:ascii="Times New Roman" w:hAnsi="Times New Roman"/>
          <w:color w:themeColor="text1" w:val="000000"/>
          <w:spacing w:val="-2"/>
          <w:sz w:val="24"/>
        </w:rPr>
        <w:t>ответственности</w:t>
      </w:r>
    </w:p>
    <w:p w14:paraId="73000000">
      <w:pPr>
        <w:widowControl w:val="0"/>
        <w:numPr>
          <w:ilvl w:val="1"/>
          <w:numId w:val="4"/>
        </w:numPr>
        <w:tabs>
          <w:tab w:leader="none" w:pos="503" w:val="left"/>
        </w:tabs>
        <w:spacing w:after="0" w:before="137" w:line="240" w:lineRule="auto"/>
        <w:ind w:firstLine="0" w:left="0"/>
        <w:rPr>
          <w:rFonts w:ascii="Times New Roman" w:hAnsi="Times New Roman"/>
          <w:color w:themeColor="text1" w:val="000000"/>
          <w:sz w:val="24"/>
        </w:rPr>
      </w:pPr>
      <w:r>
        <w:rPr>
          <w:rFonts w:ascii="Times New Roman" w:hAnsi="Times New Roman"/>
          <w:color w:themeColor="text1" w:val="000000"/>
          <w:sz w:val="24"/>
        </w:rPr>
        <w:t>Условия</w:t>
      </w:r>
      <w:r>
        <w:rPr>
          <w:rFonts w:ascii="Times New Roman" w:hAnsi="Times New Roman"/>
          <w:color w:themeColor="text1" w:val="000000"/>
          <w:spacing w:val="-7"/>
          <w:sz w:val="24"/>
        </w:rPr>
        <w:t xml:space="preserve"> </w:t>
      </w:r>
      <w:r>
        <w:rPr>
          <w:rFonts w:ascii="Times New Roman" w:hAnsi="Times New Roman"/>
          <w:color w:themeColor="text1" w:val="000000"/>
          <w:sz w:val="24"/>
        </w:rPr>
        <w:t>наступления</w:t>
      </w:r>
      <w:r>
        <w:rPr>
          <w:rFonts w:ascii="Times New Roman" w:hAnsi="Times New Roman"/>
          <w:color w:themeColor="text1" w:val="000000"/>
          <w:spacing w:val="-5"/>
          <w:sz w:val="24"/>
        </w:rPr>
        <w:t xml:space="preserve"> </w:t>
      </w:r>
      <w:r>
        <w:rPr>
          <w:rFonts w:ascii="Times New Roman" w:hAnsi="Times New Roman"/>
          <w:color w:themeColor="text1" w:val="000000"/>
          <w:sz w:val="24"/>
        </w:rPr>
        <w:t>и</w:t>
      </w:r>
      <w:r>
        <w:rPr>
          <w:rFonts w:ascii="Times New Roman" w:hAnsi="Times New Roman"/>
          <w:color w:themeColor="text1" w:val="000000"/>
          <w:spacing w:val="-7"/>
          <w:sz w:val="24"/>
        </w:rPr>
        <w:t xml:space="preserve"> </w:t>
      </w:r>
      <w:r>
        <w:rPr>
          <w:rFonts w:ascii="Times New Roman" w:hAnsi="Times New Roman"/>
          <w:color w:themeColor="text1" w:val="000000"/>
          <w:sz w:val="24"/>
        </w:rPr>
        <w:t>порядок</w:t>
      </w:r>
      <w:r>
        <w:rPr>
          <w:rFonts w:ascii="Times New Roman" w:hAnsi="Times New Roman"/>
          <w:color w:themeColor="text1" w:val="000000"/>
          <w:spacing w:val="-4"/>
          <w:sz w:val="24"/>
        </w:rPr>
        <w:t xml:space="preserve"> </w:t>
      </w:r>
      <w:r>
        <w:rPr>
          <w:rFonts w:ascii="Times New Roman" w:hAnsi="Times New Roman"/>
          <w:color w:themeColor="text1" w:val="000000"/>
          <w:sz w:val="24"/>
        </w:rPr>
        <w:t>применения</w:t>
      </w:r>
      <w:r>
        <w:rPr>
          <w:rFonts w:ascii="Times New Roman" w:hAnsi="Times New Roman"/>
          <w:color w:themeColor="text1" w:val="000000"/>
          <w:spacing w:val="-5"/>
          <w:sz w:val="24"/>
        </w:rPr>
        <w:t xml:space="preserve"> </w:t>
      </w:r>
      <w:r>
        <w:rPr>
          <w:rFonts w:ascii="Times New Roman" w:hAnsi="Times New Roman"/>
          <w:color w:themeColor="text1" w:val="000000"/>
          <w:sz w:val="24"/>
        </w:rPr>
        <w:t>субсидиарной</w:t>
      </w:r>
      <w:r>
        <w:rPr>
          <w:rFonts w:ascii="Times New Roman" w:hAnsi="Times New Roman"/>
          <w:color w:themeColor="text1" w:val="000000"/>
          <w:spacing w:val="-4"/>
          <w:sz w:val="24"/>
        </w:rPr>
        <w:t xml:space="preserve"> </w:t>
      </w:r>
      <w:r>
        <w:rPr>
          <w:rFonts w:ascii="Times New Roman" w:hAnsi="Times New Roman"/>
          <w:color w:themeColor="text1" w:val="000000"/>
          <w:spacing w:val="-2"/>
          <w:sz w:val="24"/>
        </w:rPr>
        <w:t>ответственности</w:t>
      </w:r>
    </w:p>
    <w:p w14:paraId="74000000">
      <w:pPr>
        <w:widowControl w:val="0"/>
        <w:spacing w:after="0" w:before="139" w:line="360" w:lineRule="auto"/>
        <w:ind w:right="22"/>
        <w:rPr>
          <w:rFonts w:ascii="Times New Roman" w:hAnsi="Times New Roman"/>
          <w:color w:themeColor="text1" w:val="000000"/>
          <w:sz w:val="24"/>
        </w:rPr>
      </w:pPr>
      <w:r>
        <w:rPr>
          <w:rFonts w:ascii="Times New Roman" w:hAnsi="Times New Roman"/>
          <w:b w:val="1"/>
          <w:color w:themeColor="text1" w:val="000000"/>
          <w:sz w:val="24"/>
        </w:rPr>
        <w:t xml:space="preserve">Глава 2. </w:t>
      </w:r>
      <w:r>
        <w:rPr>
          <w:rFonts w:ascii="Times New Roman" w:hAnsi="Times New Roman"/>
          <w:color w:themeColor="text1" w:val="000000"/>
          <w:sz w:val="24"/>
        </w:rPr>
        <w:t>Правовая природа субсидиарной ответственности контролирующих должника лиц по законодательству о несостоятельности (банкротстве)</w:t>
      </w:r>
    </w:p>
    <w:p w14:paraId="75000000">
      <w:pPr>
        <w:widowControl w:val="0"/>
        <w:numPr>
          <w:ilvl w:val="1"/>
          <w:numId w:val="5"/>
        </w:numPr>
        <w:tabs>
          <w:tab w:leader="none" w:pos="503" w:val="left"/>
        </w:tabs>
        <w:spacing w:after="0" w:before="1" w:line="240" w:lineRule="auto"/>
        <w:ind w:firstLine="0" w:left="0"/>
        <w:rPr>
          <w:rFonts w:ascii="Times New Roman" w:hAnsi="Times New Roman"/>
          <w:color w:themeColor="text1" w:val="000000"/>
          <w:sz w:val="24"/>
        </w:rPr>
      </w:pPr>
      <w:r>
        <w:rPr>
          <w:rFonts w:ascii="Times New Roman" w:hAnsi="Times New Roman"/>
          <w:color w:themeColor="text1" w:val="000000"/>
          <w:sz w:val="24"/>
        </w:rPr>
        <w:t>Субсидиарная</w:t>
      </w:r>
      <w:r>
        <w:rPr>
          <w:rFonts w:ascii="Times New Roman" w:hAnsi="Times New Roman"/>
          <w:color w:themeColor="text1" w:val="000000"/>
          <w:spacing w:val="-6"/>
          <w:sz w:val="24"/>
        </w:rPr>
        <w:t xml:space="preserve"> </w:t>
      </w:r>
      <w:r>
        <w:rPr>
          <w:rFonts w:ascii="Times New Roman" w:hAnsi="Times New Roman"/>
          <w:color w:themeColor="text1" w:val="000000"/>
          <w:sz w:val="24"/>
        </w:rPr>
        <w:t>ответственность</w:t>
      </w:r>
      <w:r>
        <w:rPr>
          <w:rFonts w:ascii="Times New Roman" w:hAnsi="Times New Roman"/>
          <w:color w:themeColor="text1" w:val="000000"/>
          <w:spacing w:val="-3"/>
          <w:sz w:val="24"/>
        </w:rPr>
        <w:t xml:space="preserve"> </w:t>
      </w:r>
      <w:r>
        <w:rPr>
          <w:rFonts w:ascii="Times New Roman" w:hAnsi="Times New Roman"/>
          <w:color w:themeColor="text1" w:val="000000"/>
          <w:sz w:val="24"/>
        </w:rPr>
        <w:t>в</w:t>
      </w:r>
      <w:r>
        <w:rPr>
          <w:rFonts w:ascii="Times New Roman" w:hAnsi="Times New Roman"/>
          <w:color w:themeColor="text1" w:val="000000"/>
          <w:spacing w:val="-5"/>
          <w:sz w:val="24"/>
        </w:rPr>
        <w:t xml:space="preserve"> </w:t>
      </w:r>
      <w:r>
        <w:rPr>
          <w:rFonts w:ascii="Times New Roman" w:hAnsi="Times New Roman"/>
          <w:color w:themeColor="text1" w:val="000000"/>
          <w:sz w:val="24"/>
        </w:rPr>
        <w:t>гражданском</w:t>
      </w:r>
      <w:r>
        <w:rPr>
          <w:rFonts w:ascii="Times New Roman" w:hAnsi="Times New Roman"/>
          <w:color w:themeColor="text1" w:val="000000"/>
          <w:spacing w:val="-4"/>
          <w:sz w:val="24"/>
        </w:rPr>
        <w:t xml:space="preserve"> праве</w:t>
      </w:r>
    </w:p>
    <w:p w14:paraId="76000000">
      <w:pPr>
        <w:widowControl w:val="0"/>
        <w:numPr>
          <w:ilvl w:val="1"/>
          <w:numId w:val="5"/>
        </w:numPr>
        <w:tabs>
          <w:tab w:leader="none" w:pos="503" w:val="left"/>
        </w:tabs>
        <w:spacing w:after="0" w:before="136" w:line="240" w:lineRule="auto"/>
        <w:ind w:firstLine="0" w:left="0"/>
        <w:rPr>
          <w:rFonts w:ascii="Times New Roman" w:hAnsi="Times New Roman"/>
          <w:color w:themeColor="text1" w:val="000000"/>
          <w:sz w:val="24"/>
        </w:rPr>
      </w:pPr>
      <w:r>
        <w:rPr>
          <w:rFonts w:ascii="Times New Roman" w:hAnsi="Times New Roman"/>
          <w:color w:themeColor="text1" w:val="000000"/>
          <w:sz w:val="24"/>
        </w:rPr>
        <w:t>Виды</w:t>
      </w:r>
      <w:r>
        <w:rPr>
          <w:rFonts w:ascii="Times New Roman" w:hAnsi="Times New Roman"/>
          <w:color w:themeColor="text1" w:val="000000"/>
          <w:spacing w:val="-5"/>
          <w:sz w:val="24"/>
        </w:rPr>
        <w:t xml:space="preserve"> </w:t>
      </w:r>
      <w:r>
        <w:rPr>
          <w:rFonts w:ascii="Times New Roman" w:hAnsi="Times New Roman"/>
          <w:color w:themeColor="text1" w:val="000000"/>
          <w:sz w:val="24"/>
        </w:rPr>
        <w:t>субсидиарной</w:t>
      </w:r>
      <w:r>
        <w:rPr>
          <w:rFonts w:ascii="Times New Roman" w:hAnsi="Times New Roman"/>
          <w:color w:themeColor="text1" w:val="000000"/>
          <w:spacing w:val="-5"/>
          <w:sz w:val="24"/>
        </w:rPr>
        <w:t xml:space="preserve"> </w:t>
      </w:r>
      <w:r>
        <w:rPr>
          <w:rFonts w:ascii="Times New Roman" w:hAnsi="Times New Roman"/>
          <w:color w:themeColor="text1" w:val="000000"/>
          <w:spacing w:val="-2"/>
          <w:sz w:val="24"/>
        </w:rPr>
        <w:t>ответственности</w:t>
      </w:r>
    </w:p>
    <w:p w14:paraId="77000000">
      <w:pPr>
        <w:widowControl w:val="0"/>
        <w:numPr>
          <w:ilvl w:val="1"/>
          <w:numId w:val="5"/>
        </w:numPr>
        <w:tabs>
          <w:tab w:leader="none" w:pos="581" w:val="left"/>
        </w:tabs>
        <w:spacing w:after="0" w:before="140" w:line="360" w:lineRule="auto"/>
        <w:ind w:firstLine="0" w:left="0" w:right="140"/>
        <w:rPr>
          <w:rFonts w:ascii="Times New Roman" w:hAnsi="Times New Roman"/>
          <w:color w:themeColor="text1" w:val="000000"/>
          <w:sz w:val="24"/>
        </w:rPr>
      </w:pPr>
      <w:r>
        <w:rPr>
          <w:rFonts w:ascii="Times New Roman" w:hAnsi="Times New Roman"/>
          <w:color w:themeColor="text1" w:val="000000"/>
          <w:sz w:val="24"/>
        </w:rPr>
        <w:t>Субсидиарная</w:t>
      </w:r>
      <w:r>
        <w:rPr>
          <w:rFonts w:ascii="Times New Roman" w:hAnsi="Times New Roman"/>
          <w:color w:themeColor="text1" w:val="000000"/>
          <w:spacing w:val="40"/>
          <w:sz w:val="24"/>
        </w:rPr>
        <w:t xml:space="preserve"> </w:t>
      </w:r>
      <w:r>
        <w:rPr>
          <w:rFonts w:ascii="Times New Roman" w:hAnsi="Times New Roman"/>
          <w:color w:themeColor="text1" w:val="000000"/>
          <w:sz w:val="24"/>
        </w:rPr>
        <w:t>ответственность</w:t>
      </w:r>
      <w:r>
        <w:rPr>
          <w:rFonts w:ascii="Times New Roman" w:hAnsi="Times New Roman"/>
          <w:color w:themeColor="text1" w:val="000000"/>
          <w:spacing w:val="40"/>
          <w:sz w:val="24"/>
        </w:rPr>
        <w:t xml:space="preserve"> </w:t>
      </w:r>
      <w:r>
        <w:rPr>
          <w:rFonts w:ascii="Times New Roman" w:hAnsi="Times New Roman"/>
          <w:color w:themeColor="text1" w:val="000000"/>
          <w:sz w:val="24"/>
        </w:rPr>
        <w:t>контролирующих</w:t>
      </w:r>
      <w:r>
        <w:rPr>
          <w:rFonts w:ascii="Times New Roman" w:hAnsi="Times New Roman"/>
          <w:color w:themeColor="text1" w:val="000000"/>
          <w:spacing w:val="40"/>
          <w:sz w:val="24"/>
        </w:rPr>
        <w:t xml:space="preserve"> </w:t>
      </w:r>
      <w:r>
        <w:rPr>
          <w:rFonts w:ascii="Times New Roman" w:hAnsi="Times New Roman"/>
          <w:color w:themeColor="text1" w:val="000000"/>
          <w:sz w:val="24"/>
        </w:rPr>
        <w:t>должника</w:t>
      </w:r>
      <w:r>
        <w:rPr>
          <w:rFonts w:ascii="Times New Roman" w:hAnsi="Times New Roman"/>
          <w:color w:themeColor="text1" w:val="000000"/>
          <w:spacing w:val="40"/>
          <w:sz w:val="24"/>
        </w:rPr>
        <w:t xml:space="preserve"> </w:t>
      </w:r>
      <w:r>
        <w:rPr>
          <w:rFonts w:ascii="Times New Roman" w:hAnsi="Times New Roman"/>
          <w:color w:themeColor="text1" w:val="000000"/>
          <w:sz w:val="24"/>
        </w:rPr>
        <w:t>лиц</w:t>
      </w:r>
      <w:r>
        <w:rPr>
          <w:rFonts w:ascii="Times New Roman" w:hAnsi="Times New Roman"/>
          <w:color w:themeColor="text1" w:val="000000"/>
          <w:spacing w:val="40"/>
          <w:sz w:val="24"/>
        </w:rPr>
        <w:t xml:space="preserve"> </w:t>
      </w:r>
      <w:r>
        <w:rPr>
          <w:rFonts w:ascii="Times New Roman" w:hAnsi="Times New Roman"/>
          <w:color w:themeColor="text1" w:val="000000"/>
          <w:sz w:val="24"/>
        </w:rPr>
        <w:t>по</w:t>
      </w:r>
      <w:r>
        <w:rPr>
          <w:rFonts w:ascii="Times New Roman" w:hAnsi="Times New Roman"/>
          <w:color w:themeColor="text1" w:val="000000"/>
          <w:spacing w:val="40"/>
          <w:sz w:val="24"/>
        </w:rPr>
        <w:t xml:space="preserve"> </w:t>
      </w:r>
      <w:r>
        <w:rPr>
          <w:rFonts w:ascii="Times New Roman" w:hAnsi="Times New Roman"/>
          <w:color w:themeColor="text1" w:val="000000"/>
          <w:sz w:val="24"/>
        </w:rPr>
        <w:t>законодательству</w:t>
      </w:r>
      <w:r>
        <w:rPr>
          <w:rFonts w:ascii="Times New Roman" w:hAnsi="Times New Roman"/>
          <w:color w:themeColor="text1" w:val="000000"/>
          <w:spacing w:val="40"/>
          <w:sz w:val="24"/>
        </w:rPr>
        <w:t xml:space="preserve"> </w:t>
      </w:r>
      <w:r>
        <w:rPr>
          <w:rFonts w:ascii="Times New Roman" w:hAnsi="Times New Roman"/>
          <w:color w:themeColor="text1" w:val="000000"/>
          <w:sz w:val="24"/>
        </w:rPr>
        <w:t>о</w:t>
      </w:r>
      <w:r>
        <w:rPr>
          <w:rFonts w:ascii="Times New Roman" w:hAnsi="Times New Roman"/>
          <w:color w:themeColor="text1" w:val="000000"/>
          <w:spacing w:val="40"/>
          <w:sz w:val="24"/>
        </w:rPr>
        <w:t xml:space="preserve"> </w:t>
      </w:r>
      <w:r>
        <w:rPr>
          <w:rFonts w:ascii="Times New Roman" w:hAnsi="Times New Roman"/>
          <w:color w:themeColor="text1" w:val="000000"/>
          <w:sz w:val="24"/>
        </w:rPr>
        <w:t>несостоятельности (банкротстве)</w:t>
      </w:r>
    </w:p>
    <w:p w14:paraId="78000000">
      <w:pPr>
        <w:widowControl w:val="0"/>
        <w:spacing w:after="0" w:line="360" w:lineRule="auto"/>
        <w:ind w:right="145"/>
        <w:rPr>
          <w:rFonts w:ascii="Times New Roman" w:hAnsi="Times New Roman"/>
          <w:color w:themeColor="text1" w:val="000000"/>
          <w:sz w:val="24"/>
        </w:rPr>
      </w:pPr>
      <w:r>
        <w:rPr>
          <w:rFonts w:ascii="Times New Roman" w:hAnsi="Times New Roman"/>
          <w:b w:val="1"/>
          <w:color w:themeColor="text1" w:val="000000"/>
          <w:sz w:val="24"/>
        </w:rPr>
        <w:t>Глава3</w:t>
      </w:r>
      <w:r>
        <w:rPr>
          <w:rFonts w:ascii="Times New Roman" w:hAnsi="Times New Roman"/>
          <w:b w:val="1"/>
          <w:color w:themeColor="text1" w:val="000000"/>
          <w:sz w:val="24"/>
        </w:rPr>
        <w:t>.</w:t>
      </w:r>
      <w:r>
        <w:rPr>
          <w:rFonts w:ascii="Times New Roman" w:hAnsi="Times New Roman"/>
          <w:b w:val="1"/>
          <w:color w:themeColor="text1" w:val="000000"/>
          <w:spacing w:val="40"/>
          <w:sz w:val="24"/>
        </w:rPr>
        <w:t xml:space="preserve"> </w:t>
      </w:r>
      <w:r>
        <w:rPr>
          <w:rFonts w:ascii="Times New Roman" w:hAnsi="Times New Roman"/>
          <w:color w:themeColor="text1" w:val="000000"/>
          <w:sz w:val="24"/>
        </w:rPr>
        <w:t>Особенности</w:t>
      </w:r>
      <w:r>
        <w:rPr>
          <w:rFonts w:ascii="Times New Roman" w:hAnsi="Times New Roman"/>
          <w:color w:themeColor="text1" w:val="000000"/>
          <w:spacing w:val="39"/>
          <w:sz w:val="24"/>
        </w:rPr>
        <w:t xml:space="preserve"> </w:t>
      </w:r>
      <w:r>
        <w:rPr>
          <w:rFonts w:ascii="Times New Roman" w:hAnsi="Times New Roman"/>
          <w:color w:themeColor="text1" w:val="000000"/>
          <w:sz w:val="24"/>
        </w:rPr>
        <w:t>субсидиарной</w:t>
      </w:r>
      <w:r>
        <w:rPr>
          <w:rFonts w:ascii="Times New Roman" w:hAnsi="Times New Roman"/>
          <w:color w:themeColor="text1" w:val="000000"/>
          <w:spacing w:val="40"/>
          <w:sz w:val="24"/>
        </w:rPr>
        <w:t xml:space="preserve"> </w:t>
      </w:r>
      <w:r>
        <w:rPr>
          <w:rFonts w:ascii="Times New Roman" w:hAnsi="Times New Roman"/>
          <w:color w:themeColor="text1" w:val="000000"/>
          <w:sz w:val="24"/>
        </w:rPr>
        <w:t>ответственности</w:t>
      </w:r>
      <w:r>
        <w:rPr>
          <w:rFonts w:ascii="Times New Roman" w:hAnsi="Times New Roman"/>
          <w:color w:themeColor="text1" w:val="000000"/>
          <w:spacing w:val="40"/>
          <w:sz w:val="24"/>
        </w:rPr>
        <w:t xml:space="preserve"> </w:t>
      </w:r>
      <w:r>
        <w:rPr>
          <w:rFonts w:ascii="Times New Roman" w:hAnsi="Times New Roman"/>
          <w:color w:themeColor="text1" w:val="000000"/>
          <w:sz w:val="24"/>
        </w:rPr>
        <w:t>физических,</w:t>
      </w:r>
      <w:r>
        <w:rPr>
          <w:rFonts w:ascii="Times New Roman" w:hAnsi="Times New Roman"/>
          <w:color w:themeColor="text1" w:val="000000"/>
          <w:spacing w:val="40"/>
          <w:sz w:val="24"/>
        </w:rPr>
        <w:t xml:space="preserve"> </w:t>
      </w:r>
      <w:r>
        <w:rPr>
          <w:rFonts w:ascii="Times New Roman" w:hAnsi="Times New Roman"/>
          <w:color w:themeColor="text1" w:val="000000"/>
          <w:sz w:val="24"/>
        </w:rPr>
        <w:t>юридических</w:t>
      </w:r>
      <w:r>
        <w:rPr>
          <w:rFonts w:ascii="Times New Roman" w:hAnsi="Times New Roman"/>
          <w:color w:themeColor="text1" w:val="000000"/>
          <w:spacing w:val="40"/>
          <w:sz w:val="24"/>
        </w:rPr>
        <w:t xml:space="preserve"> </w:t>
      </w:r>
      <w:r>
        <w:rPr>
          <w:rFonts w:ascii="Times New Roman" w:hAnsi="Times New Roman"/>
          <w:color w:themeColor="text1" w:val="000000"/>
          <w:sz w:val="24"/>
        </w:rPr>
        <w:t>лиц</w:t>
      </w:r>
      <w:r>
        <w:rPr>
          <w:rFonts w:ascii="Times New Roman" w:hAnsi="Times New Roman"/>
          <w:color w:themeColor="text1" w:val="000000"/>
          <w:spacing w:val="40"/>
          <w:sz w:val="24"/>
        </w:rPr>
        <w:t xml:space="preserve"> </w:t>
      </w:r>
      <w:r>
        <w:rPr>
          <w:rFonts w:ascii="Times New Roman" w:hAnsi="Times New Roman"/>
          <w:color w:themeColor="text1" w:val="000000"/>
          <w:sz w:val="24"/>
        </w:rPr>
        <w:t>и публично-правовых образований</w:t>
      </w:r>
    </w:p>
    <w:p w14:paraId="79000000">
      <w:pPr>
        <w:widowControl w:val="0"/>
        <w:numPr>
          <w:ilvl w:val="1"/>
          <w:numId w:val="6"/>
        </w:numPr>
        <w:tabs>
          <w:tab w:leader="none" w:pos="503" w:val="left"/>
        </w:tabs>
        <w:spacing w:after="0" w:line="240" w:lineRule="auto"/>
        <w:ind w:firstLine="0" w:left="0"/>
        <w:rPr>
          <w:rFonts w:ascii="Times New Roman" w:hAnsi="Times New Roman"/>
          <w:color w:themeColor="text1" w:val="000000"/>
          <w:sz w:val="24"/>
        </w:rPr>
      </w:pPr>
      <w:r>
        <w:rPr>
          <w:rFonts w:ascii="Times New Roman" w:hAnsi="Times New Roman"/>
          <w:color w:themeColor="text1" w:val="000000"/>
          <w:sz w:val="24"/>
        </w:rPr>
        <w:t>Особенности</w:t>
      </w:r>
      <w:r>
        <w:rPr>
          <w:rFonts w:ascii="Times New Roman" w:hAnsi="Times New Roman"/>
          <w:color w:themeColor="text1" w:val="000000"/>
          <w:spacing w:val="-7"/>
          <w:sz w:val="24"/>
        </w:rPr>
        <w:t xml:space="preserve"> </w:t>
      </w:r>
      <w:r>
        <w:rPr>
          <w:rFonts w:ascii="Times New Roman" w:hAnsi="Times New Roman"/>
          <w:color w:themeColor="text1" w:val="000000"/>
          <w:sz w:val="24"/>
        </w:rPr>
        <w:t>субсидиарной</w:t>
      </w:r>
      <w:r>
        <w:rPr>
          <w:rFonts w:ascii="Times New Roman" w:hAnsi="Times New Roman"/>
          <w:color w:themeColor="text1" w:val="000000"/>
          <w:spacing w:val="-5"/>
          <w:sz w:val="24"/>
        </w:rPr>
        <w:t xml:space="preserve"> </w:t>
      </w:r>
      <w:r>
        <w:rPr>
          <w:rFonts w:ascii="Times New Roman" w:hAnsi="Times New Roman"/>
          <w:color w:themeColor="text1" w:val="000000"/>
          <w:sz w:val="24"/>
        </w:rPr>
        <w:t>ответственности</w:t>
      </w:r>
      <w:r>
        <w:rPr>
          <w:rFonts w:ascii="Times New Roman" w:hAnsi="Times New Roman"/>
          <w:color w:themeColor="text1" w:val="000000"/>
          <w:spacing w:val="-5"/>
          <w:sz w:val="24"/>
        </w:rPr>
        <w:t xml:space="preserve"> </w:t>
      </w:r>
      <w:r>
        <w:rPr>
          <w:rFonts w:ascii="Times New Roman" w:hAnsi="Times New Roman"/>
          <w:color w:themeColor="text1" w:val="000000"/>
          <w:sz w:val="24"/>
        </w:rPr>
        <w:t>физических</w:t>
      </w:r>
      <w:r>
        <w:rPr>
          <w:rFonts w:ascii="Times New Roman" w:hAnsi="Times New Roman"/>
          <w:color w:themeColor="text1" w:val="000000"/>
          <w:spacing w:val="-6"/>
          <w:sz w:val="24"/>
        </w:rPr>
        <w:t xml:space="preserve"> </w:t>
      </w:r>
      <w:r>
        <w:rPr>
          <w:rFonts w:ascii="Times New Roman" w:hAnsi="Times New Roman"/>
          <w:color w:themeColor="text1" w:val="000000"/>
          <w:sz w:val="24"/>
        </w:rPr>
        <w:t>и</w:t>
      </w:r>
      <w:r>
        <w:rPr>
          <w:rFonts w:ascii="Times New Roman" w:hAnsi="Times New Roman"/>
          <w:color w:themeColor="text1" w:val="000000"/>
          <w:spacing w:val="-5"/>
          <w:sz w:val="24"/>
        </w:rPr>
        <w:t xml:space="preserve"> </w:t>
      </w:r>
      <w:r>
        <w:rPr>
          <w:rFonts w:ascii="Times New Roman" w:hAnsi="Times New Roman"/>
          <w:color w:themeColor="text1" w:val="000000"/>
          <w:sz w:val="24"/>
        </w:rPr>
        <w:t>юридических</w:t>
      </w:r>
      <w:r>
        <w:rPr>
          <w:rFonts w:ascii="Times New Roman" w:hAnsi="Times New Roman"/>
          <w:color w:themeColor="text1" w:val="000000"/>
          <w:spacing w:val="-3"/>
          <w:sz w:val="24"/>
        </w:rPr>
        <w:t xml:space="preserve"> </w:t>
      </w:r>
      <w:r>
        <w:rPr>
          <w:rFonts w:ascii="Times New Roman" w:hAnsi="Times New Roman"/>
          <w:color w:themeColor="text1" w:val="000000"/>
          <w:spacing w:val="-5"/>
          <w:sz w:val="24"/>
        </w:rPr>
        <w:t>лиц</w:t>
      </w:r>
    </w:p>
    <w:p w14:paraId="7A000000">
      <w:pPr>
        <w:widowControl w:val="0"/>
        <w:numPr>
          <w:ilvl w:val="1"/>
          <w:numId w:val="6"/>
        </w:numPr>
        <w:tabs>
          <w:tab w:leader="none" w:pos="503" w:val="left"/>
        </w:tabs>
        <w:spacing w:after="0" w:before="137" w:line="240" w:lineRule="auto"/>
        <w:ind w:firstLine="0" w:left="0"/>
        <w:rPr>
          <w:rFonts w:ascii="Times New Roman" w:hAnsi="Times New Roman"/>
          <w:color w:themeColor="text1" w:val="000000"/>
          <w:sz w:val="24"/>
        </w:rPr>
      </w:pPr>
      <w:r>
        <w:rPr>
          <w:rFonts w:ascii="Times New Roman" w:hAnsi="Times New Roman"/>
          <w:color w:themeColor="text1" w:val="000000"/>
          <w:sz w:val="24"/>
        </w:rPr>
        <w:t>Особенности</w:t>
      </w:r>
      <w:r>
        <w:rPr>
          <w:rFonts w:ascii="Times New Roman" w:hAnsi="Times New Roman"/>
          <w:color w:themeColor="text1" w:val="000000"/>
          <w:spacing w:val="-6"/>
          <w:sz w:val="24"/>
        </w:rPr>
        <w:t xml:space="preserve"> </w:t>
      </w:r>
      <w:r>
        <w:rPr>
          <w:rFonts w:ascii="Times New Roman" w:hAnsi="Times New Roman"/>
          <w:color w:themeColor="text1" w:val="000000"/>
          <w:sz w:val="24"/>
        </w:rPr>
        <w:t>субсидиарной</w:t>
      </w:r>
      <w:r>
        <w:rPr>
          <w:rFonts w:ascii="Times New Roman" w:hAnsi="Times New Roman"/>
          <w:color w:themeColor="text1" w:val="000000"/>
          <w:spacing w:val="-7"/>
          <w:sz w:val="24"/>
        </w:rPr>
        <w:t xml:space="preserve"> </w:t>
      </w:r>
      <w:r>
        <w:rPr>
          <w:rFonts w:ascii="Times New Roman" w:hAnsi="Times New Roman"/>
          <w:color w:themeColor="text1" w:val="000000"/>
          <w:sz w:val="24"/>
        </w:rPr>
        <w:t>ответственности</w:t>
      </w:r>
      <w:r>
        <w:rPr>
          <w:rFonts w:ascii="Times New Roman" w:hAnsi="Times New Roman"/>
          <w:color w:themeColor="text1" w:val="000000"/>
          <w:spacing w:val="-6"/>
          <w:sz w:val="24"/>
        </w:rPr>
        <w:t xml:space="preserve"> </w:t>
      </w:r>
      <w:r>
        <w:rPr>
          <w:rFonts w:ascii="Times New Roman" w:hAnsi="Times New Roman"/>
          <w:color w:themeColor="text1" w:val="000000"/>
          <w:sz w:val="24"/>
        </w:rPr>
        <w:t>публично-правовых</w:t>
      </w:r>
      <w:r>
        <w:rPr>
          <w:rFonts w:ascii="Times New Roman" w:hAnsi="Times New Roman"/>
          <w:color w:themeColor="text1" w:val="000000"/>
          <w:spacing w:val="-5"/>
          <w:sz w:val="24"/>
        </w:rPr>
        <w:t xml:space="preserve"> </w:t>
      </w:r>
      <w:r>
        <w:rPr>
          <w:rFonts w:ascii="Times New Roman" w:hAnsi="Times New Roman"/>
          <w:color w:themeColor="text1" w:val="000000"/>
          <w:spacing w:val="-2"/>
          <w:sz w:val="24"/>
        </w:rPr>
        <w:t>образований</w:t>
      </w:r>
    </w:p>
    <w:p w14:paraId="7B000000">
      <w:bookmarkStart w:id="10" w:name="__RefHeading___10"/>
      <w:bookmarkEnd w:id="10"/>
      <w:pPr>
        <w:widowControl w:val="0"/>
        <w:numPr>
          <w:ilvl w:val="0"/>
          <w:numId w:val="2"/>
        </w:numPr>
        <w:tabs>
          <w:tab w:leader="none" w:pos="922" w:val="left"/>
        </w:tabs>
        <w:spacing w:after="0" w:before="144" w:line="240" w:lineRule="auto"/>
        <w:ind w:firstLine="0" w:left="0"/>
        <w:jc w:val="both"/>
        <w:outlineLvl w:val="0"/>
        <w:rPr>
          <w:rFonts w:ascii="Times New Roman" w:hAnsi="Times New Roman"/>
          <w:b w:val="1"/>
          <w:color w:themeColor="text1" w:val="000000"/>
          <w:sz w:val="24"/>
        </w:rPr>
      </w:pPr>
      <w:r>
        <w:rPr>
          <w:rFonts w:ascii="Times New Roman" w:hAnsi="Times New Roman"/>
          <w:b w:val="1"/>
          <w:color w:themeColor="text1" w:val="000000"/>
          <w:sz w:val="24"/>
        </w:rPr>
        <w:t>Перечень</w:t>
      </w:r>
      <w:r>
        <w:rPr>
          <w:rFonts w:ascii="Times New Roman" w:hAnsi="Times New Roman"/>
          <w:b w:val="1"/>
          <w:color w:themeColor="text1" w:val="000000"/>
          <w:spacing w:val="-4"/>
          <w:sz w:val="24"/>
        </w:rPr>
        <w:t xml:space="preserve"> </w:t>
      </w:r>
      <w:r>
        <w:rPr>
          <w:rFonts w:ascii="Times New Roman" w:hAnsi="Times New Roman"/>
          <w:b w:val="1"/>
          <w:color w:themeColor="text1" w:val="000000"/>
          <w:sz w:val="24"/>
        </w:rPr>
        <w:t>приложений</w:t>
      </w:r>
      <w:r>
        <w:rPr>
          <w:rFonts w:ascii="Times New Roman" w:hAnsi="Times New Roman"/>
          <w:b w:val="1"/>
          <w:color w:themeColor="text1" w:val="000000"/>
          <w:spacing w:val="-4"/>
          <w:sz w:val="24"/>
        </w:rPr>
        <w:t xml:space="preserve"> </w:t>
      </w:r>
      <w:r>
        <w:rPr>
          <w:rFonts w:ascii="Times New Roman" w:hAnsi="Times New Roman"/>
          <w:b w:val="1"/>
          <w:color w:themeColor="text1" w:val="000000"/>
          <w:sz w:val="24"/>
        </w:rPr>
        <w:t>к</w:t>
      </w:r>
      <w:r>
        <w:rPr>
          <w:rFonts w:ascii="Times New Roman" w:hAnsi="Times New Roman"/>
          <w:b w:val="1"/>
          <w:color w:themeColor="text1" w:val="000000"/>
          <w:spacing w:val="-3"/>
          <w:sz w:val="24"/>
        </w:rPr>
        <w:t xml:space="preserve"> </w:t>
      </w:r>
      <w:r>
        <w:rPr>
          <w:rFonts w:ascii="Times New Roman" w:hAnsi="Times New Roman"/>
          <w:b w:val="1"/>
          <w:color w:themeColor="text1" w:val="000000"/>
          <w:sz w:val="24"/>
        </w:rPr>
        <w:t>магистерской</w:t>
      </w:r>
      <w:r>
        <w:rPr>
          <w:rFonts w:ascii="Times New Roman" w:hAnsi="Times New Roman"/>
          <w:b w:val="1"/>
          <w:color w:themeColor="text1" w:val="000000"/>
          <w:spacing w:val="-5"/>
          <w:sz w:val="24"/>
        </w:rPr>
        <w:t xml:space="preserve"> </w:t>
      </w:r>
      <w:r>
        <w:rPr>
          <w:rFonts w:ascii="Times New Roman" w:hAnsi="Times New Roman"/>
          <w:b w:val="1"/>
          <w:color w:themeColor="text1" w:val="000000"/>
          <w:spacing w:val="-2"/>
          <w:sz w:val="24"/>
        </w:rPr>
        <w:t>диссертации</w:t>
      </w:r>
    </w:p>
    <w:p w14:paraId="7C000000">
      <w:pPr>
        <w:widowControl w:val="0"/>
        <w:spacing w:after="0" w:before="130" w:line="240" w:lineRule="auto"/>
        <w:ind/>
        <w:rPr>
          <w:rFonts w:ascii="Times New Roman" w:hAnsi="Times New Roman"/>
          <w:b w:val="1"/>
          <w:sz w:val="24"/>
        </w:rPr>
      </w:pPr>
    </w:p>
    <w:p w14:paraId="7D000000">
      <w:pPr>
        <w:widowControl w:val="0"/>
        <w:spacing w:after="0" w:line="240" w:lineRule="auto"/>
        <w:ind w:firstLine="0" w:left="143"/>
        <w:rPr>
          <w:rFonts w:ascii="Times New Roman" w:hAnsi="Times New Roman"/>
          <w:sz w:val="24"/>
        </w:rPr>
      </w:pPr>
      <w:r>
        <w:rPr>
          <w:rFonts w:ascii="Times New Roman" w:hAnsi="Times New Roman"/>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page">
                  <wp:posOffset>3057525</wp:posOffset>
                </wp:positionH>
                <wp:positionV relativeFrom="paragraph">
                  <wp:posOffset>-71755</wp:posOffset>
                </wp:positionV>
                <wp:extent cx="1620520" cy="1216660"/>
                <wp:wrapNone/>
                <wp:docPr hidden="false" id="4" name="Picture 4"/>
                <a:graphic>
                  <a:graphicData uri="http://schemas.microsoft.com/office/word/2010/wordprocessingGroup">
                    <wpg:wgp>
                      <wpg:cNvGrpSpPr/>
                      <wpg:grpSpPr>
                        <a:xfrm flipH="false" flipV="false" rot="0">
                          <a:off x="0" y="0"/>
                          <a:ext cx="1620520" cy="1216660"/>
                          <a:chOff x="0" y="0"/>
                          <a:chExt cx="1620520" cy="1216660"/>
                        </a:xfrm>
                      </wpg:grpSpPr>
                      <wps:wsp>
                        <wps:cNvSpPr txBox="false"/>
                        <wps:spPr>
                          <a:xfrm flipH="false" flipV="false" rot="0">
                            <a:off x="252" y="616328"/>
                            <a:ext cx="1620267"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1620520" name="ODFRight"/>
                              <a:gd fmla="val 6350" name="ODFBottom"/>
                              <a:gd fmla="val 1620520" name="ODFWidth"/>
                              <a:gd fmla="val 6350" name="ODFHeight"/>
                            </a:gdLst>
                            <a:rect b="OXMLTextRectB" l="OXMLTextRectL" r="OXMLTextRectR" t="OXMLTextRectT"/>
                            <a:pathLst>
                              <a:path fill="norm" h="6350" stroke="true" w="1620520">
                                <a:moveTo>
                                  <a:pt x="1620266" y="0"/>
                                </a:moveTo>
                                <a:lnTo>
                                  <a:pt x="0" y="0"/>
                                </a:lnTo>
                                <a:lnTo>
                                  <a:pt x="0" y="6096"/>
                                </a:lnTo>
                                <a:lnTo>
                                  <a:pt x="1620266" y="6096"/>
                                </a:lnTo>
                                <a:lnTo>
                                  <a:pt x="1620266" y="0"/>
                                </a:lnTo>
                                <a:close/>
                              </a:path>
                            </a:pathLst>
                          </a:custGeom>
                          <a:solidFill>
                            <a:srgbClr val="000000"/>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4"/>
        </w:rPr>
        <w:t>Дата</w:t>
      </w:r>
      <w:r>
        <w:rPr>
          <w:rFonts w:ascii="Times New Roman" w:hAnsi="Times New Roman"/>
          <w:spacing w:val="-2"/>
          <w:sz w:val="24"/>
        </w:rPr>
        <w:t xml:space="preserve"> </w:t>
      </w:r>
      <w:r>
        <w:rPr>
          <w:rFonts w:ascii="Times New Roman" w:hAnsi="Times New Roman"/>
          <w:sz w:val="24"/>
        </w:rPr>
        <w:t>утверждения</w:t>
      </w:r>
      <w:r>
        <w:rPr>
          <w:rFonts w:ascii="Times New Roman" w:hAnsi="Times New Roman"/>
          <w:spacing w:val="-3"/>
          <w:sz w:val="24"/>
        </w:rPr>
        <w:t xml:space="preserve"> </w:t>
      </w:r>
      <w:r>
        <w:rPr>
          <w:rFonts w:ascii="Times New Roman" w:hAnsi="Times New Roman"/>
          <w:sz w:val="24"/>
        </w:rPr>
        <w:t>концепции:</w:t>
      </w:r>
      <w:r>
        <w:rPr>
          <w:rFonts w:ascii="Times New Roman" w:hAnsi="Times New Roman"/>
          <w:spacing w:val="-1"/>
          <w:sz w:val="24"/>
        </w:rPr>
        <w:t xml:space="preserve"> </w:t>
      </w:r>
      <w:r>
        <w:rPr>
          <w:rFonts w:ascii="Times New Roman" w:hAnsi="Times New Roman"/>
          <w:sz w:val="24"/>
        </w:rPr>
        <w:t>«15»</w:t>
      </w:r>
      <w:r>
        <w:rPr>
          <w:rFonts w:ascii="Times New Roman" w:hAnsi="Times New Roman"/>
          <w:spacing w:val="-9"/>
          <w:sz w:val="24"/>
        </w:rPr>
        <w:t xml:space="preserve"> </w:t>
      </w:r>
      <w:r>
        <w:rPr>
          <w:rFonts w:ascii="Times New Roman" w:hAnsi="Times New Roman"/>
          <w:sz w:val="24"/>
        </w:rPr>
        <w:t>июня</w:t>
      </w:r>
      <w:r>
        <w:rPr>
          <w:rFonts w:ascii="Times New Roman" w:hAnsi="Times New Roman"/>
          <w:spacing w:val="-3"/>
          <w:sz w:val="24"/>
        </w:rPr>
        <w:t xml:space="preserve"> </w:t>
      </w:r>
      <w:r>
        <w:rPr>
          <w:rFonts w:ascii="Times New Roman" w:hAnsi="Times New Roman"/>
          <w:sz w:val="24"/>
        </w:rPr>
        <w:t>2026</w:t>
      </w:r>
      <w:r>
        <w:rPr>
          <w:rFonts w:ascii="Times New Roman" w:hAnsi="Times New Roman"/>
          <w:spacing w:val="-2"/>
          <w:sz w:val="24"/>
        </w:rPr>
        <w:t xml:space="preserve"> </w:t>
      </w:r>
      <w:r>
        <w:rPr>
          <w:rFonts w:ascii="Times New Roman" w:hAnsi="Times New Roman"/>
          <w:spacing w:val="-5"/>
          <w:sz w:val="24"/>
        </w:rPr>
        <w:t>г.</w:t>
      </w:r>
    </w:p>
    <w:p w14:paraId="7E000000">
      <w:pPr>
        <w:widowControl w:val="0"/>
        <w:spacing w:after="1" w:before="58" w:line="240" w:lineRule="auto"/>
        <w:ind/>
        <w:rPr>
          <w:rFonts w:ascii="Times New Roman" w:hAnsi="Times New Roman"/>
          <w:sz w:val="20"/>
        </w:rPr>
      </w:pPr>
    </w:p>
    <w:tbl>
      <w:tblPr>
        <w:tblStyle w:val="Style_4"/>
        <w:tblInd w:type="dxa" w:w="103"/>
        <w:tblLayout w:type="fixed"/>
      </w:tblPr>
      <w:tblGrid>
        <w:gridCol w:w="5996"/>
        <w:gridCol w:w="852"/>
        <w:gridCol w:w="3114"/>
      </w:tblGrid>
      <w:tr>
        <w:trPr>
          <w:trHeight w:hRule="atLeast" w:val="292"/>
        </w:trPr>
        <w:tc>
          <w:tcPr>
            <w:tcW w:type="dxa" w:w="5996"/>
          </w:tcPr>
          <w:p w14:paraId="7F000000">
            <w:pPr>
              <w:spacing w:line="266" w:lineRule="exact"/>
              <w:ind w:firstLine="0" w:left="50"/>
              <w:rPr>
                <w:rFonts w:ascii="Times New Roman" w:hAnsi="Times New Roman"/>
                <w:sz w:val="24"/>
              </w:rPr>
            </w:pPr>
            <w:r>
              <w:rPr>
                <w:rFonts w:ascii="Times New Roman" w:hAnsi="Times New Roman"/>
                <w:spacing w:val="-2"/>
                <w:sz w:val="24"/>
              </w:rPr>
              <w:t>Обучающийся</w:t>
            </w:r>
          </w:p>
        </w:tc>
        <w:tc>
          <w:tcPr>
            <w:tcW w:type="dxa" w:w="852"/>
          </w:tcPr>
          <w:p w14:paraId="80000000">
            <w:pPr>
              <w:rPr>
                <w:rFonts w:ascii="Times New Roman" w:hAnsi="Times New Roman"/>
              </w:rPr>
            </w:pPr>
          </w:p>
        </w:tc>
        <w:tc>
          <w:tcPr>
            <w:tcW w:type="dxa" w:w="3114"/>
            <w:tcBorders>
              <w:top w:sz="4" w:val="nil"/>
              <w:left w:sz="4" w:val="nil"/>
              <w:bottom w:color="000000" w:sz="4" w:val="single"/>
              <w:right w:sz="4" w:val="nil"/>
            </w:tcBorders>
          </w:tcPr>
          <w:p/>
        </w:tc>
      </w:tr>
      <w:tr>
        <w:trPr>
          <w:trHeight w:hRule="atLeast" w:val="178"/>
        </w:trPr>
        <w:tc>
          <w:tcPr>
            <w:tcW w:type="dxa" w:w="5996"/>
          </w:tcPr>
          <w:p w14:paraId="81000000">
            <w:pPr>
              <w:spacing w:line="159" w:lineRule="exact"/>
              <w:ind w:right="993"/>
              <w:jc w:val="right"/>
              <w:rPr>
                <w:rFonts w:ascii="Times New Roman" w:hAnsi="Times New Roman"/>
                <w:sz w:val="16"/>
              </w:rPr>
            </w:pPr>
            <w:r>
              <w:rPr>
                <w:rFonts w:ascii="Times New Roman" w:hAnsi="Times New Roman"/>
                <w:spacing w:val="-2"/>
                <w:sz w:val="16"/>
              </w:rPr>
              <w:t>подпись</w:t>
            </w:r>
          </w:p>
        </w:tc>
        <w:tc>
          <w:tcPr>
            <w:tcW w:type="dxa" w:w="852"/>
          </w:tcPr>
          <w:p w14:paraId="82000000">
            <w:pPr>
              <w:rPr>
                <w:rFonts w:ascii="Times New Roman" w:hAnsi="Times New Roman"/>
                <w:sz w:val="12"/>
              </w:rPr>
            </w:pPr>
          </w:p>
        </w:tc>
        <w:tc>
          <w:tcPr>
            <w:tcW w:type="dxa" w:w="3114"/>
            <w:tcBorders>
              <w:top w:color="000000" w:sz="4" w:val="single"/>
              <w:left w:sz="4" w:val="nil"/>
              <w:bottom w:sz="4" w:val="nil"/>
              <w:right w:sz="4" w:val="nil"/>
            </w:tcBorders>
          </w:tcPr>
          <w:p w14:paraId="83000000">
            <w:pPr>
              <w:spacing w:line="159" w:lineRule="exact"/>
              <w:ind/>
              <w:jc w:val="center"/>
              <w:rPr>
                <w:rFonts w:ascii="Times New Roman" w:hAnsi="Times New Roman"/>
                <w:sz w:val="16"/>
              </w:rPr>
            </w:pPr>
            <w:r>
              <w:rPr>
                <w:rFonts w:ascii="Times New Roman" w:hAnsi="Times New Roman"/>
                <w:spacing w:val="-2"/>
                <w:sz w:val="16"/>
              </w:rPr>
              <w:t>расшифровка</w:t>
            </w:r>
          </w:p>
        </w:tc>
      </w:tr>
    </w:tbl>
    <w:p w14:paraId="84000000">
      <w:pPr>
        <w:widowControl w:val="0"/>
        <w:spacing w:after="0" w:line="240" w:lineRule="auto"/>
        <w:ind/>
        <w:rPr>
          <w:rFonts w:ascii="Times New Roman" w:hAnsi="Times New Roman"/>
        </w:rPr>
      </w:pPr>
    </w:p>
    <w:p w14:paraId="85000000">
      <w:pPr>
        <w:rPr>
          <w:rFonts w:ascii="Times New Roman" w:hAnsi="Times New Roman"/>
          <w:b w:val="1"/>
          <w:color w:themeColor="text1" w:val="000000"/>
          <w:sz w:val="32"/>
        </w:rPr>
      </w:pPr>
      <w:r>
        <w:rPr>
          <w:rFonts w:ascii="Times New Roman" w:hAnsi="Times New Roman"/>
          <w:b w:val="1"/>
          <w:color w:themeColor="text1" w:val="000000"/>
        </w:rPr>
        <w:br w:type="page"/>
      </w:r>
    </w:p>
    <w:p w14:paraId="86000000">
      <w:pPr>
        <w:pStyle w:val="Style_5"/>
        <w:ind/>
        <w:jc w:val="center"/>
        <w:rPr>
          <w:rFonts w:ascii="Times New Roman" w:hAnsi="Times New Roman"/>
          <w:color w:themeColor="text1" w:val="000000"/>
          <w:sz w:val="28"/>
        </w:rPr>
      </w:pPr>
      <w:r>
        <w:rPr>
          <w:rFonts w:ascii="Times New Roman" w:hAnsi="Times New Roman"/>
          <w:color w:themeColor="text1" w:val="000000"/>
          <w:sz w:val="28"/>
        </w:rPr>
        <w:t>СОДЕРЖАНИЕ</w:t>
      </w:r>
    </w:p>
    <w:p>
      <w:pPr>
        <w:pStyle w:val="Style_6"/>
        <w:tabs>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КОНЦЕПЦИЯ</w:t>
      </w:r>
      <w:r>
        <w:tab/>
      </w:r>
      <w:r>
        <w:fldChar w:fldCharType="begin"/>
      </w:r>
      <w:r>
        <w:instrText>PAGEREF __RefHeading___1 \h</w:instrText>
      </w:r>
      <w:r>
        <w:fldChar w:fldCharType="separate"/>
      </w:r>
      <w:r>
        <w:t>2</w:t>
      </w:r>
      <w:r>
        <w:fldChar w:fldCharType="end"/>
      </w:r>
      <w:r>
        <w:fldChar w:fldCharType="end"/>
      </w:r>
    </w:p>
    <w:p w14:paraId="88000000">
      <w:pPr>
        <w:pStyle w:val="Style_6"/>
        <w:tabs>
          <w:tab w:leader="dot" w:pos="9355" w:val="right"/>
        </w:tabs>
        <w:ind/>
      </w:pPr>
      <w:r>
        <w:fldChar w:fldCharType="begin"/>
      </w:r>
      <w:r>
        <w:instrText>HYPERLINK \l "__RefHeading___2"</w:instrText>
      </w:r>
      <w:r>
        <w:fldChar w:fldCharType="separate"/>
      </w:r>
      <w:r>
        <w:t>1.    Исходные данные по магистерской диссертации</w:t>
      </w:r>
      <w:r>
        <w:tab/>
      </w:r>
      <w:r>
        <w:fldChar w:fldCharType="begin"/>
      </w:r>
      <w:r>
        <w:instrText>PAGEREF __RefHeading___2 \h</w:instrText>
      </w:r>
      <w:r>
        <w:fldChar w:fldCharType="separate"/>
      </w:r>
      <w:r>
        <w:t>2</w:t>
      </w:r>
      <w:r>
        <w:fldChar w:fldCharType="end"/>
      </w:r>
      <w:r>
        <w:fldChar w:fldCharType="end"/>
      </w:r>
    </w:p>
    <w:p w14:paraId="89000000">
      <w:pPr>
        <w:pStyle w:val="Style_6"/>
        <w:tabs>
          <w:tab w:leader="dot" w:pos="9355" w:val="right"/>
        </w:tabs>
        <w:ind/>
      </w:pPr>
      <w:r>
        <w:fldChar w:fldCharType="begin"/>
      </w:r>
      <w:r>
        <w:instrText>HYPERLINK \l "__RefHeading___3"</w:instrText>
      </w:r>
      <w:r>
        <w:fldChar w:fldCharType="separate"/>
      </w:r>
      <w:r>
        <w:t>2.    Обоснование актуальности темы магистерской диссертации</w:t>
      </w:r>
      <w:r>
        <w:tab/>
      </w:r>
      <w:r>
        <w:fldChar w:fldCharType="begin"/>
      </w:r>
      <w:r>
        <w:instrText>PAGEREF __RefHeading___3 \h</w:instrText>
      </w:r>
      <w:r>
        <w:fldChar w:fldCharType="separate"/>
      </w:r>
      <w:r>
        <w:t>2</w:t>
      </w:r>
      <w:r>
        <w:fldChar w:fldCharType="end"/>
      </w:r>
      <w:r>
        <w:fldChar w:fldCharType="end"/>
      </w:r>
    </w:p>
    <w:p w14:paraId="8A000000">
      <w:pPr>
        <w:pStyle w:val="Style_6"/>
        <w:tabs>
          <w:tab w:leader="dot" w:pos="9355" w:val="right"/>
        </w:tabs>
        <w:ind/>
      </w:pPr>
      <w:r>
        <w:fldChar w:fldCharType="begin"/>
      </w:r>
      <w:r>
        <w:instrText>HYPERLINK \l "__RefHeading___4"</w:instrText>
      </w:r>
      <w:r>
        <w:fldChar w:fldCharType="separate"/>
      </w:r>
      <w:r>
        <w:t>3.    Цель исследования</w:t>
      </w:r>
      <w:r>
        <w:tab/>
      </w:r>
      <w:r>
        <w:fldChar w:fldCharType="begin"/>
      </w:r>
      <w:r>
        <w:instrText>PAGEREF __RefHeading___4 \h</w:instrText>
      </w:r>
      <w:r>
        <w:fldChar w:fldCharType="separate"/>
      </w:r>
      <w:r>
        <w:t>3</w:t>
      </w:r>
      <w:r>
        <w:fldChar w:fldCharType="end"/>
      </w:r>
      <w:r>
        <w:fldChar w:fldCharType="end"/>
      </w:r>
    </w:p>
    <w:p w14:paraId="8B000000">
      <w:pPr>
        <w:pStyle w:val="Style_6"/>
        <w:tabs>
          <w:tab w:leader="dot" w:pos="9355" w:val="right"/>
        </w:tabs>
        <w:ind/>
      </w:pPr>
      <w:r>
        <w:fldChar w:fldCharType="begin"/>
      </w:r>
      <w:r>
        <w:instrText>HYPERLINK \l "__RefHeading___5"</w:instrText>
      </w:r>
      <w:r>
        <w:fldChar w:fldCharType="separate"/>
      </w:r>
      <w:r>
        <w:t>4.    Задачи исследования</w:t>
      </w:r>
      <w:r>
        <w:tab/>
      </w:r>
      <w:r>
        <w:fldChar w:fldCharType="begin"/>
      </w:r>
      <w:r>
        <w:instrText>PAGEREF __RefHeading___5 \h</w:instrText>
      </w:r>
      <w:r>
        <w:fldChar w:fldCharType="separate"/>
      </w:r>
      <w:r>
        <w:t>3</w:t>
      </w:r>
      <w:r>
        <w:fldChar w:fldCharType="end"/>
      </w:r>
      <w:r>
        <w:fldChar w:fldCharType="end"/>
      </w:r>
    </w:p>
    <w:p w14:paraId="8C000000">
      <w:pPr>
        <w:pStyle w:val="Style_6"/>
        <w:tabs>
          <w:tab w:leader="dot" w:pos="9355" w:val="right"/>
        </w:tabs>
        <w:ind/>
      </w:pPr>
      <w:r>
        <w:fldChar w:fldCharType="begin"/>
      </w:r>
      <w:r>
        <w:instrText>HYPERLINK \l "__RefHeading___6"</w:instrText>
      </w:r>
      <w:r>
        <w:fldChar w:fldCharType="separate"/>
      </w:r>
      <w:r>
        <w:t>6.    Организация, результаты деятельности которой использованы в магистерской диссертации в качестве объекта исследования</w:t>
      </w:r>
      <w:r>
        <w:tab/>
      </w:r>
      <w:r>
        <w:fldChar w:fldCharType="begin"/>
      </w:r>
      <w:r>
        <w:instrText>PAGEREF __RefHeading___6 \h</w:instrText>
      </w:r>
      <w:r>
        <w:fldChar w:fldCharType="separate"/>
      </w:r>
      <w:r>
        <w:t>3</w:t>
      </w:r>
      <w:r>
        <w:fldChar w:fldCharType="end"/>
      </w:r>
      <w:r>
        <w:fldChar w:fldCharType="end"/>
      </w:r>
    </w:p>
    <w:p w14:paraId="8D000000">
      <w:pPr>
        <w:pStyle w:val="Style_6"/>
        <w:tabs>
          <w:tab w:leader="dot" w:pos="9355" w:val="right"/>
        </w:tabs>
        <w:ind/>
      </w:pPr>
      <w:r>
        <w:fldChar w:fldCharType="begin"/>
      </w:r>
      <w:r>
        <w:instrText>HYPERLINK \l "__RefHeading___7"</w:instrText>
      </w:r>
      <w:r>
        <w:fldChar w:fldCharType="separate"/>
      </w:r>
      <w:r>
        <w:t>7.    Предполагаемые методы исследования</w:t>
      </w:r>
      <w:r>
        <w:tab/>
      </w:r>
      <w:r>
        <w:fldChar w:fldCharType="begin"/>
      </w:r>
      <w:r>
        <w:instrText>PAGEREF __RefHeading___7 \h</w:instrText>
      </w:r>
      <w:r>
        <w:fldChar w:fldCharType="separate"/>
      </w:r>
      <w:r>
        <w:t>4</w:t>
      </w:r>
      <w:r>
        <w:fldChar w:fldCharType="end"/>
      </w:r>
      <w:r>
        <w:fldChar w:fldCharType="end"/>
      </w:r>
    </w:p>
    <w:p w14:paraId="8E000000">
      <w:pPr>
        <w:pStyle w:val="Style_6"/>
        <w:tabs>
          <w:tab w:leader="dot" w:pos="9355" w:val="right"/>
        </w:tabs>
        <w:ind/>
      </w:pPr>
      <w:r>
        <w:fldChar w:fldCharType="begin"/>
      </w:r>
      <w:r>
        <w:instrText>HYPERLINK \l "__RefHeading___8"</w:instrText>
      </w:r>
      <w:r>
        <w:fldChar w:fldCharType="separate"/>
      </w:r>
      <w:r>
        <w:t>8.    Ожидаемые основные результаты исследования</w:t>
      </w:r>
      <w:r>
        <w:tab/>
      </w:r>
      <w:r>
        <w:fldChar w:fldCharType="begin"/>
      </w:r>
      <w:r>
        <w:instrText>PAGEREF __RefHeading___8 \h</w:instrText>
      </w:r>
      <w:r>
        <w:fldChar w:fldCharType="separate"/>
      </w:r>
      <w:r>
        <w:t>4</w:t>
      </w:r>
      <w:r>
        <w:fldChar w:fldCharType="end"/>
      </w:r>
      <w:r>
        <w:fldChar w:fldCharType="end"/>
      </w:r>
    </w:p>
    <w:p w14:paraId="8F000000">
      <w:pPr>
        <w:pStyle w:val="Style_6"/>
        <w:tabs>
          <w:tab w:leader="dot" w:pos="9355" w:val="right"/>
        </w:tabs>
        <w:ind/>
      </w:pPr>
      <w:r>
        <w:fldChar w:fldCharType="begin"/>
      </w:r>
      <w:r>
        <w:instrText>HYPERLINK \l "__RefHeading___9"</w:instrText>
      </w:r>
      <w:r>
        <w:fldChar w:fldCharType="separate"/>
      </w:r>
      <w:r>
        <w:t>9.    Содержание разделов магистерской диссертации (наименование глав и параграфов)</w:t>
      </w:r>
      <w:r>
        <w:tab/>
      </w:r>
      <w:r>
        <w:fldChar w:fldCharType="begin"/>
      </w:r>
      <w:r>
        <w:instrText>PAGEREF __RefHeading___9 \h</w:instrText>
      </w:r>
      <w:r>
        <w:fldChar w:fldCharType="separate"/>
      </w:r>
      <w:r>
        <w:t>5</w:t>
      </w:r>
      <w:r>
        <w:fldChar w:fldCharType="end"/>
      </w:r>
      <w:r>
        <w:fldChar w:fldCharType="end"/>
      </w:r>
    </w:p>
    <w:p w14:paraId="90000000">
      <w:pPr>
        <w:pStyle w:val="Style_6"/>
        <w:tabs>
          <w:tab w:leader="dot" w:pos="9355" w:val="right"/>
        </w:tabs>
        <w:ind/>
      </w:pPr>
      <w:r>
        <w:fldChar w:fldCharType="begin"/>
      </w:r>
      <w:r>
        <w:instrText>HYPERLINK \l "__RefHeading___10"</w:instrText>
      </w:r>
      <w:r>
        <w:fldChar w:fldCharType="separate"/>
      </w:r>
      <w:r>
        <w:t>10.    Перечень приложений к магистерской диссертации</w:t>
      </w:r>
      <w:r>
        <w:tab/>
      </w:r>
      <w:r>
        <w:fldChar w:fldCharType="begin"/>
      </w:r>
      <w:r>
        <w:instrText>PAGEREF __RefHeading___10 \h</w:instrText>
      </w:r>
      <w:r>
        <w:fldChar w:fldCharType="separate"/>
      </w:r>
      <w:r>
        <w:t>5</w:t>
      </w:r>
      <w:r>
        <w:fldChar w:fldCharType="end"/>
      </w:r>
      <w:r>
        <w:fldChar w:fldCharType="end"/>
      </w:r>
    </w:p>
    <w:p w14:paraId="91000000">
      <w:pPr>
        <w:pStyle w:val="Style_6"/>
        <w:tabs>
          <w:tab w:leader="dot" w:pos="9355" w:val="right"/>
        </w:tabs>
        <w:ind/>
      </w:pPr>
      <w:r>
        <w:fldChar w:fldCharType="begin"/>
      </w:r>
      <w:r>
        <w:instrText>HYPERLINK \l "__RefHeading___11"</w:instrText>
      </w:r>
      <w:r>
        <w:fldChar w:fldCharType="separate"/>
      </w:r>
      <w:r>
        <w:t>ВВЕДЕНИЕ</w:t>
      </w:r>
      <w:r>
        <w:tab/>
      </w:r>
      <w:r>
        <w:fldChar w:fldCharType="begin"/>
      </w:r>
      <w:r>
        <w:instrText>PAGEREF __RefHeading___11 \h</w:instrText>
      </w:r>
      <w:r>
        <w:fldChar w:fldCharType="separate"/>
      </w:r>
      <w:r>
        <w:t>8</w:t>
      </w:r>
      <w:r>
        <w:fldChar w:fldCharType="end"/>
      </w:r>
      <w:r>
        <w:fldChar w:fldCharType="end"/>
      </w:r>
    </w:p>
    <w:p w14:paraId="92000000">
      <w:pPr>
        <w:pStyle w:val="Style_6"/>
        <w:tabs>
          <w:tab w:leader="dot" w:pos="9355" w:val="right"/>
        </w:tabs>
        <w:ind/>
      </w:pPr>
      <w:r>
        <w:fldChar w:fldCharType="begin"/>
      </w:r>
      <w:r>
        <w:instrText>HYPERLINK \l "__RefHeading___12"</w:instrText>
      </w:r>
      <w:r>
        <w:fldChar w:fldCharType="separate"/>
      </w:r>
      <w:r>
        <w:t>ГЛАВА 1. ПОНЯТИЕ, ЮРИДИЧЕСКАЯ ПРИРОДА, УСЛОВИЯ НАСТУПЛЕНИЯ И ПОРЯДОК ПРИМЕНЕНИЯ СУБСИДИАРНОЙ ОТВЕТСТВЕННОСТИ</w:t>
      </w:r>
      <w:r>
        <w:tab/>
      </w:r>
      <w:r>
        <w:fldChar w:fldCharType="begin"/>
      </w:r>
      <w:r>
        <w:instrText>PAGEREF __RefHeading___12 \h</w:instrText>
      </w:r>
      <w:r>
        <w:fldChar w:fldCharType="separate"/>
      </w:r>
      <w:r>
        <w:t>13</w:t>
      </w:r>
      <w:r>
        <w:fldChar w:fldCharType="end"/>
      </w:r>
      <w:r>
        <w:fldChar w:fldCharType="end"/>
      </w:r>
    </w:p>
    <w:p w14:paraId="93000000">
      <w:pPr>
        <w:pStyle w:val="Style_6"/>
        <w:tabs>
          <w:tab w:leader="dot" w:pos="9355" w:val="right"/>
        </w:tabs>
        <w:ind/>
      </w:pPr>
      <w:r>
        <w:fldChar w:fldCharType="begin"/>
      </w:r>
      <w:r>
        <w:instrText>HYPERLINK \l "__RefHeading___13"</w:instrText>
      </w:r>
      <w:r>
        <w:fldChar w:fldCharType="separate"/>
      </w:r>
      <w:r>
        <w:t>1.1    Развитие института субсидиарной ответственности в отечественном гражданском праве и ее значение</w:t>
      </w:r>
      <w:r>
        <w:tab/>
      </w:r>
      <w:r>
        <w:fldChar w:fldCharType="begin"/>
      </w:r>
      <w:r>
        <w:instrText>PAGEREF __RefHeading___13 \h</w:instrText>
      </w:r>
      <w:r>
        <w:fldChar w:fldCharType="separate"/>
      </w:r>
      <w:r>
        <w:t>13</w:t>
      </w:r>
      <w:r>
        <w:fldChar w:fldCharType="end"/>
      </w:r>
      <w:r>
        <w:fldChar w:fldCharType="end"/>
      </w:r>
    </w:p>
    <w:p w14:paraId="94000000">
      <w:pPr>
        <w:pStyle w:val="Style_6"/>
        <w:tabs>
          <w:tab w:leader="dot" w:pos="9355" w:val="right"/>
        </w:tabs>
        <w:ind/>
      </w:pPr>
      <w:r>
        <w:fldChar w:fldCharType="begin"/>
      </w:r>
      <w:r>
        <w:instrText>HYPERLINK \l "__RefHeading___14"</w:instrText>
      </w:r>
      <w:r>
        <w:fldChar w:fldCharType="separate"/>
      </w:r>
      <w:r>
        <w:t>1.2    Понятие и юридическая природа субсидиарной ответственности</w:t>
      </w:r>
      <w:r>
        <w:tab/>
      </w:r>
      <w:r>
        <w:fldChar w:fldCharType="begin"/>
      </w:r>
      <w:r>
        <w:instrText>PAGEREF __RefHeading___14 \h</w:instrText>
      </w:r>
      <w:r>
        <w:fldChar w:fldCharType="separate"/>
      </w:r>
      <w:r>
        <w:t>18</w:t>
      </w:r>
      <w:r>
        <w:fldChar w:fldCharType="end"/>
      </w:r>
      <w:r>
        <w:fldChar w:fldCharType="end"/>
      </w:r>
    </w:p>
    <w:p w14:paraId="95000000">
      <w:pPr>
        <w:pStyle w:val="Style_6"/>
        <w:tabs>
          <w:tab w:leader="dot" w:pos="9355" w:val="right"/>
        </w:tabs>
        <w:ind/>
      </w:pPr>
      <w:r>
        <w:fldChar w:fldCharType="begin"/>
      </w:r>
      <w:r>
        <w:instrText>HYPERLINK \l "__RefHeading___15"</w:instrText>
      </w:r>
      <w:r>
        <w:fldChar w:fldCharType="separate"/>
      </w:r>
      <w:r>
        <w:t>1.3    Условия наступления и порядок применения субсидиарной ответственности</w:t>
      </w:r>
      <w:r>
        <w:tab/>
      </w:r>
      <w:r>
        <w:fldChar w:fldCharType="begin"/>
      </w:r>
      <w:r>
        <w:instrText>PAGEREF __RefHeading___15 \h</w:instrText>
      </w:r>
      <w:r>
        <w:fldChar w:fldCharType="separate"/>
      </w:r>
      <w:r>
        <w:t>24</w:t>
      </w:r>
      <w:r>
        <w:fldChar w:fldCharType="end"/>
      </w:r>
      <w:r>
        <w:fldChar w:fldCharType="end"/>
      </w:r>
    </w:p>
    <w:p w14:paraId="96000000">
      <w:pPr>
        <w:pStyle w:val="Style_6"/>
        <w:tabs>
          <w:tab w:leader="dot" w:pos="9355" w:val="right"/>
        </w:tabs>
        <w:ind/>
      </w:pPr>
      <w:r>
        <w:fldChar w:fldCharType="begin"/>
      </w:r>
      <w:r>
        <w:instrText>HYPERLINK \l "__RefHeading___16"</w:instrText>
      </w:r>
      <w:r>
        <w:fldChar w:fldCharType="separate"/>
      </w:r>
      <w:r>
        <w:t>Выводы по главе 1</w:t>
      </w:r>
      <w:r>
        <w:tab/>
      </w:r>
      <w:r>
        <w:fldChar w:fldCharType="begin"/>
      </w:r>
      <w:r>
        <w:instrText>PAGEREF __RefHeading___16 \h</w:instrText>
      </w:r>
      <w:r>
        <w:fldChar w:fldCharType="separate"/>
      </w:r>
      <w:r>
        <w:t>29</w:t>
      </w:r>
      <w:r>
        <w:fldChar w:fldCharType="end"/>
      </w:r>
      <w:r>
        <w:fldChar w:fldCharType="end"/>
      </w:r>
    </w:p>
    <w:p w14:paraId="97000000">
      <w:pPr>
        <w:pStyle w:val="Style_6"/>
        <w:tabs>
          <w:tab w:leader="dot" w:pos="9355" w:val="right"/>
        </w:tabs>
        <w:ind/>
      </w:pPr>
      <w:r>
        <w:fldChar w:fldCharType="begin"/>
      </w:r>
      <w:r>
        <w:instrText>HYPERLINK \l "__RefHeading___17"</w:instrText>
      </w:r>
      <w:r>
        <w:fldChar w:fldCharType="separate"/>
      </w:r>
      <w:r>
        <w:t>ГЛАВА 2. ПРАВОВАЯ ПРИРОДА СУБСИДИАРНОЙ ОТВЕТСТВЕННОСТИ КОНТРОЛИРУЮЩИХ ДОЛЖНИКА ЛИЦ ПО ЗАКОНОДАТЕЛЬСТВУ О НЕСОСТОЯТЕЛЬНОСТИ (БАНКРОТСТВЕ)</w:t>
      </w:r>
      <w:r>
        <w:tab/>
      </w:r>
      <w:r>
        <w:fldChar w:fldCharType="begin"/>
      </w:r>
      <w:r>
        <w:instrText>PAGEREF __RefHeading___17 \h</w:instrText>
      </w:r>
      <w:r>
        <w:fldChar w:fldCharType="separate"/>
      </w:r>
      <w:r>
        <w:t>31</w:t>
      </w:r>
      <w:r>
        <w:fldChar w:fldCharType="end"/>
      </w:r>
      <w:r>
        <w:fldChar w:fldCharType="end"/>
      </w:r>
    </w:p>
    <w:p w14:paraId="98000000">
      <w:pPr>
        <w:pStyle w:val="Style_6"/>
        <w:tabs>
          <w:tab w:leader="dot" w:pos="9355" w:val="right"/>
        </w:tabs>
        <w:ind/>
      </w:pPr>
      <w:r>
        <w:fldChar w:fldCharType="begin"/>
      </w:r>
      <w:r>
        <w:instrText>HYPERLINK \l "__RefHeading___18"</w:instrText>
      </w:r>
      <w:r>
        <w:fldChar w:fldCharType="separate"/>
      </w:r>
      <w:r>
        <w:t>2.1 Субсидиарная ответственность в гражданском праве</w:t>
      </w:r>
      <w:r>
        <w:tab/>
      </w:r>
      <w:r>
        <w:fldChar w:fldCharType="begin"/>
      </w:r>
      <w:r>
        <w:instrText>PAGEREF __RefHeading___18 \h</w:instrText>
      </w:r>
      <w:r>
        <w:fldChar w:fldCharType="separate"/>
      </w:r>
      <w:r>
        <w:t>31</w:t>
      </w:r>
      <w:r>
        <w:fldChar w:fldCharType="end"/>
      </w:r>
      <w:r>
        <w:fldChar w:fldCharType="end"/>
      </w:r>
    </w:p>
    <w:p w14:paraId="99000000">
      <w:pPr>
        <w:pStyle w:val="Style_6"/>
        <w:tabs>
          <w:tab w:leader="dot" w:pos="9355" w:val="right"/>
        </w:tabs>
        <w:ind/>
      </w:pPr>
      <w:r>
        <w:fldChar w:fldCharType="begin"/>
      </w:r>
      <w:r>
        <w:instrText>HYPERLINK \l "__RefHeading___19"</w:instrText>
      </w:r>
      <w:r>
        <w:fldChar w:fldCharType="separate"/>
      </w:r>
      <w:r>
        <w:t>2.2 Виды субсидиарной ответственности</w:t>
      </w:r>
      <w:r>
        <w:tab/>
      </w:r>
      <w:r>
        <w:fldChar w:fldCharType="begin"/>
      </w:r>
      <w:r>
        <w:instrText>PAGEREF __RefHeading___19 \h</w:instrText>
      </w:r>
      <w:r>
        <w:fldChar w:fldCharType="separate"/>
      </w:r>
      <w:r>
        <w:t>37</w:t>
      </w:r>
      <w:r>
        <w:fldChar w:fldCharType="end"/>
      </w:r>
      <w:r>
        <w:fldChar w:fldCharType="end"/>
      </w:r>
    </w:p>
    <w:p w14:paraId="9A000000">
      <w:pPr>
        <w:pStyle w:val="Style_6"/>
        <w:tabs>
          <w:tab w:leader="dot" w:pos="9355" w:val="right"/>
        </w:tabs>
        <w:ind/>
      </w:pPr>
      <w:r>
        <w:fldChar w:fldCharType="begin"/>
      </w:r>
      <w:r>
        <w:instrText>HYPERLINK \l "__RefHeading___20"</w:instrText>
      </w:r>
      <w:r>
        <w:fldChar w:fldCharType="separate"/>
      </w:r>
      <w:r>
        <w:t>2.3 Субсидиарная ответственность контролирующих должника лиц по законодательству о несостоятельности (банкротстве)</w:t>
      </w:r>
      <w:r>
        <w:tab/>
      </w:r>
      <w:r>
        <w:fldChar w:fldCharType="begin"/>
      </w:r>
      <w:r>
        <w:instrText>PAGEREF __RefHeading___20 \h</w:instrText>
      </w:r>
      <w:r>
        <w:fldChar w:fldCharType="separate"/>
      </w:r>
      <w:r>
        <w:t>41</w:t>
      </w:r>
      <w:r>
        <w:fldChar w:fldCharType="end"/>
      </w:r>
      <w:r>
        <w:fldChar w:fldCharType="end"/>
      </w:r>
    </w:p>
    <w:p w14:paraId="9B000000">
      <w:pPr>
        <w:pStyle w:val="Style_6"/>
        <w:tabs>
          <w:tab w:leader="dot" w:pos="9355" w:val="right"/>
        </w:tabs>
        <w:ind/>
      </w:pPr>
      <w:r>
        <w:fldChar w:fldCharType="begin"/>
      </w:r>
      <w:r>
        <w:instrText>HYPERLINK \l "__RefHeading___21"</w:instrText>
      </w:r>
      <w:r>
        <w:fldChar w:fldCharType="separate"/>
      </w:r>
      <w:r>
        <w:t>Выводы по главе 2</w:t>
      </w:r>
      <w:r>
        <w:tab/>
      </w:r>
      <w:r>
        <w:fldChar w:fldCharType="begin"/>
      </w:r>
      <w:r>
        <w:instrText>PAGEREF __RefHeading___21 \h</w:instrText>
      </w:r>
      <w:r>
        <w:fldChar w:fldCharType="separate"/>
      </w:r>
      <w:r>
        <w:t>46</w:t>
      </w:r>
      <w:r>
        <w:fldChar w:fldCharType="end"/>
      </w:r>
      <w:r>
        <w:fldChar w:fldCharType="end"/>
      </w:r>
    </w:p>
    <w:p w14:paraId="9C000000">
      <w:pPr>
        <w:pStyle w:val="Style_6"/>
        <w:tabs>
          <w:tab w:leader="dot" w:pos="9355" w:val="right"/>
        </w:tabs>
        <w:ind/>
      </w:pPr>
      <w:r>
        <w:fldChar w:fldCharType="begin"/>
      </w:r>
      <w:r>
        <w:instrText>HYPERLINK \l "__RefHeading___22"</w:instrText>
      </w:r>
      <w:r>
        <w:fldChar w:fldCharType="separate"/>
      </w:r>
      <w:r>
        <w:t>ГЛАВА 3. ОСОБЕННОСТИ СУБСИДИАРНОЙ ОТВЕТСТВЕННОСТИ ФИЗИЧЕСКИХ, ЮРИДИЧЕСКИХ ЛИЦ И ПУБЛИЧНО-ПРАВОВЫХ ОБРАЗОВАНИЙ</w:t>
      </w:r>
      <w:r>
        <w:tab/>
      </w:r>
      <w:r>
        <w:fldChar w:fldCharType="begin"/>
      </w:r>
      <w:r>
        <w:instrText>PAGEREF __RefHeading___22 \h</w:instrText>
      </w:r>
      <w:r>
        <w:fldChar w:fldCharType="separate"/>
      </w:r>
      <w:r>
        <w:t>48</w:t>
      </w:r>
      <w:r>
        <w:fldChar w:fldCharType="end"/>
      </w:r>
      <w:r>
        <w:fldChar w:fldCharType="end"/>
      </w:r>
    </w:p>
    <w:p w14:paraId="9D000000">
      <w:pPr>
        <w:pStyle w:val="Style_6"/>
        <w:tabs>
          <w:tab w:leader="dot" w:pos="9355" w:val="right"/>
        </w:tabs>
        <w:ind/>
      </w:pPr>
      <w:r>
        <w:fldChar w:fldCharType="begin"/>
      </w:r>
      <w:r>
        <w:instrText>HYPERLINK \l "__RefHeading___23"</w:instrText>
      </w:r>
      <w:r>
        <w:fldChar w:fldCharType="separate"/>
      </w:r>
      <w:r>
        <w:t>3.1 Особенности субсидиарной ответственности физических и юридических лиц</w:t>
      </w:r>
      <w:r>
        <w:tab/>
      </w:r>
      <w:r>
        <w:fldChar w:fldCharType="begin"/>
      </w:r>
      <w:r>
        <w:instrText>PAGEREF __RefHeading___23 \h</w:instrText>
      </w:r>
      <w:r>
        <w:fldChar w:fldCharType="separate"/>
      </w:r>
      <w:r>
        <w:t>48</w:t>
      </w:r>
      <w:r>
        <w:fldChar w:fldCharType="end"/>
      </w:r>
      <w:r>
        <w:fldChar w:fldCharType="end"/>
      </w:r>
    </w:p>
    <w:p w14:paraId="9E000000">
      <w:pPr>
        <w:pStyle w:val="Style_6"/>
        <w:tabs>
          <w:tab w:leader="dot" w:pos="9355" w:val="right"/>
        </w:tabs>
        <w:ind/>
      </w:pPr>
      <w:r>
        <w:fldChar w:fldCharType="begin"/>
      </w:r>
      <w:r>
        <w:instrText>HYPERLINK \l "__RefHeading___24"</w:instrText>
      </w:r>
      <w:r>
        <w:fldChar w:fldCharType="separate"/>
      </w:r>
      <w:r>
        <w:t>3.2 Особенности субсидиарной ответственности публично-правовых образований</w:t>
      </w:r>
      <w:r>
        <w:tab/>
      </w:r>
      <w:r>
        <w:fldChar w:fldCharType="begin"/>
      </w:r>
      <w:r>
        <w:instrText>PAGEREF __RefHeading___24 \h</w:instrText>
      </w:r>
      <w:r>
        <w:fldChar w:fldCharType="separate"/>
      </w:r>
      <w:r>
        <w:t>52</w:t>
      </w:r>
      <w:r>
        <w:fldChar w:fldCharType="end"/>
      </w:r>
      <w:r>
        <w:fldChar w:fldCharType="end"/>
      </w:r>
    </w:p>
    <w:p w14:paraId="9F000000">
      <w:pPr>
        <w:pStyle w:val="Style_6"/>
        <w:tabs>
          <w:tab w:leader="dot" w:pos="9355" w:val="right"/>
        </w:tabs>
        <w:ind/>
      </w:pPr>
      <w:r>
        <w:fldChar w:fldCharType="begin"/>
      </w:r>
      <w:r>
        <w:instrText>HYPERLINK \l "__RefHeading___25"</w:instrText>
      </w:r>
      <w:r>
        <w:fldChar w:fldCharType="separate"/>
      </w:r>
      <w:r>
        <w:t>Выводы по главе 3</w:t>
      </w:r>
      <w:r>
        <w:tab/>
      </w:r>
      <w:r>
        <w:fldChar w:fldCharType="begin"/>
      </w:r>
      <w:r>
        <w:instrText>PAGEREF __RefHeading___25 \h</w:instrText>
      </w:r>
      <w:r>
        <w:fldChar w:fldCharType="separate"/>
      </w:r>
      <w:r>
        <w:t>57</w:t>
      </w:r>
      <w:r>
        <w:fldChar w:fldCharType="end"/>
      </w:r>
      <w:r>
        <w:fldChar w:fldCharType="end"/>
      </w:r>
    </w:p>
    <w:p w14:paraId="A0000000">
      <w:pPr>
        <w:pStyle w:val="Style_6"/>
        <w:tabs>
          <w:tab w:leader="dot" w:pos="9355" w:val="right"/>
        </w:tabs>
        <w:ind/>
      </w:pPr>
      <w:r>
        <w:fldChar w:fldCharType="begin"/>
      </w:r>
      <w:r>
        <w:instrText>HYPERLINK \l "__RefHeading___26"</w:instrText>
      </w:r>
      <w:r>
        <w:fldChar w:fldCharType="separate"/>
      </w:r>
      <w:r>
        <w:t>ЗАКЛЮЧЕНИЕ</w:t>
      </w:r>
      <w:r>
        <w:tab/>
      </w:r>
      <w:r>
        <w:fldChar w:fldCharType="begin"/>
      </w:r>
      <w:r>
        <w:instrText>PAGEREF __RefHeading___26 \h</w:instrText>
      </w:r>
      <w:r>
        <w:fldChar w:fldCharType="separate"/>
      </w:r>
      <w:r>
        <w:t>59</w:t>
      </w:r>
      <w:r>
        <w:fldChar w:fldCharType="end"/>
      </w:r>
      <w:r>
        <w:fldChar w:fldCharType="end"/>
      </w:r>
    </w:p>
    <w:p w14:paraId="A1000000">
      <w:pPr>
        <w:pStyle w:val="Style_6"/>
        <w:tabs>
          <w:tab w:leader="dot" w:pos="9355" w:val="right"/>
        </w:tabs>
        <w:ind/>
      </w:pPr>
      <w:r>
        <w:fldChar w:fldCharType="begin"/>
      </w:r>
      <w:r>
        <w:instrText>HYPERLINK \l "__RefHeading___27"</w:instrText>
      </w:r>
      <w:r>
        <w:fldChar w:fldCharType="separate"/>
      </w:r>
      <w:r>
        <w:t>СПИСОК ИСПОЛЬЗОВАННЫХ ИСТОЧНИКОВ</w:t>
      </w:r>
      <w:r>
        <w:tab/>
      </w:r>
      <w:r>
        <w:fldChar w:fldCharType="begin"/>
      </w:r>
      <w:r>
        <w:instrText>PAGEREF __RefHeading___27 \h</w:instrText>
      </w:r>
      <w:r>
        <w:fldChar w:fldCharType="separate"/>
      </w:r>
      <w:r>
        <w:t>62</w:t>
      </w:r>
      <w:r>
        <w:fldChar w:fldCharType="end"/>
      </w:r>
      <w:r>
        <w:fldChar w:fldCharType="end"/>
      </w:r>
    </w:p>
    <w:p w14:paraId="A2000000">
      <w:pPr>
        <w:pStyle w:val="Style_6"/>
        <w:tabs>
          <w:tab w:leader="dot" w:pos="9355" w:val="right"/>
        </w:tabs>
        <w:ind/>
      </w:pPr>
      <w:r>
        <w:fldChar w:fldCharType="begin"/>
      </w:r>
      <w:r>
        <w:instrText>HYPERLINK \l "__RefHeading___28"</w:instrText>
      </w:r>
      <w:r>
        <w:fldChar w:fldCharType="separate"/>
      </w:r>
      <w:r>
        <w:t>ПРИЛОЖЕНИЕ</w:t>
      </w:r>
      <w:r>
        <w:tab/>
      </w:r>
      <w:r>
        <w:fldChar w:fldCharType="begin"/>
      </w:r>
      <w:r>
        <w:instrText>PAGEREF __RefHeading___28 \h</w:instrText>
      </w:r>
      <w:r>
        <w:fldChar w:fldCharType="separate"/>
      </w:r>
      <w:r>
        <w:t>66</w:t>
      </w:r>
      <w:r>
        <w:fldChar w:fldCharType="end"/>
      </w:r>
      <w:r>
        <w:fldChar w:fldCharType="end"/>
      </w:r>
    </w:p>
    <w:p w14:paraId="A3000000">
      <w:pPr>
        <w:pStyle w:val="Style_6"/>
        <w:tabs>
          <w:tab w:leader="dot" w:pos="9355" w:val="right"/>
        </w:tabs>
        <w:ind/>
      </w:pPr>
      <w:r>
        <w:fldChar w:fldCharType="begin"/>
      </w:r>
      <w:r>
        <w:instrText>HYPERLINK \l "__RefHeading___29"</w:instrText>
      </w:r>
      <w:r>
        <w:fldChar w:fldCharType="separate"/>
      </w:r>
      <w:r>
        <w:t>Выпускная квалификационная работа выполнена мной совершенно самостоятельно. Все использованные в работе материалы и концепции из опубликованной литературы и других источников имеют ссылки на них. Выпускная квалификационная работа прошла проверку на корректность заимствования в системе «Думейт».</w:t>
      </w:r>
      <w:r>
        <w:tab/>
      </w:r>
      <w:r>
        <w:fldChar w:fldCharType="begin"/>
      </w:r>
      <w:r>
        <w:instrText>PAGEREF __RefHeading___29 \h</w:instrText>
      </w:r>
      <w:r>
        <w:fldChar w:fldCharType="separate"/>
      </w:r>
      <w:r>
        <w:t>67</w:t>
      </w:r>
      <w:r>
        <w:fldChar w:fldCharType="end"/>
      </w:r>
      <w:r>
        <w:fldChar w:fldCharType="end"/>
      </w:r>
    </w:p>
    <w:p w14:paraId="A4000000">
      <w:pPr>
        <w:pStyle w:val="Style_6"/>
        <w:tabs>
          <w:tab w:leader="dot" w:pos="9355" w:val="right"/>
        </w:tabs>
        <w:ind/>
      </w:pPr>
      <w:r>
        <w:fldChar w:fldCharType="begin"/>
      </w:r>
      <w:r>
        <w:instrText>HYPERLINK \l "__RefHeading___30"</w:instrText>
      </w:r>
      <w:r>
        <w:fldChar w:fldCharType="separate"/>
      </w:r>
      <w:r>
        <w:t>Настоящим подтверждаю, что даю разрешение Университету «Синергия» на размещение полного текста моей выпускной квалификационной работы и отзыва о работе в период ее подготовки в электронно-библиотечной системе Университета «Синергия».</w:t>
      </w:r>
      <w:r>
        <w:tab/>
      </w:r>
      <w:r>
        <w:fldChar w:fldCharType="begin"/>
      </w:r>
      <w:r>
        <w:instrText>PAGEREF __RefHeading___30 \h</w:instrText>
      </w:r>
      <w:r>
        <w:fldChar w:fldCharType="separate"/>
      </w:r>
      <w:r>
        <w:t>67</w:t>
      </w:r>
      <w:r>
        <w:fldChar w:fldCharType="end"/>
      </w:r>
      <w:r>
        <w:fldChar w:fldCharType="end"/>
      </w:r>
    </w:p>
    <w:p w14:paraId="A5000000">
      <w:pPr>
        <w:pStyle w:val="Style_6"/>
        <w:tabs>
          <w:tab w:leader="dot" w:pos="9355" w:val="right"/>
        </w:tabs>
        <w:ind/>
      </w:pPr>
      <w:r>
        <w:fldChar w:fldCharType="begin"/>
      </w:r>
      <w:r>
        <w:instrText>HYPERLINK \l "__RefHeading___31"</w:instrText>
      </w:r>
      <w:r>
        <w:fldChar w:fldCharType="separate"/>
      </w:r>
      <w:r>
        <w:t>(подпись)</w:t>
      </w:r>
      <w:r>
        <w:tab/>
      </w:r>
      <w:r>
        <w:fldChar w:fldCharType="begin"/>
      </w:r>
      <w:r>
        <w:instrText>PAGEREF __RefHeading___31 \h</w:instrText>
      </w:r>
      <w:r>
        <w:fldChar w:fldCharType="separate"/>
      </w:r>
      <w:r>
        <w:t>67</w:t>
      </w:r>
      <w:r>
        <w:fldChar w:fldCharType="end"/>
      </w:r>
      <w:r>
        <w:fldChar w:fldCharType="end"/>
      </w:r>
    </w:p>
    <w:p w14:paraId="A6000000">
      <w:pPr>
        <w:pStyle w:val="Style_6"/>
        <w:tabs>
          <w:tab w:leader="dot" w:pos="9355" w:val="right"/>
        </w:tabs>
        <w:ind/>
      </w:pPr>
      <w:r>
        <w:fldChar w:fldCharType="begin"/>
      </w:r>
      <w:r>
        <w:instrText>HYPERLINK \l "__RefHeading___32"</w:instrText>
      </w:r>
      <w:r>
        <w:fldChar w:fldCharType="separate"/>
      </w:r>
      <w:r>
        <w:t>(Фамилия И.О.)</w:t>
      </w:r>
      <w:r>
        <w:tab/>
      </w:r>
      <w:r>
        <w:fldChar w:fldCharType="begin"/>
      </w:r>
      <w:r>
        <w:instrText>PAGEREF __RefHeading___32 \h</w:instrText>
      </w:r>
      <w:r>
        <w:fldChar w:fldCharType="separate"/>
      </w:r>
      <w:r>
        <w:t>67</w:t>
      </w:r>
      <w:r>
        <w:fldChar w:fldCharType="end"/>
      </w:r>
      <w:r>
        <w:fldChar w:fldCharType="end"/>
      </w:r>
    </w:p>
    <w:p w14:paraId="A7000000">
      <w:pPr>
        <w:pStyle w:val="Style_6"/>
        <w:tabs>
          <w:tab w:leader="dot" w:pos="9355" w:val="right"/>
        </w:tabs>
        <w:ind/>
      </w:pPr>
      <w:r>
        <w:fldChar w:fldCharType="begin"/>
      </w:r>
      <w:r>
        <w:instrText>HYPERLINK \l "__RefHeading___33"</w:instrText>
      </w:r>
      <w:r>
        <w:fldChar w:fldCharType="separate"/>
      </w:r>
      <w:r>
        <w:t>«___» ______________ 20__ г.</w:t>
      </w:r>
      <w:r>
        <w:tab/>
      </w:r>
      <w:r>
        <w:fldChar w:fldCharType="begin"/>
      </w:r>
      <w:r>
        <w:instrText>PAGEREF __RefHeading___33 \h</w:instrText>
      </w:r>
      <w:r>
        <w:fldChar w:fldCharType="separate"/>
      </w:r>
      <w:r>
        <w:t>67</w:t>
      </w:r>
      <w:r>
        <w:fldChar w:fldCharType="end"/>
      </w:r>
      <w:r>
        <w:fldChar w:fldCharType="end"/>
      </w:r>
    </w:p>
    <w:p>
      <w:r>
        <w:fldChar w:fldCharType="end"/>
      </w:r>
    </w:p>
    <w:p w14:paraId="A9000000">
      <w:pPr>
        <w:rPr>
          <w:rFonts w:ascii="Times New Roman" w:hAnsi="Times New Roman"/>
          <w:b w:val="1"/>
          <w:color w:themeColor="text1" w:val="000000"/>
          <w:sz w:val="32"/>
        </w:rPr>
      </w:pPr>
      <w:bookmarkStart w:id="11" w:name="_GoBack"/>
      <w:bookmarkEnd w:id="11"/>
      <w:r>
        <w:rPr>
          <w:rFonts w:ascii="Times New Roman" w:hAnsi="Times New Roman"/>
          <w:b w:val="1"/>
          <w:color w:themeColor="text1" w:val="000000"/>
        </w:rPr>
        <w:br w:type="page"/>
      </w:r>
    </w:p>
    <w:p w14:paraId="AA000000">
      <w:bookmarkStart w:id="12" w:name="__RefHeading___11"/>
      <w:bookmarkEnd w:id="12"/>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ВВЕДЕНИЕ</w:t>
      </w:r>
    </w:p>
    <w:p w14:paraId="AB000000">
      <w:pPr>
        <w:spacing w:after="0" w:line="360" w:lineRule="auto"/>
        <w:ind w:firstLine="851" w:left="0"/>
        <w:jc w:val="both"/>
        <w:rPr>
          <w:sz w:val="28"/>
        </w:rPr>
      </w:pPr>
    </w:p>
    <w:p w14:paraId="AC000000">
      <w:pPr>
        <w:spacing w:after="0" w:line="360" w:lineRule="auto"/>
        <w:ind w:firstLine="851" w:left="0"/>
        <w:jc w:val="both"/>
        <w:rPr>
          <w:rFonts w:ascii="Times New Roman" w:hAnsi="Times New Roman"/>
          <w:sz w:val="28"/>
        </w:rPr>
      </w:pPr>
      <w:r>
        <w:rPr>
          <w:rFonts w:ascii="Times New Roman" w:hAnsi="Times New Roman"/>
          <w:b w:val="1"/>
          <w:sz w:val="28"/>
        </w:rPr>
        <w:t>Актуальность темы исследования</w:t>
      </w:r>
      <w:r>
        <w:rPr>
          <w:rFonts w:ascii="Times New Roman" w:hAnsi="Times New Roman"/>
          <w:sz w:val="28"/>
        </w:rPr>
        <w:t xml:space="preserve"> обусловлена возрастающей ролью института субсидиарной ответственности в системе гражданско-правовых средств защиты имущественных интересов участников гражданского оборота. Современное развитие экономических отношений сопровождается увеличением количества случаев несостоятельности (банкротства) юридических лиц, что приводит к невозможности удовлетворения требований кредиторов исключительно за счет имущества должника. В подобных ситуациях особое значение приобретает механизм привлечения к субсидиарной ответственности лиц, контролировавших деятельность организации и оказавших влияние на возникновение ее неплатежеспособности.</w:t>
      </w:r>
    </w:p>
    <w:p w14:paraId="AD000000">
      <w:pPr>
        <w:spacing w:after="0" w:line="360" w:lineRule="auto"/>
        <w:ind w:firstLine="851" w:left="0"/>
        <w:jc w:val="both"/>
        <w:rPr>
          <w:rFonts w:ascii="Times New Roman" w:hAnsi="Times New Roman"/>
          <w:sz w:val="28"/>
        </w:rPr>
      </w:pPr>
      <w:r>
        <w:rPr>
          <w:rFonts w:ascii="Times New Roman" w:hAnsi="Times New Roman"/>
          <w:sz w:val="28"/>
        </w:rPr>
        <w:t>За последние годы институт субсидиарной ответственности претерпел существенные изменения. Наиболее значимые преобразования связаны с развитием законодательства о несостоятельности (банкротстве), расширением круга лиц, которые могут быть признаны контролирующими должника, а также формированием единообразных подходов Верховного Суда Российской Федерации к вопросам распределения бремени доказывания, определения вины и причинно-следственной связи между действиями контролирующего лица и невозможностью исполнения обязательств перед кредиторами. Вместе с тем судебная практика свидетельствует о сохранении значительного количества спорных вопросов, связанных с квалификацией статуса контролирующего лица, пределами его ответственности и критериями оценки противоправного поведения.</w:t>
      </w:r>
    </w:p>
    <w:p w14:paraId="AE000000">
      <w:pPr>
        <w:spacing w:after="0" w:line="360" w:lineRule="auto"/>
        <w:ind w:firstLine="851" w:left="0"/>
        <w:jc w:val="both"/>
        <w:rPr>
          <w:rFonts w:ascii="Times New Roman" w:hAnsi="Times New Roman"/>
          <w:sz w:val="28"/>
        </w:rPr>
      </w:pPr>
      <w:r>
        <w:rPr>
          <w:rFonts w:ascii="Times New Roman" w:hAnsi="Times New Roman"/>
          <w:sz w:val="28"/>
        </w:rPr>
        <w:t xml:space="preserve">Особую актуальность исследуемая тема приобретает в условиях постоянного совершенствования правового регулирования </w:t>
      </w:r>
      <w:r>
        <w:rPr>
          <w:rFonts w:ascii="Times New Roman" w:hAnsi="Times New Roman"/>
          <w:sz w:val="28"/>
        </w:rPr>
        <w:t>банкротных</w:t>
      </w:r>
      <w:r>
        <w:rPr>
          <w:rFonts w:ascii="Times New Roman" w:hAnsi="Times New Roman"/>
          <w:sz w:val="28"/>
        </w:rPr>
        <w:t xml:space="preserve"> процедур. Законодатель стремится обеспечить баланс интересов кредиторов, должников и лиц, осуществляющих управление юридическими лицами. Однако неоднозначность отдельных положений законодательства и различия </w:t>
      </w:r>
      <w:r>
        <w:rPr>
          <w:rFonts w:ascii="Times New Roman" w:hAnsi="Times New Roman"/>
          <w:sz w:val="28"/>
        </w:rPr>
        <w:t>в судебной практике приводят к возникновению сложностей при применении норм о субсидиарной ответственности. В связи с этим исследование теоретических основ данного института и практики его применения представляет не только научный, но и существенный практический интерес.</w:t>
      </w:r>
    </w:p>
    <w:p w14:paraId="AF000000">
      <w:pPr>
        <w:spacing w:after="0" w:line="360" w:lineRule="auto"/>
        <w:ind w:firstLine="851" w:left="0"/>
        <w:jc w:val="both"/>
        <w:rPr>
          <w:rFonts w:ascii="Times New Roman" w:hAnsi="Times New Roman"/>
          <w:sz w:val="28"/>
        </w:rPr>
      </w:pPr>
      <w:r>
        <w:rPr>
          <w:rFonts w:ascii="Times New Roman" w:hAnsi="Times New Roman"/>
          <w:sz w:val="28"/>
        </w:rPr>
        <w:t>Практическая значимость исследования подтверждается использованием материалов деятельности общества с ограниченной ответственностью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В ходе подготовки выпускной квалификационной работы проведен анализ финансового состояния общества, особенностей его деятельности, а также судебной практики, связанной с привлечением контролирующих должника лиц к субсидиарной ответственности. Особое внимание уделено арбитражному делу, в рамках которого рассматривался вопрос о привлечении контролирующего лица к субсидиарной ответственности. Исследование данного судебного спора позволило выявить особенности оценки судами доказательств, необходимых для установления оснований ответственности, а также определить критерии, которыми руководствуются суды при разрешении подобных категорий дел.</w:t>
      </w:r>
    </w:p>
    <w:p w14:paraId="B0000000">
      <w:pPr>
        <w:spacing w:after="0" w:line="360" w:lineRule="auto"/>
        <w:ind w:firstLine="851" w:left="0"/>
        <w:jc w:val="both"/>
        <w:rPr>
          <w:rFonts w:ascii="Times New Roman" w:hAnsi="Times New Roman"/>
          <w:sz w:val="28"/>
        </w:rPr>
      </w:pPr>
      <w:r>
        <w:rPr>
          <w:rFonts w:ascii="Times New Roman" w:hAnsi="Times New Roman"/>
          <w:b w:val="1"/>
          <w:sz w:val="28"/>
        </w:rPr>
        <w:t>Степень научной разработанности темы</w:t>
      </w:r>
      <w:r>
        <w:rPr>
          <w:rFonts w:ascii="Times New Roman" w:hAnsi="Times New Roman"/>
          <w:sz w:val="28"/>
        </w:rPr>
        <w:t xml:space="preserve"> характеризуется наличием значительного числа исследований, посвященных вопросам гражданско-правовой ответственности, банкротства юридических лиц и правового положения контролирующих должника лиц. Существенный вклад в разработку проблематики внесли такие ученые, как </w:t>
      </w:r>
      <w:r>
        <w:rPr>
          <w:rFonts w:ascii="Times New Roman" w:hAnsi="Times New Roman"/>
          <w:sz w:val="28"/>
        </w:rPr>
        <w:t>М.И</w:t>
      </w:r>
      <w:r>
        <w:rPr>
          <w:rFonts w:ascii="Times New Roman" w:hAnsi="Times New Roman"/>
          <w:sz w:val="28"/>
        </w:rPr>
        <w:t xml:space="preserve">. Брагинский, </w:t>
      </w:r>
      <w:r>
        <w:rPr>
          <w:rFonts w:ascii="Times New Roman" w:hAnsi="Times New Roman"/>
          <w:sz w:val="28"/>
        </w:rPr>
        <w:t>В.В</w:t>
      </w:r>
      <w:r>
        <w:rPr>
          <w:rFonts w:ascii="Times New Roman" w:hAnsi="Times New Roman"/>
          <w:sz w:val="28"/>
        </w:rPr>
        <w:t xml:space="preserve">. </w:t>
      </w:r>
      <w:r>
        <w:rPr>
          <w:rFonts w:ascii="Times New Roman" w:hAnsi="Times New Roman"/>
          <w:sz w:val="28"/>
        </w:rPr>
        <w:t>Витрянский</w:t>
      </w:r>
      <w:r>
        <w:rPr>
          <w:rFonts w:ascii="Times New Roman" w:hAnsi="Times New Roman"/>
          <w:sz w:val="28"/>
        </w:rPr>
        <w:t xml:space="preserve">, </w:t>
      </w:r>
      <w:r>
        <w:rPr>
          <w:rFonts w:ascii="Times New Roman" w:hAnsi="Times New Roman"/>
          <w:sz w:val="28"/>
        </w:rPr>
        <w:t>Е.А</w:t>
      </w:r>
      <w:r>
        <w:rPr>
          <w:rFonts w:ascii="Times New Roman" w:hAnsi="Times New Roman"/>
          <w:sz w:val="28"/>
        </w:rPr>
        <w:t xml:space="preserve">. Суханов, </w:t>
      </w:r>
      <w:r>
        <w:rPr>
          <w:rFonts w:ascii="Times New Roman" w:hAnsi="Times New Roman"/>
          <w:sz w:val="28"/>
        </w:rPr>
        <w:t>В.Ф</w:t>
      </w:r>
      <w:r>
        <w:rPr>
          <w:rFonts w:ascii="Times New Roman" w:hAnsi="Times New Roman"/>
          <w:sz w:val="28"/>
        </w:rPr>
        <w:t xml:space="preserve">. Яковлев, </w:t>
      </w:r>
      <w:r>
        <w:rPr>
          <w:rFonts w:ascii="Times New Roman" w:hAnsi="Times New Roman"/>
          <w:sz w:val="28"/>
        </w:rPr>
        <w:t>А.Г</w:t>
      </w:r>
      <w:r>
        <w:rPr>
          <w:rFonts w:ascii="Times New Roman" w:hAnsi="Times New Roman"/>
          <w:sz w:val="28"/>
        </w:rPr>
        <w:t xml:space="preserve">. </w:t>
      </w:r>
      <w:r>
        <w:rPr>
          <w:rFonts w:ascii="Times New Roman" w:hAnsi="Times New Roman"/>
          <w:sz w:val="28"/>
        </w:rPr>
        <w:t>Карапетов</w:t>
      </w:r>
      <w:r>
        <w:rPr>
          <w:rFonts w:ascii="Times New Roman" w:hAnsi="Times New Roman"/>
          <w:sz w:val="28"/>
        </w:rPr>
        <w:t xml:space="preserve">, </w:t>
      </w:r>
      <w:r>
        <w:rPr>
          <w:rFonts w:ascii="Times New Roman" w:hAnsi="Times New Roman"/>
          <w:sz w:val="28"/>
        </w:rPr>
        <w:t>Д.В</w:t>
      </w:r>
      <w:r>
        <w:rPr>
          <w:rFonts w:ascii="Times New Roman" w:hAnsi="Times New Roman"/>
          <w:sz w:val="28"/>
        </w:rPr>
        <w:t xml:space="preserve">. Ломакин, </w:t>
      </w:r>
      <w:r>
        <w:rPr>
          <w:rFonts w:ascii="Times New Roman" w:hAnsi="Times New Roman"/>
          <w:sz w:val="28"/>
        </w:rPr>
        <w:t>А.В</w:t>
      </w:r>
      <w:r>
        <w:rPr>
          <w:rFonts w:ascii="Times New Roman" w:hAnsi="Times New Roman"/>
          <w:sz w:val="28"/>
        </w:rPr>
        <w:t>. Егоров и другие. Несмотря на наличие большого количества научных публикаций, продолжающееся развитие законодательства и судебной практики обусловливает необходимость дальнейшего комплексного исследования института субсидиарной ответственности.</w:t>
      </w:r>
    </w:p>
    <w:p w14:paraId="B1000000">
      <w:pPr>
        <w:spacing w:after="0" w:line="360" w:lineRule="auto"/>
        <w:ind w:firstLine="851" w:left="0"/>
        <w:jc w:val="both"/>
        <w:rPr>
          <w:rFonts w:ascii="Times New Roman" w:hAnsi="Times New Roman"/>
          <w:sz w:val="28"/>
        </w:rPr>
      </w:pPr>
      <w:r>
        <w:rPr>
          <w:rFonts w:ascii="Times New Roman" w:hAnsi="Times New Roman"/>
          <w:sz w:val="28"/>
        </w:rPr>
        <w:t xml:space="preserve">Субсидиарная ответственность является эффективным механизмом, способствующим стабилизации гражданских правоотношений, а также совершенствованию и развитию гражданского общества. Актуальность темы обусловлена тем, что круг субъектов, которые могут быть привлечены к такой </w:t>
      </w:r>
      <w:r>
        <w:rPr>
          <w:rFonts w:ascii="Times New Roman" w:hAnsi="Times New Roman"/>
          <w:sz w:val="28"/>
        </w:rPr>
        <w:t>ответственности, достаточно широк и может определяться не только на основании законодательных презумпций и прямых указаний, а на основании, релевантном для конкретного дела. Актуальность темы связана с введением новых законодательных положений и с вынесением соответствующих актов судебными органами Российской Федерации.</w:t>
      </w:r>
    </w:p>
    <w:p w14:paraId="B2000000">
      <w:pPr>
        <w:spacing w:after="0" w:line="360" w:lineRule="auto"/>
        <w:ind w:firstLine="851" w:left="0"/>
        <w:jc w:val="both"/>
        <w:rPr>
          <w:rFonts w:ascii="Times New Roman" w:hAnsi="Times New Roman"/>
          <w:sz w:val="28"/>
        </w:rPr>
      </w:pPr>
      <w:r>
        <w:rPr>
          <w:rFonts w:ascii="Times New Roman" w:hAnsi="Times New Roman"/>
          <w:b w:val="1"/>
          <w:sz w:val="28"/>
        </w:rPr>
        <w:t>Объектом исследования</w:t>
      </w:r>
      <w:r>
        <w:rPr>
          <w:rFonts w:ascii="Times New Roman" w:hAnsi="Times New Roman"/>
          <w:sz w:val="28"/>
        </w:rPr>
        <w:t xml:space="preserve"> будут являться общественные отношения, которые возникают, когда к субсидиарной ответственности привлекают контролирующих должника лиц (руководителей, учредителей, фактических бенефициаров). </w:t>
      </w:r>
    </w:p>
    <w:p w14:paraId="B3000000">
      <w:pPr>
        <w:spacing w:after="0" w:line="360" w:lineRule="auto"/>
        <w:ind w:firstLine="851" w:left="0"/>
        <w:jc w:val="both"/>
        <w:rPr>
          <w:rFonts w:ascii="Times New Roman" w:hAnsi="Times New Roman"/>
          <w:sz w:val="28"/>
        </w:rPr>
      </w:pPr>
      <w:r>
        <w:rPr>
          <w:rFonts w:ascii="Times New Roman" w:hAnsi="Times New Roman"/>
          <w:b w:val="1"/>
          <w:sz w:val="28"/>
        </w:rPr>
        <w:t>Предметом исследования</w:t>
      </w:r>
      <w:r>
        <w:rPr>
          <w:rFonts w:ascii="Times New Roman" w:hAnsi="Times New Roman"/>
          <w:sz w:val="28"/>
        </w:rPr>
        <w:t xml:space="preserve"> будут являться </w:t>
      </w:r>
      <w:r>
        <w:rPr>
          <w:rFonts w:ascii="Times New Roman" w:hAnsi="Times New Roman"/>
          <w:sz w:val="28"/>
        </w:rPr>
        <w:t>-</w:t>
      </w:r>
      <w:r>
        <w:rPr>
          <w:rFonts w:ascii="Times New Roman" w:hAnsi="Times New Roman"/>
          <w:sz w:val="28"/>
        </w:rPr>
        <w:t xml:space="preserve"> конкретные правовые нормы (в том числе в Законе о банкротстве), судебная практика (например, по делам о привлечении к ответственности при банкротстве) и </w:t>
      </w:r>
      <w:r>
        <w:rPr>
          <w:rFonts w:ascii="Times New Roman" w:hAnsi="Times New Roman"/>
          <w:sz w:val="28"/>
        </w:rPr>
        <w:t>цивилистическая</w:t>
      </w:r>
      <w:r>
        <w:rPr>
          <w:rFonts w:ascii="Times New Roman" w:hAnsi="Times New Roman"/>
          <w:sz w:val="28"/>
        </w:rPr>
        <w:t xml:space="preserve"> доктрина по этим вопросам.</w:t>
      </w:r>
    </w:p>
    <w:p w14:paraId="B4000000">
      <w:pPr>
        <w:spacing w:after="0" w:line="360" w:lineRule="auto"/>
        <w:ind w:firstLine="851" w:left="0"/>
        <w:jc w:val="both"/>
        <w:rPr>
          <w:rFonts w:ascii="Times New Roman" w:hAnsi="Times New Roman"/>
          <w:sz w:val="28"/>
        </w:rPr>
      </w:pPr>
      <w:r>
        <w:rPr>
          <w:rFonts w:ascii="Times New Roman" w:hAnsi="Times New Roman"/>
          <w:b w:val="1"/>
          <w:sz w:val="28"/>
        </w:rPr>
        <w:t>Целью исследования</w:t>
      </w:r>
      <w:r>
        <w:rPr>
          <w:rFonts w:ascii="Times New Roman" w:hAnsi="Times New Roman"/>
          <w:sz w:val="28"/>
        </w:rPr>
        <w:t xml:space="preserve"> является комплексный анализ института субсидиарной ответственности в гражданском праве, выявление теоретических и практических проблем его применения, исследование особенностей привлечения к субсидиарной ответственности контролирующих должника лиц и разработка предложений, направленных на совершенствование действующего законодательства и правоприменительной практики. </w:t>
      </w:r>
    </w:p>
    <w:p w14:paraId="B5000000">
      <w:pPr>
        <w:spacing w:after="0" w:line="360" w:lineRule="auto"/>
        <w:ind w:firstLine="851" w:left="0"/>
        <w:jc w:val="both"/>
        <w:rPr>
          <w:rFonts w:ascii="Times New Roman" w:hAnsi="Times New Roman"/>
          <w:sz w:val="28"/>
        </w:rPr>
      </w:pPr>
      <w:r>
        <w:rPr>
          <w:rFonts w:ascii="Times New Roman" w:hAnsi="Times New Roman"/>
          <w:sz w:val="28"/>
        </w:rPr>
        <w:t xml:space="preserve">Для достижения поставленной цели необходимо решить следующие </w:t>
      </w:r>
      <w:r>
        <w:rPr>
          <w:rFonts w:ascii="Times New Roman" w:hAnsi="Times New Roman"/>
          <w:b w:val="1"/>
          <w:sz w:val="28"/>
        </w:rPr>
        <w:t>задачи:</w:t>
      </w:r>
    </w:p>
    <w:p w14:paraId="B6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исследовать историю становления и развития института субсидиарной ответственности в отечественном гражданском праве; </w:t>
      </w:r>
    </w:p>
    <w:p w14:paraId="B7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определить понятие и раскрыть юридическую природу субсидиарной ответственности; </w:t>
      </w:r>
    </w:p>
    <w:p w14:paraId="B8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исследовать условия наступления, порядок применения и классификацию субсидиарной ответственности; </w:t>
      </w:r>
    </w:p>
    <w:p w14:paraId="B9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определить особенности субсидиарной ответственности контролирующих должника лиц при банкротстве; </w:t>
      </w:r>
    </w:p>
    <w:p w14:paraId="BA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проанализировать особенности привлечения к субсидиарной ответственности физических, юридических лиц и публично-правовых образований; </w:t>
      </w:r>
    </w:p>
    <w:p w14:paraId="BB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исследовать современную судебную практику по вопросам применения субсидиарной ответственности; </w:t>
      </w:r>
    </w:p>
    <w:p w14:paraId="BC000000">
      <w:pPr>
        <w:numPr>
          <w:ilvl w:val="0"/>
          <w:numId w:val="7"/>
        </w:numPr>
        <w:tabs>
          <w:tab w:leader="none" w:pos="720" w:val="clear"/>
          <w:tab w:leader="none" w:pos="1276" w:val="left"/>
        </w:tabs>
        <w:spacing w:after="0" w:line="360" w:lineRule="auto"/>
        <w:ind w:firstLine="851" w:left="0"/>
        <w:jc w:val="both"/>
        <w:rPr>
          <w:rFonts w:ascii="Times New Roman" w:hAnsi="Times New Roman"/>
          <w:sz w:val="28"/>
        </w:rPr>
      </w:pPr>
      <w:r>
        <w:rPr>
          <w:rFonts w:ascii="Times New Roman" w:hAnsi="Times New Roman"/>
          <w:sz w:val="28"/>
        </w:rPr>
        <w:t xml:space="preserve">выявить существующие проблемы правового регулирования и сформулировать предложения по их устранению. </w:t>
      </w:r>
    </w:p>
    <w:p w14:paraId="BD000000">
      <w:pPr>
        <w:spacing w:after="0" w:line="360" w:lineRule="auto"/>
        <w:ind w:firstLine="851" w:left="0"/>
        <w:jc w:val="both"/>
        <w:rPr>
          <w:rFonts w:ascii="Times New Roman" w:hAnsi="Times New Roman"/>
          <w:sz w:val="28"/>
        </w:rPr>
      </w:pPr>
      <w:r>
        <w:rPr>
          <w:rFonts w:ascii="Times New Roman" w:hAnsi="Times New Roman"/>
          <w:b w:val="1"/>
          <w:sz w:val="28"/>
        </w:rPr>
        <w:t>Методологическую основу исследования</w:t>
      </w:r>
      <w:r>
        <w:rPr>
          <w:rFonts w:ascii="Times New Roman" w:hAnsi="Times New Roman"/>
          <w:sz w:val="28"/>
        </w:rPr>
        <w:t xml:space="preserve"> составляют общенаучные и специальные методы познания. В работе использованы диалектический метод, методы анализа и синтеза, индукции и дедукции, системно-структурный, сравнительно-правовой, историко-правовой, формально-юридический, статистический методы, а также метод правового моделирования. Их применение позволило всесторонне исследовать особенности института субсидиарной ответственности и определить современные тенденции его развития. </w:t>
      </w:r>
    </w:p>
    <w:p w14:paraId="BE000000">
      <w:pPr>
        <w:spacing w:after="0" w:line="360" w:lineRule="auto"/>
        <w:ind w:firstLine="851" w:left="0"/>
        <w:jc w:val="both"/>
        <w:rPr>
          <w:rFonts w:ascii="Times New Roman" w:hAnsi="Times New Roman"/>
          <w:sz w:val="28"/>
        </w:rPr>
      </w:pPr>
      <w:r>
        <w:rPr>
          <w:rFonts w:ascii="Times New Roman" w:hAnsi="Times New Roman"/>
          <w:b w:val="1"/>
          <w:sz w:val="28"/>
        </w:rPr>
        <w:t>Нормативную основу исследования</w:t>
      </w:r>
      <w:r>
        <w:rPr>
          <w:rFonts w:ascii="Times New Roman" w:hAnsi="Times New Roman"/>
          <w:sz w:val="28"/>
        </w:rPr>
        <w:t xml:space="preserve"> составили Конституция Российской Федерации, Гражданский кодекс Российской Федерации, Федеральный закон от 26 октября 2002 г. № 127-ФЗ «О несостоятельности (банкротстве)», Арбитражный процессуальный кодекс Российской Федерации, постановления Пленума Верховного Суда Российской Федерации и иные нормативные правовые акты, регулирующие вопросы субсидиарной ответственности. </w:t>
      </w:r>
    </w:p>
    <w:p w14:paraId="BF000000">
      <w:pPr>
        <w:spacing w:after="0" w:line="360" w:lineRule="auto"/>
        <w:ind w:firstLine="851" w:left="0"/>
        <w:jc w:val="both"/>
        <w:rPr>
          <w:rFonts w:ascii="Times New Roman" w:hAnsi="Times New Roman"/>
          <w:sz w:val="28"/>
        </w:rPr>
      </w:pPr>
      <w:r>
        <w:rPr>
          <w:rFonts w:ascii="Times New Roman" w:hAnsi="Times New Roman"/>
          <w:b w:val="1"/>
          <w:sz w:val="28"/>
        </w:rPr>
        <w:t>Эмпирическую основу исследования</w:t>
      </w:r>
      <w:r>
        <w:rPr>
          <w:rFonts w:ascii="Times New Roman" w:hAnsi="Times New Roman"/>
          <w:sz w:val="28"/>
        </w:rPr>
        <w:t xml:space="preserve"> составили материалы судебной практики Верховного Суда Российской Федерации, арбитражных судов различных инстанций, в том числе судебные акты по делам о привлечении контролирующих должника лиц к субсидиарной ответственности, а также материалы, полученные при анализе деятельности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w:t>
      </w:r>
    </w:p>
    <w:p w14:paraId="C0000000">
      <w:pPr>
        <w:spacing w:after="0" w:line="360" w:lineRule="auto"/>
        <w:ind w:firstLine="851" w:left="0"/>
        <w:jc w:val="both"/>
        <w:rPr>
          <w:rFonts w:ascii="Times New Roman" w:hAnsi="Times New Roman"/>
          <w:sz w:val="28"/>
        </w:rPr>
      </w:pPr>
      <w:r>
        <w:rPr>
          <w:rFonts w:ascii="Times New Roman" w:hAnsi="Times New Roman"/>
          <w:b w:val="1"/>
          <w:sz w:val="28"/>
        </w:rPr>
        <w:t>Теоретическая и практическая значимость исследования</w:t>
      </w:r>
      <w:r>
        <w:rPr>
          <w:rFonts w:ascii="Times New Roman" w:hAnsi="Times New Roman"/>
          <w:sz w:val="28"/>
        </w:rPr>
        <w:t xml:space="preserve"> заключается в комплексном анализе современного состояния института субсидиарной ответственности, выявлении проблем правоприменительной </w:t>
      </w:r>
      <w:r>
        <w:rPr>
          <w:rFonts w:ascii="Times New Roman" w:hAnsi="Times New Roman"/>
          <w:sz w:val="28"/>
        </w:rPr>
        <w:t>практики и формулировании предложений, направленных на совершенствование механизма привлечения к субсидиарной ответственности контролирующих должника лиц. Полученные результаты могут быть использованы в научной деятельности, образовательном процессе, а также в практической работе юристов, арбитражных управляющих, представителей кредиторов и судов при рассмотрении споров, возникающих в сфере несостоятельности (банкротства).</w:t>
      </w:r>
    </w:p>
    <w:p w14:paraId="C1000000">
      <w:pPr>
        <w:spacing w:after="0" w:line="360" w:lineRule="auto"/>
        <w:ind w:firstLine="851" w:left="0"/>
        <w:jc w:val="both"/>
        <w:rPr>
          <w:rFonts w:ascii="Times New Roman" w:hAnsi="Times New Roman"/>
          <w:sz w:val="28"/>
        </w:rPr>
      </w:pPr>
      <w:r>
        <w:rPr>
          <w:rFonts w:ascii="Times New Roman" w:hAnsi="Times New Roman"/>
          <w:b w:val="1"/>
          <w:sz w:val="28"/>
        </w:rPr>
        <w:t>Структура работы</w:t>
      </w:r>
      <w:r>
        <w:rPr>
          <w:rFonts w:ascii="Times New Roman" w:hAnsi="Times New Roman"/>
          <w:sz w:val="28"/>
        </w:rPr>
        <w:t xml:space="preserve"> обусловлена целью и задачами исследования и включает введение, три главы, объединяющие восемь параграфов, заключение, библиографический список и приложения.</w:t>
      </w:r>
    </w:p>
    <w:p w14:paraId="C2000000"/>
    <w:p w14:paraId="C3000000">
      <w:pPr>
        <w:rPr>
          <w:rFonts w:ascii="Times New Roman" w:hAnsi="Times New Roman"/>
          <w:b w:val="1"/>
          <w:color w:themeColor="text1" w:val="000000"/>
          <w:sz w:val="32"/>
        </w:rPr>
      </w:pPr>
      <w:r>
        <w:rPr>
          <w:rFonts w:ascii="Times New Roman" w:hAnsi="Times New Roman"/>
          <w:b w:val="1"/>
          <w:color w:themeColor="text1" w:val="000000"/>
        </w:rPr>
        <w:br w:type="page"/>
      </w:r>
    </w:p>
    <w:p w14:paraId="C4000000">
      <w:bookmarkStart w:id="13" w:name="__RefHeading___12"/>
      <w:bookmarkEnd w:id="13"/>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ГЛАВА 1. ПОНЯТИЕ, ЮРИДИЧЕСКАЯ ПРИРОДА, УСЛОВИЯ НАСТУПЛЕНИЯ И ПОРЯДОК ПРИМЕНЕНИЯ СУБСИДИАРНОЙ ОТВЕТСТВЕННОСТИ</w:t>
      </w:r>
    </w:p>
    <w:p w14:paraId="C5000000">
      <w:bookmarkStart w:id="14" w:name="__RefHeading___13"/>
      <w:bookmarkEnd w:id="14"/>
      <w:pPr>
        <w:pStyle w:val="Style_7"/>
        <w:numPr>
          <w:ilvl w:val="1"/>
          <w:numId w:val="8"/>
        </w:numPr>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Развитие института субсидиарной ответственности в отечественном гражданском праве и ее значение</w:t>
      </w:r>
    </w:p>
    <w:p w14:paraId="C6000000">
      <w:pPr>
        <w:spacing w:after="0" w:line="360" w:lineRule="auto"/>
        <w:ind w:firstLine="851" w:left="0"/>
        <w:jc w:val="both"/>
        <w:rPr>
          <w:rFonts w:ascii="Times New Roman" w:hAnsi="Times New Roman"/>
          <w:sz w:val="28"/>
        </w:rPr>
      </w:pPr>
      <w:r>
        <w:rPr>
          <w:rFonts w:ascii="Times New Roman" w:hAnsi="Times New Roman"/>
          <w:sz w:val="28"/>
        </w:rPr>
        <w:t xml:space="preserve">Институт субсидиарной ответственности неразрывно связан с вопросом о том, при каких обстоятельствах на лицо может быть возложена обязанность исполнить обязательство за другого субъекта. Несмотря на </w:t>
      </w:r>
      <w:r>
        <w:rPr>
          <w:rFonts w:ascii="Times New Roman" w:hAnsi="Times New Roman"/>
          <w:sz w:val="28"/>
        </w:rPr>
        <w:t>то</w:t>
      </w:r>
      <w:r>
        <w:rPr>
          <w:rFonts w:ascii="Times New Roman" w:hAnsi="Times New Roman"/>
          <w:sz w:val="28"/>
        </w:rPr>
        <w:t xml:space="preserve"> что общие положения о субсидиарной ответственности закреплены в статье 399 Гражданского кодекса Российской Федерации, применение данного института на практике требует установления целого комплекса юридически значимых обстоятельств</w:t>
      </w:r>
      <w:r>
        <w:rPr>
          <w:rFonts w:ascii="Times New Roman" w:hAnsi="Times New Roman"/>
          <w:sz w:val="28"/>
        </w:rPr>
        <w:t xml:space="preserve">, что </w:t>
      </w:r>
      <w:r>
        <w:rPr>
          <w:rFonts w:ascii="Times New Roman" w:hAnsi="Times New Roman"/>
          <w:sz w:val="28"/>
        </w:rPr>
        <w:t>обусловлено тем, что субсидиарная ответственность всегда носит исключительный характер и не может применяться только на основании факта существования задолженности. Законодатель исходит из того, что первоначально обязательство должно быть исполнено основным должником, а обращение к дополнительному должнику допускается лишь при невозможности получить исполнение и при наличии прямо предусмотренных законом либо договором оснований. Такой подход позволяет сохранить баланс интересов всех участников гражданского оборота и исключить необоснованное возложение имущественной ответственности на третьих лиц</w:t>
      </w:r>
      <w:r>
        <w:rPr>
          <w:rStyle w:val="Style_8_ch"/>
          <w:rFonts w:ascii="Times New Roman" w:hAnsi="Times New Roman"/>
          <w:sz w:val="28"/>
        </w:rPr>
        <w:footnoteReference w:id="1"/>
      </w:r>
      <w:r>
        <w:rPr>
          <w:rFonts w:ascii="Times New Roman" w:hAnsi="Times New Roman"/>
          <w:sz w:val="28"/>
        </w:rPr>
        <w:t xml:space="preserve">. </w:t>
      </w:r>
    </w:p>
    <w:p w14:paraId="C7000000">
      <w:pPr>
        <w:spacing w:after="0" w:line="360" w:lineRule="auto"/>
        <w:ind w:firstLine="851" w:left="0"/>
        <w:jc w:val="both"/>
        <w:rPr>
          <w:rFonts w:ascii="Times New Roman" w:hAnsi="Times New Roman"/>
          <w:sz w:val="28"/>
        </w:rPr>
      </w:pPr>
      <w:r>
        <w:rPr>
          <w:rFonts w:ascii="Times New Roman" w:hAnsi="Times New Roman"/>
          <w:sz w:val="28"/>
        </w:rPr>
        <w:t xml:space="preserve">Одним из обязательных условий применения субсидиарной ответственности является существование основного обязательства. Если обязательство отсутствует либо прекратилось в установленном законом порядке, дополнительная ответственность также не возникает. Производный характер субсидиарной ответственности означает, что ее объем непосредственно зависит от объема основного обязательства. Дополнительный должник не может быть обязан исполнить больше, чем </w:t>
      </w:r>
      <w:r>
        <w:rPr>
          <w:rFonts w:ascii="Times New Roman" w:hAnsi="Times New Roman"/>
          <w:sz w:val="28"/>
        </w:rPr>
        <w:t>должен был основной должник, если иное прямо не предусмотрено законодательством. Именно поэтому прекращение основного обязательства одновременно исключает возможность дальнейшего существования субсидиарной ответственности. Данная особенность неоднократно подчеркивается как в научной литературе, так и в судебной практике</w:t>
      </w:r>
      <w:r>
        <w:rPr>
          <w:rStyle w:val="Style_8_ch"/>
          <w:rFonts w:ascii="Times New Roman" w:hAnsi="Times New Roman"/>
          <w:sz w:val="28"/>
        </w:rPr>
        <w:footnoteReference w:id="2"/>
      </w:r>
      <w:r>
        <w:rPr>
          <w:rFonts w:ascii="Times New Roman" w:hAnsi="Times New Roman"/>
          <w:sz w:val="28"/>
        </w:rPr>
        <w:t>.</w:t>
      </w:r>
    </w:p>
    <w:p w14:paraId="C8000000">
      <w:pPr>
        <w:spacing w:after="0" w:line="360" w:lineRule="auto"/>
        <w:ind w:firstLine="851" w:left="0"/>
        <w:jc w:val="both"/>
        <w:rPr>
          <w:rFonts w:ascii="Times New Roman" w:hAnsi="Times New Roman"/>
          <w:sz w:val="28"/>
        </w:rPr>
      </w:pPr>
      <w:r>
        <w:rPr>
          <w:rFonts w:ascii="Times New Roman" w:hAnsi="Times New Roman"/>
          <w:sz w:val="28"/>
        </w:rPr>
        <w:t xml:space="preserve">Следующим обязательным условием является предварительное обращение кредитора к основному должнику. В соответствии со статьей 399 Гражданского кодекса Российской Федерации кредитор вправе предъявить требования к дополнительному должнику только после того, как основной должник отказался исполнить обязательство либо не дал ответа на предъявленное требование в разумный срок. Такая последовательность обусловлена самой природой субсидиарной ответственности, поскольку дополнительный должник не заменяет основного, а лишь принимает участие в исполнении обязательства тогда, когда исполнение первоначальным должником становится невозможным или затруднительным. </w:t>
      </w:r>
    </w:p>
    <w:p w14:paraId="C9000000">
      <w:pPr>
        <w:spacing w:after="0" w:line="360" w:lineRule="auto"/>
        <w:ind w:firstLine="851" w:left="0"/>
        <w:jc w:val="both"/>
        <w:rPr>
          <w:rFonts w:ascii="Times New Roman" w:hAnsi="Times New Roman"/>
          <w:sz w:val="28"/>
        </w:rPr>
      </w:pPr>
      <w:r>
        <w:rPr>
          <w:rFonts w:ascii="Times New Roman" w:hAnsi="Times New Roman"/>
          <w:sz w:val="28"/>
        </w:rPr>
        <w:t>Особое место среди оснований возникновения субсидиарной ответственности занимает прямое указание закона. Во многих случаях законодатель самостоятельно определяет круг лиц, которые могут быть привлечены к дополнительной ответственности. Например, соответствующие положения содержатся в Гражданском кодексе Российской Федерации, Федеральном законе «О несостоятельности (банкротстве)», Федеральном законе «О сельскохозяйственной кооперации» и ряде иных нормативных актов. При этом каждое основание имеет собственную специфику и обусловлено особенностями регулируемых правоотношений</w:t>
      </w:r>
      <w:r>
        <w:rPr>
          <w:rStyle w:val="Style_8_ch"/>
          <w:rFonts w:ascii="Times New Roman" w:hAnsi="Times New Roman"/>
          <w:sz w:val="28"/>
        </w:rPr>
        <w:footnoteReference w:id="3"/>
      </w:r>
      <w:r>
        <w:rPr>
          <w:rFonts w:ascii="Times New Roman" w:hAnsi="Times New Roman"/>
          <w:sz w:val="28"/>
        </w:rPr>
        <w:t xml:space="preserve">. </w:t>
      </w:r>
    </w:p>
    <w:p w14:paraId="CA000000">
      <w:pPr>
        <w:spacing w:after="0" w:line="360" w:lineRule="auto"/>
        <w:ind w:firstLine="851" w:left="0"/>
        <w:jc w:val="both"/>
        <w:rPr>
          <w:rFonts w:ascii="Times New Roman" w:hAnsi="Times New Roman"/>
          <w:sz w:val="28"/>
        </w:rPr>
      </w:pPr>
      <w:r>
        <w:rPr>
          <w:rFonts w:ascii="Times New Roman" w:hAnsi="Times New Roman"/>
          <w:sz w:val="28"/>
        </w:rPr>
        <w:t xml:space="preserve">Наиболее активно институт субсидиарной ответственности применяется при рассмотрении дел о банкротстве юридических лиц. Именно в этой сфере он получил наиболее детальное законодательное регулирование </w:t>
      </w:r>
      <w:r>
        <w:rPr>
          <w:rFonts w:ascii="Times New Roman" w:hAnsi="Times New Roman"/>
          <w:sz w:val="28"/>
        </w:rPr>
        <w:t>и широкое практическое применение. Федеральный закон «О несостоятельности (банкротстве)» предусматривает возможность привлечения к ответственности контролирующих должника лиц, если их действия или бездействие привели к невозможности полного удовлетворения требований кредиторов. При этом законодатель не ограничивается только руководителем организации. Контролирующим лицом может быть признан любой субъект, который фактически определял действия должника, давал обязательные указания либо иным образом оказывал существенное влияние на принятие управленческих решений</w:t>
      </w:r>
      <w:r>
        <w:rPr>
          <w:rStyle w:val="Style_8_ch"/>
          <w:rFonts w:ascii="Times New Roman" w:hAnsi="Times New Roman"/>
          <w:sz w:val="28"/>
        </w:rPr>
        <w:footnoteReference w:id="4"/>
      </w:r>
      <w:r>
        <w:rPr>
          <w:rFonts w:ascii="Times New Roman" w:hAnsi="Times New Roman"/>
          <w:sz w:val="28"/>
        </w:rPr>
        <w:t xml:space="preserve">. </w:t>
      </w:r>
    </w:p>
    <w:p w14:paraId="CB000000">
      <w:pPr>
        <w:spacing w:after="0" w:line="360" w:lineRule="auto"/>
        <w:ind w:firstLine="851" w:left="0"/>
        <w:jc w:val="both"/>
        <w:rPr>
          <w:rFonts w:ascii="Times New Roman" w:hAnsi="Times New Roman"/>
          <w:sz w:val="28"/>
        </w:rPr>
      </w:pPr>
      <w:r>
        <w:rPr>
          <w:rFonts w:ascii="Times New Roman" w:hAnsi="Times New Roman"/>
          <w:sz w:val="28"/>
        </w:rPr>
        <w:t>Вместе с тем наличие статуса контролирующего лица само по себе не является достаточным основанием для привлечения к субсидиарной ответственности. Суд должен установить наличие противоправного поведения, причинно-следственной связи между действиями такого лица и возникшими последствиями, а также определить степень его вины. Именно совокупность этих условий позволяет сделать вывод о наличии оснований для применения дополнительных имущественных санкций. Такой подход соответствует общим принципам гражданского законодательства, согласно которым гражданско-правовая ответственность не может наступать без установления всех элементов состава гражданского правонарушения</w:t>
      </w:r>
      <w:r>
        <w:rPr>
          <w:rStyle w:val="Style_8_ch"/>
          <w:rFonts w:ascii="Times New Roman" w:hAnsi="Times New Roman"/>
          <w:sz w:val="28"/>
        </w:rPr>
        <w:footnoteReference w:id="5"/>
      </w:r>
      <w:r>
        <w:rPr>
          <w:rFonts w:ascii="Times New Roman" w:hAnsi="Times New Roman"/>
          <w:sz w:val="28"/>
        </w:rPr>
        <w:t>.</w:t>
      </w:r>
    </w:p>
    <w:p w14:paraId="CC000000">
      <w:pPr>
        <w:spacing w:after="0" w:line="360" w:lineRule="auto"/>
        <w:ind w:firstLine="851" w:left="0"/>
        <w:jc w:val="both"/>
        <w:rPr>
          <w:rFonts w:ascii="Times New Roman" w:hAnsi="Times New Roman"/>
          <w:sz w:val="28"/>
        </w:rPr>
      </w:pPr>
      <w:r>
        <w:rPr>
          <w:rFonts w:ascii="Times New Roman" w:hAnsi="Times New Roman"/>
          <w:sz w:val="28"/>
        </w:rPr>
        <w:t xml:space="preserve">В научной литературе неоднократно обращалось внимание на то, что одной из наиболее сложных проблем является установление причинно-следственной связи между действиями контролирующего лица и невозможностью исполнения обязательств должником. По мнению Д. В. </w:t>
      </w:r>
      <w:r>
        <w:rPr>
          <w:rFonts w:ascii="Times New Roman" w:hAnsi="Times New Roman"/>
          <w:sz w:val="28"/>
        </w:rPr>
        <w:t>Добрачева</w:t>
      </w:r>
      <w:r>
        <w:rPr>
          <w:rFonts w:ascii="Times New Roman" w:hAnsi="Times New Roman"/>
          <w:sz w:val="28"/>
        </w:rPr>
        <w:t xml:space="preserve">, именно вопросы доказывания становятся основной причиной возникновения судебных споров, поскольку далеко не всегда ухудшение финансового положения организации обусловлено исключительно действиями руководителя либо участника общества. Нередко банкротство </w:t>
      </w:r>
      <w:r>
        <w:rPr>
          <w:rFonts w:ascii="Times New Roman" w:hAnsi="Times New Roman"/>
          <w:sz w:val="28"/>
        </w:rPr>
        <w:t>становится следствием совокупности экономических факторов, изменения рыночной конъюнктуры, снижения спроса на продукцию или иных объективных обстоятельств. Поэтому суд обязан исследовать все доказательства в их взаимной связи и установить, действительно ли действия конкретного лица привели к невозможности расчетов с кредиторами</w:t>
      </w:r>
      <w:r>
        <w:rPr>
          <w:rStyle w:val="Style_8_ch"/>
          <w:rFonts w:ascii="Times New Roman" w:hAnsi="Times New Roman"/>
          <w:sz w:val="28"/>
        </w:rPr>
        <w:footnoteReference w:id="6"/>
      </w:r>
      <w:r>
        <w:rPr>
          <w:rFonts w:ascii="Times New Roman" w:hAnsi="Times New Roman"/>
          <w:sz w:val="28"/>
        </w:rPr>
        <w:t xml:space="preserve">. </w:t>
      </w:r>
    </w:p>
    <w:p w14:paraId="CD000000">
      <w:pPr>
        <w:spacing w:after="0" w:line="360" w:lineRule="auto"/>
        <w:ind w:firstLine="851" w:left="0"/>
        <w:jc w:val="both"/>
        <w:rPr>
          <w:rFonts w:ascii="Times New Roman" w:hAnsi="Times New Roman"/>
          <w:sz w:val="28"/>
        </w:rPr>
      </w:pPr>
      <w:r>
        <w:rPr>
          <w:rFonts w:ascii="Times New Roman" w:hAnsi="Times New Roman"/>
          <w:sz w:val="28"/>
        </w:rPr>
        <w:t>Сходной позиции придерживается Е. Д. Суворов, который отмечает, что субсидиарная ответственность при банкротстве не должна превращаться в универсальный механизм взыскания задолженности с руководителей организаций. По мнению автора, ее применение возможно только при доказанности недобросовестного или неразумного поведения контролирующего лица. В противном случае будет нарушен принцип справедливости гражданско-правовой ответственности, поскольку предпринимательская деятельность всегда связана с определенным экономическим риском, который сам по себе не свидетельствует о наличии противоправного поведения</w:t>
      </w:r>
      <w:r>
        <w:rPr>
          <w:rStyle w:val="Style_8_ch"/>
          <w:rFonts w:ascii="Times New Roman" w:hAnsi="Times New Roman"/>
          <w:sz w:val="28"/>
        </w:rPr>
        <w:footnoteReference w:id="7"/>
      </w:r>
      <w:r>
        <w:rPr>
          <w:rFonts w:ascii="Times New Roman" w:hAnsi="Times New Roman"/>
          <w:sz w:val="28"/>
        </w:rPr>
        <w:t xml:space="preserve">. </w:t>
      </w:r>
    </w:p>
    <w:p w14:paraId="CE000000">
      <w:pPr>
        <w:spacing w:after="0" w:line="360" w:lineRule="auto"/>
        <w:ind w:firstLine="851" w:left="0"/>
        <w:jc w:val="both"/>
        <w:rPr>
          <w:rFonts w:ascii="Times New Roman" w:hAnsi="Times New Roman"/>
          <w:sz w:val="28"/>
        </w:rPr>
      </w:pPr>
      <w:r>
        <w:rPr>
          <w:rFonts w:ascii="Times New Roman" w:hAnsi="Times New Roman"/>
          <w:sz w:val="28"/>
        </w:rPr>
        <w:t xml:space="preserve">Особое значение в современных условиях приобретает судебная практика. Именно она позволила сформировать единые подходы к определению оснований субсидиарной ответственности. Арбитражные суды исходят из того, что при рассмотрении подобных споров необходимо оценивать не только формальный статус ответчика, но и его фактическое влияние на деятельность организации. Суд исследует корпоративные документы, бухгалтерскую отчетность, сведения о движении денежных средств, характер совершаемых сделок, порядок принятия управленческих решений и иные доказательства, позволяющие установить действительную роль каждого участника корпоративных отношений. Такой подход исключает </w:t>
      </w:r>
      <w:r>
        <w:rPr>
          <w:rFonts w:ascii="Times New Roman" w:hAnsi="Times New Roman"/>
          <w:sz w:val="28"/>
        </w:rPr>
        <w:t>возможность формального привлечения к ответственности исключительно по признаку занимаемой должности</w:t>
      </w:r>
      <w:r>
        <w:rPr>
          <w:rStyle w:val="Style_8_ch"/>
          <w:rFonts w:ascii="Times New Roman" w:hAnsi="Times New Roman"/>
          <w:sz w:val="28"/>
        </w:rPr>
        <w:footnoteReference w:id="8"/>
      </w:r>
      <w:r>
        <w:rPr>
          <w:rFonts w:ascii="Times New Roman" w:hAnsi="Times New Roman"/>
          <w:sz w:val="28"/>
        </w:rPr>
        <w:t xml:space="preserve">. </w:t>
      </w:r>
    </w:p>
    <w:p w14:paraId="CF000000">
      <w:pPr>
        <w:spacing w:after="0" w:line="360" w:lineRule="auto"/>
        <w:ind w:firstLine="851" w:left="0"/>
        <w:jc w:val="both"/>
        <w:rPr>
          <w:rFonts w:ascii="Times New Roman" w:hAnsi="Times New Roman"/>
          <w:sz w:val="28"/>
        </w:rPr>
      </w:pPr>
      <w:r>
        <w:rPr>
          <w:rFonts w:ascii="Times New Roman" w:hAnsi="Times New Roman"/>
          <w:sz w:val="28"/>
        </w:rPr>
        <w:t>Следует отметить, что субсидиарная ответственность существенно отличается от иных видов гражданско-правовой ответственности. Прежде всего ее особенностью является дополнительный характер. Если при солидарной ответственности кредитор вправе самостоятельно определить, к кому предъявить требования, то при субсидиарной ответственности первоначально обязан отвечать основной должник. Лишь после подтверждения невозможности получения исполнения возникает право предъявления требований к дополнительному должнику. Именно эта особенность определяет самостоятельное место рассматриваемого института в системе гражданского права</w:t>
      </w:r>
      <w:r>
        <w:rPr>
          <w:rStyle w:val="Style_8_ch"/>
          <w:rFonts w:ascii="Times New Roman" w:hAnsi="Times New Roman"/>
          <w:sz w:val="28"/>
        </w:rPr>
        <w:footnoteReference w:id="9"/>
      </w:r>
      <w:r>
        <w:rPr>
          <w:rFonts w:ascii="Times New Roman" w:hAnsi="Times New Roman"/>
          <w:sz w:val="28"/>
        </w:rPr>
        <w:t xml:space="preserve">. </w:t>
      </w:r>
    </w:p>
    <w:p w14:paraId="D0000000">
      <w:pPr>
        <w:spacing w:after="0" w:line="360" w:lineRule="auto"/>
        <w:ind w:firstLine="851" w:left="0"/>
        <w:jc w:val="both"/>
        <w:rPr>
          <w:rFonts w:ascii="Times New Roman" w:hAnsi="Times New Roman"/>
          <w:sz w:val="28"/>
        </w:rPr>
      </w:pPr>
      <w:r>
        <w:rPr>
          <w:rFonts w:ascii="Times New Roman" w:hAnsi="Times New Roman"/>
          <w:sz w:val="28"/>
        </w:rPr>
        <w:t>Кроме того, субсидиарная ответственность выполняет не только компенсационную, но и предупредительную функцию. Осознание возможности привлечения к личной имущественной ответственности способствует более добросовестному поведению руководителей организаций, участников обществ и иных лиц, принимающих решения, влияющие на финансовое состояние юридического лица. В результате данный институт оказывает влияние не только на защиту прав кредиторов, но и на формирование ответственного поведения участников гражданского оборота в целом</w:t>
      </w:r>
      <w:r>
        <w:rPr>
          <w:rStyle w:val="Style_8_ch"/>
          <w:rFonts w:ascii="Times New Roman" w:hAnsi="Times New Roman"/>
          <w:sz w:val="28"/>
        </w:rPr>
        <w:footnoteReference w:id="10"/>
      </w:r>
      <w:r>
        <w:rPr>
          <w:rFonts w:ascii="Times New Roman" w:hAnsi="Times New Roman"/>
          <w:sz w:val="28"/>
        </w:rPr>
        <w:t xml:space="preserve">. </w:t>
      </w:r>
    </w:p>
    <w:p w14:paraId="D1000000">
      <w:pPr>
        <w:spacing w:after="0" w:line="360" w:lineRule="auto"/>
        <w:ind w:firstLine="851" w:left="0"/>
        <w:jc w:val="both"/>
        <w:rPr>
          <w:rFonts w:ascii="Times New Roman" w:hAnsi="Times New Roman"/>
          <w:sz w:val="28"/>
        </w:rPr>
      </w:pPr>
      <w:r>
        <w:rPr>
          <w:rFonts w:ascii="Times New Roman" w:hAnsi="Times New Roman"/>
          <w:sz w:val="28"/>
        </w:rPr>
        <w:t>В последние годы законодательство о субсидиарной ответственности продолжает развиваться</w:t>
      </w:r>
      <w:r>
        <w:rPr>
          <w:rFonts w:ascii="Times New Roman" w:hAnsi="Times New Roman"/>
          <w:sz w:val="28"/>
        </w:rPr>
        <w:t xml:space="preserve">, что </w:t>
      </w:r>
      <w:r>
        <w:rPr>
          <w:rFonts w:ascii="Times New Roman" w:hAnsi="Times New Roman"/>
          <w:sz w:val="28"/>
        </w:rPr>
        <w:t xml:space="preserve">обусловлено стремлением обеспечить эффективную защиту прав кредиторов и одновременно исключить случаи необоснованного привлечения к ответственности лиц, не причастных к </w:t>
      </w:r>
      <w:r>
        <w:rPr>
          <w:rFonts w:ascii="Times New Roman" w:hAnsi="Times New Roman"/>
          <w:sz w:val="28"/>
        </w:rPr>
        <w:t>возникновению неплатежеспособности должника. Современная судебная практика демонстрирует, что основное внимание уделяется не формальным признакам, а фактическим обстоятельствам дела. Суд оценивает действия каждого участника корпоративных отношений с точки зрения добросовестности, разумности и соответствия требованиям законодательства. Именно такой подход позволяет обеспечить справедливое применение института субсидиарной ответственности и сохранить баланс интересов всех участников гражданских правоотношений</w:t>
      </w:r>
      <w:r>
        <w:rPr>
          <w:rStyle w:val="Style_8_ch"/>
          <w:rFonts w:ascii="Times New Roman" w:hAnsi="Times New Roman"/>
          <w:sz w:val="28"/>
        </w:rPr>
        <w:footnoteReference w:id="11"/>
      </w:r>
      <w:r>
        <w:rPr>
          <w:rFonts w:ascii="Times New Roman" w:hAnsi="Times New Roman"/>
          <w:sz w:val="28"/>
        </w:rPr>
        <w:t xml:space="preserve">. </w:t>
      </w:r>
    </w:p>
    <w:p w14:paraId="D2000000">
      <w:pPr>
        <w:spacing w:after="0" w:line="360" w:lineRule="auto"/>
        <w:ind w:firstLine="851" w:left="0"/>
        <w:jc w:val="both"/>
        <w:rPr>
          <w:rFonts w:ascii="Times New Roman" w:hAnsi="Times New Roman"/>
          <w:sz w:val="28"/>
        </w:rPr>
      </w:pPr>
      <w:r>
        <w:rPr>
          <w:rFonts w:ascii="Times New Roman" w:hAnsi="Times New Roman"/>
          <w:sz w:val="28"/>
        </w:rPr>
        <w:t>Основания и условия применения субсидиарной ответственности представляют собой взаимосвязанную систему юридических фактов, наличие которых является обязательным для возложения дополнительной имущественной обязанности на соответствующее лицо. Современное законодательство и судебная практика исходят из того, что привлечение к субсидиарной ответственности допускается только при наличии достаточной совокупности доказательств, подтверждающих противоправность поведения, вину, причинно-следственную связь и невозможность удовлетворения требований кредиторов за счет имущества основного должника. Такой подход обеспечивает реализацию принципов законности, справедливости и добросовестности, лежащих в основе гражданского права, и способствует повышению устойчивости гражданского оборота.</w:t>
      </w:r>
    </w:p>
    <w:p w14:paraId="D3000000"/>
    <w:p w14:paraId="D4000000">
      <w:bookmarkStart w:id="15" w:name="__RefHeading___14"/>
      <w:bookmarkEnd w:id="15"/>
      <w:pPr>
        <w:pStyle w:val="Style_7"/>
        <w:numPr>
          <w:ilvl w:val="1"/>
          <w:numId w:val="8"/>
        </w:numPr>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Понятие и юридическая природа субсидиарной ответственности</w:t>
      </w:r>
    </w:p>
    <w:p w14:paraId="D5000000"/>
    <w:p w14:paraId="D6000000"/>
    <w:p w14:paraId="D7000000">
      <w:pPr>
        <w:spacing w:after="0" w:line="360" w:lineRule="auto"/>
        <w:ind w:firstLine="851" w:left="0"/>
        <w:jc w:val="both"/>
        <w:rPr>
          <w:rFonts w:ascii="Times New Roman" w:hAnsi="Times New Roman"/>
          <w:sz w:val="28"/>
        </w:rPr>
      </w:pPr>
      <w:r>
        <w:rPr>
          <w:rFonts w:ascii="Times New Roman" w:hAnsi="Times New Roman"/>
          <w:sz w:val="28"/>
        </w:rPr>
        <w:t xml:space="preserve">Развитие гражданского оборота неизбежно связано с необходимостью обеспечения надлежащего исполнения обязательств. В большинстве случаев должник самостоятельно отвечает перед кредитором принадлежащим ему </w:t>
      </w:r>
      <w:r>
        <w:rPr>
          <w:rFonts w:ascii="Times New Roman" w:hAnsi="Times New Roman"/>
          <w:sz w:val="28"/>
        </w:rPr>
        <w:t>имуществом, однако на практике нередко возникают ситуации, когда такого имущества оказывается недостаточно для удовлетворения требований. Именно в таких случаях законодатель предусматривает возможность возложения обязанности по исполнению обязательства на другое лицо, которое несет дополнительную, или субсидиарную, ответственность. Такой механизм позволяет обеспечить баланс интересов участников гражданских правоотношений, предотвратить злоупотребление правами и повысить уровень защиты кредиторов. Сегодня институт субсидиарной ответственности занимает особое место в системе гражданско-правовой ответственности, поскольку применяется не только в классических обязательственных отношениях, но и в корпоративной сфере, а также при рассмотрении дел о несостоятельности (банкротстве)</w:t>
      </w:r>
      <w:r>
        <w:rPr>
          <w:rStyle w:val="Style_8_ch"/>
          <w:rFonts w:ascii="Times New Roman" w:hAnsi="Times New Roman"/>
          <w:sz w:val="28"/>
        </w:rPr>
        <w:footnoteReference w:id="12"/>
      </w:r>
      <w:r>
        <w:rPr>
          <w:rFonts w:ascii="Times New Roman" w:hAnsi="Times New Roman"/>
          <w:sz w:val="28"/>
        </w:rPr>
        <w:t xml:space="preserve">. </w:t>
      </w:r>
    </w:p>
    <w:p w14:paraId="D8000000">
      <w:pPr>
        <w:spacing w:after="0" w:line="360" w:lineRule="auto"/>
        <w:ind w:firstLine="851" w:left="0"/>
        <w:jc w:val="both"/>
        <w:rPr>
          <w:rFonts w:ascii="Times New Roman" w:hAnsi="Times New Roman"/>
          <w:sz w:val="28"/>
        </w:rPr>
      </w:pPr>
      <w:r>
        <w:rPr>
          <w:rFonts w:ascii="Times New Roman" w:hAnsi="Times New Roman"/>
          <w:sz w:val="28"/>
        </w:rPr>
        <w:t>Понятие субсидиарной ответственности закреплено непосредственно в статье 399 Гражданского кодекса Российской Федерации. Закон исходит из того, что дополнительный должник отвечает лишь в том случае, если основной должник не исполнил обязательство либо кредитор не получил удовлетворения своих требований после предъявления соответствующего требования к основному должнику. Таким образом, субсидиарная ответственность не существует самостоятельно, а всегда связана с основным обязательством и носит производный характер. Она возникает лишь при наличии определенных условий, установленных законом или договором, и не может применяться произвольно</w:t>
      </w:r>
      <w:r>
        <w:rPr>
          <w:rStyle w:val="Style_8_ch"/>
          <w:rFonts w:ascii="Times New Roman" w:hAnsi="Times New Roman"/>
          <w:sz w:val="28"/>
        </w:rPr>
        <w:footnoteReference w:id="13"/>
      </w:r>
      <w:r>
        <w:rPr>
          <w:rFonts w:ascii="Times New Roman" w:hAnsi="Times New Roman"/>
          <w:sz w:val="28"/>
        </w:rPr>
        <w:t xml:space="preserve">. </w:t>
      </w:r>
    </w:p>
    <w:p w14:paraId="D9000000">
      <w:pPr>
        <w:spacing w:after="0" w:line="360" w:lineRule="auto"/>
        <w:ind w:firstLine="851" w:left="0"/>
        <w:jc w:val="both"/>
        <w:rPr>
          <w:rFonts w:ascii="Times New Roman" w:hAnsi="Times New Roman"/>
          <w:sz w:val="28"/>
        </w:rPr>
      </w:pPr>
      <w:r>
        <w:rPr>
          <w:rFonts w:ascii="Times New Roman" w:hAnsi="Times New Roman"/>
          <w:sz w:val="28"/>
        </w:rPr>
        <w:t>Несмотря на наличие законодательного определения, в юридической литературе до настоящего времени отсутствует единый подход к пониманию правовой природы субсидиарной ответственности</w:t>
      </w:r>
      <w:r>
        <w:rPr>
          <w:rFonts w:ascii="Times New Roman" w:hAnsi="Times New Roman"/>
          <w:sz w:val="28"/>
        </w:rPr>
        <w:t xml:space="preserve">, что </w:t>
      </w:r>
      <w:r>
        <w:rPr>
          <w:rFonts w:ascii="Times New Roman" w:hAnsi="Times New Roman"/>
          <w:sz w:val="28"/>
        </w:rPr>
        <w:t xml:space="preserve">связано с тем, что данный институт сочетает в себе признаки как гражданско-правовой ответственности, так и самостоятельного способа защиты имущественных </w:t>
      </w:r>
      <w:r>
        <w:rPr>
          <w:rFonts w:ascii="Times New Roman" w:hAnsi="Times New Roman"/>
          <w:sz w:val="28"/>
        </w:rPr>
        <w:t>интересов кредиторов. Одни авторы рассматривают ее исключительно как разновидность гражданско-правовой ответственности, поскольку она связана с наступлением неблагоприятных имущественных последствий для дополнительного должника. Другие полагают, что субсидиарная ответственность представляет собой особый механизм перераспределения риска неисполнения обязательства между несколькими лицами, а ее применение направлено прежде всего на восстановление нарушенных имущественных прав кредитора</w:t>
      </w:r>
      <w:r>
        <w:rPr>
          <w:rStyle w:val="Style_8_ch"/>
          <w:rFonts w:ascii="Times New Roman" w:hAnsi="Times New Roman"/>
          <w:sz w:val="28"/>
        </w:rPr>
        <w:footnoteReference w:id="14"/>
      </w:r>
      <w:r>
        <w:rPr>
          <w:rFonts w:ascii="Times New Roman" w:hAnsi="Times New Roman"/>
          <w:sz w:val="28"/>
        </w:rPr>
        <w:t xml:space="preserve">. </w:t>
      </w:r>
    </w:p>
    <w:p w14:paraId="DA000000">
      <w:pPr>
        <w:spacing w:after="0" w:line="360" w:lineRule="auto"/>
        <w:ind w:firstLine="851" w:left="0"/>
        <w:jc w:val="both"/>
        <w:rPr>
          <w:rFonts w:ascii="Times New Roman" w:hAnsi="Times New Roman"/>
          <w:sz w:val="28"/>
        </w:rPr>
      </w:pPr>
      <w:r>
        <w:rPr>
          <w:rFonts w:ascii="Times New Roman" w:hAnsi="Times New Roman"/>
          <w:sz w:val="28"/>
        </w:rPr>
        <w:t xml:space="preserve">Е. Е. Богданова отмечает, что основная особенность субсидиарной ответственности заключается в наличии двух субъектов исполнения обязательства </w:t>
      </w:r>
      <w:r>
        <w:rPr>
          <w:rFonts w:ascii="Times New Roman" w:hAnsi="Times New Roman"/>
          <w:sz w:val="28"/>
        </w:rPr>
        <w:t>-</w:t>
      </w:r>
      <w:r>
        <w:rPr>
          <w:rFonts w:ascii="Times New Roman" w:hAnsi="Times New Roman"/>
          <w:sz w:val="28"/>
        </w:rPr>
        <w:t xml:space="preserve"> основного и дополнительного должника. При этом обязанность дополнительного должника возникает только после того, как основной должник оказался неспособным исполнить свои обязательства в полном объеме. Именно такая конструкция отличает субсидиарную ответственность от солидарной, при которой кредитор вправе обратиться с требованием сразу к любому из должников</w:t>
      </w:r>
      <w:r>
        <w:rPr>
          <w:rStyle w:val="Style_8_ch"/>
          <w:rFonts w:ascii="Times New Roman" w:hAnsi="Times New Roman"/>
          <w:sz w:val="28"/>
        </w:rPr>
        <w:footnoteReference w:id="15"/>
      </w:r>
      <w:r>
        <w:rPr>
          <w:rFonts w:ascii="Times New Roman" w:hAnsi="Times New Roman"/>
          <w:sz w:val="28"/>
        </w:rPr>
        <w:t xml:space="preserve">. </w:t>
      </w:r>
    </w:p>
    <w:p w14:paraId="DB000000">
      <w:pPr>
        <w:spacing w:after="0" w:line="360" w:lineRule="auto"/>
        <w:ind w:firstLine="851" w:left="0"/>
        <w:jc w:val="both"/>
        <w:rPr>
          <w:rFonts w:ascii="Times New Roman" w:hAnsi="Times New Roman"/>
          <w:sz w:val="28"/>
        </w:rPr>
      </w:pPr>
      <w:r>
        <w:rPr>
          <w:rFonts w:ascii="Times New Roman" w:hAnsi="Times New Roman"/>
          <w:sz w:val="28"/>
        </w:rPr>
        <w:t>Аналогичную позицию занимает Е. В. Кротова, которая обращает внимание на производный характер данного института. По ее мнению, субсидиарная ответственность не может существовать вне основного обязательства, поскольку полностью зависит от его возникновения, содержания и прекращения. Автор подчеркивает, что дополнительный должник не становится новым участником обязательства, а лишь принимает на себя обязанность по его исполнению при наличии предусмотренных законом условий</w:t>
      </w:r>
      <w:r>
        <w:rPr>
          <w:rStyle w:val="Style_8_ch"/>
          <w:rFonts w:ascii="Times New Roman" w:hAnsi="Times New Roman"/>
          <w:sz w:val="28"/>
        </w:rPr>
        <w:footnoteReference w:id="16"/>
      </w:r>
      <w:r>
        <w:rPr>
          <w:rFonts w:ascii="Times New Roman" w:hAnsi="Times New Roman"/>
          <w:sz w:val="28"/>
        </w:rPr>
        <w:t xml:space="preserve">. </w:t>
      </w:r>
    </w:p>
    <w:p w14:paraId="DC000000">
      <w:pPr>
        <w:spacing w:after="0" w:line="360" w:lineRule="auto"/>
        <w:ind w:firstLine="851" w:left="0"/>
        <w:jc w:val="both"/>
        <w:rPr>
          <w:rFonts w:ascii="Times New Roman" w:hAnsi="Times New Roman"/>
          <w:sz w:val="28"/>
        </w:rPr>
      </w:pPr>
      <w:r>
        <w:rPr>
          <w:rFonts w:ascii="Times New Roman" w:hAnsi="Times New Roman"/>
          <w:sz w:val="28"/>
        </w:rPr>
        <w:t xml:space="preserve">В научной литературе справедливо отмечается, что субсидиарная ответственность выполняет одновременно несколько функций. Прежде всего </w:t>
      </w:r>
      <w:r>
        <w:rPr>
          <w:rFonts w:ascii="Times New Roman" w:hAnsi="Times New Roman"/>
          <w:sz w:val="28"/>
        </w:rPr>
        <w:t>она обеспечивает защиту имущественных интересов кредиторов, позволяя компенсировать убытки даже в случаях недостаточности имущества основного должника. Кроме того, она оказывает превентивное воздействие на лиц, принимающих управленческие решения, стимулируя их к добросовестному поведению и разумному осуществлению своих полномочий. Не менее важной является восстановительная функция, поскольку применение субсидиарной ответственности направлено на возмещение имущественных потерь, возникших вследствие неправомерных действий либо бездействия обязанных лиц</w:t>
      </w:r>
      <w:r>
        <w:rPr>
          <w:rStyle w:val="Style_8_ch"/>
          <w:rFonts w:ascii="Times New Roman" w:hAnsi="Times New Roman"/>
          <w:sz w:val="28"/>
        </w:rPr>
        <w:footnoteReference w:id="17"/>
      </w:r>
      <w:r>
        <w:rPr>
          <w:rFonts w:ascii="Times New Roman" w:hAnsi="Times New Roman"/>
          <w:sz w:val="28"/>
        </w:rPr>
        <w:t>.</w:t>
      </w:r>
    </w:p>
    <w:p w14:paraId="DD000000">
      <w:pPr>
        <w:spacing w:after="0" w:line="360" w:lineRule="auto"/>
        <w:ind w:firstLine="851" w:left="0"/>
        <w:jc w:val="both"/>
        <w:rPr>
          <w:rFonts w:ascii="Times New Roman" w:hAnsi="Times New Roman"/>
          <w:sz w:val="28"/>
        </w:rPr>
      </w:pPr>
      <w:r>
        <w:rPr>
          <w:rFonts w:ascii="Times New Roman" w:hAnsi="Times New Roman"/>
          <w:sz w:val="28"/>
        </w:rPr>
        <w:t>Следует отметить, что современное понимание института субсидиарной ответственности сформировалось не сразу. В российском дореволюционном законодательстве отдельные элементы дополнительной ответственности встречались в нормах, регулирующих деятельность торговых товариществ и иных объединений, однако самостоятельного правового регулирования данный институт не получил. В советский период гражданское законодательство исходило из принципа исключительной имущественной ответственности юридического лица по своим обязательствам, поэтому случаи возложения ответственности на иных лиц носили ограниченный характер и применялись только в прямо предусмотренных законом ситуациях</w:t>
      </w:r>
      <w:r>
        <w:rPr>
          <w:rStyle w:val="Style_8_ch"/>
          <w:rFonts w:ascii="Times New Roman" w:hAnsi="Times New Roman"/>
          <w:sz w:val="28"/>
        </w:rPr>
        <w:footnoteReference w:id="18"/>
      </w:r>
      <w:r>
        <w:rPr>
          <w:rFonts w:ascii="Times New Roman" w:hAnsi="Times New Roman"/>
          <w:sz w:val="28"/>
        </w:rPr>
        <w:t>.</w:t>
      </w:r>
    </w:p>
    <w:p w14:paraId="DE000000">
      <w:pPr>
        <w:spacing w:after="0" w:line="360" w:lineRule="auto"/>
        <w:ind w:firstLine="851" w:left="0"/>
        <w:jc w:val="both"/>
        <w:rPr>
          <w:rFonts w:ascii="Times New Roman" w:hAnsi="Times New Roman"/>
          <w:sz w:val="28"/>
        </w:rPr>
      </w:pPr>
      <w:r>
        <w:rPr>
          <w:rFonts w:ascii="Times New Roman" w:hAnsi="Times New Roman"/>
          <w:sz w:val="28"/>
        </w:rPr>
        <w:t xml:space="preserve">Наиболее существенные изменения произошли после принятия первой части Гражданского кодекса Российской Федерации в 1994 году. Именно тогда институт субсидиарной ответственности получил законодательное закрепление в качестве общего правила гражданского права. В дальнейшем развитие предпринимательской деятельности, усложнение корпоративных отношений и увеличение количества банкротств обусловили необходимость совершенствования правового регулирования. Постепенно законодатель </w:t>
      </w:r>
      <w:r>
        <w:rPr>
          <w:rFonts w:ascii="Times New Roman" w:hAnsi="Times New Roman"/>
          <w:sz w:val="28"/>
        </w:rPr>
        <w:t>расширял перечень случаев, при которых возможно возложение дополнительной ответственности, а судебная практика формировала критерии ее применения</w:t>
      </w:r>
      <w:r>
        <w:rPr>
          <w:rStyle w:val="Style_8_ch"/>
          <w:rFonts w:ascii="Times New Roman" w:hAnsi="Times New Roman"/>
          <w:sz w:val="28"/>
        </w:rPr>
        <w:footnoteReference w:id="19"/>
      </w:r>
      <w:r>
        <w:rPr>
          <w:rFonts w:ascii="Times New Roman" w:hAnsi="Times New Roman"/>
          <w:sz w:val="28"/>
        </w:rPr>
        <w:t xml:space="preserve">. </w:t>
      </w:r>
    </w:p>
    <w:p w14:paraId="DF000000">
      <w:pPr>
        <w:spacing w:after="0" w:line="360" w:lineRule="auto"/>
        <w:ind w:firstLine="851" w:left="0"/>
        <w:jc w:val="both"/>
        <w:rPr>
          <w:rFonts w:ascii="Times New Roman" w:hAnsi="Times New Roman"/>
          <w:sz w:val="28"/>
        </w:rPr>
      </w:pPr>
      <w:r>
        <w:rPr>
          <w:rFonts w:ascii="Times New Roman" w:hAnsi="Times New Roman"/>
          <w:sz w:val="28"/>
        </w:rPr>
        <w:t>Особое значение для развития рассматриваемого института имело реформирование законодательства о несостоятельности (банкротстве). Если первоначально субсидиарная ответственность применялась достаточно редко, то впоследствии она стала одним из наиболее эффективных способов защиты интересов кредиторов. Значительные изменения были внесены Федеральным законом «О несостоятельности (банкротстве)», который закрепил понятие контролирующего должника лица, определил основания привлечения таких лиц к ответственности и установил особенности распределения бремени доказывания. В результате субсидиарная ответственность перестала рассматриваться исключительно как дополнительная мера имущественного воздействия и превратилась в самостоятельный правовой механизм восстановления нарушенных прав кредиторов</w:t>
      </w:r>
      <w:r>
        <w:rPr>
          <w:rStyle w:val="Style_8_ch"/>
          <w:rFonts w:ascii="Times New Roman" w:hAnsi="Times New Roman"/>
          <w:sz w:val="28"/>
        </w:rPr>
        <w:footnoteReference w:id="20"/>
      </w:r>
      <w:r>
        <w:rPr>
          <w:rFonts w:ascii="Times New Roman" w:hAnsi="Times New Roman"/>
          <w:sz w:val="28"/>
        </w:rPr>
        <w:t>.</w:t>
      </w:r>
    </w:p>
    <w:p w14:paraId="E0000000">
      <w:pPr>
        <w:spacing w:after="0" w:line="360" w:lineRule="auto"/>
        <w:ind w:firstLine="851" w:left="0"/>
        <w:jc w:val="both"/>
        <w:rPr>
          <w:rFonts w:ascii="Times New Roman" w:hAnsi="Times New Roman"/>
          <w:sz w:val="28"/>
        </w:rPr>
      </w:pPr>
      <w:r>
        <w:rPr>
          <w:rFonts w:ascii="Times New Roman" w:hAnsi="Times New Roman"/>
          <w:sz w:val="28"/>
        </w:rPr>
        <w:t>Вопрос о юридической природе субсидиарной ответственности до сих пор остается предметом научной дискуссии. О. В. Гутников считает, что данный институт не следует отождествлять с классической гражданско-правовой ответственностью, поскольку во многих случаях обязанность дополнительного должника возникает не вследствие нарушения собственного обязательства, а в силу прямого указания закона. Вместе с тем имущественные последствия для такого лица полностью соответствуют признакам гражданско-правовой ответственности, поскольку выражаются в возложении дополнительной обязанности имущественного характера</w:t>
      </w:r>
      <w:r>
        <w:rPr>
          <w:rStyle w:val="Style_8_ch"/>
          <w:rFonts w:ascii="Times New Roman" w:hAnsi="Times New Roman"/>
          <w:sz w:val="28"/>
        </w:rPr>
        <w:footnoteReference w:id="21"/>
      </w:r>
      <w:r>
        <w:rPr>
          <w:rFonts w:ascii="Times New Roman" w:hAnsi="Times New Roman"/>
          <w:sz w:val="28"/>
        </w:rPr>
        <w:t xml:space="preserve">. </w:t>
      </w:r>
    </w:p>
    <w:p w14:paraId="E1000000">
      <w:pPr>
        <w:spacing w:after="0" w:line="360" w:lineRule="auto"/>
        <w:ind w:firstLine="851" w:left="0"/>
        <w:jc w:val="both"/>
        <w:rPr>
          <w:rFonts w:ascii="Times New Roman" w:hAnsi="Times New Roman"/>
          <w:sz w:val="28"/>
        </w:rPr>
      </w:pPr>
      <w:r>
        <w:rPr>
          <w:rFonts w:ascii="Times New Roman" w:hAnsi="Times New Roman"/>
          <w:sz w:val="28"/>
        </w:rPr>
        <w:t xml:space="preserve">Несколько иной позиции придерживаются С. Н. </w:t>
      </w:r>
      <w:r>
        <w:rPr>
          <w:rFonts w:ascii="Times New Roman" w:hAnsi="Times New Roman"/>
          <w:sz w:val="28"/>
        </w:rPr>
        <w:t>Белясов</w:t>
      </w:r>
      <w:r>
        <w:rPr>
          <w:rFonts w:ascii="Times New Roman" w:hAnsi="Times New Roman"/>
          <w:sz w:val="28"/>
        </w:rPr>
        <w:t xml:space="preserve"> и </w:t>
      </w:r>
      <w:r>
        <w:rPr>
          <w:rFonts w:ascii="Times New Roman" w:hAnsi="Times New Roman"/>
          <w:sz w:val="28"/>
        </w:rPr>
        <w:t>И</w:t>
      </w:r>
      <w:r>
        <w:rPr>
          <w:rFonts w:ascii="Times New Roman" w:hAnsi="Times New Roman"/>
          <w:sz w:val="28"/>
        </w:rPr>
        <w:t xml:space="preserve">. В. Щербинина. По их мнению, особенно ярко специфика субсидиарной </w:t>
      </w:r>
      <w:r>
        <w:rPr>
          <w:rFonts w:ascii="Times New Roman" w:hAnsi="Times New Roman"/>
          <w:sz w:val="28"/>
        </w:rPr>
        <w:t>ответственности проявляется при банкротстве юридических лиц, где она выступает самостоятельным способом защиты интересов кредиторов. Авторы обращают внимание на то, что ответственность контролирующих должника лиц основывается не только на факте причинения вреда, но и на нарушении обязанности действовать добросовестно и разумно при управлении организацией. Такой подход позволяет учитывать реальные обстоятельства каждого дела и исключает формальное привлечение к ответственности только по признаку занимаемой должности</w:t>
      </w:r>
      <w:r>
        <w:rPr>
          <w:rStyle w:val="Style_8_ch"/>
          <w:rFonts w:ascii="Times New Roman" w:hAnsi="Times New Roman"/>
          <w:sz w:val="28"/>
        </w:rPr>
        <w:footnoteReference w:id="22"/>
      </w:r>
      <w:r>
        <w:rPr>
          <w:rFonts w:ascii="Times New Roman" w:hAnsi="Times New Roman"/>
          <w:sz w:val="28"/>
        </w:rPr>
        <w:t xml:space="preserve">. </w:t>
      </w:r>
    </w:p>
    <w:p w14:paraId="E2000000">
      <w:pPr>
        <w:spacing w:after="0" w:line="360" w:lineRule="auto"/>
        <w:ind w:firstLine="851" w:left="0"/>
        <w:jc w:val="both"/>
        <w:rPr>
          <w:rFonts w:ascii="Times New Roman" w:hAnsi="Times New Roman"/>
          <w:sz w:val="28"/>
        </w:rPr>
      </w:pPr>
      <w:r>
        <w:rPr>
          <w:rFonts w:ascii="Times New Roman" w:hAnsi="Times New Roman"/>
          <w:sz w:val="28"/>
        </w:rPr>
        <w:t>В последние годы значение института субсидиарной ответственности заметно возросло</w:t>
      </w:r>
      <w:r>
        <w:rPr>
          <w:rFonts w:ascii="Times New Roman" w:hAnsi="Times New Roman"/>
          <w:sz w:val="28"/>
        </w:rPr>
        <w:t xml:space="preserve">, что </w:t>
      </w:r>
      <w:r>
        <w:rPr>
          <w:rFonts w:ascii="Times New Roman" w:hAnsi="Times New Roman"/>
          <w:sz w:val="28"/>
        </w:rPr>
        <w:t>объясняется тем, что суды все чаще сталкиваются со случаями недобросовестного вывода активов, создания фиктивной задолженности, сокрытия бухгалтерской документации и иных действий, препятствующих удовлетворению требований кредиторов. Вместе с тем судебная практика показывает, что сам факт руководства организацией или участия в ее капитале еще не означает автоматического привлечения к ответственности. Для этого необходимо установить совокупность юридически значимых обстоятельств: наличие статуса контролирующего лица, противоправность поведения, причинно-следственную связь между действиями такого лица и невозможностью исполнения обязательств, а также наличие вины. Именно такой подход обеспечивает соблюдение принципов справедливости и правовой определенности</w:t>
      </w:r>
      <w:r>
        <w:rPr>
          <w:rStyle w:val="Style_8_ch"/>
          <w:rFonts w:ascii="Times New Roman" w:hAnsi="Times New Roman"/>
          <w:sz w:val="28"/>
        </w:rPr>
        <w:footnoteReference w:id="23"/>
      </w:r>
      <w:r>
        <w:rPr>
          <w:rFonts w:ascii="Times New Roman" w:hAnsi="Times New Roman"/>
          <w:sz w:val="28"/>
        </w:rPr>
        <w:t xml:space="preserve">. </w:t>
      </w:r>
    </w:p>
    <w:p w14:paraId="E3000000">
      <w:pPr>
        <w:spacing w:after="0" w:line="360" w:lineRule="auto"/>
        <w:ind w:firstLine="851" w:left="0"/>
        <w:jc w:val="both"/>
        <w:rPr>
          <w:rFonts w:ascii="Times New Roman" w:hAnsi="Times New Roman"/>
          <w:sz w:val="28"/>
        </w:rPr>
      </w:pPr>
      <w:r>
        <w:rPr>
          <w:rFonts w:ascii="Times New Roman" w:hAnsi="Times New Roman"/>
          <w:sz w:val="28"/>
        </w:rPr>
        <w:t xml:space="preserve">Проведенный анализ позволяет сделать вывод, что субсидиарная ответственность представляет собой самостоятельный институт гражданского права, основанный на принципе дополнительного исполнения обязательства другим лицом при недостаточности имущества основного должника. Ее современное содержание сформировалось под влиянием развития </w:t>
      </w:r>
      <w:r>
        <w:rPr>
          <w:rFonts w:ascii="Times New Roman" w:hAnsi="Times New Roman"/>
          <w:sz w:val="28"/>
        </w:rPr>
        <w:t xml:space="preserve">гражданского законодательства, корпоративного права и законодательства о банкротстве. Сегодня данный институт выполняет не только компенсационную функцию, обеспечивая защиту имущественных интересов кредиторов, но и способствует предупреждению недобросовестного поведения участников гражданского оборота. Именно поэтому дальнейшее исследование условий возникновения субсидиарной ответственности, особенностей ее применения и существующих проблем правового регулирования имеет существенное значение как для теории гражданского права, так и для современной правоприменительной практики. </w:t>
      </w:r>
    </w:p>
    <w:p w14:paraId="E4000000"/>
    <w:p w14:paraId="E5000000">
      <w:bookmarkStart w:id="16" w:name="__RefHeading___15"/>
      <w:bookmarkEnd w:id="16"/>
      <w:pPr>
        <w:pStyle w:val="Style_7"/>
        <w:numPr>
          <w:ilvl w:val="1"/>
          <w:numId w:val="8"/>
        </w:numPr>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Условия наступления и порядок применения субсидиарной ответственности</w:t>
      </w:r>
    </w:p>
    <w:p w14:paraId="E6000000">
      <w:pPr>
        <w:spacing w:after="0" w:line="360" w:lineRule="auto"/>
        <w:ind w:firstLine="851" w:left="0"/>
        <w:jc w:val="both"/>
        <w:rPr>
          <w:rFonts w:ascii="Times New Roman" w:hAnsi="Times New Roman"/>
          <w:sz w:val="28"/>
        </w:rPr>
      </w:pPr>
      <w:r>
        <w:rPr>
          <w:rFonts w:ascii="Times New Roman" w:hAnsi="Times New Roman"/>
          <w:sz w:val="28"/>
        </w:rPr>
        <w:t>Субсидиарная ответственность относится к числу специальных механизмов защиты гражданских прав, применение которого допускается только при наличии предусмотренных законом или договором оснований. В отличие от иных видов гражданско-правовой ответственности она не возникает автоматически с момента нарушения обязательства, поскольку первоначальная обязанность по его исполнению всегда возлагается на основного должника. Лишь в случае невозможности получения исполнения от него кредитор приобретает право обратиться к дополнительному должнику. Такой подход позволяет сохранить баланс интересов всех участников гражданского оборота и исключить необоснованное возложение имущественных обязанностей на лиц, которые первоначально не являлись стороной обязательства. Именно поэтому законодатель устанавливает особые условия возникновения субсидиарной ответственности и определяет специальный порядок ее реализации</w:t>
      </w:r>
      <w:r>
        <w:rPr>
          <w:rStyle w:val="Style_8_ch"/>
          <w:rFonts w:ascii="Times New Roman" w:hAnsi="Times New Roman"/>
          <w:sz w:val="28"/>
        </w:rPr>
        <w:footnoteReference w:id="24"/>
      </w:r>
      <w:r>
        <w:rPr>
          <w:rFonts w:ascii="Times New Roman" w:hAnsi="Times New Roman"/>
          <w:sz w:val="28"/>
        </w:rPr>
        <w:t xml:space="preserve">. </w:t>
      </w:r>
    </w:p>
    <w:p w14:paraId="E7000000">
      <w:pPr>
        <w:spacing w:after="0" w:line="360" w:lineRule="auto"/>
        <w:ind w:firstLine="851" w:left="0"/>
        <w:jc w:val="both"/>
        <w:rPr>
          <w:rFonts w:ascii="Times New Roman" w:hAnsi="Times New Roman"/>
          <w:sz w:val="28"/>
        </w:rPr>
      </w:pPr>
      <w:r>
        <w:rPr>
          <w:rFonts w:ascii="Times New Roman" w:hAnsi="Times New Roman"/>
          <w:sz w:val="28"/>
        </w:rPr>
        <w:t>Общие правила применения субсидиарной ответственности закреплены в статье 399 Гражданского кодекса Российской Федерации. Согласно данной норме кредитор вправе предъявить требование к лицу, несущему субсидиарную ответственность, только после обращения к основному должнику. Если основной должник отказался удовлетворить предъявленные требования либо не дал ответа в разумный срок, кредитор получает возможность обратиться к дополнительному должнику. Законодатель тем самым подчеркивает дополнительный характер рассматриваемого института и исключает возможность предъявления требований к субсидиарному должнику без соблюдения установленной законом последовательности. [7]</w:t>
      </w:r>
    </w:p>
    <w:p w14:paraId="E8000000">
      <w:pPr>
        <w:spacing w:after="0" w:line="360" w:lineRule="auto"/>
        <w:ind w:firstLine="851" w:left="0"/>
        <w:jc w:val="both"/>
        <w:rPr>
          <w:rFonts w:ascii="Times New Roman" w:hAnsi="Times New Roman"/>
          <w:sz w:val="28"/>
        </w:rPr>
      </w:pPr>
      <w:r>
        <w:rPr>
          <w:rFonts w:ascii="Times New Roman" w:hAnsi="Times New Roman"/>
          <w:sz w:val="28"/>
        </w:rPr>
        <w:t>Первым обязательным условием наступления субсидиарной ответственности является наличие действующего основного обязательства. Дополнительная ответственность всегда зависит от существования основного обязательства и не может возникнуть самостоятельно. Если обязательство прекращено вследствие его надлежащего исполнения, зачета, прощения долга либо по иным основаниям, предусмотренным гражданским законодательством, прекращается и возможность применения субсидиарной ответственности. Производный характер данного института неоднократно отмечается в научной литературе, где подчеркивается, что дополнительный должник не приобретает самостоятельной обязанности перед кредитором, а лишь принимает участие в исполнении уже существующего обязательства при наличии специальных условий</w:t>
      </w:r>
      <w:r>
        <w:rPr>
          <w:rStyle w:val="Style_8_ch"/>
          <w:rFonts w:ascii="Times New Roman" w:hAnsi="Times New Roman"/>
          <w:sz w:val="28"/>
        </w:rPr>
        <w:footnoteReference w:id="25"/>
      </w:r>
      <w:r>
        <w:rPr>
          <w:rFonts w:ascii="Times New Roman" w:hAnsi="Times New Roman"/>
          <w:sz w:val="28"/>
        </w:rPr>
        <w:t xml:space="preserve">. </w:t>
      </w:r>
    </w:p>
    <w:p w14:paraId="E9000000">
      <w:pPr>
        <w:spacing w:after="0" w:line="360" w:lineRule="auto"/>
        <w:ind w:firstLine="851" w:left="0"/>
        <w:jc w:val="both"/>
        <w:rPr>
          <w:rFonts w:ascii="Times New Roman" w:hAnsi="Times New Roman"/>
          <w:sz w:val="28"/>
        </w:rPr>
      </w:pPr>
      <w:r>
        <w:rPr>
          <w:rFonts w:ascii="Times New Roman" w:hAnsi="Times New Roman"/>
          <w:sz w:val="28"/>
        </w:rPr>
        <w:t xml:space="preserve">Вторым обязательным условием является недостаточность исполнения со стороны основного должника. При этом речь идет не только о полном отказе от исполнения обязательства. Основанием для обращения к субсидиарному должнику может быть и ситуация, когда основной должник объективно не способен удовлетворить требования кредитора полностью либо </w:t>
      </w:r>
      <w:r>
        <w:rPr>
          <w:rFonts w:ascii="Times New Roman" w:hAnsi="Times New Roman"/>
          <w:sz w:val="28"/>
        </w:rPr>
        <w:t>исполняет обязательство лишь частично. Именно невозможность получения полного исполнения становится юридическим фактом, открывающим возможность применения дополнительной ответственности. Такой механизм направлен прежде всего на защиту имущественных интересов кредитора, который не должен нести негативные последствия вследствие отсутствия у должника необходимого имущества или денежных средств</w:t>
      </w:r>
      <w:r>
        <w:rPr>
          <w:rStyle w:val="Style_8_ch"/>
          <w:rFonts w:ascii="Times New Roman" w:hAnsi="Times New Roman"/>
          <w:sz w:val="28"/>
        </w:rPr>
        <w:footnoteReference w:id="26"/>
      </w:r>
      <w:r>
        <w:rPr>
          <w:rFonts w:ascii="Times New Roman" w:hAnsi="Times New Roman"/>
          <w:sz w:val="28"/>
        </w:rPr>
        <w:t>.</w:t>
      </w:r>
    </w:p>
    <w:p w14:paraId="EA000000">
      <w:pPr>
        <w:spacing w:after="0" w:line="360" w:lineRule="auto"/>
        <w:ind w:firstLine="851" w:left="0"/>
        <w:jc w:val="both"/>
        <w:rPr>
          <w:rFonts w:ascii="Times New Roman" w:hAnsi="Times New Roman"/>
          <w:sz w:val="28"/>
        </w:rPr>
      </w:pPr>
      <w:r>
        <w:rPr>
          <w:rFonts w:ascii="Times New Roman" w:hAnsi="Times New Roman"/>
          <w:sz w:val="28"/>
        </w:rPr>
        <w:t>Следующим условием выступает наличие правового основания для возникновения самой субсидиарной ответственности. Такое основание может быть предусмотрено законом либо соглашением сторон. Наиболее распространенными являются случаи, прямо закрепленные в Гражданском кодексе Российской Федерации и специальных федеральных законах. Например, дополнительная ответственность устанавливается в отношении участников отдельных организационно-правовых форм юридических лиц, членов производственных и сельскохозяйственных кооперативов, собственников имущества отдельных организаций, а также в иных случаях, прямо предусмотренных законодательством. Возможность установления субсидиарной ответственности соглашением сторон также допускается гражданским законодательством, если это не противоречит его императивным нормам</w:t>
      </w:r>
      <w:r>
        <w:rPr>
          <w:rStyle w:val="Style_8_ch"/>
          <w:rFonts w:ascii="Times New Roman" w:hAnsi="Times New Roman"/>
          <w:sz w:val="28"/>
        </w:rPr>
        <w:footnoteReference w:id="27"/>
      </w:r>
      <w:r>
        <w:rPr>
          <w:rFonts w:ascii="Times New Roman" w:hAnsi="Times New Roman"/>
          <w:sz w:val="28"/>
        </w:rPr>
        <w:t xml:space="preserve">. </w:t>
      </w:r>
    </w:p>
    <w:p w14:paraId="EB000000">
      <w:pPr>
        <w:spacing w:after="0" w:line="360" w:lineRule="auto"/>
        <w:ind w:firstLine="851" w:left="0"/>
        <w:jc w:val="both"/>
        <w:rPr>
          <w:rFonts w:ascii="Times New Roman" w:hAnsi="Times New Roman"/>
          <w:sz w:val="28"/>
        </w:rPr>
      </w:pPr>
      <w:r>
        <w:rPr>
          <w:rFonts w:ascii="Times New Roman" w:hAnsi="Times New Roman"/>
          <w:sz w:val="28"/>
        </w:rPr>
        <w:t xml:space="preserve">Особое внимание в юридической литературе уделяется вопросу о соотношении субсидиарной ответственности и вины лица, на которое она возлагается. В большинстве случаев применение мер гражданско-правовой ответственности предполагает наличие противоправного поведения и вины должника. Вместе с тем особенности отдельных видов субсидиарной ответственности определяются специальными нормами законодательства, которые могут устанавливать иной порядок распределения бремени </w:t>
      </w:r>
      <w:r>
        <w:rPr>
          <w:rFonts w:ascii="Times New Roman" w:hAnsi="Times New Roman"/>
          <w:sz w:val="28"/>
        </w:rPr>
        <w:t xml:space="preserve">доказывания либо предусматривать специальные основания освобождения от ответственности. Именно поэтому при разрешении каждого конкретного спора суд обязан учитывать как общие положения гражданского законодательства, так и специальные нормы, регулирующие соответствующие правоотношения. </w:t>
      </w:r>
    </w:p>
    <w:p w14:paraId="EC000000">
      <w:pPr>
        <w:spacing w:after="0" w:line="360" w:lineRule="auto"/>
        <w:ind w:firstLine="851" w:left="0"/>
        <w:jc w:val="both"/>
        <w:rPr>
          <w:rFonts w:ascii="Times New Roman" w:hAnsi="Times New Roman"/>
          <w:sz w:val="28"/>
        </w:rPr>
      </w:pPr>
      <w:r>
        <w:rPr>
          <w:rFonts w:ascii="Times New Roman" w:hAnsi="Times New Roman"/>
          <w:sz w:val="28"/>
        </w:rPr>
        <w:t xml:space="preserve">Порядок применения субсидиарной ответственности также имеет ряд особенностей. Прежде всего кредитор обязан подтвердить факт обращения к основному должнику и невозможность получения от него надлежащего исполнения. Только после этого возникает право предъявления требований к дополнительному должнику. При рассмотрении подобных споров суд исследует содержание основного обязательства, наличие оснований для возникновения дополнительной ответственности, соблюдение кредитором установленного законом порядка предъявления требований, а также объем неисполненного обязательства. Если хотя бы одно из обязательных условий отсутствует, требования о привлечении лица к субсидиарной ответственности удовлетворению не подлежат. </w:t>
      </w:r>
    </w:p>
    <w:p w14:paraId="ED000000">
      <w:pPr>
        <w:spacing w:after="0" w:line="360" w:lineRule="auto"/>
        <w:ind w:firstLine="851" w:left="0"/>
        <w:jc w:val="both"/>
        <w:rPr>
          <w:rFonts w:ascii="Times New Roman" w:hAnsi="Times New Roman"/>
          <w:sz w:val="28"/>
        </w:rPr>
      </w:pPr>
      <w:r>
        <w:rPr>
          <w:rFonts w:ascii="Times New Roman" w:hAnsi="Times New Roman"/>
          <w:sz w:val="28"/>
        </w:rPr>
        <w:t xml:space="preserve">Следует отметить, что дополнительный должник обладает самостоятельными средствами защиты своих прав. После исполнения обязательства перед кредитором он приобретает право предъявить регрессное требование к основному должнику в размере произведенного исполнения, если иной порядок не установлен законом или договором. Такой механизм позволяет восстановить имущественное положение лица, исполнившего обязательство за другого субъекта, и соответствует общим принципам гражданского законодательства о справедливом распределении имущественных обязанностей между участниками правоотношений. </w:t>
      </w:r>
    </w:p>
    <w:p w14:paraId="EE000000">
      <w:pPr>
        <w:spacing w:after="0" w:line="360" w:lineRule="auto"/>
        <w:ind w:firstLine="851" w:left="0"/>
        <w:jc w:val="both"/>
        <w:rPr>
          <w:rFonts w:ascii="Times New Roman" w:hAnsi="Times New Roman"/>
          <w:sz w:val="28"/>
        </w:rPr>
      </w:pPr>
      <w:r>
        <w:rPr>
          <w:rFonts w:ascii="Times New Roman" w:hAnsi="Times New Roman"/>
          <w:sz w:val="28"/>
        </w:rPr>
        <w:t xml:space="preserve">Современная судебная практика свидетельствует о том, что при разрешении споров, связанных с субсидиарной ответственностью, суды уделяют особое внимание не формальному наличию соответствующей нормы закона, а фактическим обстоятельствам дела. Исследуются основания возникновения обязательства, действия сторон, соблюдение кредитором </w:t>
      </w:r>
      <w:r>
        <w:rPr>
          <w:rFonts w:ascii="Times New Roman" w:hAnsi="Times New Roman"/>
          <w:sz w:val="28"/>
        </w:rPr>
        <w:t>предусмотренного законом порядка обращения с требованиями, а также наличие всех необходимых условий для применения дополнительной ответственности. Подобный подход позволяет исключить случаи необоснованного возложения имущественной обязанности на лиц, которые не должны отвечать по обязательствам основного должника, и одновременно обеспечивает эффективную защиту прав кредиторов</w:t>
      </w:r>
      <w:r>
        <w:rPr>
          <w:rStyle w:val="Style_8_ch"/>
          <w:rFonts w:ascii="Times New Roman" w:hAnsi="Times New Roman"/>
          <w:sz w:val="28"/>
        </w:rPr>
        <w:footnoteReference w:id="28"/>
      </w:r>
      <w:r>
        <w:rPr>
          <w:rFonts w:ascii="Times New Roman" w:hAnsi="Times New Roman"/>
          <w:sz w:val="28"/>
        </w:rPr>
        <w:t xml:space="preserve">. </w:t>
      </w:r>
    </w:p>
    <w:p w14:paraId="EF000000">
      <w:pPr>
        <w:spacing w:after="0" w:line="360" w:lineRule="auto"/>
        <w:ind w:firstLine="851" w:left="0"/>
        <w:jc w:val="both"/>
        <w:rPr>
          <w:rFonts w:ascii="Times New Roman" w:hAnsi="Times New Roman"/>
          <w:sz w:val="28"/>
        </w:rPr>
      </w:pPr>
      <w:r>
        <w:rPr>
          <w:rFonts w:ascii="Times New Roman" w:hAnsi="Times New Roman"/>
          <w:sz w:val="28"/>
        </w:rPr>
        <w:t xml:space="preserve">В научной литературе справедливо отмечается, что институт субсидиарной ответственности выполняет не только компенсационную, но и превентивную функцию. Осознание возможности наступления дополнительной имущественной ответственности побуждает участников гражданских правоотношений более ответственно относиться к исполнению своих обязанностей, принимать экономически обоснованные решения и соблюдать требования законодательства. Благодаря этому субсидиарная ответственность способствует укреплению принципов добросовестности, разумности и стабильности гражданского оборота, которые лежат в основе современного гражданского права. </w:t>
      </w:r>
    </w:p>
    <w:p w14:paraId="F0000000">
      <w:pPr>
        <w:spacing w:after="0" w:line="360" w:lineRule="auto"/>
        <w:ind w:firstLine="851" w:left="0"/>
        <w:jc w:val="both"/>
        <w:rPr>
          <w:rFonts w:ascii="Times New Roman" w:hAnsi="Times New Roman"/>
          <w:sz w:val="28"/>
        </w:rPr>
      </w:pPr>
      <w:r>
        <w:rPr>
          <w:rFonts w:ascii="Times New Roman" w:hAnsi="Times New Roman"/>
          <w:sz w:val="28"/>
        </w:rPr>
        <w:t>У</w:t>
      </w:r>
      <w:r>
        <w:rPr>
          <w:rFonts w:ascii="Times New Roman" w:hAnsi="Times New Roman"/>
          <w:sz w:val="28"/>
        </w:rPr>
        <w:t xml:space="preserve">словия наступления субсидиарной ответственности представляют собой совокупность юридических фактов, необходимых для возложения дополнительной обязанности по исполнению обязательства на иное лицо. К числу таких условий относятся наличие основного обязательства, невозможность его исполнения основным должником, существование предусмотренного законом или договором основания для дополнительной ответственности, а также соблюдение установленного порядка предъявления требований. Применение субсидиарной ответственности допускается только при наличии всех указанных условий, что обеспечивает соблюдение принципов законности, справедливости и равенства участников гражданских правоотношений. Именно такая правовая конструкция позволяет эффективно </w:t>
      </w:r>
      <w:r>
        <w:rPr>
          <w:rFonts w:ascii="Times New Roman" w:hAnsi="Times New Roman"/>
          <w:sz w:val="28"/>
        </w:rPr>
        <w:t xml:space="preserve">защищать имущественные интересы кредиторов, не нарушая при этом права лиц, на которых может быть возложена дополнительная ответственность. </w:t>
      </w:r>
    </w:p>
    <w:p w14:paraId="F1000000">
      <w:bookmarkStart w:id="17" w:name="__RefHeading___16"/>
      <w:bookmarkEnd w:id="17"/>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 </w:t>
      </w:r>
      <w:r>
        <w:rPr>
          <w:rFonts w:ascii="Times New Roman" w:hAnsi="Times New Roman"/>
          <w:b w:val="1"/>
          <w:color w:themeColor="text1" w:val="000000"/>
          <w:sz w:val="28"/>
        </w:rPr>
        <w:t>Выводы по главе 1</w:t>
      </w:r>
    </w:p>
    <w:p w14:paraId="F2000000">
      <w:pPr>
        <w:spacing w:after="0" w:line="360" w:lineRule="auto"/>
        <w:ind w:firstLine="851" w:left="0"/>
        <w:jc w:val="both"/>
        <w:rPr>
          <w:rFonts w:ascii="Times New Roman" w:hAnsi="Times New Roman"/>
          <w:sz w:val="28"/>
        </w:rPr>
      </w:pPr>
      <w:r>
        <w:rPr>
          <w:rFonts w:ascii="Times New Roman" w:hAnsi="Times New Roman"/>
          <w:sz w:val="28"/>
        </w:rPr>
        <w:t>В первой главе рассмотрены теоретические основы института субсидиарной ответственности в гражданском праве. Анализ законодательства и научной литературы показал, что единый подход к определению правовой природы субсидиарной ответственности отсутствует. Е. Е. Богданова рассматривает ее как разновидность гражданско-правовой ответственности, О. В. Гутников акцентирует внимание на ее защитной функции, а Е. В. Кротова обосновывает самостоятельный характер данного института, сочетающего признаки меры ответственности и меры защиты гражданских прав. Современное законодательство подтверждает, что субсидиарная ответственность применяется только в случаях, прямо предусмотренных законом или договором, и носит дополнительный характер по отношению к ответственности основного должника.</w:t>
      </w:r>
    </w:p>
    <w:p w14:paraId="F3000000">
      <w:pPr>
        <w:spacing w:after="0" w:line="360" w:lineRule="auto"/>
        <w:ind w:firstLine="851" w:left="0"/>
        <w:jc w:val="both"/>
        <w:rPr>
          <w:rFonts w:ascii="Times New Roman" w:hAnsi="Times New Roman"/>
          <w:sz w:val="28"/>
        </w:rPr>
      </w:pPr>
      <w:r>
        <w:rPr>
          <w:rFonts w:ascii="Times New Roman" w:hAnsi="Times New Roman"/>
          <w:sz w:val="28"/>
        </w:rPr>
        <w:t>Установлено, что обязательным условием применения субсидиарной ответственности является соблюдение порядка, закрепленного статьей 399 Гражданского кодекса Российской Федерации. Обращение к дополнительному должнику допускается лишь после предъявления требований к основному должнику и отсутствия исполнения обязательства с его стороны. Данный порядок обеспечивает баланс интересов участников гражданских правоотношений и исключает необоснованное возложение имущественной ответственности.</w:t>
      </w:r>
    </w:p>
    <w:p w14:paraId="F4000000">
      <w:pPr>
        <w:spacing w:after="0" w:line="360" w:lineRule="auto"/>
        <w:ind w:firstLine="851" w:left="0"/>
        <w:jc w:val="both"/>
        <w:rPr>
          <w:rFonts w:ascii="Times New Roman" w:hAnsi="Times New Roman"/>
          <w:sz w:val="28"/>
        </w:rPr>
      </w:pPr>
      <w:r>
        <w:rPr>
          <w:rFonts w:ascii="Times New Roman" w:hAnsi="Times New Roman"/>
          <w:sz w:val="28"/>
        </w:rPr>
        <w:t>Таким образом, субсидиарная ответственность представляет собой самостоятельный институт гражданского права, выполняющий одновременно компенсационную и защитную функции. Развитие законодательства о несостоятельности значительно расширило сферу его применения, что обусловило необходимость исследования особенностей привлечения к ответственности контролирующих должника лиц.</w:t>
      </w:r>
    </w:p>
    <w:p w14:paraId="F5000000"/>
    <w:p w14:paraId="F6000000">
      <w:pPr>
        <w:rPr>
          <w:rFonts w:ascii="Times New Roman" w:hAnsi="Times New Roman"/>
          <w:b w:val="1"/>
          <w:color w:themeColor="text1" w:val="000000"/>
          <w:sz w:val="32"/>
        </w:rPr>
      </w:pPr>
      <w:r>
        <w:rPr>
          <w:rFonts w:ascii="Times New Roman" w:hAnsi="Times New Roman"/>
          <w:b w:val="1"/>
          <w:color w:themeColor="text1" w:val="000000"/>
        </w:rPr>
        <w:br w:type="page"/>
      </w:r>
    </w:p>
    <w:p w14:paraId="F7000000">
      <w:bookmarkStart w:id="18" w:name="__RefHeading___17"/>
      <w:bookmarkEnd w:id="18"/>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ГЛАВА 2. ПРАВОВАЯ ПРИРОДА СУБСИДИАРНОЙ ОТВЕТСТВЕННОСТИ КОНТРОЛИРУЮЩИХ ДОЛЖНИКА ЛИЦ ПО ЗАКОНОДАТЕЛЬСТВУ О НЕСОСТОЯТЕЛЬНОСТИ (БАНКРОТСТВЕ)</w:t>
      </w:r>
    </w:p>
    <w:p w14:paraId="F8000000">
      <w:bookmarkStart w:id="19" w:name="__RefHeading___18"/>
      <w:bookmarkEnd w:id="19"/>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2.1 Субсидиарная ответственность в гражданском праве</w:t>
      </w:r>
    </w:p>
    <w:p w14:paraId="F9000000">
      <w:pPr>
        <w:spacing w:after="0" w:line="360" w:lineRule="auto"/>
        <w:ind w:firstLine="851" w:left="0"/>
        <w:jc w:val="both"/>
        <w:rPr>
          <w:sz w:val="28"/>
        </w:rPr>
      </w:pPr>
    </w:p>
    <w:p w14:paraId="FA000000">
      <w:pPr>
        <w:spacing w:after="0" w:line="360" w:lineRule="auto"/>
        <w:ind w:firstLine="851" w:left="0"/>
        <w:jc w:val="both"/>
        <w:rPr>
          <w:rFonts w:ascii="Times New Roman" w:hAnsi="Times New Roman"/>
          <w:sz w:val="28"/>
        </w:rPr>
      </w:pPr>
      <w:r>
        <w:rPr>
          <w:rFonts w:ascii="Times New Roman" w:hAnsi="Times New Roman"/>
          <w:sz w:val="28"/>
        </w:rPr>
        <w:t>Субсидиарная ответственность является одним из институтов гражданского права, обеспечивающих защиту имущественных интересов участников гражданского оборота при невозможности исполнения обязательства основным должником. В отличие от большинства способов обеспечения исполнения обязательств, она применяется уже после нарушения имущественных прав кредитора и направлена на восстановление его имущественного положения за счет привлечения к исполнению обязанности дополнительного должника. Такая конструкция позволяет компенсировать последствия неисполнения обязательств и одновременно обеспечивает стабильность гражданского оборота, поскольку снижает риск невозможности взыскания задолженности при отсутствии у основного должника достаточного имущества</w:t>
      </w:r>
      <w:r>
        <w:rPr>
          <w:rStyle w:val="Style_8_ch"/>
          <w:rFonts w:ascii="Times New Roman" w:hAnsi="Times New Roman"/>
          <w:sz w:val="28"/>
        </w:rPr>
        <w:footnoteReference w:id="29"/>
      </w:r>
      <w:r>
        <w:rPr>
          <w:rFonts w:ascii="Times New Roman" w:hAnsi="Times New Roman"/>
          <w:sz w:val="28"/>
        </w:rPr>
        <w:t xml:space="preserve">. </w:t>
      </w:r>
    </w:p>
    <w:p w14:paraId="FB000000">
      <w:pPr>
        <w:spacing w:after="0" w:line="360" w:lineRule="auto"/>
        <w:ind w:firstLine="851" w:left="0"/>
        <w:jc w:val="both"/>
        <w:rPr>
          <w:rFonts w:ascii="Times New Roman" w:hAnsi="Times New Roman"/>
          <w:sz w:val="28"/>
        </w:rPr>
      </w:pPr>
      <w:r>
        <w:rPr>
          <w:rFonts w:ascii="Times New Roman" w:hAnsi="Times New Roman"/>
          <w:sz w:val="28"/>
        </w:rPr>
        <w:t xml:space="preserve">В современной системе гражданского права субсидиарная ответственность рассматривается как самостоятельный институт, имеющий собственные основания возникновения, особенности применения и круг субъектов. Несмотря на </w:t>
      </w:r>
      <w:r>
        <w:rPr>
          <w:rFonts w:ascii="Times New Roman" w:hAnsi="Times New Roman"/>
          <w:sz w:val="28"/>
        </w:rPr>
        <w:t>то</w:t>
      </w:r>
      <w:r>
        <w:rPr>
          <w:rFonts w:ascii="Times New Roman" w:hAnsi="Times New Roman"/>
          <w:sz w:val="28"/>
        </w:rPr>
        <w:t xml:space="preserve"> что законодатель закрепил общие положения о ней в статье 399 Гражданского кодекса Российской Федерации, фактическая сфера применения данного института значительно шире. Его нормы используются при регулировании корпоративных отношений, деятельности юридических лиц различных организационно-правовых форм, наследственных правоотношений, а также при рассмотрении дел о несостоятельности </w:t>
      </w:r>
      <w:r>
        <w:rPr>
          <w:rFonts w:ascii="Times New Roman" w:hAnsi="Times New Roman"/>
          <w:sz w:val="28"/>
        </w:rPr>
        <w:t>(банкротстве). Именно развитие последних существенно повлияло на современное содержание института субсидиарной ответственности.</w:t>
      </w:r>
    </w:p>
    <w:p w14:paraId="FC000000">
      <w:pPr>
        <w:spacing w:after="0" w:line="360" w:lineRule="auto"/>
        <w:ind w:firstLine="851" w:left="0"/>
        <w:jc w:val="both"/>
        <w:rPr>
          <w:rFonts w:ascii="Times New Roman" w:hAnsi="Times New Roman"/>
          <w:sz w:val="28"/>
        </w:rPr>
      </w:pPr>
      <w:r>
        <w:rPr>
          <w:rFonts w:ascii="Times New Roman" w:hAnsi="Times New Roman"/>
          <w:sz w:val="28"/>
        </w:rPr>
        <w:t>Особенность гражданско-правовой природы субсидиарной ответственности заключается в том, что она сочетает признаки самостоятельной имущественной ответственности и дополнительного способа защиты нарушенного права. В отличие от солидарной ответственности, при которой кредитор вправе предъявить требование сразу к любому из должников, субсидиарная ответственность возникает только после того, как основной должник не исполнил обязательство либо не смог исполнить его в полном объеме. Такая последовательность обусловлена принципом самостоятельной имущественной ответственности участников гражданских правоотношений и обеспечивает соблюдение баланса между интересами кредитора и лицом, привлекаемым к дополнительной ответственности</w:t>
      </w:r>
      <w:r>
        <w:rPr>
          <w:rStyle w:val="Style_8_ch"/>
          <w:rFonts w:ascii="Times New Roman" w:hAnsi="Times New Roman"/>
          <w:sz w:val="28"/>
        </w:rPr>
        <w:footnoteReference w:id="30"/>
      </w:r>
      <w:r>
        <w:rPr>
          <w:rFonts w:ascii="Times New Roman" w:hAnsi="Times New Roman"/>
          <w:sz w:val="28"/>
        </w:rPr>
        <w:t xml:space="preserve">. </w:t>
      </w:r>
    </w:p>
    <w:p w14:paraId="FD000000">
      <w:pPr>
        <w:spacing w:after="0" w:line="360" w:lineRule="auto"/>
        <w:ind w:firstLine="851" w:left="0"/>
        <w:jc w:val="both"/>
        <w:rPr>
          <w:rFonts w:ascii="Times New Roman" w:hAnsi="Times New Roman"/>
          <w:sz w:val="28"/>
        </w:rPr>
      </w:pPr>
      <w:r>
        <w:rPr>
          <w:rFonts w:ascii="Times New Roman" w:hAnsi="Times New Roman"/>
          <w:sz w:val="28"/>
        </w:rPr>
        <w:t>В юридической литературе вопрос о правовой природе субсидиарной ответственности остается дискуссионным. Е. Е. Богданова рассматривает ее как особую разновидность гражданско-правовой ответственности, которая возникает исключительно при наличии предусмотренных законом условий и направлена на компенсацию имущественных потерь кредитора. При этом автор подчеркивает, что субсидиарная ответственность всегда носит производный характер, поскольку зависит от существования основного обязательства и не может возникнуть самостоятельно</w:t>
      </w:r>
      <w:r>
        <w:rPr>
          <w:rStyle w:val="Style_8_ch"/>
          <w:rFonts w:ascii="Times New Roman" w:hAnsi="Times New Roman"/>
          <w:sz w:val="28"/>
        </w:rPr>
        <w:footnoteReference w:id="31"/>
      </w:r>
      <w:r>
        <w:rPr>
          <w:rFonts w:ascii="Times New Roman" w:hAnsi="Times New Roman"/>
          <w:sz w:val="28"/>
        </w:rPr>
        <w:t>.</w:t>
      </w:r>
    </w:p>
    <w:p w14:paraId="FE000000">
      <w:pPr>
        <w:spacing w:after="0" w:line="360" w:lineRule="auto"/>
        <w:ind w:firstLine="851" w:left="0"/>
        <w:jc w:val="both"/>
        <w:rPr>
          <w:rFonts w:ascii="Times New Roman" w:hAnsi="Times New Roman"/>
          <w:sz w:val="28"/>
        </w:rPr>
      </w:pPr>
      <w:r>
        <w:rPr>
          <w:rFonts w:ascii="Times New Roman" w:hAnsi="Times New Roman"/>
          <w:sz w:val="28"/>
        </w:rPr>
        <w:t xml:space="preserve">Иную точку зрения высказывает О. В. Гутников, который обращает внимание на то, что в ряде случаев субсидиарная ответственность выходит за пределы традиционной конструкции гражданско-правовой ответственности. По мнению автора, в законодательстве о юридических лицах она все чаще используется в качестве самостоятельного механизма защиты интересов кредиторов, что особенно заметно при рассмотрении дел о банкротстве. Такой </w:t>
      </w:r>
      <w:r>
        <w:rPr>
          <w:rFonts w:ascii="Times New Roman" w:hAnsi="Times New Roman"/>
          <w:sz w:val="28"/>
        </w:rPr>
        <w:t xml:space="preserve">подход обусловлен необходимостью противодействия злоупотреблениям со стороны лиц, фактически управляющих деятельностью организаций. </w:t>
      </w:r>
    </w:p>
    <w:p w14:paraId="FF000000">
      <w:pPr>
        <w:spacing w:after="0" w:line="360" w:lineRule="auto"/>
        <w:ind w:firstLine="851" w:left="0"/>
        <w:jc w:val="both"/>
        <w:rPr>
          <w:rFonts w:ascii="Times New Roman" w:hAnsi="Times New Roman"/>
          <w:sz w:val="28"/>
        </w:rPr>
      </w:pPr>
      <w:r>
        <w:rPr>
          <w:rFonts w:ascii="Times New Roman" w:hAnsi="Times New Roman"/>
          <w:sz w:val="28"/>
        </w:rPr>
        <w:t>С развитием предпринимательских отношений значение института субсидиарной ответственности существенно возросло. Если первоначально он применялся преимущественно в случаях, прямо предусмотренных гражданским законодательством, то в настоящее время его практическое значение во многом связано с процедурами банкротства юридических лиц</w:t>
      </w:r>
      <w:r>
        <w:rPr>
          <w:rFonts w:ascii="Times New Roman" w:hAnsi="Times New Roman"/>
          <w:sz w:val="28"/>
        </w:rPr>
        <w:t xml:space="preserve">, что </w:t>
      </w:r>
      <w:r>
        <w:rPr>
          <w:rFonts w:ascii="Times New Roman" w:hAnsi="Times New Roman"/>
          <w:sz w:val="28"/>
        </w:rPr>
        <w:t>объясняется тем, что именно при несостоятельности наиболее часто возникают ситуации, когда имущества должника недостаточно для удовлетворения требований кредиторов. В таких случаях возникает необходимость определить, являются ли убытки следствием обычного предпринимательского риска либо результатом неправомерных действий лиц, осуществлявших управление организацией</w:t>
      </w:r>
      <w:r>
        <w:rPr>
          <w:rStyle w:val="Style_8_ch"/>
          <w:rFonts w:ascii="Times New Roman" w:hAnsi="Times New Roman"/>
          <w:sz w:val="28"/>
        </w:rPr>
        <w:footnoteReference w:id="32"/>
      </w:r>
      <w:r>
        <w:rPr>
          <w:rFonts w:ascii="Times New Roman" w:hAnsi="Times New Roman"/>
          <w:sz w:val="28"/>
        </w:rPr>
        <w:t xml:space="preserve">. </w:t>
      </w:r>
    </w:p>
    <w:p w14:paraId="00010000">
      <w:pPr>
        <w:spacing w:after="0" w:line="360" w:lineRule="auto"/>
        <w:ind w:firstLine="851" w:left="0"/>
        <w:jc w:val="both"/>
        <w:rPr>
          <w:rFonts w:ascii="Times New Roman" w:hAnsi="Times New Roman"/>
          <w:sz w:val="28"/>
        </w:rPr>
      </w:pPr>
      <w:r>
        <w:rPr>
          <w:rFonts w:ascii="Times New Roman" w:hAnsi="Times New Roman"/>
          <w:sz w:val="28"/>
        </w:rPr>
        <w:t xml:space="preserve">Современное гражданское законодательство исходит из принципа самостоятельной имущественной ответственности юридического лица. Согласно статье 56 Гражданского кодекса Российской Федерации юридическое лицо отвечает по своим обязательствам принадлежащим ему имуществом, а его участники не отвечают по долгам организации, если иное не предусмотрено законом. Именно эта оговорка имеет принципиальное значение, поскольку она допускает возможность привлечения иных лиц к дополнительной ответственности при наличии специальных оснований. Следовательно, субсидиарная ответственность представляет собой исключение из общего правила имущественной обособленности юридического лица и применяется только в случаях, когда необходимость такого вмешательства прямо предусмотрена законодательством. </w:t>
      </w:r>
    </w:p>
    <w:p w14:paraId="01010000">
      <w:pPr>
        <w:spacing w:after="0" w:line="360" w:lineRule="auto"/>
        <w:ind w:firstLine="851" w:left="0"/>
        <w:jc w:val="both"/>
        <w:rPr>
          <w:rFonts w:ascii="Times New Roman" w:hAnsi="Times New Roman"/>
          <w:sz w:val="28"/>
        </w:rPr>
      </w:pPr>
      <w:r>
        <w:rPr>
          <w:rFonts w:ascii="Times New Roman" w:hAnsi="Times New Roman"/>
          <w:sz w:val="28"/>
        </w:rPr>
        <w:t xml:space="preserve">Особое значение в современных условиях приобрел принцип добросовестности участников гражданских правоотношений. Лица, осуществляющие управление юридическими лицами, обязаны действовать </w:t>
      </w:r>
      <w:r>
        <w:rPr>
          <w:rFonts w:ascii="Times New Roman" w:hAnsi="Times New Roman"/>
          <w:sz w:val="28"/>
        </w:rPr>
        <w:t xml:space="preserve">разумно, добросовестно и исключительно в интересах организации. Нарушение этих требований может повлечь возникновение негативных имущественных последствий как для самой организации, так и для ее кредиторов. Именно поэтому законодатель постепенно расширяет сферу применения субсидиарной ответственности, рассматривая ее не только как способ восстановления имущественного положения кредиторов, но и как средство предупреждения недобросовестного поведения участников гражданского оборота. </w:t>
      </w:r>
    </w:p>
    <w:p w14:paraId="02010000">
      <w:pPr>
        <w:spacing w:after="0" w:line="360" w:lineRule="auto"/>
        <w:ind w:firstLine="851" w:left="0"/>
        <w:jc w:val="both"/>
        <w:rPr>
          <w:rFonts w:ascii="Times New Roman" w:hAnsi="Times New Roman"/>
          <w:sz w:val="28"/>
        </w:rPr>
      </w:pPr>
      <w:r>
        <w:rPr>
          <w:rFonts w:ascii="Times New Roman" w:hAnsi="Times New Roman"/>
          <w:sz w:val="28"/>
        </w:rPr>
        <w:t>Следует отметить, что гражданско-правовая природа субсидиарной ответственности наиболее полно раскрывается через ее основные функции. Прежде всего она выполняет компенсационную функцию, позволяя кредитору получить удовлетворение своих требований даже при отсутствии достаточного имущества у основного должника. Наряду с этим существенное значение имеет превентивная функция, поскольку возможность привлечения к дополнительной имущественной ответственности стимулирует руководителей организаций и иных участников гражданского оборота к более ответственному исполнению своих обязанностей. Кроме того, рассматриваемый институт способствует укреплению принципов законности, добросовестности и справедливости в гражданских правоотношениях</w:t>
      </w:r>
      <w:r>
        <w:rPr>
          <w:rStyle w:val="Style_8_ch"/>
          <w:rFonts w:ascii="Times New Roman" w:hAnsi="Times New Roman"/>
          <w:sz w:val="28"/>
        </w:rPr>
        <w:footnoteReference w:id="33"/>
      </w:r>
      <w:r>
        <w:rPr>
          <w:rFonts w:ascii="Times New Roman" w:hAnsi="Times New Roman"/>
          <w:sz w:val="28"/>
        </w:rPr>
        <w:t xml:space="preserve">. </w:t>
      </w:r>
    </w:p>
    <w:p w14:paraId="03010000">
      <w:pPr>
        <w:spacing w:after="0" w:line="360" w:lineRule="auto"/>
        <w:ind w:firstLine="851" w:left="0"/>
        <w:jc w:val="both"/>
        <w:rPr>
          <w:rFonts w:ascii="Times New Roman" w:hAnsi="Times New Roman"/>
          <w:sz w:val="28"/>
        </w:rPr>
      </w:pPr>
      <w:r>
        <w:rPr>
          <w:rFonts w:ascii="Times New Roman" w:hAnsi="Times New Roman"/>
          <w:sz w:val="28"/>
        </w:rPr>
        <w:t xml:space="preserve">Судебная практика последних лет подтверждает устойчивую тенденцию к расширению применения субсидиарной ответственности в сфере предпринимательской деятельности. Вместе с тем суды последовательно исходят из того, что она не может использоваться как средство автоматического взыскания задолженности с руководителей или участников юридических лиц. Для ее применения необходимо установить предусмотренные законом основания, исследовать обстоятельства возникновения задолженности, оценить поведение лиц, участвовавших в </w:t>
      </w:r>
      <w:r>
        <w:rPr>
          <w:rFonts w:ascii="Times New Roman" w:hAnsi="Times New Roman"/>
          <w:sz w:val="28"/>
        </w:rPr>
        <w:t>управлении организацией, а также определить наличие причинно-следственной связи между их действиями и наступившими последствиями. Такой подход обеспечивает соблюдение принципов гражданского права и исключает необоснованное вмешательство в имущественную сферу участников гражданского оборота</w:t>
      </w:r>
      <w:r>
        <w:rPr>
          <w:rStyle w:val="Style_8_ch"/>
          <w:rFonts w:ascii="Times New Roman" w:hAnsi="Times New Roman"/>
          <w:sz w:val="28"/>
        </w:rPr>
        <w:footnoteReference w:id="34"/>
      </w:r>
      <w:r>
        <w:rPr>
          <w:rFonts w:ascii="Times New Roman" w:hAnsi="Times New Roman"/>
          <w:sz w:val="28"/>
        </w:rPr>
        <w:t xml:space="preserve">. </w:t>
      </w:r>
    </w:p>
    <w:p w14:paraId="04010000">
      <w:pPr>
        <w:spacing w:after="0" w:line="360" w:lineRule="auto"/>
        <w:ind w:firstLine="851" w:left="0"/>
        <w:jc w:val="both"/>
        <w:rPr>
          <w:rFonts w:ascii="Times New Roman" w:hAnsi="Times New Roman"/>
          <w:sz w:val="28"/>
        </w:rPr>
      </w:pPr>
      <w:r>
        <w:rPr>
          <w:rFonts w:ascii="Times New Roman" w:hAnsi="Times New Roman"/>
          <w:sz w:val="28"/>
        </w:rPr>
        <w:t>Рассмотренные положения имеют непосредственное практическое значение для настоящего исследования, поскольку объектом исследования выступает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в отношении которого рассматривается вопрос о привлечении контролирующего должника лица к субсидиарной ответственности. Анализ сведений о деятельности общества показывает, что к моменту возбуждения дела о банкротстве его финансовое положение характеризовалось существенным ухудшением основных экономических показателей. По данным бухгалтерской отчетности выручка организации сократилась с </w:t>
      </w:r>
      <w:r>
        <w:rPr>
          <w:rFonts w:ascii="Times New Roman" w:hAnsi="Times New Roman"/>
          <w:sz w:val="28"/>
        </w:rPr>
        <w:t>544 млн руб. в 2019 году до 30 тыс. руб. в 2021 году</w:t>
      </w:r>
      <w:r>
        <w:rPr>
          <w:rFonts w:ascii="Times New Roman" w:hAnsi="Times New Roman"/>
          <w:sz w:val="28"/>
        </w:rPr>
        <w:t xml:space="preserve">, чистая прибыль уменьшилась с </w:t>
      </w:r>
      <w:r>
        <w:rPr>
          <w:rFonts w:ascii="Times New Roman" w:hAnsi="Times New Roman"/>
          <w:sz w:val="28"/>
        </w:rPr>
        <w:t>4,4 млн руб. до 2 тыс. руб.</w:t>
      </w:r>
      <w:r>
        <w:rPr>
          <w:rFonts w:ascii="Times New Roman" w:hAnsi="Times New Roman"/>
          <w:sz w:val="28"/>
        </w:rPr>
        <w:t xml:space="preserve">, а коэффициент автономии составил </w:t>
      </w:r>
      <w:r>
        <w:rPr>
          <w:rFonts w:ascii="Times New Roman" w:hAnsi="Times New Roman"/>
          <w:sz w:val="28"/>
        </w:rPr>
        <w:t>0,02</w:t>
      </w:r>
      <w:r>
        <w:rPr>
          <w:rFonts w:ascii="Times New Roman" w:hAnsi="Times New Roman"/>
          <w:sz w:val="28"/>
        </w:rPr>
        <w:t>, что свидетельствует о практически полной зависимости общества от заемных источников финансирования. Одновременно произошло сокращение численности работников с пятнадцати человек до одного, а сама организация была переведена в стадию ликвидации.</w:t>
      </w:r>
    </w:p>
    <w:p w14:paraId="05010000">
      <w:pPr>
        <w:spacing w:after="0" w:line="360" w:lineRule="auto"/>
        <w:ind w:firstLine="851" w:left="0"/>
        <w:jc w:val="both"/>
        <w:rPr>
          <w:rFonts w:ascii="Times New Roman" w:hAnsi="Times New Roman"/>
          <w:sz w:val="28"/>
        </w:rPr>
      </w:pPr>
      <w:r>
        <w:rPr>
          <w:rFonts w:ascii="Times New Roman" w:hAnsi="Times New Roman"/>
          <w:sz w:val="28"/>
        </w:rPr>
        <w:t xml:space="preserve">Финансовые трудности сопровождались значительным увеличением долговой нагрузки. По состоянию на 1 июня 2026 года налоговая задолженность общества превысила </w:t>
      </w:r>
      <w:r>
        <w:rPr>
          <w:rFonts w:ascii="Times New Roman" w:hAnsi="Times New Roman"/>
          <w:sz w:val="28"/>
        </w:rPr>
        <w:t>681 млн руб.</w:t>
      </w:r>
      <w:r>
        <w:rPr>
          <w:rFonts w:ascii="Times New Roman" w:hAnsi="Times New Roman"/>
          <w:sz w:val="28"/>
        </w:rPr>
        <w:t xml:space="preserve">, в отношении организации были возбуждены исполнительные производства на сумму около </w:t>
      </w:r>
      <w:r>
        <w:rPr>
          <w:rFonts w:ascii="Times New Roman" w:hAnsi="Times New Roman"/>
          <w:sz w:val="28"/>
        </w:rPr>
        <w:t>617 млн руб.</w:t>
      </w:r>
      <w:r>
        <w:rPr>
          <w:rFonts w:ascii="Times New Roman" w:hAnsi="Times New Roman"/>
          <w:sz w:val="28"/>
        </w:rPr>
        <w:t xml:space="preserve">, а в арбитражных судах рассматривались многочисленные споры, связанные с ее деятельностью. Совокупность указанных обстоятельств послужила основанием для рассмотрения вопроса о возможности привлечения контролирующего должника лица к субсидиарной ответственности в рамках дела о несостоятельности (банкротстве). Вместе с тем сам факт тяжелого </w:t>
      </w:r>
      <w:r>
        <w:rPr>
          <w:rFonts w:ascii="Times New Roman" w:hAnsi="Times New Roman"/>
          <w:sz w:val="28"/>
        </w:rPr>
        <w:t>финансового положения организации не является достаточным основанием для возложения дополнительной имущественной ответственности. В соответствии с положениями гражданского законодательства и Федерального закона «О несостоятельности (банкротстве)» суду необходимо установить наличие совокупности юридически значимых обстоятельств, включая противоправность поведения контролирующего лица, причинно-следственную связь между его действиями и наступившей неплатежеспособностью, а также наличие вины.</w:t>
      </w:r>
    </w:p>
    <w:p w14:paraId="06010000">
      <w:pPr>
        <w:spacing w:after="0" w:line="360" w:lineRule="auto"/>
        <w:ind w:firstLine="851" w:left="0"/>
        <w:jc w:val="both"/>
        <w:rPr>
          <w:rFonts w:ascii="Times New Roman" w:hAnsi="Times New Roman"/>
          <w:sz w:val="28"/>
        </w:rPr>
      </w:pPr>
      <w:r>
        <w:rPr>
          <w:rFonts w:ascii="Times New Roman" w:hAnsi="Times New Roman"/>
          <w:sz w:val="28"/>
        </w:rPr>
        <w:t>Таким образом, исследование правовой природы субсидиарной ответственности имеет не только теоретическое, но и практическое значение применительно к деятельности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Именно анализ финансового состояния общества, обстоятельств его банкротства и материалов арбитражного дела позволит определить, имелись ли в рассматриваемом случае предусмотренные законом основания для привлечения контролирующего должника лица к субсидиарной ответственности. Данные вопросы будут подробно рассмотрены в последующих параграфах настоящей главы.</w:t>
      </w:r>
    </w:p>
    <w:p w14:paraId="07010000">
      <w:pPr>
        <w:spacing w:after="0" w:line="360" w:lineRule="auto"/>
        <w:ind w:firstLine="851" w:left="0"/>
        <w:jc w:val="both"/>
        <w:rPr>
          <w:rFonts w:ascii="Times New Roman" w:hAnsi="Times New Roman"/>
          <w:sz w:val="28"/>
        </w:rPr>
      </w:pPr>
      <w:r>
        <w:rPr>
          <w:rFonts w:ascii="Times New Roman" w:hAnsi="Times New Roman"/>
          <w:sz w:val="28"/>
        </w:rPr>
        <w:t>С</w:t>
      </w:r>
      <w:r>
        <w:rPr>
          <w:rFonts w:ascii="Times New Roman" w:hAnsi="Times New Roman"/>
          <w:sz w:val="28"/>
        </w:rPr>
        <w:t xml:space="preserve">убсидиарная ответственность в гражданском праве представляет собой самостоятельный институт, основанный на принципе дополнительной имущественной ответственности лица, не исполнившего обязательство лишь после невозможности его исполнения основным должником. Современное развитие данного института свидетельствует о постепенном усилении его роли в обеспечении устойчивости гражданского оборота и защите прав кредиторов. Вместе с тем наиболее сложные вопросы его применения возникают именно в сфере несостоятельности (банкротства), где институт субсидиарной ответственности получил специальное законодательное регулирование. Поэтому дальнейшее исследование целесообразно посвятить анализу отдельных видов субсидиарной ответственности и особенностям привлечения к ответственности контролирующих должника лиц в процедурах банкротства. </w:t>
      </w:r>
    </w:p>
    <w:p w14:paraId="08010000"/>
    <w:p w14:paraId="09010000">
      <w:bookmarkStart w:id="20" w:name="__RefHeading___19"/>
      <w:bookmarkEnd w:id="20"/>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2.2 Виды субсидиарной ответственности</w:t>
      </w:r>
    </w:p>
    <w:p w14:paraId="0A010000">
      <w:pPr>
        <w:spacing w:after="0" w:line="360" w:lineRule="auto"/>
        <w:ind w:firstLine="851" w:left="0"/>
        <w:jc w:val="both"/>
        <w:rPr>
          <w:sz w:val="28"/>
        </w:rPr>
      </w:pPr>
    </w:p>
    <w:p w14:paraId="0B010000">
      <w:pPr>
        <w:spacing w:after="0" w:line="360" w:lineRule="auto"/>
        <w:ind w:firstLine="851" w:left="0"/>
        <w:jc w:val="both"/>
        <w:rPr>
          <w:rFonts w:ascii="Times New Roman" w:hAnsi="Times New Roman"/>
          <w:sz w:val="28"/>
        </w:rPr>
      </w:pPr>
      <w:r>
        <w:rPr>
          <w:rFonts w:ascii="Times New Roman" w:hAnsi="Times New Roman"/>
          <w:sz w:val="28"/>
        </w:rPr>
        <w:t>Субсидиарная ответственность представляет собой сложный правовой институт, который применяется в различных сферах гражданских правоотношений. Ее содержание и основания возникновения зависят от характера регулируемых отношений, субъектного состава и специальных норм законодательства. Несмотря на единые принципы, закрепленные в Гражданском кодексе Российской Федерации, отдельные виды субсидиарной ответственности имеют свои особенности, связанные с кругом обязанных лиц, условиями привлечения к ответственности и порядком исполнения обязательств. Именно поэтому в юридической литературе субсидиарная ответственность рассматривается не как единая правовая конструкция, а как совокупность самостоятельных разновидностей, объединенных общими признаками дополнительной имущественной ответственности</w:t>
      </w:r>
      <w:r>
        <w:rPr>
          <w:rStyle w:val="Style_8_ch"/>
          <w:rFonts w:ascii="Times New Roman" w:hAnsi="Times New Roman"/>
          <w:sz w:val="28"/>
        </w:rPr>
        <w:footnoteReference w:id="35"/>
      </w:r>
      <w:r>
        <w:rPr>
          <w:rFonts w:ascii="Times New Roman" w:hAnsi="Times New Roman"/>
          <w:sz w:val="28"/>
        </w:rPr>
        <w:t xml:space="preserve">. </w:t>
      </w:r>
    </w:p>
    <w:p w14:paraId="0C010000">
      <w:pPr>
        <w:spacing w:after="0" w:line="360" w:lineRule="auto"/>
        <w:ind w:firstLine="851" w:left="0"/>
        <w:jc w:val="both"/>
        <w:rPr>
          <w:rFonts w:ascii="Times New Roman" w:hAnsi="Times New Roman"/>
          <w:sz w:val="28"/>
        </w:rPr>
      </w:pPr>
      <w:r>
        <w:rPr>
          <w:rFonts w:ascii="Times New Roman" w:hAnsi="Times New Roman"/>
          <w:sz w:val="28"/>
        </w:rPr>
        <w:t xml:space="preserve">Наиболее распространенной является классификация субсидиарной ответственности по основанию ее возникновения. В зависимости от этого критерия выделяют ответственность, возникающую непосредственно в силу закона, и ответственность, основанную на соглашении сторон. Законная субсидиарная ответственность применяется в случаях, прямо предусмотренных нормативными правовыми актами, тогда как договорная возникает вследствие добровольного принятия лицом соответствующих обязательств. Несмотря на различия в основаниях возникновения, обе разновидности направлены на достижение одной цели </w:t>
      </w:r>
      <w:r>
        <w:rPr>
          <w:rFonts w:ascii="Times New Roman" w:hAnsi="Times New Roman"/>
          <w:sz w:val="28"/>
        </w:rPr>
        <w:t>-</w:t>
      </w:r>
      <w:r>
        <w:rPr>
          <w:rFonts w:ascii="Times New Roman" w:hAnsi="Times New Roman"/>
          <w:sz w:val="28"/>
        </w:rPr>
        <w:t xml:space="preserve"> обеспечение исполнения обязательства и защиту имущественных интересов кредитора. [7; 22]</w:t>
      </w:r>
    </w:p>
    <w:p w14:paraId="0D010000">
      <w:pPr>
        <w:spacing w:after="0" w:line="360" w:lineRule="auto"/>
        <w:ind w:firstLine="851" w:left="0"/>
        <w:jc w:val="both"/>
        <w:rPr>
          <w:rFonts w:ascii="Times New Roman" w:hAnsi="Times New Roman"/>
          <w:sz w:val="28"/>
        </w:rPr>
      </w:pPr>
      <w:r>
        <w:rPr>
          <w:rFonts w:ascii="Times New Roman" w:hAnsi="Times New Roman"/>
          <w:sz w:val="28"/>
        </w:rPr>
        <w:t xml:space="preserve">Законная субсидиарная ответственность получила наиболее широкое распространение в гражданском законодательстве. Она применяется </w:t>
      </w:r>
      <w:r>
        <w:rPr>
          <w:rFonts w:ascii="Times New Roman" w:hAnsi="Times New Roman"/>
          <w:sz w:val="28"/>
        </w:rPr>
        <w:t>независимо от воли участников правоотношений, если соответствующая обязанность прямо установлена федеральным законом. Так, Гражданский кодекс Российской Федерации предусматривает случаи привлечения к дополнительной ответственности участников отдельных организационно-правовых форм юридических лиц, собственников имущества учреждений, членов производственных и сельскохозяйственных кооперативов, а также иных субъектов, прямо указанных в законодательстве. Особое место среди таких случаев занимает субсидиарная ответственность контролирующих должника лиц при банкротстве юридического лица, которая регулируется специальными нормами законодательства о несостоятельности. [8; 21; 26]</w:t>
      </w:r>
    </w:p>
    <w:p w14:paraId="0E010000">
      <w:pPr>
        <w:spacing w:after="0" w:line="360" w:lineRule="auto"/>
        <w:ind w:firstLine="851" w:left="0"/>
        <w:jc w:val="both"/>
        <w:rPr>
          <w:rFonts w:ascii="Times New Roman" w:hAnsi="Times New Roman"/>
          <w:sz w:val="28"/>
        </w:rPr>
      </w:pPr>
      <w:r>
        <w:rPr>
          <w:rFonts w:ascii="Times New Roman" w:hAnsi="Times New Roman"/>
          <w:sz w:val="28"/>
        </w:rPr>
        <w:t>Договорная субсидиарная ответственность встречается значительно реже. Ее возникновение связано с соглашением сторон, которое предусматривает обязанность одного лица отвечать по обязательствам другого при наступлении определенных условий. Наиболее известным примером является договор поручительства, при котором стороны вправе установить субсидиарную ответственность поручителя вместо солидарной. В этом случае кредитор первоначально обязан предъявить требования к основному должнику и только после невозможности получения исполнения вправе обратиться к поручителю. Таким образом, договорная субсидиарная ответственность основывается на принципе свободы договора и возникает исключительно по воле участников гражданских правоотношений</w:t>
      </w:r>
      <w:r>
        <w:rPr>
          <w:rStyle w:val="Style_8_ch"/>
          <w:rFonts w:ascii="Times New Roman" w:hAnsi="Times New Roman"/>
          <w:sz w:val="28"/>
        </w:rPr>
        <w:footnoteReference w:id="36"/>
      </w:r>
      <w:r>
        <w:rPr>
          <w:rFonts w:ascii="Times New Roman" w:hAnsi="Times New Roman"/>
          <w:sz w:val="28"/>
        </w:rPr>
        <w:t xml:space="preserve">. </w:t>
      </w:r>
    </w:p>
    <w:p w14:paraId="0F010000">
      <w:pPr>
        <w:spacing w:after="0" w:line="360" w:lineRule="auto"/>
        <w:ind w:firstLine="851" w:left="0"/>
        <w:jc w:val="both"/>
        <w:rPr>
          <w:rFonts w:ascii="Times New Roman" w:hAnsi="Times New Roman"/>
          <w:sz w:val="28"/>
        </w:rPr>
      </w:pPr>
      <w:r>
        <w:rPr>
          <w:rFonts w:ascii="Times New Roman" w:hAnsi="Times New Roman"/>
          <w:sz w:val="28"/>
        </w:rPr>
        <w:t xml:space="preserve">В юридической литературе также применяется классификация субсидиарной ответственности по субъектному составу. В зависимости от того, кто выступает дополнительным должником, выделяют субсидиарную ответственность физических лиц, юридических лиц и публично-правовых образований. Каждая из указанных разновидностей имеет собственные особенности правового регулирования, обусловленные различием правового статуса субъектов гражданского права. В частности, особенности </w:t>
      </w:r>
      <w:r>
        <w:rPr>
          <w:rFonts w:ascii="Times New Roman" w:hAnsi="Times New Roman"/>
          <w:sz w:val="28"/>
        </w:rPr>
        <w:t xml:space="preserve">ответственности граждан и организаций определяются объемом их гражданской правоспособности и имущественной самостоятельности, тогда как участие государства, субъектов Российской Федерации и муниципальных образований связано с реализацией публичных функций и регулируется специальными нормами законодательства. </w:t>
      </w:r>
    </w:p>
    <w:p w14:paraId="10010000">
      <w:pPr>
        <w:spacing w:after="0" w:line="360" w:lineRule="auto"/>
        <w:ind w:firstLine="851" w:left="0"/>
        <w:jc w:val="both"/>
        <w:rPr>
          <w:rFonts w:ascii="Times New Roman" w:hAnsi="Times New Roman"/>
          <w:sz w:val="28"/>
        </w:rPr>
      </w:pPr>
      <w:r>
        <w:rPr>
          <w:rFonts w:ascii="Times New Roman" w:hAnsi="Times New Roman"/>
          <w:sz w:val="28"/>
        </w:rPr>
        <w:t>Особое место в современной системе гражданского права занимает субсидиарная ответственность контролирующих должника лиц в процедурах банкротства. Ее специфика заключается в том, что дополнительная ответственность возлагается не на основании участия лица в обязательстве, а вследствие его противоправного поведения при осуществлении управления деятельностью должника. Именно эта разновидность получила наиболее активное развитие после внесения изменений в Федеральный закон «О несостоятельности (банкротстве)». В отличие от иных видов субсидиарной ответственности здесь ключевое значение имеет установление фактического контроля над деятельностью организации и причинно-следственной связи между действиями контролирующего лица и невозможностью удовлетворения требований кредиторов</w:t>
      </w:r>
      <w:r>
        <w:rPr>
          <w:rStyle w:val="Style_8_ch"/>
          <w:rFonts w:ascii="Times New Roman" w:hAnsi="Times New Roman"/>
          <w:sz w:val="28"/>
        </w:rPr>
        <w:footnoteReference w:id="37"/>
      </w:r>
      <w:r>
        <w:rPr>
          <w:rFonts w:ascii="Times New Roman" w:hAnsi="Times New Roman"/>
          <w:sz w:val="28"/>
        </w:rPr>
        <w:t xml:space="preserve">. </w:t>
      </w:r>
    </w:p>
    <w:p w14:paraId="11010000">
      <w:pPr>
        <w:spacing w:after="0" w:line="360" w:lineRule="auto"/>
        <w:ind w:firstLine="851" w:left="0"/>
        <w:jc w:val="both"/>
        <w:rPr>
          <w:rFonts w:ascii="Times New Roman" w:hAnsi="Times New Roman"/>
          <w:sz w:val="28"/>
        </w:rPr>
      </w:pPr>
      <w:r>
        <w:rPr>
          <w:rFonts w:ascii="Times New Roman" w:hAnsi="Times New Roman"/>
          <w:sz w:val="28"/>
        </w:rPr>
        <w:t xml:space="preserve">Отдельные исследователи предлагают классифицировать субсидиарную ответственность в зависимости от характера регулируемых правоотношений. В этом случае выделяют корпоративную, обязательственную, наследственную и </w:t>
      </w:r>
      <w:r>
        <w:rPr>
          <w:rFonts w:ascii="Times New Roman" w:hAnsi="Times New Roman"/>
          <w:sz w:val="28"/>
        </w:rPr>
        <w:t>банкротную</w:t>
      </w:r>
      <w:r>
        <w:rPr>
          <w:rFonts w:ascii="Times New Roman" w:hAnsi="Times New Roman"/>
          <w:sz w:val="28"/>
        </w:rPr>
        <w:t xml:space="preserve"> субсидиарную ответственность. Подобное разделение позволяет более точно определить особенности правового регулирования каждого вида, поскольку основания возникновения, круг субъектов и порядок применения существенно различаются. Вместе с тем все указанные разновидности объединяет единый принцип дополнительного характера ответственности, предполагающий обращение к дополнительному должнику лишь после невозможности получения исполнения от основного должника.</w:t>
      </w:r>
    </w:p>
    <w:p w14:paraId="12010000">
      <w:pPr>
        <w:spacing w:after="0" w:line="360" w:lineRule="auto"/>
        <w:ind w:firstLine="851" w:left="0"/>
        <w:jc w:val="both"/>
        <w:rPr>
          <w:rFonts w:ascii="Times New Roman" w:hAnsi="Times New Roman"/>
          <w:sz w:val="28"/>
        </w:rPr>
      </w:pPr>
      <w:r>
        <w:rPr>
          <w:rFonts w:ascii="Times New Roman" w:hAnsi="Times New Roman"/>
          <w:sz w:val="28"/>
        </w:rPr>
        <w:t>В научной литературе обращается внимание и на функциональное различие отдельных видов субсидиарной ответственности. Одни разновидности направлены прежде всего на обеспечение исполнения обязательств и защиту имущественных интересов кредиторов, другие обладают выраженной предупредительной функцией. Особенно ярко это проявляется в сфере корпоративных отношений и банкротства, где возможность привлечения руководителей и иных контролирующих лиц к личной имущественной ответственности стимулирует добросовестное управление организацией и снижает риск злоупотреблений. Благодаря этому институт субсидиарной ответственности выполняет не только компенсационную, но и профилактическую роль, оказывая влияние на поведение участников гражданского оборота</w:t>
      </w:r>
      <w:r>
        <w:rPr>
          <w:rStyle w:val="Style_8_ch"/>
          <w:rFonts w:ascii="Times New Roman" w:hAnsi="Times New Roman"/>
          <w:sz w:val="28"/>
        </w:rPr>
        <w:footnoteReference w:id="38"/>
      </w:r>
      <w:r>
        <w:rPr>
          <w:rFonts w:ascii="Times New Roman" w:hAnsi="Times New Roman"/>
          <w:sz w:val="28"/>
        </w:rPr>
        <w:t xml:space="preserve">. </w:t>
      </w:r>
    </w:p>
    <w:p w14:paraId="13010000">
      <w:pPr>
        <w:spacing w:after="0" w:line="360" w:lineRule="auto"/>
        <w:ind w:firstLine="851" w:left="0"/>
        <w:jc w:val="both"/>
        <w:rPr>
          <w:rFonts w:ascii="Times New Roman" w:hAnsi="Times New Roman"/>
          <w:sz w:val="28"/>
        </w:rPr>
      </w:pPr>
      <w:r>
        <w:rPr>
          <w:rFonts w:ascii="Times New Roman" w:hAnsi="Times New Roman"/>
          <w:sz w:val="28"/>
        </w:rPr>
        <w:t xml:space="preserve">Следует отметить, что существующие виды субсидиарной ответственности не являются изолированными друг от друга. Напротив, они образуют единую систему, основанную на общих принципах гражданского законодательства. Независимо от конкретной разновидности субсидиарной ответственности обязательными остаются такие признаки, как дополнительный характер ответственности, производность от основного обязательства, наличие предусмотренных законом или договором оснований и соблюдение установленного порядка предъявления требований к дополнительному должнику. Именно совокупность этих признаков позволяет рассматривать различные виды субсидиарной ответственности как элементы единого гражданско-правового института. </w:t>
      </w:r>
    </w:p>
    <w:p w14:paraId="14010000">
      <w:pPr>
        <w:spacing w:after="0" w:line="360" w:lineRule="auto"/>
        <w:ind w:firstLine="851" w:left="0"/>
        <w:jc w:val="both"/>
        <w:rPr>
          <w:rFonts w:ascii="Times New Roman" w:hAnsi="Times New Roman"/>
          <w:sz w:val="28"/>
        </w:rPr>
      </w:pPr>
      <w:r>
        <w:rPr>
          <w:rFonts w:ascii="Times New Roman" w:hAnsi="Times New Roman"/>
          <w:sz w:val="28"/>
        </w:rPr>
        <w:t xml:space="preserve">Анализ законодательства и научной литературы показывает, что наиболее динамично развивается именно субсидиарная ответственность в сфере банкротства. Постоянное совершенствование законодательства, расширение круга контролирующих лиц и формирование единообразной </w:t>
      </w:r>
      <w:r>
        <w:rPr>
          <w:rFonts w:ascii="Times New Roman" w:hAnsi="Times New Roman"/>
          <w:sz w:val="28"/>
        </w:rPr>
        <w:t xml:space="preserve">судебной практики свидетельствуют о возрастающем значении данной разновидности ответственности для защиты прав кредиторов. Именно поэтому исследование особенностей привлечения контролирующих должника лиц к субсидиарной ответственности представляет особый научный и практический интерес и требует самостоятельного рассмотрения. </w:t>
      </w:r>
    </w:p>
    <w:p w14:paraId="15010000">
      <w:pPr>
        <w:spacing w:after="0" w:line="360" w:lineRule="auto"/>
        <w:ind w:firstLine="851" w:left="0"/>
        <w:jc w:val="both"/>
        <w:rPr>
          <w:rFonts w:ascii="Times New Roman" w:hAnsi="Times New Roman"/>
          <w:sz w:val="28"/>
        </w:rPr>
      </w:pPr>
      <w:r>
        <w:rPr>
          <w:rFonts w:ascii="Times New Roman" w:hAnsi="Times New Roman"/>
          <w:sz w:val="28"/>
        </w:rPr>
        <w:t xml:space="preserve">Виды субсидиарной ответственности различаются по основаниям возникновения, субъектному составу и особенностям правового регулирования. Вместе с тем все они основаны на единых принципах гражданского права и направлены на достижение общей цели </w:t>
      </w:r>
      <w:r>
        <w:rPr>
          <w:rFonts w:ascii="Times New Roman" w:hAnsi="Times New Roman"/>
          <w:sz w:val="28"/>
        </w:rPr>
        <w:t>-</w:t>
      </w:r>
      <w:r>
        <w:rPr>
          <w:rFonts w:ascii="Times New Roman" w:hAnsi="Times New Roman"/>
          <w:sz w:val="28"/>
        </w:rPr>
        <w:t xml:space="preserve"> обеспечение исполнения обязательств и защиту нарушенных имущественных прав кредиторов. Наиболее значимое место в современной правоприменительной практике занимает субсидиарная ответственность контролирующих должника лиц, поскольку именно она играет ключевую роль при разрешении споров, возникающих в процедурах несостоятельности (банкротства). </w:t>
      </w:r>
    </w:p>
    <w:p w14:paraId="16010000"/>
    <w:p w14:paraId="17010000">
      <w:bookmarkStart w:id="21" w:name="__RefHeading___20"/>
      <w:bookmarkEnd w:id="21"/>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2.3 Субсидиарная ответственность контролирующих должника лиц по законодательству о несостоятельности (банкротстве)</w:t>
      </w:r>
    </w:p>
    <w:p w14:paraId="18010000">
      <w:pPr>
        <w:spacing w:after="0" w:line="360" w:lineRule="auto"/>
        <w:ind w:firstLine="851" w:left="0"/>
        <w:jc w:val="both"/>
        <w:rPr>
          <w:sz w:val="28"/>
        </w:rPr>
      </w:pPr>
    </w:p>
    <w:p w14:paraId="19010000">
      <w:pPr>
        <w:spacing w:after="0" w:line="360" w:lineRule="auto"/>
        <w:ind w:firstLine="851" w:left="0"/>
        <w:jc w:val="both"/>
        <w:rPr>
          <w:rFonts w:ascii="Times New Roman" w:hAnsi="Times New Roman"/>
          <w:sz w:val="28"/>
        </w:rPr>
      </w:pPr>
      <w:r>
        <w:rPr>
          <w:rFonts w:ascii="Times New Roman" w:hAnsi="Times New Roman"/>
          <w:sz w:val="28"/>
        </w:rPr>
        <w:t>Институт субсидиарной ответственности контролирующих должника лиц занимает особое место в современном законодательстве о несостоятельности (банкротстве)</w:t>
      </w:r>
      <w:r>
        <w:rPr>
          <w:rFonts w:ascii="Times New Roman" w:hAnsi="Times New Roman"/>
          <w:sz w:val="28"/>
        </w:rPr>
        <w:t xml:space="preserve">, что </w:t>
      </w:r>
      <w:r>
        <w:rPr>
          <w:rFonts w:ascii="Times New Roman" w:hAnsi="Times New Roman"/>
          <w:sz w:val="28"/>
        </w:rPr>
        <w:t xml:space="preserve">связано с тем, что банкротство юридического лица далеко не всегда является следствием неблагоприятной экономической ситуации или обычного предпринимательского риска. Во многих случаях невозможность исполнения обязательств перед кредиторами обусловлена действиями лиц, фактически осуществлявших управление организацией, принимавших ключевые решения, распоряжавшихся ее имуществом или определявших финансовую политику предприятия. В подобных ситуациях применение исключительно общего правила об имущественной обособленности юридического лица не позволяет обеспечить надлежащую защиту прав кредиторов. Именно поэтому законодатель </w:t>
      </w:r>
      <w:r>
        <w:rPr>
          <w:rFonts w:ascii="Times New Roman" w:hAnsi="Times New Roman"/>
          <w:sz w:val="28"/>
        </w:rPr>
        <w:t xml:space="preserve">предусмотрел возможность возложения обязанности по погашению задолженности непосредственно на лиц, чьи действия привели к возникновению или увеличению неплатежеспособности должника. </w:t>
      </w:r>
    </w:p>
    <w:p w14:paraId="1A010000">
      <w:pPr>
        <w:spacing w:after="0" w:line="360" w:lineRule="auto"/>
        <w:ind w:firstLine="851" w:left="0"/>
        <w:jc w:val="both"/>
        <w:rPr>
          <w:rFonts w:ascii="Times New Roman" w:hAnsi="Times New Roman"/>
          <w:sz w:val="28"/>
        </w:rPr>
      </w:pPr>
      <w:r>
        <w:rPr>
          <w:rFonts w:ascii="Times New Roman" w:hAnsi="Times New Roman"/>
          <w:sz w:val="28"/>
        </w:rPr>
        <w:t xml:space="preserve">Основным нормативным актом, регулирующим вопросы привлечения контролирующих должника лиц к субсидиарной ответственности, является Федеральный закон «О несостоятельности (банкротстве)». В главе </w:t>
      </w:r>
      <w:r>
        <w:rPr>
          <w:rFonts w:ascii="Times New Roman" w:hAnsi="Times New Roman"/>
          <w:sz w:val="28"/>
        </w:rPr>
        <w:t>III.2</w:t>
      </w:r>
      <w:r>
        <w:rPr>
          <w:rFonts w:ascii="Times New Roman" w:hAnsi="Times New Roman"/>
          <w:sz w:val="28"/>
        </w:rPr>
        <w:t xml:space="preserve"> данного закона определены основания привлечения к ответственности, понятие контролирующего должника лица, особенности доказывания, порядок рассмотрения соответствующих заявлений и последствия удовлетворения требований кредиторов. В отличие от общих положений статьи 399 Гражданского кодекса Российской Федерации нормы законодательства о банкротстве предусматривают специальный механизм реализации субсидиарной ответственности, учитывающий особенности конкурсного производства и необходимость восстановления нарушенных имущественных интересов кредиторов</w:t>
      </w:r>
      <w:r>
        <w:rPr>
          <w:rStyle w:val="Style_8_ch"/>
          <w:rFonts w:ascii="Times New Roman" w:hAnsi="Times New Roman"/>
          <w:sz w:val="28"/>
        </w:rPr>
        <w:footnoteReference w:id="39"/>
      </w:r>
      <w:r>
        <w:rPr>
          <w:rFonts w:ascii="Times New Roman" w:hAnsi="Times New Roman"/>
          <w:sz w:val="28"/>
        </w:rPr>
        <w:t xml:space="preserve">. </w:t>
      </w:r>
    </w:p>
    <w:p w14:paraId="1B010000">
      <w:pPr>
        <w:spacing w:after="0" w:line="360" w:lineRule="auto"/>
        <w:ind w:firstLine="851" w:left="0"/>
        <w:jc w:val="both"/>
        <w:rPr>
          <w:rFonts w:ascii="Times New Roman" w:hAnsi="Times New Roman"/>
          <w:sz w:val="28"/>
        </w:rPr>
      </w:pPr>
      <w:r>
        <w:rPr>
          <w:rFonts w:ascii="Times New Roman" w:hAnsi="Times New Roman"/>
          <w:sz w:val="28"/>
        </w:rPr>
        <w:t xml:space="preserve">Одним из ключевых элементов рассматриваемого института является понятие контролирующего должника лица. Законодатель отказался от формального подхода, при котором к ответственности могли привлекаться только руководители или участники юридического лица. В настоящее время контролирующим признается любое лицо, которое имело возможность определять действия должника либо оказывать существенное влияние на принятие управленческих решений. При этом значение имеют не только официальные полномочия, но и фактическое поведение лица. Суд оценивает реальные обстоятельства деятельности организации, исследует характер принимаемых решений, распределение полномочий, финансовые документы, корпоративные связи и иные доказательства, позволяющие установить наличие контроля над должником. Такой подход значительно повысил эффективность применения законодательства о банкротстве и исключил </w:t>
      </w:r>
      <w:r>
        <w:rPr>
          <w:rFonts w:ascii="Times New Roman" w:hAnsi="Times New Roman"/>
          <w:sz w:val="28"/>
        </w:rPr>
        <w:t xml:space="preserve">возможность ухода от ответственности посредством формального назначения номинальных руководителей. </w:t>
      </w:r>
    </w:p>
    <w:p w14:paraId="1C010000">
      <w:pPr>
        <w:spacing w:after="0" w:line="360" w:lineRule="auto"/>
        <w:ind w:firstLine="851" w:left="0"/>
        <w:jc w:val="both"/>
        <w:rPr>
          <w:rFonts w:ascii="Times New Roman" w:hAnsi="Times New Roman"/>
          <w:sz w:val="28"/>
        </w:rPr>
      </w:pPr>
      <w:r>
        <w:rPr>
          <w:rFonts w:ascii="Times New Roman" w:hAnsi="Times New Roman"/>
          <w:sz w:val="28"/>
        </w:rPr>
        <w:t xml:space="preserve">Для привлечения контролирующего лица к субсидиарной ответственности необходимо установить наличие предусмотренных законом оснований. Наиболее распространенными из них являются совершение действий, повлекших невозможность полного удовлетворения требований кредиторов, </w:t>
      </w:r>
      <w:r>
        <w:rPr>
          <w:rFonts w:ascii="Times New Roman" w:hAnsi="Times New Roman"/>
          <w:sz w:val="28"/>
        </w:rPr>
        <w:t>непередача</w:t>
      </w:r>
      <w:r>
        <w:rPr>
          <w:rFonts w:ascii="Times New Roman" w:hAnsi="Times New Roman"/>
          <w:sz w:val="28"/>
        </w:rPr>
        <w:t xml:space="preserve"> либо уничтожение бухгалтерской документации, вывод активов организации, совершение сделок, противоречащих интересам должника, создание фиктивной задолженности, а также нарушение обязанности по своевременному обращению в арбитражный суд с заявлением о признании организации банкротом. Однако наличие одного из указанных обстоятельств само по себе еще не означает автоматического привлечения к ответственности. Суд обязан установить причинно-следственную связь между действиями контролирующего лица и возникшими последствиями, а также исследовать вопрос о наличии его вины</w:t>
      </w:r>
      <w:r>
        <w:rPr>
          <w:rStyle w:val="Style_8_ch"/>
          <w:rFonts w:ascii="Times New Roman" w:hAnsi="Times New Roman"/>
          <w:sz w:val="28"/>
        </w:rPr>
        <w:footnoteReference w:id="40"/>
      </w:r>
      <w:r>
        <w:rPr>
          <w:rFonts w:ascii="Times New Roman" w:hAnsi="Times New Roman"/>
          <w:sz w:val="28"/>
        </w:rPr>
        <w:t xml:space="preserve">. </w:t>
      </w:r>
    </w:p>
    <w:p w14:paraId="1D010000">
      <w:pPr>
        <w:spacing w:after="0" w:line="360" w:lineRule="auto"/>
        <w:ind w:firstLine="851" w:left="0"/>
        <w:jc w:val="both"/>
        <w:rPr>
          <w:rFonts w:ascii="Times New Roman" w:hAnsi="Times New Roman"/>
          <w:sz w:val="28"/>
        </w:rPr>
      </w:pPr>
      <w:r>
        <w:rPr>
          <w:rFonts w:ascii="Times New Roman" w:hAnsi="Times New Roman"/>
          <w:sz w:val="28"/>
        </w:rPr>
        <w:t xml:space="preserve">Особенностью законодательства о банкротстве является изменение подхода к распределению бремени доказывания. В ряде случаев законом предусмотрены специальные презумпции, согласно которым предполагается наличие вины контролирующего лица при установлении определенных обстоятельств. Например, отсутствие бухгалтерской документации либо невозможность установить действительное финансовое положение должника может свидетельствовать о недобросовестном поведении руководителя. Вместе с тем такая презумпция не носит безусловного характера. Контролирующее лицо вправе представить доказательства, подтверждающие отсутствие своей вины или наличие объективных причин, препятствовавших исполнению соответствующих обязанностей. Подобный подход позволяет обеспечить разумный баланс интересов кредиторов и лиц, привлекаемых к ответственности. </w:t>
      </w:r>
    </w:p>
    <w:p w14:paraId="1E010000">
      <w:pPr>
        <w:spacing w:after="0" w:line="360" w:lineRule="auto"/>
        <w:ind w:firstLine="851" w:left="0"/>
        <w:jc w:val="both"/>
        <w:rPr>
          <w:rFonts w:ascii="Times New Roman" w:hAnsi="Times New Roman"/>
          <w:sz w:val="28"/>
        </w:rPr>
      </w:pPr>
      <w:r>
        <w:rPr>
          <w:rFonts w:ascii="Times New Roman" w:hAnsi="Times New Roman"/>
          <w:sz w:val="28"/>
        </w:rPr>
        <w:t>Значительную роль в формировании современной практики применения института субсидиарной ответственности сыграли разъяснения Верховного Суда Российской Федерации. В своих правовых позициях Верховный Суд неоднократно обращал внимание на то, что сама по себе неплатежеспособность организации не свидетельствует о противоправном поведении ее руководителя. Предпринимательская деятельность всегда связана с определенным уровнем экономического риска, поэтому ухудшение финансового состояния организации не может автоматически рассматриваться как основание для привлечения к субсидиарной ответственности. При рассмотрении каждого конкретного дела суд обязан установить, действовало ли контролирующее лицо добросовестно и разумно, принимало ли меры по предотвращению негативных последствий и не допускало ли злоупотребления своими полномочиями</w:t>
      </w:r>
      <w:r>
        <w:rPr>
          <w:rStyle w:val="Style_8_ch"/>
          <w:rFonts w:ascii="Times New Roman" w:hAnsi="Times New Roman"/>
          <w:sz w:val="28"/>
        </w:rPr>
        <w:footnoteReference w:id="41"/>
      </w:r>
      <w:r>
        <w:rPr>
          <w:rFonts w:ascii="Times New Roman" w:hAnsi="Times New Roman"/>
          <w:sz w:val="28"/>
        </w:rPr>
        <w:t xml:space="preserve">. </w:t>
      </w:r>
    </w:p>
    <w:p w14:paraId="1F010000">
      <w:pPr>
        <w:spacing w:after="0" w:line="360" w:lineRule="auto"/>
        <w:ind w:firstLine="851" w:left="0"/>
        <w:jc w:val="both"/>
        <w:rPr>
          <w:rFonts w:ascii="Times New Roman" w:hAnsi="Times New Roman"/>
          <w:sz w:val="28"/>
        </w:rPr>
      </w:pPr>
      <w:r>
        <w:rPr>
          <w:rFonts w:ascii="Times New Roman" w:hAnsi="Times New Roman"/>
          <w:sz w:val="28"/>
        </w:rPr>
        <w:t>Практическое значение указанных положений подтверждается материалами судебного дела, положенного в основу настоящего исследования. В рамках дела о банкротстве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заявителем был поставлен вопрос о привлечении контролирующего должника лица к субсидиарной ответственности. Основанием обращения послужило предположение о наличии действий, повлекших невозможность удовлетворения требований кредиторов. Вместе с тем в ходе судебного разбирательства арбитражный суд исследовал представленные доказательства, оценил обстоятельства финансово-хозяйственной деятельности общества и пришел к выводу об отсутствии достаточных оснований для привлечения ответчика к субсидиарной ответственности. Суд установил, что заявителем не доказана совокупность обязательных условий применения данной меры, в частности отсутствовали убедительные доказательства причинно-следственной связи между действиями контролирующего лица и наступившей неплатежеспособностью общества. В </w:t>
      </w:r>
      <w:r>
        <w:rPr>
          <w:rFonts w:ascii="Times New Roman" w:hAnsi="Times New Roman"/>
          <w:sz w:val="28"/>
        </w:rPr>
        <w:t>результате заявление о привлечении к субсидиарной ответственности удовлетворено не было.</w:t>
      </w:r>
    </w:p>
    <w:p w14:paraId="20010000">
      <w:pPr>
        <w:spacing w:after="0" w:line="360" w:lineRule="auto"/>
        <w:ind w:firstLine="851" w:left="0"/>
        <w:jc w:val="both"/>
        <w:rPr>
          <w:rFonts w:ascii="Times New Roman" w:hAnsi="Times New Roman"/>
          <w:sz w:val="28"/>
        </w:rPr>
      </w:pPr>
      <w:r>
        <w:rPr>
          <w:rFonts w:ascii="Times New Roman" w:hAnsi="Times New Roman"/>
          <w:sz w:val="28"/>
        </w:rPr>
        <w:t>Рассматриваемое судебное дело имеет существенное значение для настоящего исследования, поскольку демонстрирует один из основополагающих принципов современного законодательства о банкротстве. Привлечение контролирующего должника лица к субсидиарной ответственности не является автоматическим последствием банкротства организации. Даже при наличии значительной задолженности перед кредиторами суд обязан исследовать все обстоятельства дела, установить фактическое влияние ответчика на деятельность должника, оценить его действия с точки зрения добросовестности и определить наличие причинной связи между поведением контролирующего лица и невозможностью исполнения обязательств. Только совокупность указанных условий позволяет сделать вывод о наличии оснований для применения субсидиарной ответственности.</w:t>
      </w:r>
    </w:p>
    <w:p w14:paraId="21010000">
      <w:pPr>
        <w:spacing w:after="0" w:line="360" w:lineRule="auto"/>
        <w:ind w:firstLine="851" w:left="0"/>
        <w:jc w:val="both"/>
        <w:rPr>
          <w:rFonts w:ascii="Times New Roman" w:hAnsi="Times New Roman"/>
          <w:sz w:val="28"/>
        </w:rPr>
      </w:pPr>
      <w:r>
        <w:rPr>
          <w:rFonts w:ascii="Times New Roman" w:hAnsi="Times New Roman"/>
          <w:sz w:val="28"/>
        </w:rPr>
        <w:t xml:space="preserve">Следует отметить, что развитие судебной практики в последние годы свидетельствует о стремлении обеспечить баланс интересов всех участников процедуры банкротства. С одной стороны, законодательство предоставляет кредиторам эффективный механизм защиты их имущественных прав. С другой стороны, суды исключают возможность необоснованного привлечения к ответственности лиц, которые действовали добросовестно и не способствовали возникновению неплатежеспособности должника. Именно такой подход соответствует принципам гражданского законодательства, закрепляющим необходимость добросовестного осуществления гражданских прав и недопустимость злоупотребления ими. </w:t>
      </w:r>
    </w:p>
    <w:p w14:paraId="22010000">
      <w:pPr>
        <w:spacing w:after="0" w:line="360" w:lineRule="auto"/>
        <w:ind w:firstLine="851" w:left="0"/>
        <w:jc w:val="both"/>
        <w:rPr>
          <w:rFonts w:ascii="Times New Roman" w:hAnsi="Times New Roman"/>
          <w:sz w:val="28"/>
        </w:rPr>
      </w:pPr>
      <w:r>
        <w:rPr>
          <w:rFonts w:ascii="Times New Roman" w:hAnsi="Times New Roman"/>
          <w:sz w:val="28"/>
        </w:rPr>
        <w:t>С</w:t>
      </w:r>
      <w:r>
        <w:rPr>
          <w:rFonts w:ascii="Times New Roman" w:hAnsi="Times New Roman"/>
          <w:sz w:val="28"/>
        </w:rPr>
        <w:t xml:space="preserve">убсидиарная ответственность контролирующих должника лиц представляет собой специальный гражданско-правовой механизм, применяемый в рамках законодательства о несостоятельности (банкротстве) для защиты имущественных интересов кредиторов. Ее применение возможно только при наличии предусмотренных законом оснований и достаточной </w:t>
      </w:r>
      <w:r>
        <w:rPr>
          <w:rFonts w:ascii="Times New Roman" w:hAnsi="Times New Roman"/>
          <w:sz w:val="28"/>
        </w:rPr>
        <w:t xml:space="preserve">совокупности доказательств, подтверждающих противоправное поведение контролирующего лица, наличие причинно-следственной связи между его действиями и невозможностью удовлетворения требований кредиторов. Анализ действующего законодательства и судебной практики показывает, что современный подход к применению субсидиарной ответственности основан на принципах законности, добросовестности и индивидуальной оценки обстоятельств каждого конкретного дела. Именно такой механизм позволяет обеспечить справедливое разрешение споров и одновременно сохранить баланс интересов должника, кредиторов и лиц, осуществлявших управление юридическим лицом. </w:t>
      </w:r>
    </w:p>
    <w:p w14:paraId="23010000">
      <w:bookmarkStart w:id="22" w:name="__RefHeading___21"/>
      <w:bookmarkEnd w:id="22"/>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Выводы по главе 2</w:t>
      </w:r>
    </w:p>
    <w:p w14:paraId="24010000">
      <w:pPr>
        <w:spacing w:after="0" w:line="360" w:lineRule="auto"/>
        <w:ind w:firstLine="851" w:left="0"/>
        <w:jc w:val="both"/>
        <w:rPr>
          <w:rFonts w:ascii="Times New Roman" w:hAnsi="Times New Roman"/>
          <w:sz w:val="28"/>
        </w:rPr>
      </w:pPr>
      <w:r>
        <w:rPr>
          <w:rFonts w:ascii="Times New Roman" w:hAnsi="Times New Roman"/>
          <w:sz w:val="28"/>
        </w:rPr>
        <w:t>Во второй главе исследованы особенности применения субсидиарной ответственности в гражданском праве и законодательстве о несостоятельности (банкротстве). Систематизация норм законодательства позволила выделить основные виды субсидиарной ответственности по основаниям возникновения, субъектному составу и сфере применения. Наиболее сложной разновидностью является субсидиарная ответственность контролирующих должника лиц, поскольку ее применение связано с установлением фактического контроля над деятельностью должника, наличия причинно-следственной связи между действиями контролирующего лица и невозможностью исполнения обязательств, а также оценкой достаточности представленных доказательств.</w:t>
      </w:r>
    </w:p>
    <w:p w14:paraId="25010000">
      <w:pPr>
        <w:spacing w:after="0" w:line="360" w:lineRule="auto"/>
        <w:ind w:firstLine="851" w:left="0"/>
        <w:jc w:val="both"/>
        <w:rPr>
          <w:rFonts w:ascii="Times New Roman" w:hAnsi="Times New Roman"/>
          <w:sz w:val="28"/>
        </w:rPr>
      </w:pPr>
      <w:r>
        <w:rPr>
          <w:rFonts w:ascii="Times New Roman" w:hAnsi="Times New Roman"/>
          <w:sz w:val="28"/>
        </w:rPr>
        <w:t>Исследование материалов, связанных с деятельностью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показало, что ухудшение финансового состояния общества, наличие значительной кредиторской и налоговой задолженности, а также нахождение организации в стадии ликвидации сами по себе не являются достаточным основанием для привлечения контролирующего должника лица к субсидиарной ответственности. Анализ судебного дела подтвердил, что ключевое значение имеют установление совокупности предусмотренных законом условий и надлежащая доказательственная база. Именно отсутствие достаточных доказательств причинно-следственной связи между действиями </w:t>
      </w:r>
      <w:r>
        <w:rPr>
          <w:rFonts w:ascii="Times New Roman" w:hAnsi="Times New Roman"/>
          <w:sz w:val="28"/>
        </w:rPr>
        <w:t>контролирующего лица и наступившей неплатежеспособностью стало основанием для отказа в удовлетворении требований о привлечении к субсидиарной ответственности.</w:t>
      </w:r>
    </w:p>
    <w:p w14:paraId="26010000">
      <w:pPr>
        <w:spacing w:after="0" w:line="360" w:lineRule="auto"/>
        <w:ind w:firstLine="851" w:left="0"/>
        <w:jc w:val="both"/>
        <w:rPr>
          <w:rFonts w:ascii="Times New Roman" w:hAnsi="Times New Roman"/>
          <w:sz w:val="28"/>
        </w:rPr>
      </w:pPr>
      <w:r>
        <w:rPr>
          <w:rFonts w:ascii="Times New Roman" w:hAnsi="Times New Roman"/>
          <w:sz w:val="28"/>
        </w:rPr>
        <w:t>Полученные результаты подтверждают, что институт субсидиарной ответственности в делах о банкротстве обладает самостоятельными особенностями правового регулирования и требует комплексного применения норм гражданского законодательства и законодательства о несостоятельности.</w:t>
      </w:r>
    </w:p>
    <w:p w14:paraId="27010000">
      <w:pPr>
        <w:rPr>
          <w:rFonts w:ascii="Times New Roman" w:hAnsi="Times New Roman"/>
          <w:b w:val="1"/>
          <w:color w:themeColor="text1" w:val="000000"/>
          <w:sz w:val="32"/>
        </w:rPr>
      </w:pPr>
      <w:r>
        <w:rPr>
          <w:rFonts w:ascii="Times New Roman" w:hAnsi="Times New Roman"/>
          <w:b w:val="1"/>
          <w:color w:themeColor="text1" w:val="000000"/>
        </w:rPr>
        <w:br w:type="page"/>
      </w:r>
    </w:p>
    <w:p w14:paraId="28010000">
      <w:bookmarkStart w:id="23" w:name="__RefHeading___22"/>
      <w:bookmarkEnd w:id="23"/>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ГЛАВА 3. ОСОБЕННОСТИ СУБСИДИАРНОЙ ОТВЕТСТВЕННОСТИ ФИЗИЧЕСКИХ, ЮРИДИЧЕСКИХ ЛИЦ И ПУБЛИЧНО-ПРАВОВЫХ ОБРАЗОВАНИЙ</w:t>
      </w:r>
    </w:p>
    <w:p w14:paraId="29010000">
      <w:bookmarkStart w:id="24" w:name="__RefHeading___23"/>
      <w:bookmarkEnd w:id="24"/>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3.1 Особенности субсидиарной ответственности физических и юридических лиц</w:t>
      </w:r>
    </w:p>
    <w:p w14:paraId="2A010000">
      <w:pPr>
        <w:spacing w:after="0" w:line="360" w:lineRule="auto"/>
        <w:ind w:firstLine="851" w:left="0"/>
        <w:jc w:val="both"/>
        <w:rPr>
          <w:rFonts w:ascii="Times New Roman" w:hAnsi="Times New Roman"/>
          <w:sz w:val="28"/>
        </w:rPr>
      </w:pPr>
      <w:r>
        <w:rPr>
          <w:rFonts w:ascii="Times New Roman" w:hAnsi="Times New Roman"/>
          <w:sz w:val="28"/>
        </w:rPr>
        <w:t>Субсидиарная ответственность физических и юридических лиц является одной из наиболее сложных конструкций современного гражданского права, поскольку предполагает возложение обязанности по исполнению обязательств не на основного должника, а на иное лицо, прямо указанное в законе или договоре. Несмотря на единые принципы, закрепленные в статье 399 Гражданского кодекса Российской Федерации, особенности применения данного института существенно различаются в зависимости от того, кто выступает субъектом дополнительной ответственности</w:t>
      </w:r>
      <w:r>
        <w:rPr>
          <w:rFonts w:ascii="Times New Roman" w:hAnsi="Times New Roman"/>
          <w:sz w:val="28"/>
        </w:rPr>
        <w:t xml:space="preserve">, что </w:t>
      </w:r>
      <w:r>
        <w:rPr>
          <w:rFonts w:ascii="Times New Roman" w:hAnsi="Times New Roman"/>
          <w:sz w:val="28"/>
        </w:rPr>
        <w:t xml:space="preserve">обусловлено различным правовым статусом физических и юридических лиц, объемом их гражданской правоспособности, характером участия в гражданском обороте и основаниями возникновения соответствующей обязанности. </w:t>
      </w:r>
    </w:p>
    <w:p w14:paraId="2B010000">
      <w:pPr>
        <w:spacing w:after="0" w:line="360" w:lineRule="auto"/>
        <w:ind w:firstLine="851" w:left="0"/>
        <w:jc w:val="both"/>
        <w:rPr>
          <w:rFonts w:ascii="Times New Roman" w:hAnsi="Times New Roman"/>
          <w:sz w:val="28"/>
        </w:rPr>
      </w:pPr>
      <w:r>
        <w:rPr>
          <w:rFonts w:ascii="Times New Roman" w:hAnsi="Times New Roman"/>
          <w:sz w:val="28"/>
        </w:rPr>
        <w:t>Е. Е. Богданова отмечает, что субсидиарная ответственность физических лиц традиционно рассматривается как исключение из принципа самостоятельной имущественной ответственности участников гражданских правоотношений. По мнению автора, возможность возложения дополнительных обязанностей на гражданина должна быть прямо предусмотрена законом либо договором, поскольку подобное ограничение имущественной самостоятельности требует специального правового основания</w:t>
      </w:r>
      <w:r>
        <w:rPr>
          <w:rStyle w:val="Style_8_ch"/>
          <w:rFonts w:ascii="Times New Roman" w:hAnsi="Times New Roman"/>
          <w:sz w:val="28"/>
        </w:rPr>
        <w:footnoteReference w:id="42"/>
      </w:r>
      <w:r>
        <w:rPr>
          <w:rFonts w:ascii="Times New Roman" w:hAnsi="Times New Roman"/>
          <w:sz w:val="28"/>
        </w:rPr>
        <w:t xml:space="preserve">.  Аналогичной позиции придерживается Б. М. </w:t>
      </w:r>
      <w:r>
        <w:rPr>
          <w:rFonts w:ascii="Times New Roman" w:hAnsi="Times New Roman"/>
          <w:sz w:val="28"/>
        </w:rPr>
        <w:t>Гонгало</w:t>
      </w:r>
      <w:r>
        <w:rPr>
          <w:rFonts w:ascii="Times New Roman" w:hAnsi="Times New Roman"/>
          <w:sz w:val="28"/>
        </w:rPr>
        <w:t xml:space="preserve">, который указывает, что применение субсидиарной ответственности допустимо только </w:t>
      </w:r>
      <w:r>
        <w:rPr>
          <w:rFonts w:ascii="Times New Roman" w:hAnsi="Times New Roman"/>
          <w:sz w:val="28"/>
        </w:rPr>
        <w:t>при строгом соблюдении требований гражданского законодательства и не может основываться на расширительном толковании правовых норм</w:t>
      </w:r>
      <w:r>
        <w:rPr>
          <w:rStyle w:val="Style_8_ch"/>
          <w:rFonts w:ascii="Times New Roman" w:hAnsi="Times New Roman"/>
          <w:sz w:val="28"/>
        </w:rPr>
        <w:footnoteReference w:id="43"/>
      </w:r>
      <w:r>
        <w:rPr>
          <w:rFonts w:ascii="Times New Roman" w:hAnsi="Times New Roman"/>
          <w:sz w:val="28"/>
        </w:rPr>
        <w:t>.</w:t>
      </w:r>
    </w:p>
    <w:p w14:paraId="2C010000">
      <w:pPr>
        <w:spacing w:after="0" w:line="360" w:lineRule="auto"/>
        <w:ind w:firstLine="851" w:left="0"/>
        <w:jc w:val="both"/>
        <w:rPr>
          <w:rFonts w:ascii="Times New Roman" w:hAnsi="Times New Roman"/>
          <w:sz w:val="28"/>
        </w:rPr>
      </w:pPr>
      <w:r>
        <w:rPr>
          <w:rFonts w:ascii="Times New Roman" w:hAnsi="Times New Roman"/>
          <w:sz w:val="28"/>
        </w:rPr>
        <w:t xml:space="preserve">На практике физические лица чаще всего привлекаются к субсидиарной ответственности в качестве поручителей, участников отдельных организационно-правовых форм юридических лиц, собственников имущества учреждений, а также контролирующих должника лиц при банкротстве организаций. При этом объем ответственности определяется характером возникшего обязательства и специальными нормами законодательства. Если в обычных гражданско-правовых отношениях дополнительная ответственность возникает преимущественно в силу договора либо прямого указания закона, то в делах о несостоятельности (банкротстве) она обусловлена неправомерным поведением лица, фактически осуществлявшего контроль над деятельностью должника. </w:t>
      </w:r>
    </w:p>
    <w:p w14:paraId="2D010000">
      <w:pPr>
        <w:spacing w:after="0" w:line="360" w:lineRule="auto"/>
        <w:ind w:firstLine="851" w:left="0"/>
        <w:jc w:val="both"/>
        <w:rPr>
          <w:rFonts w:ascii="Times New Roman" w:hAnsi="Times New Roman"/>
          <w:sz w:val="28"/>
        </w:rPr>
      </w:pPr>
      <w:r>
        <w:rPr>
          <w:rFonts w:ascii="Times New Roman" w:hAnsi="Times New Roman"/>
          <w:sz w:val="28"/>
        </w:rPr>
        <w:t>Особое место занимает субсидиарная ответственность руководителей и участников хозяйственных обществ. Общим правилом гражданского законодательства является имущественная обособленность юридического лица, закрепленная в статье 56 Гражданского кодекса Российской Федерации. Согласно данной норме юридическое лицо самостоятельно отвечает по своим обязательствам принадлежащим ему имуществом, а его участники не отвечают по долгам организации, если иное не установлено законом. Вместе с тем законодатель предусмотрел исключения из данного принципа, позволяющие возложить дополнительную ответственность на физических лиц, если их действия привели к нарушению прав кредиторов.</w:t>
      </w:r>
    </w:p>
    <w:p w14:paraId="2E010000">
      <w:pPr>
        <w:spacing w:after="0" w:line="360" w:lineRule="auto"/>
        <w:ind w:firstLine="851" w:left="0"/>
        <w:jc w:val="both"/>
        <w:rPr>
          <w:rFonts w:ascii="Times New Roman" w:hAnsi="Times New Roman"/>
          <w:sz w:val="28"/>
        </w:rPr>
      </w:pPr>
      <w:r>
        <w:rPr>
          <w:rFonts w:ascii="Times New Roman" w:hAnsi="Times New Roman"/>
          <w:sz w:val="28"/>
        </w:rPr>
        <w:t xml:space="preserve">О. В. Гутников обращает внимание, что именно развитие корпоративного законодательства и законодательства о банкротстве существенно изменило содержание института субсидиарной ответственности. Если ранее ответственность участников юридического лица носила исключительный характер, то в настоящее время она рассматривается как </w:t>
      </w:r>
      <w:r>
        <w:rPr>
          <w:rFonts w:ascii="Times New Roman" w:hAnsi="Times New Roman"/>
          <w:sz w:val="28"/>
        </w:rPr>
        <w:t>один из эффективных способов восстановления нарушенных имущественных прав кредиторов. Вместе с тем исследователь подчеркивает, что само по себе ухудшение финансового положения организации еще не свидетельствует о наличии оснований для привлечения контролирующего лица к ответственности. Необходимо установить противоправность поведения, причинно-следственную связь между действиями лица и наступившими последствиями, а также наличие его вины</w:t>
      </w:r>
      <w:r>
        <w:rPr>
          <w:rStyle w:val="Style_8_ch"/>
          <w:rFonts w:ascii="Times New Roman" w:hAnsi="Times New Roman"/>
          <w:sz w:val="28"/>
        </w:rPr>
        <w:footnoteReference w:id="44"/>
      </w:r>
      <w:r>
        <w:rPr>
          <w:rFonts w:ascii="Times New Roman" w:hAnsi="Times New Roman"/>
          <w:sz w:val="28"/>
        </w:rPr>
        <w:t xml:space="preserve">. </w:t>
      </w:r>
    </w:p>
    <w:p w14:paraId="2F010000">
      <w:pPr>
        <w:spacing w:after="0" w:line="360" w:lineRule="auto"/>
        <w:ind w:firstLine="851" w:left="0"/>
        <w:jc w:val="both"/>
        <w:rPr>
          <w:rFonts w:ascii="Times New Roman" w:hAnsi="Times New Roman"/>
          <w:sz w:val="28"/>
        </w:rPr>
      </w:pPr>
      <w:r>
        <w:rPr>
          <w:rFonts w:ascii="Times New Roman" w:hAnsi="Times New Roman"/>
          <w:sz w:val="28"/>
        </w:rPr>
        <w:t xml:space="preserve">Юридические лица также могут выступать субъектами субсидиарной ответственности. Наиболее распространенными примерами являются случаи ответственности основного общества по обязательствам дочернего общества, а также ответственность собственников имущества отдельных юридических лиц в случаях, прямо предусмотренных законодательством. Однако подобные ситуации встречаются значительно реже, чем привлечение к ответственности физических лиц, поскольку именно последние принимают управленческие решения, определяющие финансовое состояние организации. </w:t>
      </w:r>
    </w:p>
    <w:p w14:paraId="30010000">
      <w:pPr>
        <w:spacing w:after="0" w:line="360" w:lineRule="auto"/>
        <w:ind w:firstLine="851" w:left="0"/>
        <w:jc w:val="both"/>
        <w:rPr>
          <w:rFonts w:ascii="Times New Roman" w:hAnsi="Times New Roman"/>
          <w:sz w:val="28"/>
        </w:rPr>
      </w:pPr>
      <w:r>
        <w:rPr>
          <w:rFonts w:ascii="Times New Roman" w:hAnsi="Times New Roman"/>
          <w:sz w:val="28"/>
        </w:rPr>
        <w:t xml:space="preserve">Е. В. Кротова отмечает, что при определении субъекта субсидиарной ответственности необходимо учитывать не только его юридический статус, но и фактическое влияние на деятельность должника. По мнению автора, современная судебная практика постепенно отходит от формального понимания руководителя организации и все чаще исследует вопрос о том, кто в действительности принимал решения, влияющие на финансовое положение юридического лица. Такой подход позволяет исключить ситуации, когда реальные выгодоприобретатели освобождаются от ответственности, прикрываясь назначением номинальных директоров. </w:t>
      </w:r>
    </w:p>
    <w:p w14:paraId="31010000">
      <w:pPr>
        <w:spacing w:after="0" w:line="360" w:lineRule="auto"/>
        <w:ind w:firstLine="851" w:left="0"/>
        <w:jc w:val="both"/>
        <w:rPr>
          <w:rFonts w:ascii="Times New Roman" w:hAnsi="Times New Roman"/>
          <w:sz w:val="28"/>
        </w:rPr>
      </w:pPr>
      <w:r>
        <w:rPr>
          <w:rFonts w:ascii="Times New Roman" w:hAnsi="Times New Roman"/>
          <w:sz w:val="28"/>
        </w:rPr>
        <w:t>Особенности привлечения физических лиц к субсидиарной ответственности наглядно проявились при рассмотрении дела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Как установлено в ходе исследования, единственным участником общества и его генеральным директором являлся Е. А. Зырянов. Таким </w:t>
      </w:r>
      <w:r>
        <w:rPr>
          <w:rFonts w:ascii="Times New Roman" w:hAnsi="Times New Roman"/>
          <w:sz w:val="28"/>
        </w:rPr>
        <w:t>образом, функции собственника бизнеса и единоличного исполнительного органа были сосредоточены в одном лице, что свидетельствовало о наличии полного корпоративного контроля над деятельностью общества. Вместе с тем сам факт осуществления такого контроля не является достаточным основанием для привлечения к субсидиарной ответственности. Арбитражный суд исследовал представленные доказательства и пришел к выводу о том, что заявителем не подтверждена совокупность обстоятельств, необходимых для возложения дополнительной имущественной ответственности на контролирующее лицо. Данный пример подтверждает, что наличие статуса руководителя либо единственного участника общества само по себе не влечет автоматического возникновения субсидиарной ответственности.</w:t>
      </w:r>
    </w:p>
    <w:p w14:paraId="32010000">
      <w:pPr>
        <w:spacing w:after="0" w:line="360" w:lineRule="auto"/>
        <w:ind w:firstLine="851" w:left="0"/>
        <w:jc w:val="both"/>
        <w:rPr>
          <w:rFonts w:ascii="Times New Roman" w:hAnsi="Times New Roman"/>
          <w:sz w:val="28"/>
        </w:rPr>
      </w:pPr>
      <w:r>
        <w:rPr>
          <w:rFonts w:ascii="Times New Roman" w:hAnsi="Times New Roman"/>
          <w:sz w:val="28"/>
        </w:rPr>
        <w:t>Анализ финансового состояния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свидетельствует о существенном ухудшении его экономического положения. Сокращение выручки с 544 млн рублей до 30 тыс. рублей, практически полное прекращение хозяйственной деятельности, значительная налоговая задолженность и наличие многочисленных исполнительных производств объективно свидетельствовали о наличии признаков финансовой несостоятельности. Однако, как показывает судебная практика, даже столь неблагоприятное финансовое положение организации не освобождает заявителя от обязанности доказать наличие причинно-следственной связи между действиями контролирующего лица и невозможностью удовлетворения требований кредиторов. Именно недостаточность такой доказательственной базы стала одной из причин отказа в удовлетворении заявления о привлечении к субсидиарной ответственности по рассматриваемому делу.</w:t>
      </w:r>
    </w:p>
    <w:p w14:paraId="33010000">
      <w:pPr>
        <w:spacing w:after="0" w:line="360" w:lineRule="auto"/>
        <w:ind w:firstLine="851" w:left="0"/>
        <w:jc w:val="both"/>
        <w:rPr>
          <w:rFonts w:ascii="Times New Roman" w:hAnsi="Times New Roman"/>
          <w:sz w:val="28"/>
        </w:rPr>
      </w:pPr>
      <w:r>
        <w:rPr>
          <w:rFonts w:ascii="Times New Roman" w:hAnsi="Times New Roman"/>
          <w:sz w:val="28"/>
        </w:rPr>
        <w:t xml:space="preserve">По мнению С. Н. </w:t>
      </w:r>
      <w:r>
        <w:rPr>
          <w:rFonts w:ascii="Times New Roman" w:hAnsi="Times New Roman"/>
          <w:sz w:val="28"/>
        </w:rPr>
        <w:t>Белясова</w:t>
      </w:r>
      <w:r>
        <w:rPr>
          <w:rFonts w:ascii="Times New Roman" w:hAnsi="Times New Roman"/>
          <w:sz w:val="28"/>
        </w:rPr>
        <w:t xml:space="preserve"> и </w:t>
      </w:r>
      <w:r>
        <w:rPr>
          <w:rFonts w:ascii="Times New Roman" w:hAnsi="Times New Roman"/>
          <w:sz w:val="28"/>
        </w:rPr>
        <w:t>И</w:t>
      </w:r>
      <w:r>
        <w:rPr>
          <w:rFonts w:ascii="Times New Roman" w:hAnsi="Times New Roman"/>
          <w:sz w:val="28"/>
        </w:rPr>
        <w:t xml:space="preserve">. В. Щербининой, главной особенностью субсидиарной ответственности физических лиц в процедурах банкротства является необходимость оценки не только их юридического статуса, но и характера фактически принимаемых решений. Авторы отмечают, что современная судебная практика ориентирована на выявление реального </w:t>
      </w:r>
      <w:r>
        <w:rPr>
          <w:rFonts w:ascii="Times New Roman" w:hAnsi="Times New Roman"/>
          <w:sz w:val="28"/>
        </w:rPr>
        <w:t>влияния лица на деятельность должника, а не только на исследование сведений, содержащихся в Едином государственном реестре юридических лиц.  С данной позицией следует согласиться, поскольку именно она обеспечивает возможность привлечения к ответственности лиц, действительно определявших деятельность организации.</w:t>
      </w:r>
    </w:p>
    <w:p w14:paraId="34010000">
      <w:pPr>
        <w:spacing w:after="0" w:line="360" w:lineRule="auto"/>
        <w:ind w:firstLine="851" w:left="0"/>
        <w:jc w:val="both"/>
        <w:rPr>
          <w:rFonts w:ascii="Times New Roman" w:hAnsi="Times New Roman"/>
          <w:sz w:val="28"/>
        </w:rPr>
      </w:pPr>
      <w:r>
        <w:rPr>
          <w:rFonts w:ascii="Times New Roman" w:hAnsi="Times New Roman"/>
          <w:sz w:val="28"/>
        </w:rPr>
        <w:t>О</w:t>
      </w:r>
      <w:r>
        <w:rPr>
          <w:rFonts w:ascii="Times New Roman" w:hAnsi="Times New Roman"/>
          <w:sz w:val="28"/>
        </w:rPr>
        <w:t>собенности субсидиарной ответственности физических и юридических лиц обусловлены различием их правового положения и характером участия в гражданских правоотношениях. Если ответственность юридических лиц в большинстве случаев основана на специальных нормах гражданского законодательства, то привлечение физических лиц, особенно руководителей и участников организаций, требует установления совокупности юридически значимых обстоятельств, подтверждающих их влияние на деятельность должника. Анализ дела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подтверждает, что современная судебная практика исходит из необходимости всестороннего исследования доказательств и не допускает автоматического возложения субсидиарной ответственности исключительно на основании статуса руководителя или участника общества. Такой подход соответствует принципам гражданского законодательства и обеспечивает баланс интересов кредиторов и лиц, привлекаемых к дополнительной имущественной ответственности.</w:t>
      </w:r>
    </w:p>
    <w:p w14:paraId="35010000">
      <w:pPr>
        <w:spacing w:after="0" w:line="360" w:lineRule="auto"/>
        <w:ind w:firstLine="851" w:left="0"/>
        <w:jc w:val="both"/>
        <w:rPr>
          <w:rFonts w:ascii="Times New Roman" w:hAnsi="Times New Roman"/>
          <w:sz w:val="28"/>
        </w:rPr>
      </w:pPr>
    </w:p>
    <w:p w14:paraId="36010000">
      <w:pPr>
        <w:spacing w:after="0" w:line="360" w:lineRule="auto"/>
        <w:ind w:firstLine="851" w:left="0"/>
        <w:jc w:val="both"/>
        <w:rPr>
          <w:rFonts w:ascii="Times New Roman" w:hAnsi="Times New Roman"/>
          <w:sz w:val="28"/>
        </w:rPr>
      </w:pPr>
    </w:p>
    <w:p w14:paraId="37010000"/>
    <w:p w14:paraId="38010000">
      <w:bookmarkStart w:id="25" w:name="__RefHeading___24"/>
      <w:bookmarkEnd w:id="25"/>
      <w:pPr>
        <w:pStyle w:val="Style_7"/>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3.2 Особенности субсидиарной ответственности публично-правовых образований</w:t>
      </w:r>
    </w:p>
    <w:p w14:paraId="39010000">
      <w:pPr>
        <w:spacing w:after="0" w:line="360" w:lineRule="auto"/>
        <w:ind w:firstLine="851" w:left="0"/>
        <w:jc w:val="both"/>
        <w:rPr>
          <w:sz w:val="28"/>
        </w:rPr>
      </w:pPr>
    </w:p>
    <w:p w14:paraId="3A010000">
      <w:pPr>
        <w:spacing w:after="0" w:line="360" w:lineRule="auto"/>
        <w:ind w:firstLine="851" w:left="0"/>
        <w:jc w:val="both"/>
        <w:rPr>
          <w:rFonts w:ascii="Times New Roman" w:hAnsi="Times New Roman"/>
          <w:sz w:val="28"/>
        </w:rPr>
      </w:pPr>
      <w:r>
        <w:rPr>
          <w:rFonts w:ascii="Times New Roman" w:hAnsi="Times New Roman"/>
          <w:sz w:val="28"/>
        </w:rPr>
        <w:t xml:space="preserve">Публично-правовые образования являются самостоятельными участниками гражданских правоотношений и в соответствии со статьей 124 Гражданского кодекса Российской Федерации выступают в гражданском обороте наравне с иными субъектами гражданского права. Российская </w:t>
      </w:r>
      <w:r>
        <w:rPr>
          <w:rFonts w:ascii="Times New Roman" w:hAnsi="Times New Roman"/>
          <w:sz w:val="28"/>
        </w:rPr>
        <w:t xml:space="preserve">Федерация, субъекты Российской Федерации и муниципальные образования могут приобретать имущественные права, принимать на себя гражданско-правовые обязанности, быть истцами и ответчиками в суде. Вместе с тем их правовой статус имеет ряд особенностей, обусловленных сочетанием публично-властных полномочий и участия в имущественных отношениях, что отражается и на применении института субсидиарной ответственности. </w:t>
      </w:r>
    </w:p>
    <w:p w14:paraId="3B010000">
      <w:pPr>
        <w:spacing w:after="0" w:line="360" w:lineRule="auto"/>
        <w:ind w:firstLine="851" w:left="0"/>
        <w:jc w:val="both"/>
        <w:rPr>
          <w:rFonts w:ascii="Times New Roman" w:hAnsi="Times New Roman"/>
          <w:sz w:val="28"/>
        </w:rPr>
      </w:pPr>
      <w:r>
        <w:rPr>
          <w:rFonts w:ascii="Times New Roman" w:hAnsi="Times New Roman"/>
          <w:sz w:val="28"/>
        </w:rPr>
        <w:t xml:space="preserve">По мнению Б. М. </w:t>
      </w:r>
      <w:r>
        <w:rPr>
          <w:rFonts w:ascii="Times New Roman" w:hAnsi="Times New Roman"/>
          <w:sz w:val="28"/>
        </w:rPr>
        <w:t>Гонгало</w:t>
      </w:r>
      <w:r>
        <w:rPr>
          <w:rFonts w:ascii="Times New Roman" w:hAnsi="Times New Roman"/>
          <w:sz w:val="28"/>
        </w:rPr>
        <w:t xml:space="preserve">, участие публично-правовых образований в гражданских правоотношениях должно строиться на принципе юридического равенства сторон, однако наличие публичных функций обусловливает существование специальных правил, регулирующих объем и основания их имущественной ответственности. Автор отмечает, что субсидиарная ответственность государства не может рассматриваться как универсальный механизм исполнения обязательств государственных организаций, поскольку ее применение допускается исключительно в случаях, прямо предусмотренных законодательством. </w:t>
      </w:r>
    </w:p>
    <w:p w14:paraId="3C010000">
      <w:pPr>
        <w:spacing w:after="0" w:line="360" w:lineRule="auto"/>
        <w:ind w:firstLine="851" w:left="0"/>
        <w:jc w:val="both"/>
        <w:rPr>
          <w:rFonts w:ascii="Times New Roman" w:hAnsi="Times New Roman"/>
          <w:sz w:val="28"/>
        </w:rPr>
      </w:pPr>
      <w:r>
        <w:rPr>
          <w:rFonts w:ascii="Times New Roman" w:hAnsi="Times New Roman"/>
          <w:sz w:val="28"/>
        </w:rPr>
        <w:t>Е. В. Кротова также указывает, что субсидиарная ответственность публично-правовых образований имеет исключительный характер. В отличие от физических и юридических лиц государство не отвечает по обязательствам созданных им юридических лиц автоматически. Возложение дополнительной имущественной ответственности возможно только при наличии специальных норм закона, поскольку имущественная самостоятельность юридических лиц является одним из основополагающих принципов гражданского законодательства</w:t>
      </w:r>
      <w:r>
        <w:rPr>
          <w:rStyle w:val="Style_8_ch"/>
          <w:rFonts w:ascii="Times New Roman" w:hAnsi="Times New Roman"/>
          <w:sz w:val="28"/>
        </w:rPr>
        <w:footnoteReference w:id="45"/>
      </w:r>
      <w:r>
        <w:rPr>
          <w:rFonts w:ascii="Times New Roman" w:hAnsi="Times New Roman"/>
          <w:sz w:val="28"/>
        </w:rPr>
        <w:t xml:space="preserve">. </w:t>
      </w:r>
    </w:p>
    <w:p w14:paraId="3D010000">
      <w:pPr>
        <w:spacing w:after="0" w:line="360" w:lineRule="auto"/>
        <w:ind w:firstLine="851" w:left="0"/>
        <w:jc w:val="both"/>
        <w:rPr>
          <w:rFonts w:ascii="Times New Roman" w:hAnsi="Times New Roman"/>
          <w:sz w:val="28"/>
        </w:rPr>
      </w:pPr>
      <w:r>
        <w:rPr>
          <w:rFonts w:ascii="Times New Roman" w:hAnsi="Times New Roman"/>
          <w:sz w:val="28"/>
        </w:rPr>
        <w:t xml:space="preserve">Наиболее распространенным примером является ответственность собственника имущества казенного учреждения. В соответствии с положениями Гражданского кодекса Российской Федерации при недостаточности денежных средств казенного учреждения субсидиарную ответственность по его обязательствам несет собственник имущества, </w:t>
      </w:r>
      <w:r>
        <w:rPr>
          <w:rFonts w:ascii="Times New Roman" w:hAnsi="Times New Roman"/>
          <w:sz w:val="28"/>
        </w:rPr>
        <w:t xml:space="preserve">которым выступает соответствующее публично-правовое образование. Такая конструкция обусловлена тем, что имущество казенного учреждения фактически остается в государственной или муниципальной собственности, а само учреждение обладает ограниченной имущественной самостоятельностью. </w:t>
      </w:r>
    </w:p>
    <w:p w14:paraId="3E010000">
      <w:pPr>
        <w:spacing w:after="0" w:line="360" w:lineRule="auto"/>
        <w:ind w:firstLine="851" w:left="0"/>
        <w:jc w:val="both"/>
        <w:rPr>
          <w:rFonts w:ascii="Times New Roman" w:hAnsi="Times New Roman"/>
          <w:sz w:val="28"/>
        </w:rPr>
      </w:pPr>
      <w:r>
        <w:rPr>
          <w:rFonts w:ascii="Times New Roman" w:hAnsi="Times New Roman"/>
          <w:sz w:val="28"/>
        </w:rPr>
        <w:t>Иной подход применяется к бюджетным и автономным учреждениям. Законодатель значительно расширил их имущественную самостоятельность, вследствие чего публично-правовые образования по общему правилу не несут субсидиарной ответственности по обязательствам таких организаций. Исключения допускаются лишь в случаях, прямо предусмотренных федеральным законодательством. Подобное разграничение обусловлено стремлением обеспечить самостоятельность учреждений при осуществлении хозяйственной деятельности и одновременно ограничить имущественные риски государства и муниципальных образований.</w:t>
      </w:r>
    </w:p>
    <w:p w14:paraId="3F010000">
      <w:pPr>
        <w:spacing w:after="0" w:line="360" w:lineRule="auto"/>
        <w:ind w:firstLine="851" w:left="0"/>
        <w:jc w:val="both"/>
        <w:rPr>
          <w:rFonts w:ascii="Times New Roman" w:hAnsi="Times New Roman"/>
          <w:sz w:val="28"/>
        </w:rPr>
      </w:pPr>
      <w:r>
        <w:rPr>
          <w:rFonts w:ascii="Times New Roman" w:hAnsi="Times New Roman"/>
          <w:sz w:val="28"/>
        </w:rPr>
        <w:t>О. В. Гутников обращает внимание, что особенности субсидиарной ответственности публично-правовых образований непосредственно связаны с принципом разграничения имущественной ответственности участников гражданских правоотношений. По мнению автора, государство не должно нести ответственность за деятельность каждого созданного им юридического лица, поскольку это противоречило бы принципу имущественной обособленности организаций. Именно поэтому законодатель использует механизм субсидиарной ответственности только в отношении отдельных категорий юридических лиц, имущественная самостоятельность которых объективно ограничена</w:t>
      </w:r>
      <w:r>
        <w:rPr>
          <w:rStyle w:val="Style_8_ch"/>
          <w:rFonts w:ascii="Times New Roman" w:hAnsi="Times New Roman"/>
          <w:sz w:val="28"/>
        </w:rPr>
        <w:footnoteReference w:id="46"/>
      </w:r>
      <w:r>
        <w:rPr>
          <w:rFonts w:ascii="Times New Roman" w:hAnsi="Times New Roman"/>
          <w:sz w:val="28"/>
        </w:rPr>
        <w:t xml:space="preserve">. </w:t>
      </w:r>
    </w:p>
    <w:p w14:paraId="40010000">
      <w:pPr>
        <w:spacing w:after="0" w:line="360" w:lineRule="auto"/>
        <w:ind w:firstLine="851" w:left="0"/>
        <w:jc w:val="both"/>
        <w:rPr>
          <w:rFonts w:ascii="Times New Roman" w:hAnsi="Times New Roman"/>
          <w:sz w:val="28"/>
        </w:rPr>
      </w:pPr>
      <w:r>
        <w:rPr>
          <w:rFonts w:ascii="Times New Roman" w:hAnsi="Times New Roman"/>
          <w:sz w:val="28"/>
        </w:rPr>
        <w:t xml:space="preserve">Особого внимания заслуживает вопрос о соотношении субсидиарной ответственности публично-правовых образований и законодательства о несостоятельности (банкротстве). В отличие от контролирующих должника лиц государство не может быть привлечено к субсидиарной ответственности </w:t>
      </w:r>
      <w:r>
        <w:rPr>
          <w:rFonts w:ascii="Times New Roman" w:hAnsi="Times New Roman"/>
          <w:sz w:val="28"/>
        </w:rPr>
        <w:t xml:space="preserve">лишь по причине участия в создании юридического лица либо осуществления контрольных функций. Необходимо наличие предусмотренной законом обязанности отвечать по обязательствам соответствующей организации. Поэтому применение положений главы </w:t>
      </w:r>
      <w:r>
        <w:rPr>
          <w:rFonts w:ascii="Times New Roman" w:hAnsi="Times New Roman"/>
          <w:sz w:val="28"/>
        </w:rPr>
        <w:t>III.2</w:t>
      </w:r>
      <w:r>
        <w:rPr>
          <w:rFonts w:ascii="Times New Roman" w:hAnsi="Times New Roman"/>
          <w:sz w:val="28"/>
        </w:rPr>
        <w:t xml:space="preserve"> Федерального закона «О несостоятельности (банкротстве)» к публично-правовым образованиям имеет ограниченный характер и встречается значительно реже, чем привлечение к ответственности физических лиц </w:t>
      </w:r>
      <w:r>
        <w:rPr>
          <w:rFonts w:ascii="Times New Roman" w:hAnsi="Times New Roman"/>
          <w:sz w:val="28"/>
        </w:rPr>
        <w:t>-</w:t>
      </w:r>
      <w:r>
        <w:rPr>
          <w:rFonts w:ascii="Times New Roman" w:hAnsi="Times New Roman"/>
          <w:sz w:val="28"/>
        </w:rPr>
        <w:t xml:space="preserve"> руководителей, участников и иных контролирующих должника лиц</w:t>
      </w:r>
      <w:r>
        <w:rPr>
          <w:rStyle w:val="Style_8_ch"/>
          <w:rFonts w:ascii="Times New Roman" w:hAnsi="Times New Roman"/>
          <w:sz w:val="28"/>
        </w:rPr>
        <w:footnoteReference w:id="47"/>
      </w:r>
      <w:r>
        <w:rPr>
          <w:rFonts w:ascii="Times New Roman" w:hAnsi="Times New Roman"/>
          <w:sz w:val="28"/>
        </w:rPr>
        <w:t xml:space="preserve">. </w:t>
      </w:r>
    </w:p>
    <w:p w14:paraId="41010000">
      <w:pPr>
        <w:spacing w:after="0" w:line="360" w:lineRule="auto"/>
        <w:ind w:firstLine="851" w:left="0"/>
        <w:jc w:val="both"/>
        <w:rPr>
          <w:rFonts w:ascii="Times New Roman" w:hAnsi="Times New Roman"/>
          <w:sz w:val="28"/>
        </w:rPr>
      </w:pPr>
      <w:r>
        <w:rPr>
          <w:rFonts w:ascii="Times New Roman" w:hAnsi="Times New Roman"/>
          <w:sz w:val="28"/>
        </w:rPr>
        <w:t xml:space="preserve">Д. В. </w:t>
      </w:r>
      <w:r>
        <w:rPr>
          <w:rFonts w:ascii="Times New Roman" w:hAnsi="Times New Roman"/>
          <w:sz w:val="28"/>
        </w:rPr>
        <w:t>Добрачев</w:t>
      </w:r>
      <w:r>
        <w:rPr>
          <w:rFonts w:ascii="Times New Roman" w:hAnsi="Times New Roman"/>
          <w:sz w:val="28"/>
        </w:rPr>
        <w:t xml:space="preserve"> отмечает, что современная судебная практика исходит из необходимости строгого разграничения ответственности государства и ответственности юридических лиц, созданных с его участием. Сам факт участия публично-правового образования в учреждении организации либо осуществления отдельных контрольных полномочий не свидетельствует о возникновении обязанности отвечать по долгам такого юридического лица. Суд обязан установить наличие специального нормативного основания для применения субсидиарной ответственности, поскольку расширительное толкование соответствующих норм способно нарушить принцип самостоятельной имущественной ответственности участников гражданского оборота</w:t>
      </w:r>
      <w:r>
        <w:rPr>
          <w:rStyle w:val="Style_8_ch"/>
          <w:rFonts w:ascii="Times New Roman" w:hAnsi="Times New Roman"/>
          <w:sz w:val="28"/>
        </w:rPr>
        <w:footnoteReference w:id="48"/>
      </w:r>
      <w:r>
        <w:rPr>
          <w:rFonts w:ascii="Times New Roman" w:hAnsi="Times New Roman"/>
          <w:sz w:val="28"/>
        </w:rPr>
        <w:t xml:space="preserve">. </w:t>
      </w:r>
    </w:p>
    <w:p w14:paraId="42010000">
      <w:pPr>
        <w:spacing w:after="0" w:line="360" w:lineRule="auto"/>
        <w:ind w:firstLine="851" w:left="0"/>
        <w:jc w:val="both"/>
        <w:rPr>
          <w:rFonts w:ascii="Times New Roman" w:hAnsi="Times New Roman"/>
          <w:sz w:val="28"/>
        </w:rPr>
      </w:pPr>
      <w:r>
        <w:rPr>
          <w:rFonts w:ascii="Times New Roman" w:hAnsi="Times New Roman"/>
          <w:sz w:val="28"/>
        </w:rPr>
        <w:t>Исследование обстоятельств деятельности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позволяет сделать вывод, что рассматриваемый спор не связан с применением субсидиарной ответственности публично-правовых образований. Общество является коммерческой организацией, созданной в форме общества с ограниченной ответственностью, единственным участником и генеральным директором которого являлся Е. А. Зырянов. В связи с этим вопрос о возможной ответственности Российской Федерации, субъекта Российской Федерации либо муниципального образования в рамках рассматриваемого </w:t>
      </w:r>
      <w:r>
        <w:rPr>
          <w:rFonts w:ascii="Times New Roman" w:hAnsi="Times New Roman"/>
          <w:sz w:val="28"/>
        </w:rPr>
        <w:t>дела не возникал. Вместе с тем анализ данного судебного спора подтверждает важность правильного определения субъекта субсидиарной ответственности еще на стадии рассмотрения заявления о привлечении контролирующего должника лица к ответственности.</w:t>
      </w:r>
    </w:p>
    <w:p w14:paraId="43010000">
      <w:pPr>
        <w:spacing w:after="0" w:line="360" w:lineRule="auto"/>
        <w:ind w:firstLine="851" w:left="0"/>
        <w:jc w:val="both"/>
        <w:rPr>
          <w:rFonts w:ascii="Times New Roman" w:hAnsi="Times New Roman"/>
          <w:sz w:val="28"/>
        </w:rPr>
      </w:pPr>
      <w:r>
        <w:rPr>
          <w:rFonts w:ascii="Times New Roman" w:hAnsi="Times New Roman"/>
          <w:sz w:val="28"/>
        </w:rPr>
        <w:t>Следует отметить, что в материалах дела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присутствовали споры с государственными органами, в том числе связанные с налоговыми обязательствами общества. Однако наличие публично-правового элемента в правоотношениях не означает возникновения субсидиарной ответственности государства по долгам коммерческой организации. Государственные органы в данном случае выступали как участники публичных правоотношений, реализующие контрольные полномочия, тогда как основания для возложения на публично-правовое образование дополнительной имущественной ответственности отсутствовали</w:t>
      </w:r>
      <w:r>
        <w:rPr>
          <w:rFonts w:ascii="Times New Roman" w:hAnsi="Times New Roman"/>
          <w:sz w:val="28"/>
        </w:rPr>
        <w:t xml:space="preserve">, что </w:t>
      </w:r>
      <w:r>
        <w:rPr>
          <w:rFonts w:ascii="Times New Roman" w:hAnsi="Times New Roman"/>
          <w:sz w:val="28"/>
        </w:rPr>
        <w:t>полностью соответствует положениям действующего гражданского законодательства и сложившейся судебной практике.</w:t>
      </w:r>
    </w:p>
    <w:p w14:paraId="44010000">
      <w:pPr>
        <w:spacing w:after="0" w:line="360" w:lineRule="auto"/>
        <w:ind w:firstLine="851" w:left="0"/>
        <w:jc w:val="both"/>
        <w:rPr>
          <w:rFonts w:ascii="Times New Roman" w:hAnsi="Times New Roman"/>
          <w:sz w:val="28"/>
        </w:rPr>
      </w:pPr>
      <w:r>
        <w:rPr>
          <w:rFonts w:ascii="Times New Roman" w:hAnsi="Times New Roman"/>
          <w:sz w:val="28"/>
        </w:rPr>
        <w:t xml:space="preserve">Л. А. Кулис отмечает, что развитие института субсидиарной ответственности направлено прежде всего на обеспечение баланса интересов кредиторов и лиц, на которых может быть возложена дополнительная обязанность по исполнению обязательств. Данный принцип в полной мере распространяется и на публично-правовые образования. Несмотря на наличие специальных полномочий, государство не может рассматриваться в качестве универсального гаранта исполнения обязательств всех организаций, в отношении которых оно осуществляет отдельные контрольные или регистрационные функции. </w:t>
      </w:r>
    </w:p>
    <w:p w14:paraId="45010000">
      <w:pPr>
        <w:spacing w:after="0" w:line="360" w:lineRule="auto"/>
        <w:ind w:firstLine="851" w:left="0"/>
        <w:jc w:val="both"/>
        <w:rPr>
          <w:rFonts w:ascii="Times New Roman" w:hAnsi="Times New Roman"/>
          <w:sz w:val="28"/>
        </w:rPr>
      </w:pPr>
      <w:r>
        <w:rPr>
          <w:rFonts w:ascii="Times New Roman" w:hAnsi="Times New Roman"/>
          <w:sz w:val="28"/>
        </w:rPr>
        <w:t>О</w:t>
      </w:r>
      <w:r>
        <w:rPr>
          <w:rFonts w:ascii="Times New Roman" w:hAnsi="Times New Roman"/>
          <w:sz w:val="28"/>
        </w:rPr>
        <w:t xml:space="preserve">собенности субсидиарной ответственности публично-правовых образований обусловлены их особым правовым статусом и специальным регулированием гражданским законодательством. В отличие от физических и юридических лиц такая ответственность возникает только в случаях, прямо предусмотренных законом, и не может быть основана исключительно на факте участия государства в создании либо деятельности юридического лица. </w:t>
      </w:r>
      <w:r>
        <w:rPr>
          <w:rFonts w:ascii="Times New Roman" w:hAnsi="Times New Roman"/>
          <w:sz w:val="28"/>
        </w:rPr>
        <w:t>Анализ законодательства, научной литературы и материалов дела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позволяет сделать вывод, что в рассматриваемом случае основания для привлечения публично-правовых образований к субсидиарной ответственности отсутствовали, поскольку предметом судебного разбирательства являлась оценка действий контролирующего должника лица</w:t>
      </w:r>
      <w:r>
        <w:rPr>
          <w:rFonts w:ascii="Times New Roman" w:hAnsi="Times New Roman"/>
          <w:sz w:val="28"/>
        </w:rPr>
        <w:t xml:space="preserve">, что </w:t>
      </w:r>
      <w:r>
        <w:rPr>
          <w:rFonts w:ascii="Times New Roman" w:hAnsi="Times New Roman"/>
          <w:sz w:val="28"/>
        </w:rPr>
        <w:t>подтверждает, что применение института субсидиарной ответственности всегда требует индивидуальной оценки характера правоотношений, субъектного состава и специальных норм законодательства, регулирующих конкретную категорию споров.</w:t>
      </w:r>
    </w:p>
    <w:p w14:paraId="46010000">
      <w:bookmarkStart w:id="26" w:name="__RefHeading___25"/>
      <w:bookmarkEnd w:id="26"/>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Выводы по главе 3</w:t>
      </w:r>
    </w:p>
    <w:p w14:paraId="47010000">
      <w:pPr>
        <w:spacing w:after="0" w:line="360" w:lineRule="auto"/>
        <w:ind w:firstLine="851" w:left="0"/>
        <w:jc w:val="both"/>
        <w:rPr>
          <w:rFonts w:ascii="Times New Roman" w:hAnsi="Times New Roman"/>
          <w:sz w:val="28"/>
        </w:rPr>
      </w:pPr>
      <w:r>
        <w:rPr>
          <w:rFonts w:ascii="Times New Roman" w:hAnsi="Times New Roman"/>
          <w:sz w:val="28"/>
        </w:rPr>
        <w:t>В третьей главе рассмотрены особенности субсидиарной ответственности физических, юридических лиц и публично-правовых образований. Установлено, что основания и порядок привлечения к дополнительной имущественной ответственности зависят от правового статуса субъекта и характера правоотношений, в рамках которых возникает соответствующая обязанность. Для физических лиц, выступающих руководителями, участниками организаций либо иными контролирующими должника лицами, решающее значение имеет подтверждение фактического влияния на деятельность должника. В отношении юридических лиц и публично-правовых образований субсидиарная ответственность применяется исключительно в случаях, прямо предусмотренных законодательством.</w:t>
      </w:r>
    </w:p>
    <w:p w14:paraId="48010000">
      <w:pPr>
        <w:spacing w:after="0" w:line="360" w:lineRule="auto"/>
        <w:ind w:firstLine="851" w:left="0"/>
        <w:jc w:val="both"/>
        <w:rPr>
          <w:rFonts w:ascii="Times New Roman" w:hAnsi="Times New Roman"/>
          <w:sz w:val="28"/>
        </w:rPr>
      </w:pPr>
      <w:r>
        <w:rPr>
          <w:rFonts w:ascii="Times New Roman" w:hAnsi="Times New Roman"/>
          <w:sz w:val="28"/>
        </w:rPr>
        <w:t>Анализ деятельности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подтвердил, что даже наличие признаков неплатежеспособности, значительной задолженности и прекращение хозяйственной деятельности не освобождают заявителя от обязанности доказать все элементы состава, необходимые для привлечения контролирующего лица к субсидиарной ответственности. Судебная практика исходит из недопустимости формального подхода и требует всестороннего исследования обстоятельств конкретного дела.</w:t>
      </w:r>
    </w:p>
    <w:p w14:paraId="49010000">
      <w:pPr>
        <w:spacing w:after="0" w:line="360" w:lineRule="auto"/>
        <w:ind w:firstLine="851" w:left="0"/>
        <w:jc w:val="both"/>
        <w:rPr>
          <w:rFonts w:ascii="Times New Roman" w:hAnsi="Times New Roman"/>
          <w:sz w:val="28"/>
        </w:rPr>
      </w:pPr>
      <w:r>
        <w:rPr>
          <w:rFonts w:ascii="Times New Roman" w:hAnsi="Times New Roman"/>
          <w:sz w:val="28"/>
        </w:rPr>
        <w:t>Основными проблемами современного правоприменения остаются определение круга контролирующих должника лиц, доказывание причинно-</w:t>
      </w:r>
      <w:r>
        <w:rPr>
          <w:rFonts w:ascii="Times New Roman" w:hAnsi="Times New Roman"/>
          <w:sz w:val="28"/>
        </w:rPr>
        <w:t>следственной связи между их действиями и банкротством организации, а также распределение бремени доказывания между участниками процесса. Решение указанных вопросов имеет существенное значение для формирования единообразной судебной практики и повышения эффективности защиты прав кредиторов при сохранении гарантий добросовестных участников гражданского оборота.</w:t>
      </w:r>
    </w:p>
    <w:p w14:paraId="4A010000"/>
    <w:p w14:paraId="4B010000">
      <w:pPr>
        <w:rPr>
          <w:rFonts w:ascii="Times New Roman" w:hAnsi="Times New Roman"/>
          <w:b w:val="1"/>
          <w:color w:themeColor="text1" w:val="000000"/>
          <w:sz w:val="32"/>
        </w:rPr>
      </w:pPr>
      <w:r>
        <w:rPr>
          <w:rFonts w:ascii="Times New Roman" w:hAnsi="Times New Roman"/>
          <w:b w:val="1"/>
          <w:color w:themeColor="text1" w:val="000000"/>
        </w:rPr>
        <w:br w:type="page"/>
      </w:r>
    </w:p>
    <w:p w14:paraId="4C010000">
      <w:bookmarkStart w:id="27" w:name="__RefHeading___26"/>
      <w:bookmarkEnd w:id="27"/>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ЗАКЛЮЧЕНИЕ</w:t>
      </w:r>
    </w:p>
    <w:p w14:paraId="4D010000"/>
    <w:p w14:paraId="4E010000">
      <w:pPr>
        <w:spacing w:after="0" w:line="360" w:lineRule="auto"/>
        <w:ind w:firstLine="851" w:left="0"/>
        <w:jc w:val="both"/>
        <w:rPr>
          <w:rFonts w:ascii="Times New Roman" w:hAnsi="Times New Roman"/>
          <w:sz w:val="28"/>
        </w:rPr>
      </w:pPr>
      <w:r>
        <w:rPr>
          <w:rFonts w:ascii="Times New Roman" w:hAnsi="Times New Roman"/>
          <w:sz w:val="28"/>
        </w:rPr>
        <w:t>Институт субсидиарной ответственности занимает особое место в системе гражданского права, поскольку обеспечивает дополнительную защиту интересов кредиторов в случаях, когда исполнение обязательства основным должником становится невозможным. Развитие корпоративных отношений и увеличение числа процедур банкротства привели к существенному расширению сферы применения данного института. В настоящее время субсидиарная ответственность используется не только как средство восстановления нарушенных имущественных прав кредиторов, но и как механизм предупреждения недобросовестного поведения лиц, фактически определяющих деятельность юридических лиц.</w:t>
      </w:r>
    </w:p>
    <w:p w14:paraId="4F010000">
      <w:pPr>
        <w:spacing w:after="0" w:line="360" w:lineRule="auto"/>
        <w:ind w:firstLine="851" w:left="0"/>
        <w:jc w:val="both"/>
        <w:rPr>
          <w:rFonts w:ascii="Times New Roman" w:hAnsi="Times New Roman"/>
          <w:sz w:val="28"/>
        </w:rPr>
      </w:pPr>
      <w:r>
        <w:rPr>
          <w:rFonts w:ascii="Times New Roman" w:hAnsi="Times New Roman"/>
          <w:sz w:val="28"/>
        </w:rPr>
        <w:t>Анализ законодательства и научной литературы показал, что единый подход к определению правовой природы субсидиарной ответственности до настоящего времени отсутствует. Е. Е. Богданова рассматривает ее как разновидность гражданско-правовой ответственности, возникающую при наличии установленных законом оснований. О. В. Гутников обращает внимание на то, что в отдельных случаях данный институт выполняет прежде всего защитную функцию и не во всех ситуациях обладает признаками классической гражданско-правовой ответственности. Е. В. Кротова обосновывает самостоятельную правовую природу субсидиарной ответственности, сочетающую элементы ответственности и меры защиты. Анализ указанных научных позиций показывает, что современная конструкция субсидиарной ответственности значительно шире традиционного понимания гражданско-правовой ответственности и имеет собственные особенности правового регулирования.</w:t>
      </w:r>
    </w:p>
    <w:p w14:paraId="50010000">
      <w:pPr>
        <w:spacing w:after="0" w:line="360" w:lineRule="auto"/>
        <w:ind w:firstLine="851" w:left="0"/>
        <w:jc w:val="both"/>
        <w:rPr>
          <w:rFonts w:ascii="Times New Roman" w:hAnsi="Times New Roman"/>
          <w:sz w:val="28"/>
        </w:rPr>
      </w:pPr>
      <w:r>
        <w:rPr>
          <w:rFonts w:ascii="Times New Roman" w:hAnsi="Times New Roman"/>
          <w:sz w:val="28"/>
        </w:rPr>
        <w:t xml:space="preserve">Особое значение сохраняет порядок применения субсидиарной ответственности, установленный статьей 399 Гражданского кодекса Российской Федерации. Предъявление требований к дополнительному должнику возможно только после обращения к основному должнику и </w:t>
      </w:r>
      <w:r>
        <w:rPr>
          <w:rFonts w:ascii="Times New Roman" w:hAnsi="Times New Roman"/>
          <w:sz w:val="28"/>
        </w:rPr>
        <w:t>отсутствия исполнения обязательства с его стороны. Именно такая последовательность подтверждает дополнительный характер ответственности и исключает возможность необоснованного возложения имущественных обязанностей на иных лиц.</w:t>
      </w:r>
    </w:p>
    <w:p w14:paraId="51010000">
      <w:pPr>
        <w:spacing w:after="0" w:line="360" w:lineRule="auto"/>
        <w:ind w:firstLine="851" w:left="0"/>
        <w:jc w:val="both"/>
        <w:rPr>
          <w:rFonts w:ascii="Times New Roman" w:hAnsi="Times New Roman"/>
          <w:sz w:val="28"/>
        </w:rPr>
      </w:pPr>
      <w:r>
        <w:rPr>
          <w:rFonts w:ascii="Times New Roman" w:hAnsi="Times New Roman"/>
          <w:sz w:val="28"/>
        </w:rPr>
        <w:t>Систематизация норм гражданского законодательства показала, что субсидиарная ответственность неоднородна по своему содержанию. Она различается по основаниям возникновения, субъектному составу и сфере применения. Наиболее сложной разновидностью выступает субсидиарная ответственность контролирующих должника лиц, поскольку при ее применении одновременно используются нормы Гражданского кодекса Российской Федерации и Федерального закона «О несостоятельности (банкротстве)».</w:t>
      </w:r>
    </w:p>
    <w:p w14:paraId="52010000">
      <w:pPr>
        <w:spacing w:after="0" w:line="360" w:lineRule="auto"/>
        <w:ind w:firstLine="851" w:left="0"/>
        <w:jc w:val="both"/>
        <w:rPr>
          <w:rFonts w:ascii="Times New Roman" w:hAnsi="Times New Roman"/>
          <w:sz w:val="28"/>
        </w:rPr>
      </w:pPr>
      <w:r>
        <w:rPr>
          <w:rFonts w:ascii="Times New Roman" w:hAnsi="Times New Roman"/>
          <w:sz w:val="28"/>
        </w:rPr>
        <w:t>Центральное место в работе занял анализ материалов, связанных с деятельностью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Финансовое состояние общества характеризовалось резким сокращением хозяйственной деятельности, снижением выручки с 544 млн рублей до 30 тыс. рублей, практически полным отсутствием прибыли, высокой налоговой задолженностью, значительным объемом исполнительных производств и последующим переходом общества в стадию ликвидации. Эти обстоятельства стали основанием для рассмотрения вопроса о привлечении контролирующего должника лица к субсидиарной ответственности.</w:t>
      </w:r>
    </w:p>
    <w:p w14:paraId="53010000">
      <w:pPr>
        <w:spacing w:after="0" w:line="360" w:lineRule="auto"/>
        <w:ind w:firstLine="851" w:left="0"/>
        <w:jc w:val="both"/>
        <w:rPr>
          <w:rFonts w:ascii="Times New Roman" w:hAnsi="Times New Roman"/>
          <w:sz w:val="28"/>
        </w:rPr>
      </w:pPr>
      <w:r>
        <w:rPr>
          <w:rFonts w:ascii="Times New Roman" w:hAnsi="Times New Roman"/>
          <w:sz w:val="28"/>
        </w:rPr>
        <w:t xml:space="preserve">Разбор материалов арбитражного дела показал, что наличие задолженности и признаков неплатежеспособности само по себе не свидетельствует о наличии оснований для возложения субсидиарной ответственности. Суд исследовал представленные доказательства и пришел к выводу об отсутствии достаточных оснований для удовлетворения заявленных требований. Основное значение при разрешении спора имели вопросы установления причинно-следственной связи между действиями контролирующего лица и невозможностью исполнения обязательств общества, а также оценка представленных доказательств. Данный пример </w:t>
      </w:r>
      <w:r>
        <w:rPr>
          <w:rFonts w:ascii="Times New Roman" w:hAnsi="Times New Roman"/>
          <w:sz w:val="28"/>
        </w:rPr>
        <w:t>подтверждает, что современная судебная практика исходит из необходимости всестороннего исследования обстоятельств каждого конкретного дела и не допускает автоматического привлечения руководителя либо участника общества к субсидиарной ответственности только на основании его статуса.</w:t>
      </w:r>
    </w:p>
    <w:p w14:paraId="54010000">
      <w:pPr>
        <w:spacing w:after="0" w:line="360" w:lineRule="auto"/>
        <w:ind w:firstLine="851" w:left="0"/>
        <w:jc w:val="both"/>
        <w:rPr>
          <w:rFonts w:ascii="Times New Roman" w:hAnsi="Times New Roman"/>
          <w:sz w:val="28"/>
        </w:rPr>
      </w:pPr>
      <w:r>
        <w:rPr>
          <w:rFonts w:ascii="Times New Roman" w:hAnsi="Times New Roman"/>
          <w:sz w:val="28"/>
        </w:rPr>
        <w:t>Анализ судебной практики позволил выделить основные проблемы применения института субсидиарной ответственности. Наиболее сложными остаются вопросы определения контролирующего должника лица, установления фактического контроля над деятельностью организации, доказывания причинно-следственной связи между действиями ответчика и возникновением неплатежеспособности, а также распределения бремени доказывания между участниками спора. Именно эти вопросы чаще всего становятся причиной различий в судебной практике и требуют дальнейшего совершенствования законодательства.</w:t>
      </w:r>
    </w:p>
    <w:p w14:paraId="55010000">
      <w:pPr>
        <w:spacing w:after="0" w:line="360" w:lineRule="auto"/>
        <w:ind w:firstLine="851" w:left="0"/>
        <w:jc w:val="both"/>
        <w:rPr>
          <w:rFonts w:ascii="Times New Roman" w:hAnsi="Times New Roman"/>
          <w:sz w:val="28"/>
        </w:rPr>
      </w:pPr>
      <w:r>
        <w:rPr>
          <w:rFonts w:ascii="Times New Roman" w:hAnsi="Times New Roman"/>
          <w:sz w:val="28"/>
        </w:rPr>
        <w:t>Цель работы достигнута, поставленные задачи решены. Сделанные выводы подтверждают, что субсидиарная ответственность представляет собой самостоятельный и динамично развивающийся институт гражданского права, значение которого продолжает возрастать. Эффективность его применения напрямую зависит от полноты исследования обстоятельств дела, качества доказательственной базы и единообразного толкования норм гражданского законодательства и законодательства о несостоятельности (банкротстве). На примере ООО «</w:t>
      </w:r>
      <w:r>
        <w:rPr>
          <w:rFonts w:ascii="Times New Roman" w:hAnsi="Times New Roman"/>
          <w:sz w:val="28"/>
        </w:rPr>
        <w:t>Паблотан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Зест</w:t>
      </w:r>
      <w:r>
        <w:rPr>
          <w:rFonts w:ascii="Times New Roman" w:hAnsi="Times New Roman"/>
          <w:sz w:val="28"/>
        </w:rPr>
        <w:t xml:space="preserve"> и к» видно, что привлечение контролирующего должника лица к субсидиарной ответственности возможно только при наличии совокупности предусмотренных законом условий, каждая из которых должна быть подтверждена допустимыми и достаточными доказательствами.</w:t>
      </w:r>
    </w:p>
    <w:p w14:paraId="56010000"/>
    <w:p w14:paraId="57010000">
      <w:pPr>
        <w:rPr>
          <w:rFonts w:ascii="Times New Roman" w:hAnsi="Times New Roman"/>
          <w:b w:val="1"/>
          <w:color w:themeColor="text1" w:val="000000"/>
          <w:sz w:val="32"/>
        </w:rPr>
      </w:pPr>
      <w:r>
        <w:rPr>
          <w:rFonts w:ascii="Times New Roman" w:hAnsi="Times New Roman"/>
          <w:b w:val="1"/>
          <w:color w:themeColor="text1" w:val="000000"/>
        </w:rPr>
        <w:br w:type="page"/>
      </w:r>
    </w:p>
    <w:p w14:paraId="58010000">
      <w:bookmarkStart w:id="28" w:name="__RefHeading___27"/>
      <w:bookmarkEnd w:id="28"/>
      <w:pPr>
        <w:pStyle w:val="Style_7"/>
        <w:spacing w:before="0" w:line="360" w:lineRule="auto"/>
        <w:ind/>
        <w:jc w:val="center"/>
        <w:rPr>
          <w:rFonts w:ascii="Times New Roman" w:hAnsi="Times New Roman"/>
          <w:b w:val="1"/>
          <w:color w:themeColor="text1" w:val="000000"/>
        </w:rPr>
      </w:pPr>
      <w:r>
        <w:rPr>
          <w:rFonts w:ascii="Times New Roman" w:hAnsi="Times New Roman"/>
          <w:b w:val="1"/>
          <w:color w:themeColor="text1" w:val="000000"/>
        </w:rPr>
        <w:t>СПИСОК ИСПОЛЬЗОВАННЫХ ИСТОЧНИКОВ</w:t>
      </w:r>
    </w:p>
    <w:p w14:paraId="59010000"/>
    <w:p w14:paraId="5A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Балковая</w:t>
      </w:r>
      <w:r>
        <w:rPr>
          <w:rFonts w:ascii="Times New Roman" w:hAnsi="Times New Roman"/>
          <w:color w:val="000000"/>
          <w:sz w:val="28"/>
        </w:rPr>
        <w:t xml:space="preserve">, В. Г. Теория государства и права : учеб. пособие / В. Г. </w:t>
      </w:r>
      <w:r>
        <w:rPr>
          <w:rFonts w:ascii="Times New Roman" w:hAnsi="Times New Roman"/>
          <w:color w:val="000000"/>
          <w:sz w:val="28"/>
        </w:rPr>
        <w:t>Балковая</w:t>
      </w:r>
      <w:r>
        <w:rPr>
          <w:rFonts w:ascii="Times New Roman" w:hAnsi="Times New Roman"/>
          <w:color w:val="000000"/>
          <w:sz w:val="28"/>
        </w:rPr>
        <w:t xml:space="preserve">, Д. В. </w:t>
      </w:r>
      <w:r>
        <w:rPr>
          <w:rFonts w:ascii="Times New Roman" w:hAnsi="Times New Roman"/>
          <w:color w:val="000000"/>
          <w:sz w:val="28"/>
        </w:rPr>
        <w:t>Лобач</w:t>
      </w:r>
      <w:r>
        <w:rPr>
          <w:rFonts w:ascii="Times New Roman" w:hAnsi="Times New Roman"/>
          <w:color w:val="000000"/>
          <w:sz w:val="28"/>
        </w:rPr>
        <w:t xml:space="preserve">. - Владивосток : Изд-во </w:t>
      </w:r>
      <w:r>
        <w:rPr>
          <w:rFonts w:ascii="Times New Roman" w:hAnsi="Times New Roman"/>
          <w:color w:val="000000"/>
          <w:sz w:val="28"/>
        </w:rPr>
        <w:t>ВВГУ</w:t>
      </w:r>
      <w:r>
        <w:rPr>
          <w:rFonts w:ascii="Times New Roman" w:hAnsi="Times New Roman"/>
          <w:color w:val="000000"/>
          <w:sz w:val="28"/>
        </w:rPr>
        <w:t>, 2024. - 206 с.</w:t>
      </w:r>
    </w:p>
    <w:p w14:paraId="5B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Белясов</w:t>
      </w:r>
      <w:r>
        <w:rPr>
          <w:rFonts w:ascii="Times New Roman" w:hAnsi="Times New Roman"/>
          <w:color w:val="000000"/>
          <w:sz w:val="28"/>
        </w:rPr>
        <w:t xml:space="preserve"> </w:t>
      </w:r>
      <w:r>
        <w:rPr>
          <w:rFonts w:ascii="Times New Roman" w:hAnsi="Times New Roman"/>
          <w:color w:val="000000"/>
          <w:sz w:val="28"/>
        </w:rPr>
        <w:t>С.Н</w:t>
      </w:r>
      <w:r>
        <w:rPr>
          <w:rFonts w:ascii="Times New Roman" w:hAnsi="Times New Roman"/>
          <w:color w:val="000000"/>
          <w:sz w:val="28"/>
        </w:rPr>
        <w:t xml:space="preserve">., Щербинина </w:t>
      </w:r>
      <w:r>
        <w:rPr>
          <w:rFonts w:ascii="Times New Roman" w:hAnsi="Times New Roman"/>
          <w:color w:val="000000"/>
          <w:sz w:val="28"/>
        </w:rPr>
        <w:t>И.В</w:t>
      </w:r>
      <w:r>
        <w:rPr>
          <w:rFonts w:ascii="Times New Roman" w:hAnsi="Times New Roman"/>
          <w:color w:val="000000"/>
          <w:sz w:val="28"/>
        </w:rPr>
        <w:t>. Правовая природа субсидиарной ответственности контролирующих и иных лиц по долгам должника // Арбитражный и гражданский процесс. 2020. № 7. - С. 51-55.</w:t>
      </w:r>
    </w:p>
    <w:p w14:paraId="5C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Богданова, Е. Е. Субсидиарная ответственность. Проблемы теории и практики / Е. Е. Богданова. - Москва : Приор-</w:t>
      </w:r>
      <w:r>
        <w:rPr>
          <w:rFonts w:ascii="Times New Roman" w:hAnsi="Times New Roman"/>
          <w:color w:val="000000"/>
          <w:sz w:val="28"/>
        </w:rPr>
        <w:t>издат</w:t>
      </w:r>
      <w:r>
        <w:rPr>
          <w:rFonts w:ascii="Times New Roman" w:hAnsi="Times New Roman"/>
          <w:color w:val="000000"/>
          <w:sz w:val="28"/>
        </w:rPr>
        <w:t>, 2003. - 108 с.</w:t>
      </w:r>
    </w:p>
    <w:p w14:paraId="5D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Брагинский, М. И. Договорное право: общие положения / М. И. Брагинский, В. В. </w:t>
      </w:r>
      <w:r>
        <w:rPr>
          <w:rFonts w:ascii="Times New Roman" w:hAnsi="Times New Roman"/>
          <w:color w:val="000000"/>
          <w:sz w:val="28"/>
        </w:rPr>
        <w:t>Витрянский</w:t>
      </w:r>
      <w:r>
        <w:rPr>
          <w:rFonts w:ascii="Times New Roman" w:hAnsi="Times New Roman"/>
          <w:color w:val="000000"/>
          <w:sz w:val="28"/>
        </w:rPr>
        <w:t xml:space="preserve">. </w:t>
      </w:r>
      <w:r>
        <w:rPr>
          <w:rFonts w:ascii="Times New Roman" w:hAnsi="Times New Roman"/>
          <w:color w:val="000000"/>
          <w:sz w:val="28"/>
        </w:rPr>
        <w:t>-</w:t>
      </w:r>
      <w:r>
        <w:rPr>
          <w:rFonts w:ascii="Times New Roman" w:hAnsi="Times New Roman"/>
          <w:color w:val="000000"/>
          <w:sz w:val="28"/>
        </w:rPr>
        <w:t xml:space="preserve"> 4-е изд. </w:t>
      </w:r>
      <w:r>
        <w:rPr>
          <w:rFonts w:ascii="Times New Roman" w:hAnsi="Times New Roman"/>
          <w:color w:val="000000"/>
          <w:sz w:val="28"/>
        </w:rPr>
        <w:t>-</w:t>
      </w:r>
      <w:r>
        <w:rPr>
          <w:rFonts w:ascii="Times New Roman" w:hAnsi="Times New Roman"/>
          <w:color w:val="000000"/>
          <w:sz w:val="28"/>
        </w:rPr>
        <w:t xml:space="preserve"> Москва : Статут, 2020. </w:t>
      </w:r>
      <w:r>
        <w:rPr>
          <w:rFonts w:ascii="Times New Roman" w:hAnsi="Times New Roman"/>
          <w:color w:val="000000"/>
          <w:sz w:val="28"/>
        </w:rPr>
        <w:t>-</w:t>
      </w:r>
      <w:r>
        <w:rPr>
          <w:rFonts w:ascii="Times New Roman" w:hAnsi="Times New Roman"/>
          <w:color w:val="000000"/>
          <w:sz w:val="28"/>
        </w:rPr>
        <w:t xml:space="preserve"> 847 с.</w:t>
      </w:r>
    </w:p>
    <w:p w14:paraId="5E010000">
      <w:pPr>
        <w:pStyle w:val="Style_9"/>
        <w:numPr>
          <w:ilvl w:val="0"/>
          <w:numId w:val="9"/>
        </w:numPr>
        <w:spacing w:after="0" w:line="360" w:lineRule="auto"/>
        <w:ind w:firstLine="851" w:left="0"/>
        <w:jc w:val="both"/>
        <w:rPr>
          <w:rFonts w:ascii="Times New Roman" w:hAnsi="Times New Roman"/>
          <w:sz w:val="28"/>
        </w:rPr>
      </w:pPr>
      <w:r>
        <w:rPr>
          <w:rFonts w:ascii="Times New Roman" w:hAnsi="Times New Roman"/>
          <w:sz w:val="28"/>
        </w:rPr>
        <w:t>Вохидов</w:t>
      </w:r>
      <w:r>
        <w:rPr>
          <w:rFonts w:ascii="Times New Roman" w:hAnsi="Times New Roman"/>
          <w:sz w:val="28"/>
        </w:rPr>
        <w:t xml:space="preserve"> М. А. Возникновение института субсидиарной ответственности по долгам несостоятельного лица // Российское право: образование, практика, наука. 2022. № 2. С. 72</w:t>
      </w:r>
      <w:r>
        <w:rPr>
          <w:rFonts w:ascii="Times New Roman" w:hAnsi="Times New Roman"/>
          <w:sz w:val="28"/>
        </w:rPr>
        <w:t>-</w:t>
      </w:r>
      <w:r>
        <w:rPr>
          <w:rFonts w:ascii="Times New Roman" w:hAnsi="Times New Roman"/>
          <w:sz w:val="28"/>
        </w:rPr>
        <w:t xml:space="preserve">77. </w:t>
      </w:r>
      <w:r>
        <w:rPr>
          <w:rFonts w:ascii="Times New Roman" w:hAnsi="Times New Roman"/>
          <w:sz w:val="28"/>
        </w:rPr>
        <w:t>DOI</w:t>
      </w:r>
      <w:r>
        <w:rPr>
          <w:rFonts w:ascii="Times New Roman" w:hAnsi="Times New Roman"/>
          <w:sz w:val="28"/>
        </w:rPr>
        <w:t>: 10.34076/2410_2709_2022_2_72</w:t>
      </w:r>
    </w:p>
    <w:p w14:paraId="5F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Гонгало</w:t>
      </w:r>
      <w:r>
        <w:rPr>
          <w:rFonts w:ascii="Times New Roman" w:hAnsi="Times New Roman"/>
          <w:color w:val="000000"/>
          <w:sz w:val="28"/>
        </w:rPr>
        <w:t xml:space="preserve">, Б. М. Учение об обеспечении обязательств. Вопросы теории и практики / Б. М. </w:t>
      </w:r>
      <w:r>
        <w:rPr>
          <w:rFonts w:ascii="Times New Roman" w:hAnsi="Times New Roman"/>
          <w:color w:val="000000"/>
          <w:sz w:val="28"/>
        </w:rPr>
        <w:t>Гонгало</w:t>
      </w:r>
      <w:r>
        <w:rPr>
          <w:rFonts w:ascii="Times New Roman" w:hAnsi="Times New Roman"/>
          <w:color w:val="000000"/>
          <w:sz w:val="28"/>
        </w:rPr>
        <w:t>. - Москва : Статут, 2002. - 222 с.</w:t>
      </w:r>
    </w:p>
    <w:p w14:paraId="60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Гражданский кодекс Российской Федерации (часть первая) от 30.11.1994 № 51-ФЗ (посл. ред.) [Электронный ресурс] // Справочно-право-</w:t>
      </w:r>
      <w:r>
        <w:rPr>
          <w:rFonts w:ascii="Times New Roman" w:hAnsi="Times New Roman"/>
          <w:color w:val="000000"/>
          <w:sz w:val="28"/>
        </w:rPr>
        <w:t>вая</w:t>
      </w:r>
      <w:r>
        <w:rPr>
          <w:rFonts w:ascii="Times New Roman" w:hAnsi="Times New Roman"/>
          <w:color w:val="000000"/>
          <w:sz w:val="28"/>
        </w:rPr>
        <w:t xml:space="preserve"> система «Консультант Плюс». - </w:t>
      </w:r>
      <w:r>
        <w:rPr>
          <w:rFonts w:ascii="Times New Roman" w:hAnsi="Times New Roman"/>
          <w:color w:val="000000"/>
          <w:sz w:val="28"/>
        </w:rPr>
        <w:t>ШЬ</w:t>
      </w:r>
      <w:r>
        <w:rPr>
          <w:rFonts w:ascii="Times New Roman" w:hAnsi="Times New Roman"/>
          <w:color w:val="000000"/>
          <w:sz w:val="28"/>
        </w:rPr>
        <w:t xml:space="preserve">: </w:t>
      </w:r>
      <w:r>
        <w:rPr>
          <w:rFonts w:ascii="Times New Roman" w:hAnsi="Times New Roman"/>
          <w:color w:val="000000"/>
          <w:sz w:val="28"/>
        </w:rPr>
        <w:t>ИКрв</w:t>
      </w:r>
      <w:r>
        <w:rPr>
          <w:rFonts w:ascii="Times New Roman" w:hAnsi="Times New Roman"/>
          <w:color w:val="000000"/>
          <w:sz w:val="28"/>
        </w:rPr>
        <w:t xml:space="preserve">:// </w:t>
      </w:r>
      <w:r>
        <w:rPr>
          <w:rFonts w:ascii="Times New Roman" w:hAnsi="Times New Roman"/>
          <w:color w:val="000000"/>
          <w:sz w:val="28"/>
        </w:rPr>
        <w:t>www.consultant.ru</w:t>
      </w:r>
      <w:r>
        <w:rPr>
          <w:rFonts w:ascii="Times New Roman" w:hAnsi="Times New Roman"/>
          <w:color w:val="000000"/>
          <w:sz w:val="28"/>
        </w:rPr>
        <w:t>/</w:t>
      </w:r>
      <w:r>
        <w:rPr>
          <w:rFonts w:ascii="Times New Roman" w:hAnsi="Times New Roman"/>
          <w:color w:val="000000"/>
          <w:sz w:val="28"/>
        </w:rPr>
        <w:t>document</w:t>
      </w:r>
      <w:r>
        <w:rPr>
          <w:rFonts w:ascii="Times New Roman" w:hAnsi="Times New Roman"/>
          <w:color w:val="000000"/>
          <w:sz w:val="28"/>
        </w:rPr>
        <w:t>/</w:t>
      </w:r>
      <w:r>
        <w:rPr>
          <w:rFonts w:ascii="Times New Roman" w:hAnsi="Times New Roman"/>
          <w:color w:val="000000"/>
          <w:sz w:val="28"/>
        </w:rPr>
        <w:t>cons_doc</w:t>
      </w:r>
      <w:r>
        <w:rPr>
          <w:rFonts w:ascii="Times New Roman" w:hAnsi="Times New Roman"/>
          <w:color w:val="000000"/>
          <w:sz w:val="28"/>
        </w:rPr>
        <w:t xml:space="preserve">_ </w:t>
      </w:r>
      <w:r>
        <w:rPr>
          <w:rFonts w:ascii="Times New Roman" w:hAnsi="Times New Roman"/>
          <w:color w:val="000000"/>
          <w:sz w:val="28"/>
        </w:rPr>
        <w:t>ЬАШ_5142</w:t>
      </w:r>
      <w:r>
        <w:rPr>
          <w:rFonts w:ascii="Times New Roman" w:hAnsi="Times New Roman"/>
          <w:color w:val="000000"/>
          <w:sz w:val="28"/>
        </w:rPr>
        <w:t>/ (дата обращения: 12.07.2026).</w:t>
      </w:r>
    </w:p>
    <w:p w14:paraId="61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Гражданский кодекс Российской Федерации : Федеральный закон от 30 ноября 1994 г. № 51-ФЗ : [в редакции от 13 декабря 2024 года]. - Доступ из </w:t>
      </w:r>
      <w:r>
        <w:rPr>
          <w:rFonts w:ascii="Times New Roman" w:hAnsi="Times New Roman"/>
          <w:color w:val="000000"/>
          <w:sz w:val="28"/>
        </w:rPr>
        <w:t>спра</w:t>
      </w:r>
      <w:r>
        <w:rPr>
          <w:rFonts w:ascii="Times New Roman" w:hAnsi="Times New Roman"/>
          <w:color w:val="000000"/>
          <w:sz w:val="28"/>
        </w:rPr>
        <w:t>-</w:t>
      </w:r>
      <w:r>
        <w:rPr>
          <w:rFonts w:ascii="Times New Roman" w:hAnsi="Times New Roman"/>
          <w:color w:val="000000"/>
          <w:sz w:val="28"/>
        </w:rPr>
        <w:t>вочно</w:t>
      </w:r>
      <w:r>
        <w:rPr>
          <w:rFonts w:ascii="Times New Roman" w:hAnsi="Times New Roman"/>
          <w:color w:val="000000"/>
          <w:sz w:val="28"/>
        </w:rPr>
        <w:t xml:space="preserve">-правовой системы «КонсультантПлюс» : сайт. - </w:t>
      </w:r>
      <w:r>
        <w:rPr>
          <w:rFonts w:ascii="Times New Roman" w:hAnsi="Times New Roman"/>
          <w:color w:val="000000"/>
          <w:sz w:val="28"/>
        </w:rPr>
        <w:t>URL</w:t>
      </w:r>
      <w:r>
        <w:rPr>
          <w:rFonts w:ascii="Times New Roman" w:hAnsi="Times New Roman"/>
          <w:color w:val="000000"/>
          <w:sz w:val="28"/>
        </w:rPr>
        <w:t xml:space="preserve">: </w:t>
      </w:r>
      <w:r>
        <w:rPr>
          <w:rFonts w:ascii="Times New Roman" w:hAnsi="Times New Roman"/>
          <w:color w:val="000000"/>
          <w:sz w:val="28"/>
        </w:rPr>
        <w:t>https</w:t>
      </w:r>
      <w:r>
        <w:rPr>
          <w:rFonts w:ascii="Times New Roman" w:hAnsi="Times New Roman"/>
          <w:color w:val="000000"/>
          <w:sz w:val="28"/>
        </w:rPr>
        <w:t>://</w:t>
      </w:r>
      <w:r>
        <w:rPr>
          <w:rFonts w:ascii="Times New Roman" w:hAnsi="Times New Roman"/>
          <w:color w:val="000000"/>
          <w:sz w:val="28"/>
        </w:rPr>
        <w:t>www.consultant.ru</w:t>
      </w:r>
      <w:r>
        <w:rPr>
          <w:rFonts w:ascii="Times New Roman" w:hAnsi="Times New Roman"/>
          <w:color w:val="000000"/>
          <w:sz w:val="28"/>
        </w:rPr>
        <w:t>/</w:t>
      </w:r>
      <w:r>
        <w:rPr>
          <w:rFonts w:ascii="Times New Roman" w:hAnsi="Times New Roman"/>
          <w:color w:val="000000"/>
          <w:sz w:val="28"/>
        </w:rPr>
        <w:t>document</w:t>
      </w:r>
      <w:r>
        <w:rPr>
          <w:rFonts w:ascii="Times New Roman" w:hAnsi="Times New Roman"/>
          <w:color w:val="000000"/>
          <w:sz w:val="28"/>
        </w:rPr>
        <w:t>/</w:t>
      </w:r>
      <w:r>
        <w:rPr>
          <w:rFonts w:ascii="Times New Roman" w:hAnsi="Times New Roman"/>
          <w:color w:val="000000"/>
          <w:sz w:val="28"/>
        </w:rPr>
        <w:t>cons_doc_LAW_5142</w:t>
      </w:r>
      <w:r>
        <w:rPr>
          <w:rFonts w:ascii="Times New Roman" w:hAnsi="Times New Roman"/>
          <w:color w:val="000000"/>
          <w:sz w:val="28"/>
        </w:rPr>
        <w:t>/ (дата обращения: 22.07.2026).</w:t>
      </w:r>
    </w:p>
    <w:p w14:paraId="62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Гражданское право : учебник : в 2 т. / под ред. Б. М. </w:t>
      </w:r>
      <w:r>
        <w:rPr>
          <w:rFonts w:ascii="Times New Roman" w:hAnsi="Times New Roman"/>
          <w:color w:val="000000"/>
          <w:sz w:val="28"/>
        </w:rPr>
        <w:t>Гонгало</w:t>
      </w:r>
      <w:r>
        <w:rPr>
          <w:rFonts w:ascii="Times New Roman" w:hAnsi="Times New Roman"/>
          <w:color w:val="000000"/>
          <w:sz w:val="28"/>
        </w:rPr>
        <w:t xml:space="preserve">. - Изд. 4-е, </w:t>
      </w:r>
      <w:r>
        <w:rPr>
          <w:rFonts w:ascii="Times New Roman" w:hAnsi="Times New Roman"/>
          <w:color w:val="000000"/>
          <w:sz w:val="28"/>
        </w:rPr>
        <w:t>перераб</w:t>
      </w:r>
      <w:r>
        <w:rPr>
          <w:rFonts w:ascii="Times New Roman" w:hAnsi="Times New Roman"/>
          <w:color w:val="000000"/>
          <w:sz w:val="28"/>
        </w:rPr>
        <w:t>.</w:t>
      </w:r>
      <w:r>
        <w:rPr>
          <w:rFonts w:ascii="Times New Roman" w:hAnsi="Times New Roman"/>
          <w:color w:val="000000"/>
          <w:sz w:val="28"/>
        </w:rPr>
        <w:t xml:space="preserve"> и доп. - Москва : Статут, 2021. - Т. 2. - 602 с.</w:t>
      </w:r>
    </w:p>
    <w:p w14:paraId="63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Гражданское право : учебник : в 3 т. / под ред. А. П. Сергеева. - Изд. 2-е, </w:t>
      </w:r>
      <w:r>
        <w:rPr>
          <w:rFonts w:ascii="Times New Roman" w:hAnsi="Times New Roman"/>
          <w:color w:val="000000"/>
          <w:sz w:val="28"/>
        </w:rPr>
        <w:t>перераб</w:t>
      </w:r>
      <w:r>
        <w:rPr>
          <w:rFonts w:ascii="Times New Roman" w:hAnsi="Times New Roman"/>
          <w:color w:val="000000"/>
          <w:sz w:val="28"/>
        </w:rPr>
        <w:t>.</w:t>
      </w:r>
      <w:r>
        <w:rPr>
          <w:rFonts w:ascii="Times New Roman" w:hAnsi="Times New Roman"/>
          <w:color w:val="000000"/>
          <w:sz w:val="28"/>
        </w:rPr>
        <w:t xml:space="preserve"> и доп. - Москва : Проспект, 2018. - Т. 1. - 1040 с.</w:t>
      </w:r>
    </w:p>
    <w:p w14:paraId="64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Гражданское право : учебник: в 3 т. / под общ. ред. С. А. Степанова. - Москва : Проспект, 2011. - Т. 1. - 379 с.</w:t>
      </w:r>
    </w:p>
    <w:p w14:paraId="65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Гутников </w:t>
      </w:r>
      <w:r>
        <w:rPr>
          <w:rFonts w:ascii="Times New Roman" w:hAnsi="Times New Roman"/>
          <w:color w:val="000000"/>
          <w:sz w:val="28"/>
        </w:rPr>
        <w:t>О.В</w:t>
      </w:r>
      <w:r>
        <w:rPr>
          <w:rFonts w:ascii="Times New Roman" w:hAnsi="Times New Roman"/>
          <w:color w:val="000000"/>
          <w:sz w:val="28"/>
        </w:rPr>
        <w:t>. Субсидиарная ответственность в законодательстве о юридических лицах: вопросы правового регулирования и юридическая природа // Право. Журнал Высшей школы экономики. 2018. № 1. - С. 65-66.</w:t>
      </w:r>
    </w:p>
    <w:p w14:paraId="66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Добрачев</w:t>
      </w:r>
      <w:r>
        <w:rPr>
          <w:rFonts w:ascii="Times New Roman" w:hAnsi="Times New Roman"/>
          <w:color w:val="000000"/>
          <w:sz w:val="28"/>
        </w:rPr>
        <w:t xml:space="preserve"> </w:t>
      </w:r>
      <w:r>
        <w:rPr>
          <w:rFonts w:ascii="Times New Roman" w:hAnsi="Times New Roman"/>
          <w:color w:val="000000"/>
          <w:sz w:val="28"/>
        </w:rPr>
        <w:t>Д.В</w:t>
      </w:r>
      <w:r>
        <w:rPr>
          <w:rFonts w:ascii="Times New Roman" w:hAnsi="Times New Roman"/>
          <w:color w:val="000000"/>
          <w:sz w:val="28"/>
        </w:rPr>
        <w:t xml:space="preserve">. Проблемы судебной практики привлечения к субсидиарной ответственности контролирующих должника лиц в процедуре банкротства. - М.: </w:t>
      </w:r>
      <w:r>
        <w:rPr>
          <w:rFonts w:ascii="Times New Roman" w:hAnsi="Times New Roman"/>
          <w:color w:val="000000"/>
          <w:sz w:val="28"/>
        </w:rPr>
        <w:t>Инфотропик</w:t>
      </w:r>
      <w:r>
        <w:rPr>
          <w:rFonts w:ascii="Times New Roman" w:hAnsi="Times New Roman"/>
          <w:color w:val="000000"/>
          <w:sz w:val="28"/>
        </w:rPr>
        <w:t xml:space="preserve"> Медиа, 2019. -172 с.</w:t>
      </w:r>
    </w:p>
    <w:p w14:paraId="67010000">
      <w:pPr>
        <w:pStyle w:val="Style_9"/>
        <w:numPr>
          <w:ilvl w:val="0"/>
          <w:numId w:val="9"/>
        </w:numPr>
        <w:spacing w:after="0" w:line="360" w:lineRule="auto"/>
        <w:ind w:firstLine="851" w:left="0"/>
        <w:jc w:val="both"/>
        <w:rPr>
          <w:rFonts w:ascii="Times New Roman" w:hAnsi="Times New Roman"/>
          <w:sz w:val="28"/>
        </w:rPr>
      </w:pPr>
      <w:r>
        <w:rPr>
          <w:rFonts w:ascii="Times New Roman" w:hAnsi="Times New Roman"/>
          <w:sz w:val="28"/>
        </w:rPr>
        <w:t xml:space="preserve">Кротова Е. В. Субсидиарная ответственность в российском гражданском праве: </w:t>
      </w:r>
      <w:r>
        <w:rPr>
          <w:rFonts w:ascii="Times New Roman" w:hAnsi="Times New Roman"/>
          <w:sz w:val="28"/>
        </w:rPr>
        <w:t>дис</w:t>
      </w:r>
      <w:r>
        <w:rPr>
          <w:rFonts w:ascii="Times New Roman" w:hAnsi="Times New Roman"/>
          <w:sz w:val="28"/>
        </w:rPr>
        <w:t xml:space="preserve">. … канд. </w:t>
      </w:r>
      <w:r>
        <w:rPr>
          <w:rFonts w:ascii="Times New Roman" w:hAnsi="Times New Roman"/>
          <w:sz w:val="28"/>
        </w:rPr>
        <w:t>юрид</w:t>
      </w:r>
      <w:r>
        <w:rPr>
          <w:rFonts w:ascii="Times New Roman" w:hAnsi="Times New Roman"/>
          <w:sz w:val="28"/>
        </w:rPr>
        <w:t>. наук. Владивосток, 2020. 231 с</w:t>
      </w:r>
    </w:p>
    <w:p w14:paraId="68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Кротова, Е. В. Субсидиарная ответственность в российском гражданском праве : специальность 12.00.03 : </w:t>
      </w:r>
      <w:r>
        <w:rPr>
          <w:rFonts w:ascii="Times New Roman" w:hAnsi="Times New Roman"/>
          <w:color w:val="000000"/>
          <w:sz w:val="28"/>
        </w:rPr>
        <w:t>автореф</w:t>
      </w:r>
      <w:r>
        <w:rPr>
          <w:rFonts w:ascii="Times New Roman" w:hAnsi="Times New Roman"/>
          <w:color w:val="000000"/>
          <w:sz w:val="28"/>
        </w:rPr>
        <w:t xml:space="preserve">. </w:t>
      </w:r>
      <w:r>
        <w:rPr>
          <w:rFonts w:ascii="Times New Roman" w:hAnsi="Times New Roman"/>
          <w:color w:val="000000"/>
          <w:sz w:val="28"/>
        </w:rPr>
        <w:t>дис</w:t>
      </w:r>
      <w:r>
        <w:rPr>
          <w:rFonts w:ascii="Times New Roman" w:hAnsi="Times New Roman"/>
          <w:color w:val="000000"/>
          <w:sz w:val="28"/>
        </w:rPr>
        <w:t xml:space="preserve">. канд. </w:t>
      </w:r>
      <w:r>
        <w:rPr>
          <w:rFonts w:ascii="Times New Roman" w:hAnsi="Times New Roman"/>
          <w:color w:val="000000"/>
          <w:sz w:val="28"/>
        </w:rPr>
        <w:t>юрид</w:t>
      </w:r>
      <w:r>
        <w:rPr>
          <w:rFonts w:ascii="Times New Roman" w:hAnsi="Times New Roman"/>
          <w:color w:val="000000"/>
          <w:sz w:val="28"/>
        </w:rPr>
        <w:t>. наук / Кротова Екатерина Владиславовна. - Красноярск, 2020. - 22 с.</w:t>
      </w:r>
    </w:p>
    <w:p w14:paraId="69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Кротова, Е. В. Юридическая природа категории «субсидиарная ответственность» / Е. В. Кротова // Современная наука: актуальные проблемы теории и практики. Серия: Экономика и право. - 2020. - № 1. -С. 134-138.</w:t>
      </w:r>
    </w:p>
    <w:p w14:paraId="6A010000">
      <w:pPr>
        <w:pStyle w:val="Style_9"/>
        <w:numPr>
          <w:ilvl w:val="0"/>
          <w:numId w:val="9"/>
        </w:numPr>
        <w:spacing w:after="0" w:line="360" w:lineRule="auto"/>
        <w:ind w:firstLine="851" w:left="0"/>
        <w:jc w:val="both"/>
        <w:rPr>
          <w:rFonts w:ascii="Times New Roman" w:hAnsi="Times New Roman"/>
          <w:sz w:val="28"/>
        </w:rPr>
      </w:pPr>
      <w:r>
        <w:rPr>
          <w:rFonts w:ascii="Times New Roman" w:hAnsi="Times New Roman"/>
          <w:sz w:val="28"/>
        </w:rPr>
        <w:t xml:space="preserve">Кулис Л. А. Субсидиарная ответственность как разновидность гражданско-правовой ответственности // Труды </w:t>
      </w:r>
      <w:r>
        <w:rPr>
          <w:rFonts w:ascii="Times New Roman" w:hAnsi="Times New Roman"/>
          <w:sz w:val="28"/>
        </w:rPr>
        <w:t>БГТУ</w:t>
      </w:r>
      <w:r>
        <w:rPr>
          <w:rFonts w:ascii="Times New Roman" w:hAnsi="Times New Roman"/>
          <w:sz w:val="28"/>
        </w:rPr>
        <w:t xml:space="preserve">. Серия 6: История, философия. 2023. №1 (269). </w:t>
      </w:r>
      <w:r>
        <w:rPr>
          <w:rFonts w:ascii="Times New Roman" w:hAnsi="Times New Roman"/>
          <w:sz w:val="28"/>
        </w:rPr>
        <w:t>URL</w:t>
      </w:r>
      <w:r>
        <w:rPr>
          <w:rFonts w:ascii="Times New Roman" w:hAnsi="Times New Roman"/>
          <w:sz w:val="28"/>
        </w:rPr>
        <w:t>: https://cyberleninka.ru/article/n/subsidiarnaya-otvetstvennost-kak-raznovidnost-grazhdansko-pravovoy-otvetstvennosti (дата обращения: 25.07.2026).</w:t>
      </w:r>
    </w:p>
    <w:p w14:paraId="6B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Кулис </w:t>
      </w:r>
      <w:r>
        <w:rPr>
          <w:rFonts w:ascii="Times New Roman" w:hAnsi="Times New Roman"/>
          <w:color w:val="000000"/>
          <w:sz w:val="28"/>
        </w:rPr>
        <w:t>Л.А</w:t>
      </w:r>
      <w:r>
        <w:rPr>
          <w:rFonts w:ascii="Times New Roman" w:hAnsi="Times New Roman"/>
          <w:color w:val="000000"/>
          <w:sz w:val="28"/>
        </w:rPr>
        <w:t xml:space="preserve">. Субсидиарная ответственность как разновидность гражданско-правовой ответственности // Труды </w:t>
      </w:r>
      <w:r>
        <w:rPr>
          <w:rFonts w:ascii="Times New Roman" w:hAnsi="Times New Roman"/>
          <w:color w:val="000000"/>
          <w:sz w:val="28"/>
        </w:rPr>
        <w:t>БГТУ</w:t>
      </w:r>
      <w:r>
        <w:rPr>
          <w:rFonts w:ascii="Times New Roman" w:hAnsi="Times New Roman"/>
          <w:color w:val="000000"/>
          <w:sz w:val="28"/>
        </w:rPr>
        <w:t>. Серия 6: История, философия. 2023. - С. 207-210.</w:t>
      </w:r>
    </w:p>
    <w:p w14:paraId="6C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но-правовая система «Консультант Плюс». - </w:t>
      </w:r>
      <w:r>
        <w:rPr>
          <w:rFonts w:ascii="Times New Roman" w:hAnsi="Times New Roman"/>
          <w:color w:val="000000"/>
          <w:sz w:val="28"/>
        </w:rPr>
        <w:t>URL</w:t>
      </w:r>
      <w:r>
        <w:rPr>
          <w:rFonts w:ascii="Times New Roman" w:hAnsi="Times New Roman"/>
          <w:color w:val="000000"/>
          <w:sz w:val="28"/>
        </w:rPr>
        <w:t xml:space="preserve">: </w:t>
      </w:r>
      <w:r>
        <w:rPr>
          <w:rFonts w:ascii="Times New Roman" w:hAnsi="Times New Roman"/>
          <w:color w:val="000000"/>
          <w:sz w:val="28"/>
        </w:rPr>
        <w:t>https</w:t>
      </w:r>
      <w:r>
        <w:rPr>
          <w:rFonts w:ascii="Times New Roman" w:hAnsi="Times New Roman"/>
          <w:color w:val="000000"/>
          <w:sz w:val="28"/>
        </w:rPr>
        <w:t>://</w:t>
      </w:r>
      <w:r>
        <w:rPr>
          <w:rFonts w:ascii="Times New Roman" w:hAnsi="Times New Roman"/>
          <w:color w:val="000000"/>
          <w:sz w:val="28"/>
        </w:rPr>
        <w:t>www.consultant.ru</w:t>
      </w:r>
      <w:r>
        <w:rPr>
          <w:rFonts w:ascii="Times New Roman" w:hAnsi="Times New Roman"/>
          <w:color w:val="000000"/>
          <w:sz w:val="28"/>
        </w:rPr>
        <w:t>/</w:t>
      </w:r>
      <w:r>
        <w:rPr>
          <w:rFonts w:ascii="Times New Roman" w:hAnsi="Times New Roman"/>
          <w:color w:val="000000"/>
          <w:sz w:val="28"/>
        </w:rPr>
        <w:t>document</w:t>
      </w:r>
      <w:r>
        <w:rPr>
          <w:rFonts w:ascii="Times New Roman" w:hAnsi="Times New Roman"/>
          <w:color w:val="000000"/>
          <w:sz w:val="28"/>
        </w:rPr>
        <w:t>/</w:t>
      </w:r>
      <w:r>
        <w:rPr>
          <w:rFonts w:ascii="Times New Roman" w:hAnsi="Times New Roman"/>
          <w:color w:val="000000"/>
          <w:sz w:val="28"/>
        </w:rPr>
        <w:t>cons_doc</w:t>
      </w:r>
      <w:r>
        <w:rPr>
          <w:rFonts w:ascii="Times New Roman" w:hAnsi="Times New Roman"/>
          <w:color w:val="000000"/>
          <w:sz w:val="28"/>
        </w:rPr>
        <w:t xml:space="preserve">_ </w:t>
      </w:r>
      <w:r>
        <w:rPr>
          <w:rFonts w:ascii="Times New Roman" w:hAnsi="Times New Roman"/>
          <w:color w:val="000000"/>
          <w:sz w:val="28"/>
        </w:rPr>
        <w:t>LAW_39331</w:t>
      </w:r>
      <w:r>
        <w:rPr>
          <w:rFonts w:ascii="Times New Roman" w:hAnsi="Times New Roman"/>
          <w:color w:val="000000"/>
          <w:sz w:val="28"/>
        </w:rPr>
        <w:t>/ (дата обращения: 12.07.2026).</w:t>
      </w:r>
    </w:p>
    <w:p w14:paraId="6D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 постановление Пленума Верховного Суда Российской Федерации от 26 января 2010 года № 1. // Бюллетень Верховного Суда Рос. Федерации - 2010. - № 3. - Доступ из справочно-правовой системы «КонсультантПлюс» : сайт. - </w:t>
      </w:r>
      <w:r>
        <w:rPr>
          <w:rFonts w:ascii="Times New Roman" w:hAnsi="Times New Roman"/>
          <w:color w:val="000000"/>
          <w:sz w:val="28"/>
        </w:rPr>
        <w:t>URL</w:t>
      </w:r>
      <w:r>
        <w:rPr>
          <w:rFonts w:ascii="Times New Roman" w:hAnsi="Times New Roman"/>
          <w:color w:val="000000"/>
          <w:sz w:val="28"/>
        </w:rPr>
        <w:t xml:space="preserve">: </w:t>
      </w:r>
      <w:r>
        <w:rPr>
          <w:rFonts w:ascii="Times New Roman" w:hAnsi="Times New Roman"/>
          <w:color w:val="000000"/>
          <w:sz w:val="28"/>
        </w:rPr>
        <w:t>https</w:t>
      </w:r>
      <w:r>
        <w:rPr>
          <w:rFonts w:ascii="Times New Roman" w:hAnsi="Times New Roman"/>
          <w:color w:val="000000"/>
          <w:sz w:val="28"/>
        </w:rPr>
        <w:t>://</w:t>
      </w:r>
      <w:r>
        <w:rPr>
          <w:rFonts w:ascii="Times New Roman" w:hAnsi="Times New Roman"/>
          <w:color w:val="000000"/>
          <w:sz w:val="28"/>
        </w:rPr>
        <w:t>www.consultant.ru</w:t>
      </w:r>
      <w:r>
        <w:rPr>
          <w:rFonts w:ascii="Times New Roman" w:hAnsi="Times New Roman"/>
          <w:color w:val="000000"/>
          <w:sz w:val="28"/>
        </w:rPr>
        <w:t>/</w:t>
      </w:r>
      <w:r>
        <w:rPr>
          <w:rFonts w:ascii="Times New Roman" w:hAnsi="Times New Roman"/>
          <w:color w:val="000000"/>
          <w:sz w:val="28"/>
        </w:rPr>
        <w:t>document</w:t>
      </w:r>
      <w:r>
        <w:rPr>
          <w:rFonts w:ascii="Times New Roman" w:hAnsi="Times New Roman"/>
          <w:color w:val="000000"/>
          <w:sz w:val="28"/>
        </w:rPr>
        <w:t>/</w:t>
      </w:r>
      <w:r>
        <w:rPr>
          <w:rFonts w:ascii="Times New Roman" w:hAnsi="Times New Roman"/>
          <w:color w:val="000000"/>
          <w:sz w:val="28"/>
        </w:rPr>
        <w:t>cons_doc_LAW_96790</w:t>
      </w:r>
      <w:r>
        <w:rPr>
          <w:rFonts w:ascii="Times New Roman" w:hAnsi="Times New Roman"/>
          <w:color w:val="000000"/>
          <w:sz w:val="28"/>
        </w:rPr>
        <w:t>/ (дата обращения: 22.07.2026).</w:t>
      </w:r>
    </w:p>
    <w:p w14:paraId="6E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О сельскохозяйственной кооперации : Федеральный закон от 08 декабря 1995 года № 193-ФЗ : [в редакции от 22 июня 2024 года]. - Доступ из справочно-правовой системы «КонсультантПлюс» : сайт. - </w:t>
      </w:r>
      <w:r>
        <w:rPr>
          <w:rFonts w:ascii="Times New Roman" w:hAnsi="Times New Roman"/>
          <w:color w:val="000000"/>
          <w:sz w:val="28"/>
        </w:rPr>
        <w:t>URL</w:t>
      </w:r>
      <w:r>
        <w:rPr>
          <w:rFonts w:ascii="Times New Roman" w:hAnsi="Times New Roman"/>
          <w:color w:val="000000"/>
          <w:sz w:val="28"/>
        </w:rPr>
        <w:t xml:space="preserve">: </w:t>
      </w:r>
      <w:r>
        <w:rPr>
          <w:rFonts w:ascii="Times New Roman" w:hAnsi="Times New Roman"/>
          <w:color w:val="000000"/>
          <w:sz w:val="28"/>
        </w:rPr>
        <w:t>https</w:t>
      </w:r>
      <w:r>
        <w:rPr>
          <w:rFonts w:ascii="Times New Roman" w:hAnsi="Times New Roman"/>
          <w:color w:val="000000"/>
          <w:sz w:val="28"/>
        </w:rPr>
        <w:t>://</w:t>
      </w:r>
      <w:r>
        <w:rPr>
          <w:rFonts w:ascii="Times New Roman" w:hAnsi="Times New Roman"/>
          <w:color w:val="000000"/>
          <w:sz w:val="28"/>
        </w:rPr>
        <w:t>www.consultant.ru</w:t>
      </w:r>
      <w:r>
        <w:rPr>
          <w:rFonts w:ascii="Times New Roman" w:hAnsi="Times New Roman"/>
          <w:color w:val="000000"/>
          <w:sz w:val="28"/>
        </w:rPr>
        <w:t>/</w:t>
      </w:r>
      <w:r>
        <w:rPr>
          <w:rFonts w:ascii="Times New Roman" w:hAnsi="Times New Roman"/>
          <w:color w:val="000000"/>
          <w:sz w:val="28"/>
        </w:rPr>
        <w:t>document</w:t>
      </w:r>
      <w:r>
        <w:rPr>
          <w:rFonts w:ascii="Times New Roman" w:hAnsi="Times New Roman"/>
          <w:color w:val="000000"/>
          <w:sz w:val="28"/>
        </w:rPr>
        <w:t>/</w:t>
      </w:r>
      <w:r>
        <w:rPr>
          <w:rFonts w:ascii="Times New Roman" w:hAnsi="Times New Roman"/>
          <w:color w:val="000000"/>
          <w:sz w:val="28"/>
        </w:rPr>
        <w:t>cons_doc_LAW_8572</w:t>
      </w:r>
      <w:r>
        <w:rPr>
          <w:rFonts w:ascii="Times New Roman" w:hAnsi="Times New Roman"/>
          <w:color w:val="000000"/>
          <w:sz w:val="28"/>
        </w:rPr>
        <w:t>/ (дата обращения: 22.07.2026).</w:t>
      </w:r>
    </w:p>
    <w:p w14:paraId="6F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Постатейный комментарий к части первой Гражданского кодекса Российской Федерации / под ред. А. Н. </w:t>
      </w:r>
      <w:r>
        <w:rPr>
          <w:rFonts w:ascii="Times New Roman" w:hAnsi="Times New Roman"/>
          <w:color w:val="000000"/>
          <w:sz w:val="28"/>
        </w:rPr>
        <w:t>Гуева</w:t>
      </w:r>
      <w:r>
        <w:rPr>
          <w:rFonts w:ascii="Times New Roman" w:hAnsi="Times New Roman"/>
          <w:color w:val="000000"/>
          <w:sz w:val="28"/>
        </w:rPr>
        <w:t xml:space="preserve">. М., 2006. - Доступ из справочно-правовой системы «КонсультантПлюс» : сайт. - </w:t>
      </w:r>
      <w:r>
        <w:rPr>
          <w:rFonts w:ascii="Times New Roman" w:hAnsi="Times New Roman"/>
          <w:color w:val="000000"/>
          <w:sz w:val="28"/>
        </w:rPr>
        <w:t>URL</w:t>
      </w:r>
      <w:r>
        <w:rPr>
          <w:rFonts w:ascii="Times New Roman" w:hAnsi="Times New Roman"/>
          <w:color w:val="000000"/>
          <w:sz w:val="28"/>
        </w:rPr>
        <w:t xml:space="preserve">: </w:t>
      </w:r>
      <w:r>
        <w:rPr>
          <w:rFonts w:ascii="Times New Roman" w:hAnsi="Times New Roman"/>
          <w:color w:val="000000"/>
          <w:sz w:val="28"/>
        </w:rPr>
        <w:t>https</w:t>
      </w:r>
      <w:r>
        <w:rPr>
          <w:rFonts w:ascii="Times New Roman" w:hAnsi="Times New Roman"/>
          <w:color w:val="000000"/>
          <w:sz w:val="28"/>
        </w:rPr>
        <w:t>://</w:t>
      </w:r>
      <w:r>
        <w:rPr>
          <w:rFonts w:ascii="Times New Roman" w:hAnsi="Times New Roman"/>
          <w:color w:val="000000"/>
          <w:sz w:val="28"/>
        </w:rPr>
        <w:t>base.garant.ru</w:t>
      </w:r>
      <w:r>
        <w:rPr>
          <w:rFonts w:ascii="Times New Roman" w:hAnsi="Times New Roman"/>
          <w:color w:val="000000"/>
          <w:sz w:val="28"/>
        </w:rPr>
        <w:t>/5213280/ (дата обращения: 22.07.2026).</w:t>
      </w:r>
    </w:p>
    <w:p w14:paraId="70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Суворов </w:t>
      </w:r>
      <w:r>
        <w:rPr>
          <w:rFonts w:ascii="Times New Roman" w:hAnsi="Times New Roman"/>
          <w:color w:val="000000"/>
          <w:sz w:val="28"/>
        </w:rPr>
        <w:t>Е.Д</w:t>
      </w:r>
      <w:r>
        <w:rPr>
          <w:rFonts w:ascii="Times New Roman" w:hAnsi="Times New Roman"/>
          <w:color w:val="000000"/>
          <w:sz w:val="28"/>
        </w:rPr>
        <w:t>. К вопросу о правовой природе субсидиарной ответственности по обязательствам несостоятельного должника за доведение до банкротства // Законы России: опыт, анализ, практика. 2018. № 7. - С. 42-49.</w:t>
      </w:r>
    </w:p>
    <w:p w14:paraId="71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Сулейменов, М. К. Гражданское право. Общая часть : учебник : в 2 т. / М. К. Сулейменов. - Алматы : </w:t>
      </w:r>
      <w:r>
        <w:rPr>
          <w:rFonts w:ascii="Times New Roman" w:hAnsi="Times New Roman"/>
          <w:color w:val="000000"/>
          <w:sz w:val="28"/>
        </w:rPr>
        <w:t>Зангер</w:t>
      </w:r>
      <w:r>
        <w:rPr>
          <w:rFonts w:ascii="Times New Roman" w:hAnsi="Times New Roman"/>
          <w:color w:val="000000"/>
          <w:sz w:val="28"/>
        </w:rPr>
        <w:t>, 2013. - Т. 1. - 776 с.</w:t>
      </w:r>
    </w:p>
    <w:p w14:paraId="72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Теория государства и права : учебник / под ред. Л. А. Морозовой. - Москва : Норма : ИНФРА-М, 2024. - 464 с.</w:t>
      </w:r>
    </w:p>
    <w:p w14:paraId="73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Федеральный закон № 127 «О несостоятельности (банкротстве)» от 26.10.2002 № 127-ФЗ (посл. ред.) [Электронный ресурс] // </w:t>
      </w:r>
      <w:r>
        <w:rPr>
          <w:rFonts w:ascii="Times New Roman" w:hAnsi="Times New Roman"/>
          <w:color w:val="000000"/>
          <w:sz w:val="28"/>
        </w:rPr>
        <w:t>Справоч</w:t>
      </w:r>
      <w:r>
        <w:rPr>
          <w:rFonts w:ascii="Times New Roman" w:hAnsi="Times New Roman"/>
          <w:color w:val="000000"/>
          <w:sz w:val="28"/>
        </w:rPr>
        <w:t>-</w:t>
      </w:r>
    </w:p>
    <w:p w14:paraId="74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Фогельсон</w:t>
      </w:r>
      <w:r>
        <w:rPr>
          <w:rFonts w:ascii="Times New Roman" w:hAnsi="Times New Roman"/>
          <w:color w:val="000000"/>
          <w:sz w:val="28"/>
        </w:rPr>
        <w:t xml:space="preserve"> </w:t>
      </w:r>
      <w:r>
        <w:rPr>
          <w:rFonts w:ascii="Times New Roman" w:hAnsi="Times New Roman"/>
          <w:color w:val="000000"/>
          <w:sz w:val="28"/>
        </w:rPr>
        <w:t>Ю.Б</w:t>
      </w:r>
      <w:r>
        <w:rPr>
          <w:rFonts w:ascii="Times New Roman" w:hAnsi="Times New Roman"/>
          <w:color w:val="000000"/>
          <w:sz w:val="28"/>
        </w:rPr>
        <w:t>. Процесс об убытках // Вестник экономического правосудия Российской Федерации. 2022. № 1. - С. 118-132.</w:t>
      </w:r>
    </w:p>
    <w:p w14:paraId="75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Чешин</w:t>
      </w:r>
      <w:r>
        <w:rPr>
          <w:rFonts w:ascii="Times New Roman" w:hAnsi="Times New Roman"/>
          <w:color w:val="000000"/>
          <w:sz w:val="28"/>
        </w:rPr>
        <w:t xml:space="preserve"> </w:t>
      </w:r>
      <w:r>
        <w:rPr>
          <w:rFonts w:ascii="Times New Roman" w:hAnsi="Times New Roman"/>
          <w:color w:val="000000"/>
          <w:sz w:val="28"/>
        </w:rPr>
        <w:t>А.В</w:t>
      </w:r>
      <w:r>
        <w:rPr>
          <w:rFonts w:ascii="Times New Roman" w:hAnsi="Times New Roman"/>
          <w:color w:val="000000"/>
          <w:sz w:val="28"/>
        </w:rPr>
        <w:t>. Использование фикций в гражданском праве: преимущества и недостатки // Власть Закона. 2023. № 3 (55). - С. 197-206.</w:t>
      </w:r>
    </w:p>
    <w:p w14:paraId="76010000">
      <w:pPr>
        <w:pStyle w:val="Style_9"/>
        <w:numPr>
          <w:ilvl w:val="0"/>
          <w:numId w:val="9"/>
        </w:numPr>
        <w:spacing w:after="0" w:line="360" w:lineRule="auto"/>
        <w:ind w:firstLine="851" w:left="0"/>
        <w:jc w:val="both"/>
        <w:rPr>
          <w:rFonts w:ascii="Times New Roman" w:hAnsi="Times New Roman"/>
          <w:sz w:val="28"/>
        </w:rPr>
      </w:pPr>
      <w:r>
        <w:rPr>
          <w:rFonts w:ascii="Times New Roman" w:hAnsi="Times New Roman"/>
          <w:sz w:val="28"/>
        </w:rPr>
        <w:t>Шардаков</w:t>
      </w:r>
      <w:r>
        <w:rPr>
          <w:rFonts w:ascii="Times New Roman" w:hAnsi="Times New Roman"/>
          <w:sz w:val="28"/>
        </w:rPr>
        <w:t xml:space="preserve"> А. Е. Субсидиарная ответственность как часть системы гражданско-правовой ответственности // Право и управление. 2024. №10. </w:t>
      </w:r>
      <w:r>
        <w:rPr>
          <w:rFonts w:ascii="Times New Roman" w:hAnsi="Times New Roman"/>
          <w:sz w:val="28"/>
        </w:rPr>
        <w:t>URL</w:t>
      </w:r>
      <w:r>
        <w:rPr>
          <w:rFonts w:ascii="Times New Roman" w:hAnsi="Times New Roman"/>
          <w:sz w:val="28"/>
        </w:rPr>
        <w:t>: https://cyberleninka.ru/article/n/subsidiarnaya-otvetstvennost-kak-chast-sistemy-grazhdansko-pravovoy-otvetstvennosti (дата обращения: 25.07.2026).</w:t>
      </w:r>
    </w:p>
    <w:p w14:paraId="77010000">
      <w:pPr>
        <w:pStyle w:val="Style_9"/>
        <w:numPr>
          <w:ilvl w:val="0"/>
          <w:numId w:val="9"/>
        </w:numPr>
        <w:spacing w:after="0" w:line="360" w:lineRule="auto"/>
        <w:ind w:firstLine="851" w:left="0"/>
        <w:jc w:val="both"/>
        <w:rPr>
          <w:rFonts w:ascii="Times New Roman" w:hAnsi="Times New Roman"/>
          <w:sz w:val="28"/>
        </w:rPr>
      </w:pPr>
      <w:r>
        <w:rPr>
          <w:rFonts w:ascii="Times New Roman" w:hAnsi="Times New Roman"/>
          <w:sz w:val="28"/>
        </w:rPr>
        <w:t>Шушина</w:t>
      </w:r>
      <w:r>
        <w:rPr>
          <w:rFonts w:ascii="Times New Roman" w:hAnsi="Times New Roman"/>
          <w:sz w:val="28"/>
        </w:rPr>
        <w:t xml:space="preserve"> Е. В., Крупенин В. И. Субсидиарная ответственность в гражданском праве. Проблемы правового регулирования // Право и государство: теория и практика. 2025. №7. </w:t>
      </w:r>
      <w:r>
        <w:rPr>
          <w:rFonts w:ascii="Times New Roman" w:hAnsi="Times New Roman"/>
          <w:sz w:val="28"/>
        </w:rPr>
        <w:t>URL</w:t>
      </w:r>
      <w:r>
        <w:rPr>
          <w:rFonts w:ascii="Times New Roman" w:hAnsi="Times New Roman"/>
          <w:sz w:val="28"/>
        </w:rPr>
        <w:t>: https://cyberleninka.ru/article/n/subsidiarnaya-otvetstvennost-v-grazhdanskom-prave-problemy-pravovogo-regulirovaniya (дата обращения: 25.07.2026).</w:t>
      </w:r>
    </w:p>
    <w:p w14:paraId="78010000">
      <w:pPr>
        <w:pStyle w:val="Style_9"/>
        <w:numPr>
          <w:ilvl w:val="0"/>
          <w:numId w:val="9"/>
        </w:numPr>
        <w:spacing w:after="0" w:line="360" w:lineRule="auto"/>
        <w:ind w:firstLine="851" w:left="0"/>
        <w:jc w:val="both"/>
        <w:rPr>
          <w:rFonts w:ascii="Times New Roman" w:hAnsi="Times New Roman"/>
          <w:color w:val="000000"/>
          <w:sz w:val="28"/>
        </w:rPr>
      </w:pPr>
      <w:r>
        <w:rPr>
          <w:rFonts w:ascii="Times New Roman" w:hAnsi="Times New Roman"/>
          <w:color w:val="000000"/>
          <w:sz w:val="28"/>
        </w:rPr>
        <w:t xml:space="preserve">Экономика и право: Монография / </w:t>
      </w:r>
      <w:r>
        <w:rPr>
          <w:rFonts w:ascii="Times New Roman" w:hAnsi="Times New Roman"/>
          <w:color w:val="000000"/>
          <w:sz w:val="28"/>
        </w:rPr>
        <w:t>А.А</w:t>
      </w:r>
      <w:r>
        <w:rPr>
          <w:rFonts w:ascii="Times New Roman" w:hAnsi="Times New Roman"/>
          <w:color w:val="000000"/>
          <w:sz w:val="28"/>
        </w:rPr>
        <w:t xml:space="preserve">. </w:t>
      </w:r>
      <w:r>
        <w:rPr>
          <w:rFonts w:ascii="Times New Roman" w:hAnsi="Times New Roman"/>
          <w:color w:val="000000"/>
          <w:sz w:val="28"/>
        </w:rPr>
        <w:t>Ардизинба</w:t>
      </w:r>
      <w:r>
        <w:rPr>
          <w:rFonts w:ascii="Times New Roman" w:hAnsi="Times New Roman"/>
          <w:color w:val="000000"/>
          <w:sz w:val="28"/>
        </w:rPr>
        <w:t xml:space="preserve">, </w:t>
      </w:r>
      <w:r>
        <w:rPr>
          <w:rFonts w:ascii="Times New Roman" w:hAnsi="Times New Roman"/>
          <w:color w:val="000000"/>
          <w:sz w:val="28"/>
        </w:rPr>
        <w:t>В.В</w:t>
      </w:r>
      <w:r>
        <w:rPr>
          <w:rFonts w:ascii="Times New Roman" w:hAnsi="Times New Roman"/>
          <w:color w:val="000000"/>
          <w:sz w:val="28"/>
        </w:rPr>
        <w:t xml:space="preserve">. Новиков, </w:t>
      </w:r>
      <w:r>
        <w:rPr>
          <w:rFonts w:ascii="Times New Roman" w:hAnsi="Times New Roman"/>
          <w:color w:val="000000"/>
          <w:sz w:val="28"/>
        </w:rPr>
        <w:t>В.В</w:t>
      </w:r>
      <w:r>
        <w:rPr>
          <w:rFonts w:ascii="Times New Roman" w:hAnsi="Times New Roman"/>
          <w:color w:val="000000"/>
          <w:sz w:val="28"/>
        </w:rPr>
        <w:t xml:space="preserve">. Новиков [и др.]; Гл. ред. </w:t>
      </w:r>
      <w:r>
        <w:rPr>
          <w:rFonts w:ascii="Times New Roman" w:hAnsi="Times New Roman"/>
          <w:color w:val="000000"/>
          <w:sz w:val="28"/>
        </w:rPr>
        <w:t>Э.В</w:t>
      </w:r>
      <w:r>
        <w:rPr>
          <w:rFonts w:ascii="Times New Roman" w:hAnsi="Times New Roman"/>
          <w:color w:val="000000"/>
          <w:sz w:val="28"/>
        </w:rPr>
        <w:t>. Фомин. - Чебоксары: ООО «Издательский дом «Среда», 2023. - 172 с.</w:t>
      </w:r>
    </w:p>
    <w:p w14:paraId="79010000">
      <w:pPr>
        <w:rPr>
          <w:rFonts w:ascii="Times New Roman" w:hAnsi="Times New Roman"/>
          <w:sz w:val="28"/>
        </w:rPr>
      </w:pPr>
      <w:r>
        <w:rPr>
          <w:rFonts w:ascii="Times New Roman" w:hAnsi="Times New Roman"/>
          <w:sz w:val="28"/>
        </w:rPr>
        <w:br w:type="page"/>
      </w:r>
    </w:p>
    <w:p w14:paraId="7A010000">
      <w:bookmarkStart w:id="29" w:name="__RefHeading___28"/>
      <w:bookmarkEnd w:id="29"/>
      <w:pPr>
        <w:pStyle w:val="Style_7"/>
        <w:ind/>
        <w:jc w:val="right"/>
        <w:rPr>
          <w:rFonts w:ascii="Times New Roman" w:hAnsi="Times New Roman"/>
          <w:b w:val="1"/>
          <w:color w:themeColor="text1" w:val="000000"/>
        </w:rPr>
      </w:pPr>
      <w:r>
        <w:rPr>
          <w:rFonts w:ascii="Times New Roman" w:hAnsi="Times New Roman"/>
          <w:b w:val="1"/>
          <w:color w:themeColor="text1" w:val="000000"/>
        </w:rPr>
        <w:t>ПРИЛОЖЕНИЕ</w:t>
      </w:r>
    </w:p>
    <w:p w14:paraId="7B010000">
      <w:pPr>
        <w:spacing w:afterAutospacing="on" w:beforeAutospacing="on" w:line="240" w:lineRule="auto"/>
        <w:ind/>
        <w:rPr>
          <w:rFonts w:ascii="Times New Roman" w:hAnsi="Times New Roman"/>
          <w:sz w:val="24"/>
        </w:rPr>
      </w:pPr>
      <w:r>
        <w:rPr>
          <w:rFonts w:ascii="Times New Roman" w:hAnsi="Times New Roman"/>
          <w:b w:val="1"/>
          <w:sz w:val="24"/>
        </w:rPr>
        <w:t xml:space="preserve">Таблица </w:t>
      </w:r>
      <w:r>
        <w:rPr>
          <w:rFonts w:ascii="Times New Roman" w:hAnsi="Times New Roman"/>
          <w:b w:val="1"/>
          <w:sz w:val="24"/>
        </w:rPr>
        <w:t>А.1</w:t>
      </w:r>
      <w:r>
        <w:rPr>
          <w:rFonts w:ascii="Times New Roman" w:hAnsi="Times New Roman"/>
          <w:b w:val="1"/>
          <w:sz w:val="24"/>
        </w:rPr>
        <w:t xml:space="preserve"> </w:t>
      </w:r>
      <w:r>
        <w:rPr>
          <w:rFonts w:ascii="Times New Roman" w:hAnsi="Times New Roman"/>
          <w:b w:val="1"/>
          <w:sz w:val="24"/>
        </w:rPr>
        <w:t>-</w:t>
      </w:r>
      <w:r>
        <w:rPr>
          <w:rFonts w:ascii="Times New Roman" w:hAnsi="Times New Roman"/>
          <w:b w:val="1"/>
          <w:sz w:val="24"/>
        </w:rPr>
        <w:t xml:space="preserve"> Основания привлечения контролирующих должника лиц к субсидиарной ответственности</w:t>
      </w:r>
    </w:p>
    <w:tbl>
      <w:tblPr>
        <w:tblStyle w:val="Style_3"/>
        <w:tblLayout w:type="fixed"/>
      </w:tblPr>
      <w:tblGrid>
        <w:gridCol w:w="2279"/>
        <w:gridCol w:w="2053"/>
        <w:gridCol w:w="1789"/>
        <w:gridCol w:w="3088"/>
      </w:tblGrid>
      <w:tr>
        <w:trPr>
          <w:trHeight w:hRule="atLeast" w:val="936"/>
        </w:trPr>
        <w:tc>
          <w:tcPr>
            <w:tcW w:type="dxa" w:w="2279"/>
            <w:tcBorders>
              <w:top w:color="000000" w:sz="4" w:val="single"/>
              <w:left w:color="000000" w:sz="4" w:val="single"/>
              <w:bottom w:color="000000" w:sz="4" w:val="single"/>
              <w:right w:color="000000" w:sz="4" w:val="single"/>
            </w:tcBorders>
            <w:shd w:fill="auto" w:val="clear"/>
            <w:vAlign w:val="center"/>
          </w:tcPr>
          <w:p w14:paraId="7C010000">
            <w:pPr>
              <w:spacing w:after="0" w:line="240" w:lineRule="auto"/>
              <w:ind/>
              <w:jc w:val="center"/>
              <w:rPr>
                <w:rFonts w:ascii="Times New Roman" w:hAnsi="Times New Roman"/>
                <w:b w:val="1"/>
                <w:color w:val="000000"/>
                <w:sz w:val="20"/>
              </w:rPr>
            </w:pPr>
            <w:r>
              <w:rPr>
                <w:rFonts w:ascii="Times New Roman" w:hAnsi="Times New Roman"/>
                <w:b w:val="1"/>
                <w:color w:val="000000"/>
                <w:sz w:val="20"/>
              </w:rPr>
              <w:t>Основание привлечения</w:t>
            </w:r>
          </w:p>
        </w:tc>
        <w:tc>
          <w:tcPr>
            <w:tcW w:type="dxa" w:w="2053"/>
            <w:tcBorders>
              <w:top w:color="000000" w:sz="4" w:val="single"/>
              <w:left w:sz="4" w:val="nil"/>
              <w:bottom w:color="000000" w:sz="4" w:val="single"/>
              <w:right w:color="000000" w:sz="4" w:val="single"/>
            </w:tcBorders>
            <w:shd w:fill="auto" w:val="clear"/>
            <w:vAlign w:val="center"/>
          </w:tcPr>
          <w:p w14:paraId="7D010000">
            <w:pPr>
              <w:spacing w:after="0" w:line="240" w:lineRule="auto"/>
              <w:ind/>
              <w:jc w:val="center"/>
              <w:rPr>
                <w:rFonts w:ascii="Times New Roman" w:hAnsi="Times New Roman"/>
                <w:b w:val="1"/>
                <w:color w:val="000000"/>
                <w:sz w:val="20"/>
              </w:rPr>
            </w:pPr>
            <w:r>
              <w:rPr>
                <w:rFonts w:ascii="Times New Roman" w:hAnsi="Times New Roman"/>
                <w:b w:val="1"/>
                <w:color w:val="000000"/>
                <w:sz w:val="20"/>
              </w:rPr>
              <w:t>Нормативное основание</w:t>
            </w:r>
          </w:p>
        </w:tc>
        <w:tc>
          <w:tcPr>
            <w:tcW w:type="dxa" w:w="1789"/>
            <w:tcBorders>
              <w:top w:color="000000" w:sz="4" w:val="single"/>
              <w:left w:sz="4" w:val="nil"/>
              <w:bottom w:color="000000" w:sz="4" w:val="single"/>
              <w:right w:color="000000" w:sz="4" w:val="single"/>
            </w:tcBorders>
            <w:shd w:fill="auto" w:val="clear"/>
            <w:vAlign w:val="center"/>
          </w:tcPr>
          <w:p w14:paraId="7E010000">
            <w:pPr>
              <w:spacing w:after="0" w:line="240" w:lineRule="auto"/>
              <w:ind/>
              <w:jc w:val="center"/>
              <w:rPr>
                <w:rFonts w:ascii="Times New Roman" w:hAnsi="Times New Roman"/>
                <w:b w:val="1"/>
                <w:color w:val="000000"/>
                <w:sz w:val="20"/>
              </w:rPr>
            </w:pPr>
            <w:r>
              <w:rPr>
                <w:rFonts w:ascii="Times New Roman" w:hAnsi="Times New Roman"/>
                <w:b w:val="1"/>
                <w:color w:val="000000"/>
                <w:sz w:val="20"/>
              </w:rPr>
              <w:t>Что необходимо установить суду</w:t>
            </w:r>
          </w:p>
        </w:tc>
        <w:tc>
          <w:tcPr>
            <w:tcW w:type="dxa" w:w="3088"/>
            <w:tcBorders>
              <w:top w:color="000000" w:sz="4" w:val="single"/>
              <w:left w:sz="4" w:val="nil"/>
              <w:bottom w:color="000000" w:sz="4" w:val="single"/>
              <w:right w:color="000000" w:sz="4" w:val="single"/>
            </w:tcBorders>
            <w:shd w:fill="auto" w:val="clear"/>
            <w:vAlign w:val="center"/>
          </w:tcPr>
          <w:p w14:paraId="7F010000">
            <w:pPr>
              <w:spacing w:after="0" w:line="240" w:lineRule="auto"/>
              <w:ind/>
              <w:jc w:val="center"/>
              <w:rPr>
                <w:rFonts w:ascii="Times New Roman" w:hAnsi="Times New Roman"/>
                <w:b w:val="1"/>
                <w:color w:val="000000"/>
                <w:sz w:val="20"/>
              </w:rPr>
            </w:pPr>
            <w:r>
              <w:rPr>
                <w:rFonts w:ascii="Times New Roman" w:hAnsi="Times New Roman"/>
                <w:b w:val="1"/>
                <w:color w:val="000000"/>
                <w:sz w:val="20"/>
              </w:rPr>
              <w:t>Практическое значение для дела ООО «</w:t>
            </w:r>
            <w:r>
              <w:rPr>
                <w:rFonts w:ascii="Times New Roman" w:hAnsi="Times New Roman"/>
                <w:b w:val="1"/>
                <w:color w:val="000000"/>
                <w:sz w:val="20"/>
              </w:rPr>
              <w:t>Паблотан</w:t>
            </w:r>
            <w:r>
              <w:rPr>
                <w:rFonts w:ascii="Times New Roman" w:hAnsi="Times New Roman"/>
                <w:b w:val="1"/>
                <w:color w:val="000000"/>
                <w:sz w:val="20"/>
              </w:rPr>
              <w:t xml:space="preserve"> </w:t>
            </w:r>
            <w:r>
              <w:rPr>
                <w:rFonts w:ascii="Times New Roman" w:hAnsi="Times New Roman"/>
                <w:b w:val="1"/>
                <w:color w:val="000000"/>
                <w:sz w:val="20"/>
              </w:rPr>
              <w:t>-</w:t>
            </w:r>
            <w:r>
              <w:rPr>
                <w:rFonts w:ascii="Times New Roman" w:hAnsi="Times New Roman"/>
                <w:b w:val="1"/>
                <w:color w:val="000000"/>
                <w:sz w:val="20"/>
              </w:rPr>
              <w:t xml:space="preserve"> </w:t>
            </w:r>
            <w:r>
              <w:rPr>
                <w:rFonts w:ascii="Times New Roman" w:hAnsi="Times New Roman"/>
                <w:b w:val="1"/>
                <w:color w:val="000000"/>
                <w:sz w:val="20"/>
              </w:rPr>
              <w:t>Зест</w:t>
            </w:r>
            <w:r>
              <w:rPr>
                <w:rFonts w:ascii="Times New Roman" w:hAnsi="Times New Roman"/>
                <w:b w:val="1"/>
                <w:color w:val="000000"/>
                <w:sz w:val="20"/>
              </w:rPr>
              <w:t xml:space="preserve"> и к»</w:t>
            </w:r>
          </w:p>
        </w:tc>
      </w:tr>
      <w:tr>
        <w:trPr>
          <w:trHeight w:hRule="atLeast" w:val="1653"/>
        </w:trPr>
        <w:tc>
          <w:tcPr>
            <w:tcW w:type="dxa" w:w="2279"/>
            <w:tcBorders>
              <w:top w:sz="4" w:val="nil"/>
              <w:left w:color="000000" w:sz="4" w:val="single"/>
              <w:bottom w:color="000000" w:sz="4" w:val="single"/>
              <w:right w:color="000000" w:sz="4" w:val="single"/>
            </w:tcBorders>
            <w:shd w:fill="auto" w:val="clear"/>
            <w:vAlign w:val="center"/>
          </w:tcPr>
          <w:p w14:paraId="80010000">
            <w:pPr>
              <w:spacing w:after="0" w:line="240" w:lineRule="auto"/>
              <w:ind/>
              <w:rPr>
                <w:rFonts w:ascii="Times New Roman" w:hAnsi="Times New Roman"/>
                <w:color w:val="000000"/>
                <w:sz w:val="20"/>
              </w:rPr>
            </w:pPr>
            <w:r>
              <w:rPr>
                <w:rFonts w:ascii="Times New Roman" w:hAnsi="Times New Roman"/>
                <w:color w:val="000000"/>
                <w:sz w:val="20"/>
              </w:rPr>
              <w:t>Наличие статуса контролирующего должника лица</w:t>
            </w:r>
          </w:p>
        </w:tc>
        <w:tc>
          <w:tcPr>
            <w:tcW w:type="dxa" w:w="2053"/>
            <w:tcBorders>
              <w:top w:sz="4" w:val="nil"/>
              <w:left w:sz="4" w:val="nil"/>
              <w:bottom w:color="000000" w:sz="4" w:val="single"/>
              <w:right w:color="000000" w:sz="4" w:val="single"/>
            </w:tcBorders>
            <w:shd w:fill="auto" w:val="clear"/>
            <w:vAlign w:val="center"/>
          </w:tcPr>
          <w:p w14:paraId="81010000">
            <w:pPr>
              <w:spacing w:after="0" w:line="240" w:lineRule="auto"/>
              <w:ind/>
              <w:rPr>
                <w:rFonts w:ascii="Times New Roman" w:hAnsi="Times New Roman"/>
                <w:color w:val="000000"/>
                <w:sz w:val="20"/>
              </w:rPr>
            </w:pPr>
            <w:r>
              <w:rPr>
                <w:rFonts w:ascii="Times New Roman" w:hAnsi="Times New Roman"/>
                <w:color w:val="000000"/>
                <w:sz w:val="20"/>
              </w:rPr>
              <w:t>Федеральный закон № 127-ФЗ «О несостоятельности (банкротстве)», ст. 61.10</w:t>
            </w:r>
          </w:p>
        </w:tc>
        <w:tc>
          <w:tcPr>
            <w:tcW w:type="dxa" w:w="1789"/>
            <w:tcBorders>
              <w:top w:sz="4" w:val="nil"/>
              <w:left w:sz="4" w:val="nil"/>
              <w:bottom w:color="000000" w:sz="4" w:val="single"/>
              <w:right w:color="000000" w:sz="4" w:val="single"/>
            </w:tcBorders>
            <w:shd w:fill="auto" w:val="clear"/>
            <w:vAlign w:val="center"/>
          </w:tcPr>
          <w:p w14:paraId="82010000">
            <w:pPr>
              <w:spacing w:after="0" w:line="240" w:lineRule="auto"/>
              <w:ind/>
              <w:rPr>
                <w:rFonts w:ascii="Times New Roman" w:hAnsi="Times New Roman"/>
                <w:color w:val="000000"/>
                <w:sz w:val="20"/>
              </w:rPr>
            </w:pPr>
            <w:r>
              <w:rPr>
                <w:rFonts w:ascii="Times New Roman" w:hAnsi="Times New Roman"/>
                <w:color w:val="000000"/>
                <w:sz w:val="20"/>
              </w:rPr>
              <w:t>Возможность лица определять действия должника либо давать обязательные указания</w:t>
            </w:r>
          </w:p>
        </w:tc>
        <w:tc>
          <w:tcPr>
            <w:tcW w:type="dxa" w:w="3088"/>
            <w:tcBorders>
              <w:top w:sz="4" w:val="nil"/>
              <w:left w:sz="4" w:val="nil"/>
              <w:bottom w:color="000000" w:sz="4" w:val="single"/>
              <w:right w:color="000000" w:sz="4" w:val="single"/>
            </w:tcBorders>
            <w:shd w:fill="auto" w:val="clear"/>
            <w:vAlign w:val="center"/>
          </w:tcPr>
          <w:p w14:paraId="83010000">
            <w:pPr>
              <w:spacing w:after="0" w:line="240" w:lineRule="auto"/>
              <w:ind/>
              <w:rPr>
                <w:rFonts w:ascii="Times New Roman" w:hAnsi="Times New Roman"/>
                <w:color w:val="000000"/>
                <w:sz w:val="20"/>
              </w:rPr>
            </w:pPr>
            <w:r>
              <w:rPr>
                <w:rFonts w:ascii="Times New Roman" w:hAnsi="Times New Roman"/>
                <w:color w:val="000000"/>
                <w:sz w:val="20"/>
              </w:rPr>
              <w:t xml:space="preserve">Единственным участником и генеральным директором общества являлся </w:t>
            </w:r>
            <w:r>
              <w:rPr>
                <w:rFonts w:ascii="Times New Roman" w:hAnsi="Times New Roman"/>
                <w:color w:val="000000"/>
                <w:sz w:val="20"/>
              </w:rPr>
              <w:t>Е.А</w:t>
            </w:r>
            <w:r>
              <w:rPr>
                <w:rFonts w:ascii="Times New Roman" w:hAnsi="Times New Roman"/>
                <w:color w:val="000000"/>
                <w:sz w:val="20"/>
              </w:rPr>
              <w:t>. Зырянов, что свидетельствовало о наличии корпоративного контроля</w:t>
            </w:r>
          </w:p>
        </w:tc>
      </w:tr>
      <w:tr>
        <w:trPr>
          <w:trHeight w:hRule="atLeast" w:val="1266"/>
        </w:trPr>
        <w:tc>
          <w:tcPr>
            <w:tcW w:type="dxa" w:w="2279"/>
            <w:tcBorders>
              <w:top w:sz="4" w:val="nil"/>
              <w:left w:color="000000" w:sz="4" w:val="single"/>
              <w:bottom w:color="000000" w:sz="4" w:val="single"/>
              <w:right w:color="000000" w:sz="4" w:val="single"/>
            </w:tcBorders>
            <w:shd w:fill="auto" w:val="clear"/>
            <w:vAlign w:val="center"/>
          </w:tcPr>
          <w:p w14:paraId="84010000">
            <w:pPr>
              <w:spacing w:after="0" w:line="240" w:lineRule="auto"/>
              <w:ind/>
              <w:rPr>
                <w:rFonts w:ascii="Times New Roman" w:hAnsi="Times New Roman"/>
                <w:color w:val="000000"/>
                <w:sz w:val="20"/>
              </w:rPr>
            </w:pPr>
            <w:r>
              <w:rPr>
                <w:rFonts w:ascii="Times New Roman" w:hAnsi="Times New Roman"/>
                <w:color w:val="000000"/>
                <w:sz w:val="20"/>
              </w:rPr>
              <w:t>Невозможность полного погашения требований кредиторов</w:t>
            </w:r>
          </w:p>
        </w:tc>
        <w:tc>
          <w:tcPr>
            <w:tcW w:type="dxa" w:w="2053"/>
            <w:tcBorders>
              <w:top w:sz="4" w:val="nil"/>
              <w:left w:sz="4" w:val="nil"/>
              <w:bottom w:color="000000" w:sz="4" w:val="single"/>
              <w:right w:color="000000" w:sz="4" w:val="single"/>
            </w:tcBorders>
            <w:shd w:fill="auto" w:val="clear"/>
            <w:vAlign w:val="center"/>
          </w:tcPr>
          <w:p w14:paraId="85010000">
            <w:pPr>
              <w:spacing w:after="0" w:line="240" w:lineRule="auto"/>
              <w:ind/>
              <w:rPr>
                <w:rFonts w:ascii="Times New Roman" w:hAnsi="Times New Roman"/>
                <w:color w:val="000000"/>
                <w:sz w:val="20"/>
              </w:rPr>
            </w:pPr>
            <w:r>
              <w:rPr>
                <w:rFonts w:ascii="Times New Roman" w:hAnsi="Times New Roman"/>
                <w:color w:val="000000"/>
                <w:sz w:val="20"/>
              </w:rPr>
              <w:t>Ст. 61.11 Федерального закона № 127-ФЗ</w:t>
            </w:r>
          </w:p>
        </w:tc>
        <w:tc>
          <w:tcPr>
            <w:tcW w:type="dxa" w:w="1789"/>
            <w:tcBorders>
              <w:top w:sz="4" w:val="nil"/>
              <w:left w:sz="4" w:val="nil"/>
              <w:bottom w:color="000000" w:sz="4" w:val="single"/>
              <w:right w:color="000000" w:sz="4" w:val="single"/>
            </w:tcBorders>
            <w:shd w:fill="auto" w:val="clear"/>
            <w:vAlign w:val="center"/>
          </w:tcPr>
          <w:p w14:paraId="86010000">
            <w:pPr>
              <w:spacing w:after="0" w:line="240" w:lineRule="auto"/>
              <w:ind/>
              <w:rPr>
                <w:rFonts w:ascii="Times New Roman" w:hAnsi="Times New Roman"/>
                <w:color w:val="000000"/>
                <w:sz w:val="20"/>
              </w:rPr>
            </w:pPr>
            <w:r>
              <w:rPr>
                <w:rFonts w:ascii="Times New Roman" w:hAnsi="Times New Roman"/>
                <w:color w:val="000000"/>
                <w:sz w:val="20"/>
              </w:rPr>
              <w:t>Недостаточность имущества должника для расчетов с кредиторами</w:t>
            </w:r>
          </w:p>
        </w:tc>
        <w:tc>
          <w:tcPr>
            <w:tcW w:type="dxa" w:w="3088"/>
            <w:tcBorders>
              <w:top w:sz="4" w:val="nil"/>
              <w:left w:sz="4" w:val="nil"/>
              <w:bottom w:color="000000" w:sz="4" w:val="single"/>
              <w:right w:color="000000" w:sz="4" w:val="single"/>
            </w:tcBorders>
            <w:shd w:fill="auto" w:val="clear"/>
            <w:vAlign w:val="center"/>
          </w:tcPr>
          <w:p w14:paraId="87010000">
            <w:pPr>
              <w:spacing w:after="0" w:line="240" w:lineRule="auto"/>
              <w:ind/>
              <w:rPr>
                <w:rFonts w:ascii="Times New Roman" w:hAnsi="Times New Roman"/>
                <w:color w:val="000000"/>
                <w:sz w:val="20"/>
              </w:rPr>
            </w:pPr>
            <w:r>
              <w:rPr>
                <w:rFonts w:ascii="Times New Roman" w:hAnsi="Times New Roman"/>
                <w:color w:val="000000"/>
                <w:sz w:val="20"/>
              </w:rPr>
              <w:t>У общества имелась значительная задолженность перед кредиторами и налоговыми органами, возбуждено несколько исполнительных производств</w:t>
            </w:r>
          </w:p>
        </w:tc>
      </w:tr>
      <w:tr>
        <w:trPr>
          <w:trHeight w:hRule="atLeast" w:val="1560"/>
        </w:trPr>
        <w:tc>
          <w:tcPr>
            <w:tcW w:type="dxa" w:w="2279"/>
            <w:tcBorders>
              <w:top w:sz="4" w:val="nil"/>
              <w:left w:color="000000" w:sz="4" w:val="single"/>
              <w:bottom w:color="000000" w:sz="4" w:val="single"/>
              <w:right w:color="000000" w:sz="4" w:val="single"/>
            </w:tcBorders>
            <w:shd w:fill="auto" w:val="clear"/>
            <w:vAlign w:val="center"/>
          </w:tcPr>
          <w:p w14:paraId="88010000">
            <w:pPr>
              <w:spacing w:after="0" w:line="240" w:lineRule="auto"/>
              <w:ind/>
              <w:rPr>
                <w:rFonts w:ascii="Times New Roman" w:hAnsi="Times New Roman"/>
                <w:color w:val="000000"/>
                <w:sz w:val="20"/>
              </w:rPr>
            </w:pPr>
            <w:r>
              <w:rPr>
                <w:rFonts w:ascii="Times New Roman" w:hAnsi="Times New Roman"/>
                <w:color w:val="000000"/>
                <w:sz w:val="20"/>
              </w:rPr>
              <w:t>Причинно-следственная связь между действиями контролирующего лица и банкротством</w:t>
            </w:r>
          </w:p>
        </w:tc>
        <w:tc>
          <w:tcPr>
            <w:tcW w:type="dxa" w:w="2053"/>
            <w:tcBorders>
              <w:top w:sz="4" w:val="nil"/>
              <w:left w:sz="4" w:val="nil"/>
              <w:bottom w:color="000000" w:sz="4" w:val="single"/>
              <w:right w:color="000000" w:sz="4" w:val="single"/>
            </w:tcBorders>
            <w:shd w:fill="auto" w:val="clear"/>
            <w:vAlign w:val="center"/>
          </w:tcPr>
          <w:p w14:paraId="89010000">
            <w:pPr>
              <w:spacing w:after="0" w:line="240" w:lineRule="auto"/>
              <w:ind/>
              <w:rPr>
                <w:rFonts w:ascii="Times New Roman" w:hAnsi="Times New Roman"/>
                <w:color w:val="000000"/>
                <w:sz w:val="20"/>
              </w:rPr>
            </w:pPr>
            <w:r>
              <w:rPr>
                <w:rFonts w:ascii="Times New Roman" w:hAnsi="Times New Roman"/>
                <w:color w:val="000000"/>
                <w:sz w:val="20"/>
              </w:rPr>
              <w:t>Ст. 61.11 Федерального закона № 127-ФЗ</w:t>
            </w:r>
          </w:p>
        </w:tc>
        <w:tc>
          <w:tcPr>
            <w:tcW w:type="dxa" w:w="1789"/>
            <w:tcBorders>
              <w:top w:sz="4" w:val="nil"/>
              <w:left w:sz="4" w:val="nil"/>
              <w:bottom w:color="000000" w:sz="4" w:val="single"/>
              <w:right w:color="000000" w:sz="4" w:val="single"/>
            </w:tcBorders>
            <w:shd w:fill="auto" w:val="clear"/>
            <w:vAlign w:val="center"/>
          </w:tcPr>
          <w:p w14:paraId="8A010000">
            <w:pPr>
              <w:spacing w:after="0" w:line="240" w:lineRule="auto"/>
              <w:ind/>
              <w:rPr>
                <w:rFonts w:ascii="Times New Roman" w:hAnsi="Times New Roman"/>
                <w:color w:val="000000"/>
                <w:sz w:val="20"/>
              </w:rPr>
            </w:pPr>
            <w:r>
              <w:rPr>
                <w:rFonts w:ascii="Times New Roman" w:hAnsi="Times New Roman"/>
                <w:color w:val="000000"/>
                <w:sz w:val="20"/>
              </w:rPr>
              <w:t>Доказать, что действия либо бездействие контролирующего лица привели к невозможности исполнения обязательств</w:t>
            </w:r>
          </w:p>
        </w:tc>
        <w:tc>
          <w:tcPr>
            <w:tcW w:type="dxa" w:w="3088"/>
            <w:tcBorders>
              <w:top w:sz="4" w:val="nil"/>
              <w:left w:sz="4" w:val="nil"/>
              <w:bottom w:color="000000" w:sz="4" w:val="single"/>
              <w:right w:color="000000" w:sz="4" w:val="single"/>
            </w:tcBorders>
            <w:shd w:fill="auto" w:val="clear"/>
            <w:vAlign w:val="center"/>
          </w:tcPr>
          <w:p w14:paraId="8B010000">
            <w:pPr>
              <w:spacing w:after="0" w:line="240" w:lineRule="auto"/>
              <w:ind/>
              <w:rPr>
                <w:rFonts w:ascii="Times New Roman" w:hAnsi="Times New Roman"/>
                <w:color w:val="000000"/>
                <w:sz w:val="20"/>
              </w:rPr>
            </w:pPr>
            <w:r>
              <w:rPr>
                <w:rFonts w:ascii="Times New Roman" w:hAnsi="Times New Roman"/>
                <w:color w:val="000000"/>
                <w:sz w:val="20"/>
              </w:rPr>
              <w:t>Именно данный элемент стал одним из ключевых при рассмотрении судебного дела</w:t>
            </w:r>
          </w:p>
        </w:tc>
      </w:tr>
      <w:tr>
        <w:trPr>
          <w:trHeight w:hRule="atLeast" w:val="1872"/>
        </w:trPr>
        <w:tc>
          <w:tcPr>
            <w:tcW w:type="dxa" w:w="2279"/>
            <w:tcBorders>
              <w:top w:sz="4" w:val="nil"/>
              <w:left w:color="000000" w:sz="4" w:val="single"/>
              <w:bottom w:color="000000" w:sz="4" w:val="single"/>
              <w:right w:color="000000" w:sz="4" w:val="single"/>
            </w:tcBorders>
            <w:shd w:fill="auto" w:val="clear"/>
            <w:vAlign w:val="center"/>
          </w:tcPr>
          <w:p w14:paraId="8C010000">
            <w:pPr>
              <w:spacing w:after="0" w:line="240" w:lineRule="auto"/>
              <w:ind/>
              <w:rPr>
                <w:rFonts w:ascii="Times New Roman" w:hAnsi="Times New Roman"/>
                <w:color w:val="000000"/>
                <w:sz w:val="20"/>
              </w:rPr>
            </w:pPr>
            <w:r>
              <w:rPr>
                <w:rFonts w:ascii="Times New Roman" w:hAnsi="Times New Roman"/>
                <w:color w:val="000000"/>
                <w:sz w:val="20"/>
              </w:rPr>
              <w:t>Вина контролирующего лица либо наличие предусмотренной законом презумпции</w:t>
            </w:r>
          </w:p>
        </w:tc>
        <w:tc>
          <w:tcPr>
            <w:tcW w:type="dxa" w:w="2053"/>
            <w:tcBorders>
              <w:top w:sz="4" w:val="nil"/>
              <w:left w:sz="4" w:val="nil"/>
              <w:bottom w:color="000000" w:sz="4" w:val="single"/>
              <w:right w:color="000000" w:sz="4" w:val="single"/>
            </w:tcBorders>
            <w:shd w:fill="auto" w:val="clear"/>
            <w:vAlign w:val="center"/>
          </w:tcPr>
          <w:p w14:paraId="8D010000">
            <w:pPr>
              <w:spacing w:after="0" w:line="240" w:lineRule="auto"/>
              <w:ind/>
              <w:rPr>
                <w:rFonts w:ascii="Times New Roman" w:hAnsi="Times New Roman"/>
                <w:color w:val="000000"/>
                <w:sz w:val="20"/>
              </w:rPr>
            </w:pPr>
            <w:r>
              <w:rPr>
                <w:rFonts w:ascii="Times New Roman" w:hAnsi="Times New Roman"/>
                <w:color w:val="000000"/>
                <w:sz w:val="20"/>
              </w:rPr>
              <w:t>Ст. 61.11 Федерального закона № 127-ФЗ</w:t>
            </w:r>
          </w:p>
        </w:tc>
        <w:tc>
          <w:tcPr>
            <w:tcW w:type="dxa" w:w="1789"/>
            <w:tcBorders>
              <w:top w:sz="4" w:val="nil"/>
              <w:left w:sz="4" w:val="nil"/>
              <w:bottom w:color="000000" w:sz="4" w:val="single"/>
              <w:right w:color="000000" w:sz="4" w:val="single"/>
            </w:tcBorders>
            <w:shd w:fill="auto" w:val="clear"/>
            <w:vAlign w:val="center"/>
          </w:tcPr>
          <w:p w14:paraId="8E010000">
            <w:pPr>
              <w:spacing w:after="0" w:line="240" w:lineRule="auto"/>
              <w:ind/>
              <w:rPr>
                <w:rFonts w:ascii="Times New Roman" w:hAnsi="Times New Roman"/>
                <w:color w:val="000000"/>
                <w:sz w:val="20"/>
              </w:rPr>
            </w:pPr>
            <w:r>
              <w:rPr>
                <w:rFonts w:ascii="Times New Roman" w:hAnsi="Times New Roman"/>
                <w:color w:val="000000"/>
                <w:sz w:val="20"/>
              </w:rPr>
              <w:t>Установить умышленный или неосторожный характер поведения либо применить законодательные презумпции</w:t>
            </w:r>
          </w:p>
        </w:tc>
        <w:tc>
          <w:tcPr>
            <w:tcW w:type="dxa" w:w="3088"/>
            <w:tcBorders>
              <w:top w:sz="4" w:val="nil"/>
              <w:left w:sz="4" w:val="nil"/>
              <w:bottom w:color="000000" w:sz="4" w:val="single"/>
              <w:right w:color="000000" w:sz="4" w:val="single"/>
            </w:tcBorders>
            <w:shd w:fill="auto" w:val="clear"/>
            <w:vAlign w:val="center"/>
          </w:tcPr>
          <w:p w14:paraId="8F010000">
            <w:pPr>
              <w:spacing w:after="0" w:line="240" w:lineRule="auto"/>
              <w:ind/>
              <w:rPr>
                <w:rFonts w:ascii="Times New Roman" w:hAnsi="Times New Roman"/>
                <w:color w:val="000000"/>
                <w:sz w:val="20"/>
              </w:rPr>
            </w:pPr>
            <w:r>
              <w:rPr>
                <w:rFonts w:ascii="Times New Roman" w:hAnsi="Times New Roman"/>
                <w:color w:val="000000"/>
                <w:sz w:val="20"/>
              </w:rPr>
              <w:t>Суд исследовал представленные доказательства и пришел к выводу об их недостаточности</w:t>
            </w:r>
          </w:p>
        </w:tc>
      </w:tr>
      <w:tr>
        <w:trPr>
          <w:trHeight w:hRule="atLeast" w:val="1240"/>
        </w:trPr>
        <w:tc>
          <w:tcPr>
            <w:tcW w:type="dxa" w:w="2279"/>
            <w:tcBorders>
              <w:top w:sz="4" w:val="nil"/>
              <w:left w:color="000000" w:sz="4" w:val="single"/>
              <w:bottom w:color="000000" w:sz="4" w:val="single"/>
              <w:right w:color="000000" w:sz="4" w:val="single"/>
            </w:tcBorders>
            <w:shd w:fill="auto" w:val="clear"/>
            <w:vAlign w:val="center"/>
          </w:tcPr>
          <w:p w14:paraId="90010000">
            <w:pPr>
              <w:spacing w:after="0" w:line="240" w:lineRule="auto"/>
              <w:ind/>
              <w:rPr>
                <w:rFonts w:ascii="Times New Roman" w:hAnsi="Times New Roman"/>
                <w:color w:val="000000"/>
                <w:sz w:val="20"/>
              </w:rPr>
            </w:pPr>
            <w:r>
              <w:rPr>
                <w:rFonts w:ascii="Times New Roman" w:hAnsi="Times New Roman"/>
                <w:color w:val="000000"/>
                <w:sz w:val="20"/>
              </w:rPr>
              <w:t>Соблюдение порядка предъявления требований</w:t>
            </w:r>
          </w:p>
        </w:tc>
        <w:tc>
          <w:tcPr>
            <w:tcW w:type="dxa" w:w="2053"/>
            <w:tcBorders>
              <w:top w:sz="4" w:val="nil"/>
              <w:left w:sz="4" w:val="nil"/>
              <w:bottom w:color="000000" w:sz="4" w:val="single"/>
              <w:right w:color="000000" w:sz="4" w:val="single"/>
            </w:tcBorders>
            <w:shd w:fill="auto" w:val="clear"/>
            <w:vAlign w:val="center"/>
          </w:tcPr>
          <w:p w14:paraId="91010000">
            <w:pPr>
              <w:spacing w:after="0" w:line="240" w:lineRule="auto"/>
              <w:ind/>
              <w:rPr>
                <w:rFonts w:ascii="Times New Roman" w:hAnsi="Times New Roman"/>
                <w:color w:val="000000"/>
                <w:sz w:val="20"/>
              </w:rPr>
            </w:pPr>
            <w:r>
              <w:rPr>
                <w:rFonts w:ascii="Times New Roman" w:hAnsi="Times New Roman"/>
                <w:color w:val="000000"/>
                <w:sz w:val="20"/>
              </w:rPr>
              <w:t>Ст. 399 ГК РФ</w:t>
            </w:r>
          </w:p>
        </w:tc>
        <w:tc>
          <w:tcPr>
            <w:tcW w:type="dxa" w:w="1789"/>
            <w:tcBorders>
              <w:top w:sz="4" w:val="nil"/>
              <w:left w:sz="4" w:val="nil"/>
              <w:bottom w:color="000000" w:sz="4" w:val="single"/>
              <w:right w:color="000000" w:sz="4" w:val="single"/>
            </w:tcBorders>
            <w:shd w:fill="auto" w:val="clear"/>
            <w:vAlign w:val="center"/>
          </w:tcPr>
          <w:p w14:paraId="92010000">
            <w:pPr>
              <w:spacing w:after="0" w:line="240" w:lineRule="auto"/>
              <w:ind/>
              <w:rPr>
                <w:rFonts w:ascii="Times New Roman" w:hAnsi="Times New Roman"/>
                <w:color w:val="000000"/>
                <w:sz w:val="20"/>
              </w:rPr>
            </w:pPr>
            <w:r>
              <w:rPr>
                <w:rFonts w:ascii="Times New Roman" w:hAnsi="Times New Roman"/>
                <w:color w:val="000000"/>
                <w:sz w:val="20"/>
              </w:rPr>
              <w:t>Предъявление требования первоначально основному должнику</w:t>
            </w:r>
          </w:p>
        </w:tc>
        <w:tc>
          <w:tcPr>
            <w:tcW w:type="dxa" w:w="3088"/>
            <w:tcBorders>
              <w:top w:sz="4" w:val="nil"/>
              <w:left w:sz="4" w:val="nil"/>
              <w:bottom w:color="000000" w:sz="4" w:val="single"/>
              <w:right w:color="000000" w:sz="4" w:val="single"/>
            </w:tcBorders>
            <w:shd w:fill="auto" w:val="clear"/>
            <w:vAlign w:val="center"/>
          </w:tcPr>
          <w:p w14:paraId="93010000">
            <w:pPr>
              <w:spacing w:after="0" w:line="240" w:lineRule="auto"/>
              <w:ind/>
              <w:rPr>
                <w:rFonts w:ascii="Times New Roman" w:hAnsi="Times New Roman"/>
                <w:color w:val="000000"/>
                <w:sz w:val="20"/>
              </w:rPr>
            </w:pPr>
            <w:r>
              <w:rPr>
                <w:rFonts w:ascii="Times New Roman" w:hAnsi="Times New Roman"/>
                <w:color w:val="000000"/>
                <w:sz w:val="20"/>
              </w:rPr>
              <w:t>Общие правила гражданского законодательства применялись во взаимосвязи со специальными нормами законодательства о банкротстве</w:t>
            </w:r>
          </w:p>
        </w:tc>
      </w:tr>
      <w:tr>
        <w:trPr>
          <w:trHeight w:hRule="atLeast" w:val="2184"/>
        </w:trPr>
        <w:tc>
          <w:tcPr>
            <w:tcW w:type="dxa" w:w="2279"/>
            <w:tcBorders>
              <w:top w:sz="4" w:val="nil"/>
              <w:left w:color="000000" w:sz="4" w:val="single"/>
              <w:bottom w:color="000000" w:sz="4" w:val="single"/>
              <w:right w:color="000000" w:sz="4" w:val="single"/>
            </w:tcBorders>
            <w:shd w:fill="auto" w:val="clear"/>
            <w:vAlign w:val="center"/>
          </w:tcPr>
          <w:p w14:paraId="94010000">
            <w:pPr>
              <w:spacing w:after="0" w:line="240" w:lineRule="auto"/>
              <w:ind/>
              <w:rPr>
                <w:rFonts w:ascii="Times New Roman" w:hAnsi="Times New Roman"/>
                <w:color w:val="000000"/>
                <w:sz w:val="20"/>
              </w:rPr>
            </w:pPr>
            <w:r>
              <w:rPr>
                <w:rFonts w:ascii="Times New Roman" w:hAnsi="Times New Roman"/>
                <w:color w:val="000000"/>
                <w:sz w:val="20"/>
              </w:rPr>
              <w:t>Достаточность доказательственной базы</w:t>
            </w:r>
          </w:p>
        </w:tc>
        <w:tc>
          <w:tcPr>
            <w:tcW w:type="dxa" w:w="2053"/>
            <w:tcBorders>
              <w:top w:sz="4" w:val="nil"/>
              <w:left w:sz="4" w:val="nil"/>
              <w:bottom w:color="000000" w:sz="4" w:val="single"/>
              <w:right w:color="000000" w:sz="4" w:val="single"/>
            </w:tcBorders>
            <w:shd w:fill="auto" w:val="clear"/>
            <w:vAlign w:val="center"/>
          </w:tcPr>
          <w:p w14:paraId="95010000">
            <w:pPr>
              <w:spacing w:after="0" w:line="240" w:lineRule="auto"/>
              <w:ind/>
              <w:rPr>
                <w:rFonts w:ascii="Times New Roman" w:hAnsi="Times New Roman"/>
                <w:color w:val="000000"/>
                <w:sz w:val="20"/>
              </w:rPr>
            </w:pPr>
            <w:r>
              <w:rPr>
                <w:rFonts w:ascii="Times New Roman" w:hAnsi="Times New Roman"/>
                <w:color w:val="000000"/>
                <w:sz w:val="20"/>
              </w:rPr>
              <w:t>Арбитражный процессуальный кодекс РФ, Федеральный закон № 127-ФЗ</w:t>
            </w:r>
          </w:p>
        </w:tc>
        <w:tc>
          <w:tcPr>
            <w:tcW w:type="dxa" w:w="1789"/>
            <w:tcBorders>
              <w:top w:sz="4" w:val="nil"/>
              <w:left w:sz="4" w:val="nil"/>
              <w:bottom w:color="000000" w:sz="4" w:val="single"/>
              <w:right w:color="000000" w:sz="4" w:val="single"/>
            </w:tcBorders>
            <w:shd w:fill="auto" w:val="clear"/>
            <w:vAlign w:val="center"/>
          </w:tcPr>
          <w:p w14:paraId="96010000">
            <w:pPr>
              <w:spacing w:after="0" w:line="240" w:lineRule="auto"/>
              <w:ind/>
              <w:rPr>
                <w:rFonts w:ascii="Times New Roman" w:hAnsi="Times New Roman"/>
                <w:color w:val="000000"/>
                <w:sz w:val="20"/>
              </w:rPr>
            </w:pPr>
            <w:r>
              <w:rPr>
                <w:rFonts w:ascii="Times New Roman" w:hAnsi="Times New Roman"/>
                <w:color w:val="000000"/>
                <w:sz w:val="20"/>
              </w:rPr>
              <w:t>Подтверждение всех юридически значимых обстоятельств допустимыми доказательствами</w:t>
            </w:r>
          </w:p>
        </w:tc>
        <w:tc>
          <w:tcPr>
            <w:tcW w:type="dxa" w:w="3088"/>
            <w:tcBorders>
              <w:top w:sz="4" w:val="nil"/>
              <w:left w:sz="4" w:val="nil"/>
              <w:bottom w:color="000000" w:sz="4" w:val="single"/>
              <w:right w:color="000000" w:sz="4" w:val="single"/>
            </w:tcBorders>
            <w:shd w:fill="auto" w:val="clear"/>
            <w:vAlign w:val="center"/>
          </w:tcPr>
          <w:p w14:paraId="97010000">
            <w:pPr>
              <w:spacing w:after="0" w:line="240" w:lineRule="auto"/>
              <w:ind/>
              <w:rPr>
                <w:rFonts w:ascii="Times New Roman" w:hAnsi="Times New Roman"/>
                <w:color w:val="000000"/>
                <w:sz w:val="20"/>
              </w:rPr>
            </w:pPr>
            <w:r>
              <w:rPr>
                <w:rFonts w:ascii="Times New Roman" w:hAnsi="Times New Roman"/>
                <w:color w:val="000000"/>
                <w:sz w:val="20"/>
              </w:rPr>
              <w:t>Недоказанность отдельных обстоятельств стала основанием для отказа в привлечении контролирующего лица к субсидиарной ответственности</w:t>
            </w:r>
          </w:p>
        </w:tc>
      </w:tr>
    </w:tbl>
    <w:p w14:paraId="98010000">
      <w:pPr>
        <w:spacing w:after="0" w:line="360" w:lineRule="auto"/>
        <w:ind/>
        <w:jc w:val="both"/>
        <w:rPr>
          <w:rFonts w:ascii="Times New Roman" w:hAnsi="Times New Roman"/>
          <w:sz w:val="28"/>
        </w:rPr>
      </w:pPr>
    </w:p>
    <w:p w14:paraId="99010000">
      <w:pPr>
        <w:rPr>
          <w:rFonts w:ascii="Times New Roman" w:hAnsi="Times New Roman"/>
          <w:sz w:val="28"/>
        </w:rPr>
      </w:pPr>
      <w:r>
        <w:rPr>
          <w:rFonts w:ascii="Times New Roman" w:hAnsi="Times New Roman"/>
          <w:sz w:val="28"/>
        </w:rPr>
        <w:br w:type="page"/>
      </w:r>
    </w:p>
    <w:p w14:paraId="9A010000">
      <w:bookmarkStart w:id="30" w:name="__RefHeading___29"/>
      <w:bookmarkEnd w:id="30"/>
      <w:pPr>
        <w:tabs>
          <w:tab w:leader="none" w:pos="1418" w:val="left"/>
        </w:tabs>
        <w:spacing w:after="0" w:line="360" w:lineRule="auto"/>
        <w:ind w:firstLine="851" w:left="0"/>
        <w:jc w:val="both"/>
        <w:outlineLvl w:val="0"/>
        <w:rPr>
          <w:rFonts w:ascii="Times New Roman" w:hAnsi="Times New Roman"/>
          <w:sz w:val="28"/>
        </w:rPr>
      </w:pPr>
      <w:r>
        <w:rPr>
          <w:rFonts w:ascii="Times New Roman" w:hAnsi="Times New Roman"/>
          <w:sz w:val="28"/>
        </w:rPr>
        <w:t>Выпускная квалификационная работа выполнена мной совершенно самостоятельно. Все использованные в работе материалы и концепции из опубликованной литературы и других источников имеют ссылки на них. Выпускная квалификационная работа прошла проверку на корректность заимствования в системе «</w:t>
      </w:r>
      <w:r>
        <w:rPr>
          <w:rFonts w:ascii="Times New Roman" w:hAnsi="Times New Roman"/>
          <w:sz w:val="28"/>
        </w:rPr>
        <w:t>Думейт</w:t>
      </w:r>
      <w:r>
        <w:rPr>
          <w:rFonts w:ascii="Times New Roman" w:hAnsi="Times New Roman"/>
          <w:sz w:val="28"/>
        </w:rPr>
        <w:t>».</w:t>
      </w:r>
    </w:p>
    <w:p w14:paraId="9B010000">
      <w:bookmarkStart w:id="31" w:name="__RefHeading___30"/>
      <w:bookmarkEnd w:id="31"/>
      <w:pPr>
        <w:tabs>
          <w:tab w:leader="none" w:pos="1418" w:val="left"/>
        </w:tabs>
        <w:spacing w:after="0" w:line="360" w:lineRule="auto"/>
        <w:ind w:firstLine="851" w:left="0"/>
        <w:jc w:val="both"/>
        <w:outlineLvl w:val="0"/>
        <w:rPr>
          <w:rFonts w:ascii="Times New Roman" w:hAnsi="Times New Roman"/>
          <w:sz w:val="28"/>
        </w:rPr>
      </w:pPr>
      <w:r>
        <w:rPr>
          <w:rFonts w:ascii="Times New Roman" w:hAnsi="Times New Roman"/>
          <w:sz w:val="28"/>
        </w:rPr>
        <w:t>Настоящим подтверждаю, что даю разрешение Университету «Синергия» на размещение полного текста моей выпускной квалификационной работы и отзыва о работе в период ее подготовки в электронно-библиотечной системе Университета «Синергия».</w:t>
      </w:r>
    </w:p>
    <w:p w14:paraId="9C010000">
      <w:pPr>
        <w:ind/>
        <w:outlineLvl w:val="0"/>
        <w:rPr>
          <w:rFonts w:ascii="Times New Roman" w:hAnsi="Times New Roman"/>
          <w:sz w:val="28"/>
        </w:rPr>
      </w:pPr>
    </w:p>
    <w:tbl>
      <w:tblPr>
        <w:tblStyle w:val="Style_2"/>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2314"/>
        <w:gridCol w:w="3285"/>
        <w:gridCol w:w="542"/>
        <w:gridCol w:w="3214"/>
      </w:tblGrid>
      <w:tr>
        <w:tc>
          <w:tcPr>
            <w:tcW w:type="dxa" w:w="2314"/>
            <w:tcBorders>
              <w:top w:color="000000" w:sz="4" w:val="nil"/>
              <w:left w:color="000000" w:sz="4" w:val="nil"/>
              <w:bottom w:color="000000" w:sz="4" w:val="nil"/>
              <w:right w:color="000000" w:sz="4" w:val="nil"/>
            </w:tcBorders>
          </w:tcPr>
          <w:p w14:paraId="9D010000">
            <w:pPr>
              <w:ind/>
              <w:outlineLvl w:val="0"/>
              <w:rPr>
                <w:rFonts w:ascii="Times New Roman" w:hAnsi="Times New Roman"/>
                <w:sz w:val="28"/>
              </w:rPr>
            </w:pPr>
          </w:p>
        </w:tc>
        <w:tc>
          <w:tcPr>
            <w:tcW w:type="dxa" w:w="3285"/>
            <w:tcBorders>
              <w:top w:sz="4" w:val="nil"/>
              <w:left w:sz="4" w:val="nil"/>
              <w:bottom w:color="000000" w:sz="4" w:val="single"/>
              <w:right w:sz="4" w:val="nil"/>
            </w:tcBorders>
          </w:tcPr>
          <w:p w14:paraId="9E010000">
            <w:pPr>
              <w:ind/>
              <w:outlineLvl w:val="0"/>
              <w:rPr>
                <w:rFonts w:ascii="Times New Roman" w:hAnsi="Times New Roman"/>
                <w:sz w:val="28"/>
              </w:rPr>
            </w:pPr>
          </w:p>
        </w:tc>
        <w:tc>
          <w:tcPr>
            <w:tcW w:type="dxa" w:w="542"/>
            <w:tcBorders>
              <w:top w:color="000000" w:sz="4" w:val="nil"/>
              <w:left w:color="000000" w:sz="4" w:val="nil"/>
              <w:bottom w:color="000000" w:sz="4" w:val="nil"/>
              <w:right w:color="000000" w:sz="4" w:val="nil"/>
            </w:tcBorders>
          </w:tcPr>
          <w:p w14:paraId="9F010000">
            <w:pPr>
              <w:ind/>
              <w:outlineLvl w:val="0"/>
              <w:rPr>
                <w:rFonts w:ascii="Times New Roman" w:hAnsi="Times New Roman"/>
                <w:sz w:val="28"/>
              </w:rPr>
            </w:pPr>
          </w:p>
        </w:tc>
        <w:tc>
          <w:tcPr>
            <w:tcW w:type="dxa" w:w="3214"/>
            <w:tcBorders>
              <w:top w:sz="4" w:val="nil"/>
              <w:left w:sz="4" w:val="nil"/>
              <w:bottom w:color="000000" w:sz="4" w:val="single"/>
              <w:right w:sz="4" w:val="nil"/>
            </w:tcBorders>
          </w:tcPr>
          <w:p w14:paraId="A0010000">
            <w:pPr>
              <w:ind/>
              <w:outlineLvl w:val="0"/>
              <w:rPr>
                <w:rFonts w:ascii="Times New Roman" w:hAnsi="Times New Roman"/>
                <w:sz w:val="28"/>
              </w:rPr>
            </w:pPr>
          </w:p>
        </w:tc>
      </w:tr>
      <w:tr>
        <w:tc>
          <w:tcPr>
            <w:tcW w:type="dxa" w:w="2314"/>
            <w:tcBorders>
              <w:top w:color="000000" w:sz="4" w:val="nil"/>
              <w:left w:color="000000" w:sz="4" w:val="nil"/>
              <w:bottom w:color="000000" w:sz="4" w:val="nil"/>
              <w:right w:color="000000" w:sz="4" w:val="nil"/>
            </w:tcBorders>
          </w:tcPr>
          <w:p w14:paraId="A1010000">
            <w:pPr>
              <w:ind/>
              <w:outlineLvl w:val="0"/>
              <w:rPr>
                <w:rFonts w:ascii="Times New Roman" w:hAnsi="Times New Roman"/>
                <w:sz w:val="28"/>
              </w:rPr>
            </w:pPr>
          </w:p>
        </w:tc>
        <w:tc>
          <w:tcPr>
            <w:tcW w:type="dxa" w:w="3285"/>
            <w:tcBorders>
              <w:top w:color="000000" w:sz="4" w:val="single"/>
              <w:left w:sz="4" w:val="nil"/>
              <w:bottom w:sz="4" w:val="nil"/>
              <w:right w:sz="4" w:val="nil"/>
            </w:tcBorders>
          </w:tcPr>
          <w:p w14:paraId="A2010000">
            <w:bookmarkStart w:id="32" w:name="__RefHeading___31"/>
            <w:bookmarkEnd w:id="32"/>
            <w:pPr>
              <w:ind/>
              <w:jc w:val="center"/>
              <w:outlineLvl w:val="0"/>
              <w:rPr>
                <w:rFonts w:ascii="Times New Roman" w:hAnsi="Times New Roman"/>
                <w:sz w:val="16"/>
              </w:rPr>
            </w:pPr>
            <w:r>
              <w:rPr>
                <w:rFonts w:ascii="Times New Roman" w:hAnsi="Times New Roman"/>
                <w:sz w:val="16"/>
              </w:rPr>
              <w:t>(</w:t>
            </w:r>
            <w:r>
              <w:rPr>
                <w:rFonts w:ascii="Times New Roman" w:hAnsi="Times New Roman"/>
                <w:sz w:val="16"/>
              </w:rPr>
              <w:t>подпись</w:t>
            </w:r>
            <w:r>
              <w:rPr>
                <w:rFonts w:ascii="Times New Roman" w:hAnsi="Times New Roman"/>
                <w:sz w:val="16"/>
              </w:rPr>
              <w:t>)</w:t>
            </w:r>
          </w:p>
        </w:tc>
        <w:tc>
          <w:tcPr>
            <w:tcW w:type="dxa" w:w="542"/>
            <w:tcBorders>
              <w:top w:color="000000" w:sz="4" w:val="nil"/>
              <w:left w:color="000000" w:sz="4" w:val="nil"/>
              <w:bottom w:color="000000" w:sz="4" w:val="nil"/>
              <w:right w:color="000000" w:sz="4" w:val="nil"/>
            </w:tcBorders>
          </w:tcPr>
          <w:p w14:paraId="A3010000">
            <w:pPr>
              <w:ind/>
              <w:outlineLvl w:val="0"/>
              <w:rPr>
                <w:rFonts w:ascii="Times New Roman" w:hAnsi="Times New Roman"/>
                <w:sz w:val="28"/>
              </w:rPr>
            </w:pPr>
          </w:p>
        </w:tc>
        <w:tc>
          <w:tcPr>
            <w:tcW w:type="dxa" w:w="3214"/>
            <w:tcBorders>
              <w:top w:color="000000" w:sz="4" w:val="single"/>
              <w:left w:sz="4" w:val="nil"/>
              <w:bottom w:sz="4" w:val="nil"/>
              <w:right w:sz="4" w:val="nil"/>
            </w:tcBorders>
          </w:tcPr>
          <w:p w14:paraId="A4010000">
            <w:bookmarkStart w:id="33" w:name="__RefHeading___32"/>
            <w:bookmarkEnd w:id="33"/>
            <w:pPr>
              <w:ind/>
              <w:jc w:val="center"/>
              <w:outlineLvl w:val="0"/>
              <w:rPr>
                <w:rFonts w:ascii="Times New Roman" w:hAnsi="Times New Roman"/>
                <w:sz w:val="16"/>
              </w:rPr>
            </w:pPr>
            <w:r>
              <w:rPr>
                <w:rFonts w:ascii="Times New Roman" w:hAnsi="Times New Roman"/>
                <w:sz w:val="16"/>
              </w:rPr>
              <w:t xml:space="preserve">(Фамилия </w:t>
            </w:r>
            <w:r>
              <w:rPr>
                <w:rFonts w:ascii="Times New Roman" w:hAnsi="Times New Roman"/>
                <w:sz w:val="16"/>
              </w:rPr>
              <w:t>И.О</w:t>
            </w:r>
            <w:r>
              <w:rPr>
                <w:rFonts w:ascii="Times New Roman" w:hAnsi="Times New Roman"/>
                <w:sz w:val="16"/>
              </w:rPr>
              <w:t>.</w:t>
            </w:r>
            <w:r>
              <w:rPr>
                <w:rFonts w:ascii="Times New Roman" w:hAnsi="Times New Roman"/>
                <w:sz w:val="16"/>
              </w:rPr>
              <w:t>)</w:t>
            </w:r>
          </w:p>
        </w:tc>
      </w:tr>
    </w:tbl>
    <w:p w14:paraId="A5010000">
      <w:pPr>
        <w:ind/>
        <w:outlineLvl w:val="0"/>
        <w:rPr>
          <w:rFonts w:ascii="Times New Roman" w:hAnsi="Times New Roman"/>
          <w:sz w:val="28"/>
        </w:rPr>
      </w:pPr>
    </w:p>
    <w:p w14:paraId="A6010000">
      <w:bookmarkStart w:id="34" w:name="__RefHeading___33"/>
      <w:bookmarkEnd w:id="34"/>
      <w:pPr>
        <w:ind w:firstLine="720" w:left="0"/>
        <w:jc w:val="right"/>
        <w:outlineLvl w:val="0"/>
        <w:rPr>
          <w:rFonts w:ascii="Times New Roman" w:hAnsi="Times New Roman"/>
          <w:sz w:val="28"/>
        </w:rPr>
      </w:pPr>
      <w:r>
        <w:rPr>
          <w:rFonts w:ascii="Times New Roman" w:hAnsi="Times New Roman"/>
          <w:sz w:val="28"/>
        </w:rPr>
        <w:t>«___» ______________ 20__ г.</w:t>
      </w:r>
    </w:p>
    <w:p w14:paraId="A7010000">
      <w:pPr>
        <w:rPr>
          <w:rFonts w:ascii="Calibri" w:hAnsi="Calibri"/>
        </w:rPr>
      </w:pPr>
    </w:p>
    <w:p w14:paraId="A8010000">
      <w:pPr>
        <w:spacing w:after="0" w:line="360" w:lineRule="auto"/>
        <w:ind/>
        <w:jc w:val="both"/>
        <w:rPr>
          <w:rFonts w:ascii="Times New Roman" w:hAnsi="Times New Roman"/>
          <w:sz w:val="28"/>
        </w:rPr>
      </w:pPr>
    </w:p>
    <w:sectPr>
      <w:foot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A9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Гражданский кодекс Российской Федерации : Федеральный закон от 30 ноября 1994 г. № 51-ФЗ : [в редакции от 13 декабря 2024 года]. - Доступ из </w:t>
      </w:r>
      <w:r>
        <w:rPr>
          <w:rFonts w:ascii="Times New Roman" w:hAnsi="Times New Roman"/>
          <w:color w:val="000000"/>
          <w:sz w:val="20"/>
        </w:rPr>
        <w:t>спра</w:t>
      </w:r>
      <w:r>
        <w:rPr>
          <w:rFonts w:ascii="Times New Roman" w:hAnsi="Times New Roman"/>
          <w:color w:val="000000"/>
          <w:sz w:val="20"/>
        </w:rPr>
        <w:t>-</w:t>
      </w:r>
      <w:r>
        <w:rPr>
          <w:rFonts w:ascii="Times New Roman" w:hAnsi="Times New Roman"/>
          <w:color w:val="000000"/>
          <w:sz w:val="20"/>
        </w:rPr>
        <w:t>вочно</w:t>
      </w:r>
      <w:r>
        <w:rPr>
          <w:rFonts w:ascii="Times New Roman" w:hAnsi="Times New Roman"/>
          <w:color w:val="000000"/>
          <w:sz w:val="20"/>
        </w:rPr>
        <w:t xml:space="preserve">-правовой системы «КонсультантПлюс» : сайт. - </w:t>
      </w:r>
      <w:r>
        <w:rPr>
          <w:rFonts w:ascii="Times New Roman" w:hAnsi="Times New Roman"/>
          <w:color w:val="000000"/>
          <w:sz w:val="20"/>
        </w:rPr>
        <w:t>URL</w:t>
      </w:r>
      <w:r>
        <w:rPr>
          <w:rFonts w:ascii="Times New Roman" w:hAnsi="Times New Roman"/>
          <w:color w:val="000000"/>
          <w:sz w:val="20"/>
        </w:rPr>
        <w:t xml:space="preserve">: </w:t>
      </w:r>
      <w:r>
        <w:rPr>
          <w:rFonts w:ascii="Times New Roman" w:hAnsi="Times New Roman"/>
          <w:color w:val="000000"/>
          <w:sz w:val="20"/>
        </w:rPr>
        <w:t>https</w:t>
      </w:r>
      <w:r>
        <w:rPr>
          <w:rFonts w:ascii="Times New Roman" w:hAnsi="Times New Roman"/>
          <w:color w:val="000000"/>
          <w:sz w:val="20"/>
        </w:rPr>
        <w:t>://</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cons_doc_LAW_5142</w:t>
      </w:r>
      <w:r>
        <w:rPr>
          <w:rFonts w:ascii="Times New Roman" w:hAnsi="Times New Roman"/>
          <w:color w:val="000000"/>
          <w:sz w:val="20"/>
        </w:rPr>
        <w:t>/ (дата обращения: 22.07.2026).</w:t>
      </w:r>
    </w:p>
  </w:footnote>
  <w:footnote w:id="2">
    <w:p w14:paraId="AA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Гражданское право : учебник : в 2 т. / под ред. Б. М. </w:t>
      </w:r>
      <w:r>
        <w:rPr>
          <w:rFonts w:ascii="Times New Roman" w:hAnsi="Times New Roman"/>
          <w:color w:val="000000"/>
          <w:sz w:val="20"/>
        </w:rPr>
        <w:t>Гонгало</w:t>
      </w:r>
      <w:r>
        <w:rPr>
          <w:rFonts w:ascii="Times New Roman" w:hAnsi="Times New Roman"/>
          <w:color w:val="000000"/>
          <w:sz w:val="20"/>
        </w:rPr>
        <w:t xml:space="preserve">. - Изд. 4-е, </w:t>
      </w:r>
      <w:r>
        <w:rPr>
          <w:rFonts w:ascii="Times New Roman" w:hAnsi="Times New Roman"/>
          <w:color w:val="000000"/>
          <w:sz w:val="20"/>
        </w:rPr>
        <w:t>перераб</w:t>
      </w:r>
      <w:r>
        <w:rPr>
          <w:rFonts w:ascii="Times New Roman" w:hAnsi="Times New Roman"/>
          <w:color w:val="000000"/>
          <w:sz w:val="20"/>
        </w:rPr>
        <w:t>.</w:t>
      </w:r>
      <w:r>
        <w:rPr>
          <w:rFonts w:ascii="Times New Roman" w:hAnsi="Times New Roman"/>
          <w:color w:val="000000"/>
          <w:sz w:val="20"/>
        </w:rPr>
        <w:t xml:space="preserve"> и доп. - Москва : Статут, 2021. - Т. 2. - 602 с.</w:t>
      </w:r>
    </w:p>
  </w:footnote>
  <w:footnote w:id="3">
    <w:p w14:paraId="AB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Гражданский кодекс Российской Федерации : Федеральный закон от 30 ноября 1994 г. № 51-ФЗ : [в редакции от 13 декабря 2024 года]. - Доступ из </w:t>
      </w:r>
      <w:r>
        <w:rPr>
          <w:rFonts w:ascii="Times New Roman" w:hAnsi="Times New Roman"/>
          <w:color w:val="000000"/>
          <w:sz w:val="20"/>
        </w:rPr>
        <w:t>спра</w:t>
      </w:r>
      <w:r>
        <w:rPr>
          <w:rFonts w:ascii="Times New Roman" w:hAnsi="Times New Roman"/>
          <w:color w:val="000000"/>
          <w:sz w:val="20"/>
        </w:rPr>
        <w:t>-</w:t>
      </w:r>
      <w:r>
        <w:rPr>
          <w:rFonts w:ascii="Times New Roman" w:hAnsi="Times New Roman"/>
          <w:color w:val="000000"/>
          <w:sz w:val="20"/>
        </w:rPr>
        <w:t>вочно</w:t>
      </w:r>
      <w:r>
        <w:rPr>
          <w:rFonts w:ascii="Times New Roman" w:hAnsi="Times New Roman"/>
          <w:color w:val="000000"/>
          <w:sz w:val="20"/>
        </w:rPr>
        <w:t xml:space="preserve">-правовой системы «КонсультантПлюс» : сайт. - </w:t>
      </w:r>
      <w:r>
        <w:rPr>
          <w:rFonts w:ascii="Times New Roman" w:hAnsi="Times New Roman"/>
          <w:color w:val="000000"/>
          <w:sz w:val="20"/>
        </w:rPr>
        <w:t>URL</w:t>
      </w:r>
      <w:r>
        <w:rPr>
          <w:rFonts w:ascii="Times New Roman" w:hAnsi="Times New Roman"/>
          <w:color w:val="000000"/>
          <w:sz w:val="20"/>
        </w:rPr>
        <w:t xml:space="preserve">: </w:t>
      </w:r>
      <w:r>
        <w:rPr>
          <w:rFonts w:ascii="Times New Roman" w:hAnsi="Times New Roman"/>
          <w:color w:val="000000"/>
          <w:sz w:val="20"/>
        </w:rPr>
        <w:t>https</w:t>
      </w:r>
      <w:r>
        <w:rPr>
          <w:rFonts w:ascii="Times New Roman" w:hAnsi="Times New Roman"/>
          <w:color w:val="000000"/>
          <w:sz w:val="20"/>
        </w:rPr>
        <w:t>://</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cons_doc_LAW_5142</w:t>
      </w:r>
      <w:r>
        <w:rPr>
          <w:rFonts w:ascii="Times New Roman" w:hAnsi="Times New Roman"/>
          <w:color w:val="000000"/>
          <w:sz w:val="20"/>
        </w:rPr>
        <w:t>/ (дата обращения: 22.07.2026).</w:t>
      </w:r>
    </w:p>
  </w:footnote>
  <w:footnote w:id="4">
    <w:p w14:paraId="AC010000">
      <w:pPr>
        <w:pStyle w:val="Style_23"/>
        <w:ind/>
        <w:jc w:val="both"/>
      </w:pPr>
      <w:r>
        <w:rPr>
          <w:vertAlign w:val="superscript"/>
        </w:rPr>
        <w:footnoteRef/>
      </w:r>
      <w:r>
        <w:rPr>
          <w:rFonts w:ascii="Times New Roman" w:hAnsi="Times New Roman"/>
        </w:rPr>
        <w:t xml:space="preserve"> </w:t>
      </w:r>
      <w:r>
        <w:rPr>
          <w:rFonts w:ascii="Times New Roman" w:hAnsi="Times New Roman"/>
          <w:color w:val="000000"/>
        </w:rPr>
        <w:t>Федеральный закон № 127 «О несостоятельности (банкротстве)» от 26.10.2002 № 127-ФЗ (посл. ред.) [Электронный ресурс]</w:t>
      </w:r>
    </w:p>
  </w:footnote>
  <w:footnote w:id="5">
    <w:p w14:paraId="AD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Белясов</w:t>
      </w:r>
      <w:r>
        <w:rPr>
          <w:rFonts w:ascii="Times New Roman" w:hAnsi="Times New Roman"/>
          <w:color w:val="000000"/>
          <w:sz w:val="20"/>
        </w:rPr>
        <w:t xml:space="preserve"> </w:t>
      </w:r>
      <w:r>
        <w:rPr>
          <w:rFonts w:ascii="Times New Roman" w:hAnsi="Times New Roman"/>
          <w:color w:val="000000"/>
          <w:sz w:val="20"/>
        </w:rPr>
        <w:t>С.Н</w:t>
      </w:r>
      <w:r>
        <w:rPr>
          <w:rFonts w:ascii="Times New Roman" w:hAnsi="Times New Roman"/>
          <w:color w:val="000000"/>
          <w:sz w:val="20"/>
        </w:rPr>
        <w:t xml:space="preserve">., Щербинина </w:t>
      </w:r>
      <w:r>
        <w:rPr>
          <w:rFonts w:ascii="Times New Roman" w:hAnsi="Times New Roman"/>
          <w:color w:val="000000"/>
          <w:sz w:val="20"/>
        </w:rPr>
        <w:t>И.В</w:t>
      </w:r>
      <w:r>
        <w:rPr>
          <w:rFonts w:ascii="Times New Roman" w:hAnsi="Times New Roman"/>
          <w:color w:val="000000"/>
          <w:sz w:val="20"/>
        </w:rPr>
        <w:t>. Правовая природа субсидиарной ответственности контролирующих и иных лиц по долгам должника // Арбитражный и гражданский процесс. 2020. № 7. - С. 51-55.</w:t>
      </w:r>
    </w:p>
  </w:footnote>
  <w:footnote w:id="6">
    <w:p w14:paraId="AE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Добрачев</w:t>
      </w:r>
      <w:r>
        <w:rPr>
          <w:rFonts w:ascii="Times New Roman" w:hAnsi="Times New Roman"/>
          <w:color w:val="000000"/>
          <w:sz w:val="20"/>
        </w:rPr>
        <w:t xml:space="preserve"> </w:t>
      </w:r>
      <w:r>
        <w:rPr>
          <w:rFonts w:ascii="Times New Roman" w:hAnsi="Times New Roman"/>
          <w:color w:val="000000"/>
          <w:sz w:val="20"/>
        </w:rPr>
        <w:t>Д.В</w:t>
      </w:r>
      <w:r>
        <w:rPr>
          <w:rFonts w:ascii="Times New Roman" w:hAnsi="Times New Roman"/>
          <w:color w:val="000000"/>
          <w:sz w:val="20"/>
        </w:rPr>
        <w:t xml:space="preserve">. Проблемы судебной практики привлечения к субсидиарной ответственности контролирующих должника лиц в процедуре банкротства. - М.: </w:t>
      </w:r>
      <w:r>
        <w:rPr>
          <w:rFonts w:ascii="Times New Roman" w:hAnsi="Times New Roman"/>
          <w:color w:val="000000"/>
          <w:sz w:val="20"/>
        </w:rPr>
        <w:t>Инфотропик</w:t>
      </w:r>
      <w:r>
        <w:rPr>
          <w:rFonts w:ascii="Times New Roman" w:hAnsi="Times New Roman"/>
          <w:color w:val="000000"/>
          <w:sz w:val="20"/>
        </w:rPr>
        <w:t xml:space="preserve"> Медиа, 2019. -172 с.</w:t>
      </w:r>
    </w:p>
  </w:footnote>
  <w:footnote w:id="7">
    <w:p w14:paraId="AF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Суворов </w:t>
      </w:r>
      <w:r>
        <w:rPr>
          <w:rFonts w:ascii="Times New Roman" w:hAnsi="Times New Roman"/>
          <w:color w:val="000000"/>
          <w:sz w:val="20"/>
        </w:rPr>
        <w:t>Е.Д</w:t>
      </w:r>
      <w:r>
        <w:rPr>
          <w:rFonts w:ascii="Times New Roman" w:hAnsi="Times New Roman"/>
          <w:color w:val="000000"/>
          <w:sz w:val="20"/>
        </w:rPr>
        <w:t>. К вопросу о правовой природе субсидиарной ответственности по обязательствам несостоятельного должника за доведение до банкротства // Законы России: опыт, анализ, практика. 2018. № 7. - С. 42-49.</w:t>
      </w:r>
    </w:p>
  </w:footnote>
  <w:footnote w:id="8">
    <w:p w14:paraId="B0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Фогельсон</w:t>
      </w:r>
      <w:r>
        <w:rPr>
          <w:rFonts w:ascii="Times New Roman" w:hAnsi="Times New Roman"/>
          <w:color w:val="000000"/>
          <w:sz w:val="20"/>
        </w:rPr>
        <w:t xml:space="preserve"> </w:t>
      </w:r>
      <w:r>
        <w:rPr>
          <w:rFonts w:ascii="Times New Roman" w:hAnsi="Times New Roman"/>
          <w:color w:val="000000"/>
          <w:sz w:val="20"/>
        </w:rPr>
        <w:t>Ю.Б</w:t>
      </w:r>
      <w:r>
        <w:rPr>
          <w:rFonts w:ascii="Times New Roman" w:hAnsi="Times New Roman"/>
          <w:color w:val="000000"/>
          <w:sz w:val="20"/>
        </w:rPr>
        <w:t>. Процесс об убытках // Вестник экономического правосудия Российской Федерации. 2022. № 1. - С. 118-132.</w:t>
      </w:r>
    </w:p>
  </w:footnote>
  <w:footnote w:id="9">
    <w:p w14:paraId="B1010000">
      <w:pPr>
        <w:pStyle w:val="Style_23"/>
        <w:ind/>
        <w:jc w:val="both"/>
      </w:pPr>
      <w:r>
        <w:rPr>
          <w:vertAlign w:val="superscript"/>
        </w:rPr>
        <w:footnoteRef/>
      </w:r>
      <w:r>
        <w:rPr>
          <w:rFonts w:ascii="Times New Roman" w:hAnsi="Times New Roman"/>
        </w:rPr>
        <w:t xml:space="preserve"> </w:t>
      </w:r>
      <w:r>
        <w:rPr>
          <w:rFonts w:ascii="Times New Roman" w:hAnsi="Times New Roman"/>
          <w:color w:val="000000"/>
        </w:rPr>
        <w:t xml:space="preserve">Гражданское право : учебник : в 2 т. / под ред. Б. М. </w:t>
      </w:r>
      <w:r>
        <w:rPr>
          <w:rFonts w:ascii="Times New Roman" w:hAnsi="Times New Roman"/>
          <w:color w:val="000000"/>
        </w:rPr>
        <w:t>Гонгало</w:t>
      </w:r>
      <w:r>
        <w:rPr>
          <w:rFonts w:ascii="Times New Roman" w:hAnsi="Times New Roman"/>
          <w:color w:val="000000"/>
        </w:rPr>
        <w:t xml:space="preserve">. - Изд. 4-е, </w:t>
      </w:r>
      <w:r>
        <w:rPr>
          <w:rFonts w:ascii="Times New Roman" w:hAnsi="Times New Roman"/>
          <w:color w:val="000000"/>
        </w:rPr>
        <w:t>перераб</w:t>
      </w:r>
      <w:r>
        <w:rPr>
          <w:rFonts w:ascii="Times New Roman" w:hAnsi="Times New Roman"/>
          <w:color w:val="000000"/>
        </w:rPr>
        <w:t>.</w:t>
      </w:r>
      <w:r>
        <w:rPr>
          <w:rFonts w:ascii="Times New Roman" w:hAnsi="Times New Roman"/>
          <w:color w:val="000000"/>
        </w:rPr>
        <w:t xml:space="preserve"> и доп. - Москва : Статут, 2021. - Т. 2. - 602 с</w:t>
      </w:r>
    </w:p>
  </w:footnote>
  <w:footnote w:id="10">
    <w:p w14:paraId="B2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Шушина</w:t>
      </w:r>
      <w:r>
        <w:rPr>
          <w:rFonts w:ascii="Times New Roman" w:hAnsi="Times New Roman"/>
          <w:sz w:val="20"/>
        </w:rPr>
        <w:t xml:space="preserve"> Е. В., Крупенин В. И. Субсидиарная ответственность в гражданском праве. Проблемы правового регулирования // Право и государство: теория и практика. 2025. №7. </w:t>
      </w:r>
      <w:r>
        <w:rPr>
          <w:rFonts w:ascii="Times New Roman" w:hAnsi="Times New Roman"/>
          <w:sz w:val="20"/>
        </w:rPr>
        <w:t>URL</w:t>
      </w:r>
      <w:r>
        <w:rPr>
          <w:rFonts w:ascii="Times New Roman" w:hAnsi="Times New Roman"/>
          <w:sz w:val="20"/>
        </w:rPr>
        <w:t>: https://cyberleninka.ru/article/n/subsidiarnaya-otvetstvennost-v-grazhdanskom-prave-problemy-pravovogo-regulirovaniya (дата обращения: 25.07.2026).</w:t>
      </w:r>
    </w:p>
  </w:footnote>
  <w:footnote w:id="11">
    <w:p w14:paraId="B3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Шушина</w:t>
      </w:r>
      <w:r>
        <w:rPr>
          <w:rFonts w:ascii="Times New Roman" w:hAnsi="Times New Roman"/>
          <w:sz w:val="20"/>
        </w:rPr>
        <w:t xml:space="preserve"> Е. В., Крупенин В. И. Субсидиарная ответственность в гражданском праве. Проблемы правового регулирования // Право и государство: теория и практика. 2025. №7. </w:t>
      </w:r>
      <w:r>
        <w:rPr>
          <w:rFonts w:ascii="Times New Roman" w:hAnsi="Times New Roman"/>
          <w:sz w:val="20"/>
        </w:rPr>
        <w:t>URL</w:t>
      </w:r>
      <w:r>
        <w:rPr>
          <w:rFonts w:ascii="Times New Roman" w:hAnsi="Times New Roman"/>
          <w:sz w:val="20"/>
        </w:rPr>
        <w:t>: https://cyberleninka.ru/article/n/subsidiarnaya-otvetstvennost-v-grazhdanskom-prave-problemy-pravovogo-regulirovaniya (дата обращения: 25.07.2026).</w:t>
      </w:r>
    </w:p>
    <w:p w14:paraId="B4010000">
      <w:pPr>
        <w:pStyle w:val="Style_23"/>
        <w:ind/>
        <w:jc w:val="both"/>
      </w:pPr>
    </w:p>
  </w:footnote>
  <w:footnote w:id="12">
    <w:p w14:paraId="B5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Гражданское право : учебник : в 2 т. / под ред. Б. М. </w:t>
      </w:r>
      <w:r>
        <w:rPr>
          <w:rFonts w:ascii="Times New Roman" w:hAnsi="Times New Roman"/>
          <w:color w:val="000000"/>
          <w:sz w:val="20"/>
        </w:rPr>
        <w:t>Гонгало</w:t>
      </w:r>
      <w:r>
        <w:rPr>
          <w:rFonts w:ascii="Times New Roman" w:hAnsi="Times New Roman"/>
          <w:color w:val="000000"/>
          <w:sz w:val="20"/>
        </w:rPr>
        <w:t xml:space="preserve">. - Изд. 4-е, </w:t>
      </w:r>
      <w:r>
        <w:rPr>
          <w:rFonts w:ascii="Times New Roman" w:hAnsi="Times New Roman"/>
          <w:color w:val="000000"/>
          <w:sz w:val="20"/>
        </w:rPr>
        <w:t>перераб</w:t>
      </w:r>
      <w:r>
        <w:rPr>
          <w:rFonts w:ascii="Times New Roman" w:hAnsi="Times New Roman"/>
          <w:color w:val="000000"/>
          <w:sz w:val="20"/>
        </w:rPr>
        <w:t>.</w:t>
      </w:r>
      <w:r>
        <w:rPr>
          <w:rFonts w:ascii="Times New Roman" w:hAnsi="Times New Roman"/>
          <w:color w:val="000000"/>
          <w:sz w:val="20"/>
        </w:rPr>
        <w:t xml:space="preserve"> и доп. - Москва : Статут, 2021. - Т. 2. - 602 с.</w:t>
      </w:r>
    </w:p>
  </w:footnote>
  <w:footnote w:id="13">
    <w:p w14:paraId="B6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Гражданский кодекс Российской Федерации (часть первая) от 30.11.1994 № 51-ФЗ (посл. ред.) [Электронный ресурс] // Справочно-право-</w:t>
      </w:r>
      <w:r>
        <w:rPr>
          <w:rFonts w:ascii="Times New Roman" w:hAnsi="Times New Roman"/>
          <w:color w:val="000000"/>
          <w:sz w:val="20"/>
        </w:rPr>
        <w:t>вая</w:t>
      </w:r>
      <w:r>
        <w:rPr>
          <w:rFonts w:ascii="Times New Roman" w:hAnsi="Times New Roman"/>
          <w:color w:val="000000"/>
          <w:sz w:val="20"/>
        </w:rPr>
        <w:t xml:space="preserve"> система «Консультант Плюс». - </w:t>
      </w:r>
      <w:r>
        <w:rPr>
          <w:rFonts w:ascii="Times New Roman" w:hAnsi="Times New Roman"/>
          <w:color w:val="000000"/>
          <w:sz w:val="20"/>
        </w:rPr>
        <w:t>ШЬ</w:t>
      </w:r>
      <w:r>
        <w:rPr>
          <w:rFonts w:ascii="Times New Roman" w:hAnsi="Times New Roman"/>
          <w:color w:val="000000"/>
          <w:sz w:val="20"/>
        </w:rPr>
        <w:t xml:space="preserve">: </w:t>
      </w:r>
      <w:r>
        <w:rPr>
          <w:rFonts w:ascii="Times New Roman" w:hAnsi="Times New Roman"/>
          <w:color w:val="000000"/>
          <w:sz w:val="20"/>
        </w:rPr>
        <w:t>ИКрв</w:t>
      </w:r>
      <w:r>
        <w:rPr>
          <w:rFonts w:ascii="Times New Roman" w:hAnsi="Times New Roman"/>
          <w:color w:val="000000"/>
          <w:sz w:val="20"/>
        </w:rPr>
        <w:t xml:space="preserve">:// </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w:t>
      </w:r>
      <w:r>
        <w:rPr>
          <w:rFonts w:ascii="Times New Roman" w:hAnsi="Times New Roman"/>
          <w:color w:val="000000"/>
          <w:sz w:val="20"/>
        </w:rPr>
        <w:t xml:space="preserve">_ </w:t>
      </w:r>
      <w:r>
        <w:rPr>
          <w:rFonts w:ascii="Times New Roman" w:hAnsi="Times New Roman"/>
          <w:color w:val="000000"/>
          <w:sz w:val="20"/>
        </w:rPr>
        <w:t>ЬАШ_5142</w:t>
      </w:r>
      <w:r>
        <w:rPr>
          <w:rFonts w:ascii="Times New Roman" w:hAnsi="Times New Roman"/>
          <w:color w:val="000000"/>
          <w:sz w:val="20"/>
        </w:rPr>
        <w:t>/ (дата обращения: 12.07.2026).</w:t>
      </w:r>
    </w:p>
  </w:footnote>
  <w:footnote w:id="14">
    <w:p w14:paraId="B7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Гутников </w:t>
      </w:r>
      <w:r>
        <w:rPr>
          <w:rFonts w:ascii="Times New Roman" w:hAnsi="Times New Roman"/>
          <w:color w:val="000000"/>
          <w:sz w:val="20"/>
        </w:rPr>
        <w:t>О.В</w:t>
      </w:r>
      <w:r>
        <w:rPr>
          <w:rFonts w:ascii="Times New Roman" w:hAnsi="Times New Roman"/>
          <w:color w:val="000000"/>
          <w:sz w:val="20"/>
        </w:rPr>
        <w:t>. Субсидиарная ответственность в законодательстве о юридических лицах: вопросы правового регулирования и юридическая природа // Право. Журнал Высшей школы экономики. 2018. № 1. - С. 65-66.</w:t>
      </w:r>
    </w:p>
  </w:footnote>
  <w:footnote w:id="15">
    <w:p w14:paraId="B8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Богданова, Е. Е. Субсидиарная ответственность. Проблемы теории и практики / Е. Е. Богданова. - Москва : Приор-</w:t>
      </w:r>
      <w:r>
        <w:rPr>
          <w:rFonts w:ascii="Times New Roman" w:hAnsi="Times New Roman"/>
          <w:color w:val="000000"/>
          <w:sz w:val="20"/>
        </w:rPr>
        <w:t>издат</w:t>
      </w:r>
      <w:r>
        <w:rPr>
          <w:rFonts w:ascii="Times New Roman" w:hAnsi="Times New Roman"/>
          <w:color w:val="000000"/>
          <w:sz w:val="20"/>
        </w:rPr>
        <w:t>, 2003. - 108 с.</w:t>
      </w:r>
    </w:p>
  </w:footnote>
  <w:footnote w:id="16">
    <w:p w14:paraId="B9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Кротова, Е. В. Юридическая природа категории «субсидиарная ответственность» / Е. В. Кротова // Современная наука: актуальные проблемы теории и практики. Серия: Экономика и право. - 2020. - № 1. -С. 134-138.</w:t>
      </w:r>
    </w:p>
  </w:footnote>
  <w:footnote w:id="17">
    <w:p w14:paraId="BA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Кулис </w:t>
      </w:r>
      <w:r>
        <w:rPr>
          <w:rFonts w:ascii="Times New Roman" w:hAnsi="Times New Roman"/>
          <w:color w:val="000000"/>
          <w:sz w:val="20"/>
        </w:rPr>
        <w:t>Л.А</w:t>
      </w:r>
      <w:r>
        <w:rPr>
          <w:rFonts w:ascii="Times New Roman" w:hAnsi="Times New Roman"/>
          <w:color w:val="000000"/>
          <w:sz w:val="20"/>
        </w:rPr>
        <w:t xml:space="preserve">. Субсидиарная ответственность как разновидность гражданско-правовой ответственности // Труды </w:t>
      </w:r>
      <w:r>
        <w:rPr>
          <w:rFonts w:ascii="Times New Roman" w:hAnsi="Times New Roman"/>
          <w:color w:val="000000"/>
          <w:sz w:val="20"/>
        </w:rPr>
        <w:t>БГТУ</w:t>
      </w:r>
      <w:r>
        <w:rPr>
          <w:rFonts w:ascii="Times New Roman" w:hAnsi="Times New Roman"/>
          <w:color w:val="000000"/>
          <w:sz w:val="20"/>
        </w:rPr>
        <w:t>. Серия 6: История, философия. 2023. - С. 207-210.</w:t>
      </w:r>
    </w:p>
  </w:footnote>
  <w:footnote w:id="18">
    <w:p w14:paraId="BB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Вохидов</w:t>
      </w:r>
      <w:r>
        <w:rPr>
          <w:rFonts w:ascii="Times New Roman" w:hAnsi="Times New Roman"/>
          <w:sz w:val="20"/>
        </w:rPr>
        <w:t xml:space="preserve"> М. А. Возникновение института субсидиарной ответственности по долгам несостоятельного лица // Российское право: образование, практика, наука. 2022. № 2. С. 72-77. </w:t>
      </w:r>
      <w:r>
        <w:rPr>
          <w:rFonts w:ascii="Times New Roman" w:hAnsi="Times New Roman"/>
          <w:sz w:val="20"/>
        </w:rPr>
        <w:t>DOI</w:t>
      </w:r>
      <w:r>
        <w:rPr>
          <w:rFonts w:ascii="Times New Roman" w:hAnsi="Times New Roman"/>
          <w:sz w:val="20"/>
        </w:rPr>
        <w:t>: 10.34076/2410_2709_2022_2_72</w:t>
      </w:r>
    </w:p>
  </w:footnote>
  <w:footnote w:id="19">
    <w:p w14:paraId="BC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Гражданское право : учебник : в 3 т. / под ред. А. П. Сергеева. - Изд. 2-е, </w:t>
      </w:r>
      <w:r>
        <w:rPr>
          <w:rFonts w:ascii="Times New Roman" w:hAnsi="Times New Roman"/>
          <w:color w:val="000000"/>
          <w:sz w:val="20"/>
        </w:rPr>
        <w:t>перераб</w:t>
      </w:r>
      <w:r>
        <w:rPr>
          <w:rFonts w:ascii="Times New Roman" w:hAnsi="Times New Roman"/>
          <w:color w:val="000000"/>
          <w:sz w:val="20"/>
        </w:rPr>
        <w:t>.</w:t>
      </w:r>
      <w:r>
        <w:rPr>
          <w:rFonts w:ascii="Times New Roman" w:hAnsi="Times New Roman"/>
          <w:color w:val="000000"/>
          <w:sz w:val="20"/>
        </w:rPr>
        <w:t xml:space="preserve"> и доп. - Москва : Проспект, 2018. - Т. 1. - 1040 с.</w:t>
      </w:r>
    </w:p>
  </w:footnote>
  <w:footnote w:id="20">
    <w:p w14:paraId="BD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Добрачев</w:t>
      </w:r>
      <w:r>
        <w:rPr>
          <w:rFonts w:ascii="Times New Roman" w:hAnsi="Times New Roman"/>
          <w:color w:val="000000"/>
          <w:sz w:val="20"/>
        </w:rPr>
        <w:t xml:space="preserve"> </w:t>
      </w:r>
      <w:r>
        <w:rPr>
          <w:rFonts w:ascii="Times New Roman" w:hAnsi="Times New Roman"/>
          <w:color w:val="000000"/>
          <w:sz w:val="20"/>
        </w:rPr>
        <w:t>Д.В</w:t>
      </w:r>
      <w:r>
        <w:rPr>
          <w:rFonts w:ascii="Times New Roman" w:hAnsi="Times New Roman"/>
          <w:color w:val="000000"/>
          <w:sz w:val="20"/>
        </w:rPr>
        <w:t xml:space="preserve">. Проблемы судебной практики привлечения к субсидиарной ответственности контролирующих должника лиц в процедуре банкротства. - М.: </w:t>
      </w:r>
      <w:r>
        <w:rPr>
          <w:rFonts w:ascii="Times New Roman" w:hAnsi="Times New Roman"/>
          <w:color w:val="000000"/>
          <w:sz w:val="20"/>
        </w:rPr>
        <w:t>Инфотропик</w:t>
      </w:r>
      <w:r>
        <w:rPr>
          <w:rFonts w:ascii="Times New Roman" w:hAnsi="Times New Roman"/>
          <w:color w:val="000000"/>
          <w:sz w:val="20"/>
        </w:rPr>
        <w:t xml:space="preserve"> Медиа, 2019. -172 с.</w:t>
      </w:r>
    </w:p>
  </w:footnote>
  <w:footnote w:id="21">
    <w:p w14:paraId="BE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Гутников </w:t>
      </w:r>
      <w:r>
        <w:rPr>
          <w:rFonts w:ascii="Times New Roman" w:hAnsi="Times New Roman"/>
          <w:color w:val="000000"/>
          <w:sz w:val="20"/>
        </w:rPr>
        <w:t>О.В</w:t>
      </w:r>
      <w:r>
        <w:rPr>
          <w:rFonts w:ascii="Times New Roman" w:hAnsi="Times New Roman"/>
          <w:color w:val="000000"/>
          <w:sz w:val="20"/>
        </w:rPr>
        <w:t>. Субсидиарная ответственность в законодательстве о юридических лицах: вопросы правового регулирования и юридическая природа // Право. Журнал Высшей школы экономики. 2018. № 1. - С. 65-66.</w:t>
      </w:r>
    </w:p>
  </w:footnote>
  <w:footnote w:id="22">
    <w:p w14:paraId="BF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Белясов</w:t>
      </w:r>
      <w:r>
        <w:rPr>
          <w:rFonts w:ascii="Times New Roman" w:hAnsi="Times New Roman"/>
          <w:color w:val="000000"/>
          <w:sz w:val="20"/>
        </w:rPr>
        <w:t xml:space="preserve"> </w:t>
      </w:r>
      <w:r>
        <w:rPr>
          <w:rFonts w:ascii="Times New Roman" w:hAnsi="Times New Roman"/>
          <w:color w:val="000000"/>
          <w:sz w:val="20"/>
        </w:rPr>
        <w:t>С.Н</w:t>
      </w:r>
      <w:r>
        <w:rPr>
          <w:rFonts w:ascii="Times New Roman" w:hAnsi="Times New Roman"/>
          <w:color w:val="000000"/>
          <w:sz w:val="20"/>
        </w:rPr>
        <w:t xml:space="preserve">., Щербинина </w:t>
      </w:r>
      <w:r>
        <w:rPr>
          <w:rFonts w:ascii="Times New Roman" w:hAnsi="Times New Roman"/>
          <w:color w:val="000000"/>
          <w:sz w:val="20"/>
        </w:rPr>
        <w:t>И.В</w:t>
      </w:r>
      <w:r>
        <w:rPr>
          <w:rFonts w:ascii="Times New Roman" w:hAnsi="Times New Roman"/>
          <w:color w:val="000000"/>
          <w:sz w:val="20"/>
        </w:rPr>
        <w:t>. Правовая природа субсидиарной ответственности контролирующих и иных лиц по долгам должника // Арбитражный и гражданский процесс. 2020. № 7. - С. 51-55.</w:t>
      </w:r>
    </w:p>
  </w:footnote>
  <w:footnote w:id="23">
    <w:p w14:paraId="C0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Шушина</w:t>
      </w:r>
      <w:r>
        <w:rPr>
          <w:rFonts w:ascii="Times New Roman" w:hAnsi="Times New Roman"/>
          <w:sz w:val="20"/>
        </w:rPr>
        <w:t xml:space="preserve"> Е. В., Крупенин В. И. Субсидиарная ответственность в гражданском праве. Проблемы правового регулирования // Право и государство: теория и практика. 2025. №7. </w:t>
      </w:r>
      <w:r>
        <w:rPr>
          <w:rFonts w:ascii="Times New Roman" w:hAnsi="Times New Roman"/>
          <w:sz w:val="20"/>
        </w:rPr>
        <w:t>URL</w:t>
      </w:r>
      <w:r>
        <w:rPr>
          <w:rFonts w:ascii="Times New Roman" w:hAnsi="Times New Roman"/>
          <w:sz w:val="20"/>
        </w:rPr>
        <w:t>: https://cyberleninka.ru/article/n/subsidiarnaya-otvetstvennost-v-grazhdanskom-prave-problemy-pravovogo-regulirovaniya (дата обращения: 25.07.2026).</w:t>
      </w:r>
    </w:p>
  </w:footnote>
  <w:footnote w:id="24">
    <w:p w14:paraId="C1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Гражданский кодекс Российской Федерации : Федеральный закон от 30 ноября 1994 г. № 51-ФЗ : [в редакции от 13 декабря 2024 года]. - Доступ из </w:t>
      </w:r>
      <w:r>
        <w:rPr>
          <w:rFonts w:ascii="Times New Roman" w:hAnsi="Times New Roman"/>
          <w:color w:val="000000"/>
          <w:sz w:val="20"/>
        </w:rPr>
        <w:t>спра</w:t>
      </w:r>
      <w:r>
        <w:rPr>
          <w:rFonts w:ascii="Times New Roman" w:hAnsi="Times New Roman"/>
          <w:color w:val="000000"/>
          <w:sz w:val="20"/>
        </w:rPr>
        <w:t>-</w:t>
      </w:r>
      <w:r>
        <w:rPr>
          <w:rFonts w:ascii="Times New Roman" w:hAnsi="Times New Roman"/>
          <w:color w:val="000000"/>
          <w:sz w:val="20"/>
        </w:rPr>
        <w:t>вочно</w:t>
      </w:r>
      <w:r>
        <w:rPr>
          <w:rFonts w:ascii="Times New Roman" w:hAnsi="Times New Roman"/>
          <w:color w:val="000000"/>
          <w:sz w:val="20"/>
        </w:rPr>
        <w:t xml:space="preserve">-правовой системы «КонсультантПлюс» : сайт. - </w:t>
      </w:r>
      <w:r>
        <w:rPr>
          <w:rFonts w:ascii="Times New Roman" w:hAnsi="Times New Roman"/>
          <w:color w:val="000000"/>
          <w:sz w:val="20"/>
        </w:rPr>
        <w:t>URL</w:t>
      </w:r>
      <w:r>
        <w:rPr>
          <w:rFonts w:ascii="Times New Roman" w:hAnsi="Times New Roman"/>
          <w:color w:val="000000"/>
          <w:sz w:val="20"/>
        </w:rPr>
        <w:t xml:space="preserve">: </w:t>
      </w:r>
      <w:r>
        <w:rPr>
          <w:rFonts w:ascii="Times New Roman" w:hAnsi="Times New Roman"/>
          <w:color w:val="000000"/>
          <w:sz w:val="20"/>
        </w:rPr>
        <w:t>https</w:t>
      </w:r>
      <w:r>
        <w:rPr>
          <w:rFonts w:ascii="Times New Roman" w:hAnsi="Times New Roman"/>
          <w:color w:val="000000"/>
          <w:sz w:val="20"/>
        </w:rPr>
        <w:t>://</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cons_doc_LAW_5142</w:t>
      </w:r>
      <w:r>
        <w:rPr>
          <w:rFonts w:ascii="Times New Roman" w:hAnsi="Times New Roman"/>
          <w:color w:val="000000"/>
          <w:sz w:val="20"/>
        </w:rPr>
        <w:t>/ (дата обращения: 22.07.2026).</w:t>
      </w:r>
    </w:p>
    <w:p w14:paraId="C2010000">
      <w:pPr>
        <w:pStyle w:val="Style_23"/>
        <w:ind/>
        <w:jc w:val="both"/>
      </w:pPr>
    </w:p>
  </w:footnote>
  <w:footnote w:id="25">
    <w:p w14:paraId="C3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Кротова, Е. В. Юридическая природа категории «субсидиарная ответственность» / Е. В. Кротова // Современная наука: актуальные проблемы теории и практики. Серия: Экономика и право. - 2020. - № 1. -С. 134-138.</w:t>
      </w:r>
    </w:p>
  </w:footnote>
  <w:footnote w:id="26">
    <w:p w14:paraId="C4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Гражданский кодекс Российской Федерации : Федеральный закон от 30 ноября 1994 г. № 51-ФЗ : [в редакции от 13 декабря 2024 года]. - Доступ из </w:t>
      </w:r>
      <w:r>
        <w:rPr>
          <w:rFonts w:ascii="Times New Roman" w:hAnsi="Times New Roman"/>
          <w:color w:val="000000"/>
          <w:sz w:val="20"/>
        </w:rPr>
        <w:t>спра</w:t>
      </w:r>
      <w:r>
        <w:rPr>
          <w:rFonts w:ascii="Times New Roman" w:hAnsi="Times New Roman"/>
          <w:color w:val="000000"/>
          <w:sz w:val="20"/>
        </w:rPr>
        <w:t>-</w:t>
      </w:r>
      <w:r>
        <w:rPr>
          <w:rFonts w:ascii="Times New Roman" w:hAnsi="Times New Roman"/>
          <w:color w:val="000000"/>
          <w:sz w:val="20"/>
        </w:rPr>
        <w:t>вочно</w:t>
      </w:r>
      <w:r>
        <w:rPr>
          <w:rFonts w:ascii="Times New Roman" w:hAnsi="Times New Roman"/>
          <w:color w:val="000000"/>
          <w:sz w:val="20"/>
        </w:rPr>
        <w:t xml:space="preserve">-правовой системы «КонсультантПлюс» : сайт. - </w:t>
      </w:r>
      <w:r>
        <w:rPr>
          <w:rFonts w:ascii="Times New Roman" w:hAnsi="Times New Roman"/>
          <w:color w:val="000000"/>
          <w:sz w:val="20"/>
        </w:rPr>
        <w:t>URL</w:t>
      </w:r>
      <w:r>
        <w:rPr>
          <w:rFonts w:ascii="Times New Roman" w:hAnsi="Times New Roman"/>
          <w:color w:val="000000"/>
          <w:sz w:val="20"/>
        </w:rPr>
        <w:t xml:space="preserve">: </w:t>
      </w:r>
      <w:r>
        <w:rPr>
          <w:rFonts w:ascii="Times New Roman" w:hAnsi="Times New Roman"/>
          <w:color w:val="000000"/>
          <w:sz w:val="20"/>
        </w:rPr>
        <w:t>https</w:t>
      </w:r>
      <w:r>
        <w:rPr>
          <w:rFonts w:ascii="Times New Roman" w:hAnsi="Times New Roman"/>
          <w:color w:val="000000"/>
          <w:sz w:val="20"/>
        </w:rPr>
        <w:t>://</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cons_doc_LAW_5142</w:t>
      </w:r>
      <w:r>
        <w:rPr>
          <w:rFonts w:ascii="Times New Roman" w:hAnsi="Times New Roman"/>
          <w:color w:val="000000"/>
          <w:sz w:val="20"/>
        </w:rPr>
        <w:t>/ (дата обращения: 22.07.2026).</w:t>
      </w:r>
    </w:p>
    <w:p w14:paraId="C5010000">
      <w:pPr>
        <w:pStyle w:val="Style_23"/>
        <w:ind/>
        <w:jc w:val="both"/>
      </w:pPr>
    </w:p>
  </w:footnote>
  <w:footnote w:id="27">
    <w:p w14:paraId="C6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Суворов </w:t>
      </w:r>
      <w:r>
        <w:rPr>
          <w:rFonts w:ascii="Times New Roman" w:hAnsi="Times New Roman"/>
          <w:color w:val="000000"/>
          <w:sz w:val="20"/>
        </w:rPr>
        <w:t>Е.Д</w:t>
      </w:r>
      <w:r>
        <w:rPr>
          <w:rFonts w:ascii="Times New Roman" w:hAnsi="Times New Roman"/>
          <w:color w:val="000000"/>
          <w:sz w:val="20"/>
        </w:rPr>
        <w:t>. К вопросу о правовой природе субсидиарной ответственности по обязательствам несостоятельного должника за доведение до банкротства // Законы России: опыт, анализ, практика. 2018. № 7. - С. 42-49.</w:t>
      </w:r>
    </w:p>
  </w:footnote>
  <w:footnote w:id="28">
    <w:p w14:paraId="C7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Федеральный закон № 127 «О несостоятельности (банкротстве)» от 26.10.2002 № 127-ФЗ (посл. ред.) [Электронный ресурс] // </w:t>
      </w:r>
      <w:r>
        <w:rPr>
          <w:rFonts w:ascii="Times New Roman" w:hAnsi="Times New Roman"/>
          <w:color w:val="000000"/>
          <w:sz w:val="20"/>
        </w:rPr>
        <w:t>Справоч</w:t>
      </w:r>
      <w:r>
        <w:rPr>
          <w:rFonts w:ascii="Times New Roman" w:hAnsi="Times New Roman"/>
          <w:color w:val="000000"/>
          <w:sz w:val="20"/>
        </w:rPr>
        <w:t xml:space="preserve"> но-правовая система «Консультант Плюс». - </w:t>
      </w:r>
      <w:r>
        <w:rPr>
          <w:rFonts w:ascii="Times New Roman" w:hAnsi="Times New Roman"/>
          <w:color w:val="000000"/>
          <w:sz w:val="20"/>
        </w:rPr>
        <w:t>URL</w:t>
      </w:r>
      <w:r>
        <w:rPr>
          <w:rFonts w:ascii="Times New Roman" w:hAnsi="Times New Roman"/>
          <w:color w:val="000000"/>
          <w:sz w:val="20"/>
        </w:rPr>
        <w:t xml:space="preserve">: </w:t>
      </w:r>
      <w:r>
        <w:rPr>
          <w:rFonts w:ascii="Times New Roman" w:hAnsi="Times New Roman"/>
          <w:color w:val="000000"/>
          <w:sz w:val="20"/>
        </w:rPr>
        <w:t>https</w:t>
      </w:r>
      <w:r>
        <w:rPr>
          <w:rFonts w:ascii="Times New Roman" w:hAnsi="Times New Roman"/>
          <w:color w:val="000000"/>
          <w:sz w:val="20"/>
        </w:rPr>
        <w:t>://</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w:t>
      </w:r>
      <w:r>
        <w:rPr>
          <w:rFonts w:ascii="Times New Roman" w:hAnsi="Times New Roman"/>
          <w:color w:val="000000"/>
          <w:sz w:val="20"/>
        </w:rPr>
        <w:t xml:space="preserve">_ </w:t>
      </w:r>
      <w:r>
        <w:rPr>
          <w:rFonts w:ascii="Times New Roman" w:hAnsi="Times New Roman"/>
          <w:color w:val="000000"/>
          <w:sz w:val="20"/>
        </w:rPr>
        <w:t>LAW_39331</w:t>
      </w:r>
      <w:r>
        <w:rPr>
          <w:rFonts w:ascii="Times New Roman" w:hAnsi="Times New Roman"/>
          <w:color w:val="000000"/>
          <w:sz w:val="20"/>
        </w:rPr>
        <w:t>/ (дата обращения: 12.07.2026).</w:t>
      </w:r>
    </w:p>
    <w:p w14:paraId="C8010000">
      <w:pPr>
        <w:pStyle w:val="Style_23"/>
        <w:ind/>
        <w:jc w:val="both"/>
      </w:pPr>
    </w:p>
  </w:footnote>
  <w:footnote w:id="29">
    <w:p w14:paraId="C9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Гражданский кодекс Российской Федерации : Федеральный закон от 30 ноября 1994 г. № 51-ФЗ : [в редакции от 13 декабря 2024 года]. - Доступ из </w:t>
      </w:r>
      <w:r>
        <w:rPr>
          <w:rFonts w:ascii="Times New Roman" w:hAnsi="Times New Roman"/>
          <w:color w:val="000000"/>
          <w:sz w:val="20"/>
        </w:rPr>
        <w:t>спра</w:t>
      </w:r>
      <w:r>
        <w:rPr>
          <w:rFonts w:ascii="Times New Roman" w:hAnsi="Times New Roman"/>
          <w:color w:val="000000"/>
          <w:sz w:val="20"/>
        </w:rPr>
        <w:t>-</w:t>
      </w:r>
      <w:r>
        <w:rPr>
          <w:rFonts w:ascii="Times New Roman" w:hAnsi="Times New Roman"/>
          <w:color w:val="000000"/>
          <w:sz w:val="20"/>
        </w:rPr>
        <w:t>вочно</w:t>
      </w:r>
      <w:r>
        <w:rPr>
          <w:rFonts w:ascii="Times New Roman" w:hAnsi="Times New Roman"/>
          <w:color w:val="000000"/>
          <w:sz w:val="20"/>
        </w:rPr>
        <w:t xml:space="preserve">-правовой системы «КонсультантПлюс» : сайт. - </w:t>
      </w:r>
      <w:r>
        <w:rPr>
          <w:rFonts w:ascii="Times New Roman" w:hAnsi="Times New Roman"/>
          <w:color w:val="000000"/>
          <w:sz w:val="20"/>
        </w:rPr>
        <w:t>URL</w:t>
      </w:r>
      <w:r>
        <w:rPr>
          <w:rFonts w:ascii="Times New Roman" w:hAnsi="Times New Roman"/>
          <w:color w:val="000000"/>
          <w:sz w:val="20"/>
        </w:rPr>
        <w:t xml:space="preserve">: </w:t>
      </w:r>
      <w:r>
        <w:rPr>
          <w:rFonts w:ascii="Times New Roman" w:hAnsi="Times New Roman"/>
          <w:color w:val="000000"/>
          <w:sz w:val="20"/>
        </w:rPr>
        <w:t>https</w:t>
      </w:r>
      <w:r>
        <w:rPr>
          <w:rFonts w:ascii="Times New Roman" w:hAnsi="Times New Roman"/>
          <w:color w:val="000000"/>
          <w:sz w:val="20"/>
        </w:rPr>
        <w:t>://</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cons_doc_LAW_5142</w:t>
      </w:r>
      <w:r>
        <w:rPr>
          <w:rFonts w:ascii="Times New Roman" w:hAnsi="Times New Roman"/>
          <w:color w:val="000000"/>
          <w:sz w:val="20"/>
        </w:rPr>
        <w:t>/ (дата обращения: 22.07.2026).</w:t>
      </w:r>
    </w:p>
    <w:p w14:paraId="CA010000">
      <w:pPr>
        <w:pStyle w:val="Style_23"/>
        <w:ind/>
        <w:jc w:val="both"/>
      </w:pPr>
    </w:p>
  </w:footnote>
  <w:footnote w:id="30">
    <w:p w14:paraId="CB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Гражданское право : учебник : в 3 т. / под ред. А. П. Сергеева. - Изд. 2-е, </w:t>
      </w:r>
      <w:r>
        <w:rPr>
          <w:rFonts w:ascii="Times New Roman" w:hAnsi="Times New Roman"/>
          <w:color w:val="000000"/>
          <w:sz w:val="20"/>
        </w:rPr>
        <w:t>перераб</w:t>
      </w:r>
      <w:r>
        <w:rPr>
          <w:rFonts w:ascii="Times New Roman" w:hAnsi="Times New Roman"/>
          <w:color w:val="000000"/>
          <w:sz w:val="20"/>
        </w:rPr>
        <w:t>.</w:t>
      </w:r>
      <w:r>
        <w:rPr>
          <w:rFonts w:ascii="Times New Roman" w:hAnsi="Times New Roman"/>
          <w:color w:val="000000"/>
          <w:sz w:val="20"/>
        </w:rPr>
        <w:t xml:space="preserve"> и доп. - Москва : Проспект, 2018. - Т. 1. - 1040 с.</w:t>
      </w:r>
    </w:p>
  </w:footnote>
  <w:footnote w:id="31">
    <w:p w14:paraId="CC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Богданова, Е. Е. Субсидиарная ответственность. Проблемы теории и практики / Е. Е. Богданова. - Москва : Приор-</w:t>
      </w:r>
      <w:r>
        <w:rPr>
          <w:rFonts w:ascii="Times New Roman" w:hAnsi="Times New Roman"/>
          <w:color w:val="000000"/>
          <w:sz w:val="20"/>
        </w:rPr>
        <w:t>издат</w:t>
      </w:r>
      <w:r>
        <w:rPr>
          <w:rFonts w:ascii="Times New Roman" w:hAnsi="Times New Roman"/>
          <w:color w:val="000000"/>
          <w:sz w:val="20"/>
        </w:rPr>
        <w:t>, 2003. - 108 с.</w:t>
      </w:r>
    </w:p>
  </w:footnote>
  <w:footnote w:id="32">
    <w:p w14:paraId="CD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Вохидов</w:t>
      </w:r>
      <w:r>
        <w:rPr>
          <w:rFonts w:ascii="Times New Roman" w:hAnsi="Times New Roman"/>
          <w:sz w:val="20"/>
        </w:rPr>
        <w:t xml:space="preserve"> М. А. Возникновение института субсидиарной ответственности по долгам несостоятельного лица // Российское право: образование, практика, наука. 2022. № 2. С. 72-77. </w:t>
      </w:r>
      <w:r>
        <w:rPr>
          <w:rFonts w:ascii="Times New Roman" w:hAnsi="Times New Roman"/>
          <w:sz w:val="20"/>
        </w:rPr>
        <w:t>DOI</w:t>
      </w:r>
      <w:r>
        <w:rPr>
          <w:rFonts w:ascii="Times New Roman" w:hAnsi="Times New Roman"/>
          <w:sz w:val="20"/>
        </w:rPr>
        <w:t>: 10.34076/2410_2709_2022_2_72</w:t>
      </w:r>
    </w:p>
  </w:footnote>
  <w:footnote w:id="33">
    <w:p w14:paraId="CE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Шушина</w:t>
      </w:r>
      <w:r>
        <w:rPr>
          <w:rFonts w:ascii="Times New Roman" w:hAnsi="Times New Roman"/>
          <w:sz w:val="20"/>
        </w:rPr>
        <w:t xml:space="preserve"> Е. В., Крупенин В. И. Субсидиарная ответственность в гражданском праве. Проблемы правового регулирования // Право и государство: теория и практика. 2025. №7. </w:t>
      </w:r>
      <w:r>
        <w:rPr>
          <w:rFonts w:ascii="Times New Roman" w:hAnsi="Times New Roman"/>
          <w:sz w:val="20"/>
        </w:rPr>
        <w:t>URL</w:t>
      </w:r>
      <w:r>
        <w:rPr>
          <w:rFonts w:ascii="Times New Roman" w:hAnsi="Times New Roman"/>
          <w:sz w:val="20"/>
        </w:rPr>
        <w:t>: https://cyberleninka.ru/article/n/subsidiarnaya-otvetstvennost-v-grazhdanskom-prave-problemy-pravovogo-regulirovaniya (дата обращения: 25.07.2026).</w:t>
      </w:r>
    </w:p>
  </w:footnote>
  <w:footnote w:id="34">
    <w:p w14:paraId="CF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Добрачев</w:t>
      </w:r>
      <w:r>
        <w:rPr>
          <w:rFonts w:ascii="Times New Roman" w:hAnsi="Times New Roman"/>
          <w:color w:val="000000"/>
          <w:sz w:val="20"/>
        </w:rPr>
        <w:t xml:space="preserve"> </w:t>
      </w:r>
      <w:r>
        <w:rPr>
          <w:rFonts w:ascii="Times New Roman" w:hAnsi="Times New Roman"/>
          <w:color w:val="000000"/>
          <w:sz w:val="20"/>
        </w:rPr>
        <w:t>Д.В</w:t>
      </w:r>
      <w:r>
        <w:rPr>
          <w:rFonts w:ascii="Times New Roman" w:hAnsi="Times New Roman"/>
          <w:color w:val="000000"/>
          <w:sz w:val="20"/>
        </w:rPr>
        <w:t xml:space="preserve">. Проблемы судебной практики привлечения к субсидиарной ответственности контролирующих должника лиц в процедуре банкротства. - М.: </w:t>
      </w:r>
      <w:r>
        <w:rPr>
          <w:rFonts w:ascii="Times New Roman" w:hAnsi="Times New Roman"/>
          <w:color w:val="000000"/>
          <w:sz w:val="20"/>
        </w:rPr>
        <w:t>Инфотропик</w:t>
      </w:r>
      <w:r>
        <w:rPr>
          <w:rFonts w:ascii="Times New Roman" w:hAnsi="Times New Roman"/>
          <w:color w:val="000000"/>
          <w:sz w:val="20"/>
        </w:rPr>
        <w:t xml:space="preserve"> Медиа, 2019. -172 с.</w:t>
      </w:r>
    </w:p>
    <w:p w14:paraId="D0010000">
      <w:pPr>
        <w:pStyle w:val="Style_23"/>
        <w:ind/>
        <w:jc w:val="both"/>
      </w:pPr>
    </w:p>
  </w:footnote>
  <w:footnote w:id="35">
    <w:p w14:paraId="D1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Гражданский кодекс Российской Федерации (часть первая) от 30.11.1994 № 51-ФЗ (посл. ред.) [Электронный ресурс] // Справочно-право-</w:t>
      </w:r>
      <w:r>
        <w:rPr>
          <w:rFonts w:ascii="Times New Roman" w:hAnsi="Times New Roman"/>
          <w:color w:val="000000"/>
          <w:sz w:val="20"/>
        </w:rPr>
        <w:t>вая</w:t>
      </w:r>
      <w:r>
        <w:rPr>
          <w:rFonts w:ascii="Times New Roman" w:hAnsi="Times New Roman"/>
          <w:color w:val="000000"/>
          <w:sz w:val="20"/>
        </w:rPr>
        <w:t xml:space="preserve"> система «Консультант Плюс». - </w:t>
      </w:r>
      <w:r>
        <w:rPr>
          <w:rFonts w:ascii="Times New Roman" w:hAnsi="Times New Roman"/>
          <w:color w:val="000000"/>
          <w:sz w:val="20"/>
        </w:rPr>
        <w:t>ШЬ</w:t>
      </w:r>
      <w:r>
        <w:rPr>
          <w:rFonts w:ascii="Times New Roman" w:hAnsi="Times New Roman"/>
          <w:color w:val="000000"/>
          <w:sz w:val="20"/>
        </w:rPr>
        <w:t xml:space="preserve">: </w:t>
      </w:r>
      <w:r>
        <w:rPr>
          <w:rFonts w:ascii="Times New Roman" w:hAnsi="Times New Roman"/>
          <w:color w:val="000000"/>
          <w:sz w:val="20"/>
        </w:rPr>
        <w:t>ИКрв</w:t>
      </w:r>
      <w:r>
        <w:rPr>
          <w:rFonts w:ascii="Times New Roman" w:hAnsi="Times New Roman"/>
          <w:color w:val="000000"/>
          <w:sz w:val="20"/>
        </w:rPr>
        <w:t xml:space="preserve">:// </w:t>
      </w:r>
      <w:r>
        <w:rPr>
          <w:rFonts w:ascii="Times New Roman" w:hAnsi="Times New Roman"/>
          <w:color w:val="000000"/>
          <w:sz w:val="20"/>
        </w:rPr>
        <w:t>www.consultant.ru</w:t>
      </w:r>
      <w:r>
        <w:rPr>
          <w:rFonts w:ascii="Times New Roman" w:hAnsi="Times New Roman"/>
          <w:color w:val="000000"/>
          <w:sz w:val="20"/>
        </w:rPr>
        <w:t>/</w:t>
      </w:r>
      <w:r>
        <w:rPr>
          <w:rFonts w:ascii="Times New Roman" w:hAnsi="Times New Roman"/>
          <w:color w:val="000000"/>
          <w:sz w:val="20"/>
        </w:rPr>
        <w:t>document</w:t>
      </w:r>
      <w:r>
        <w:rPr>
          <w:rFonts w:ascii="Times New Roman" w:hAnsi="Times New Roman"/>
          <w:color w:val="000000"/>
          <w:sz w:val="20"/>
        </w:rPr>
        <w:t>/</w:t>
      </w:r>
      <w:r>
        <w:rPr>
          <w:rFonts w:ascii="Times New Roman" w:hAnsi="Times New Roman"/>
          <w:color w:val="000000"/>
          <w:sz w:val="20"/>
        </w:rPr>
        <w:t>cons_doc</w:t>
      </w:r>
      <w:r>
        <w:rPr>
          <w:rFonts w:ascii="Times New Roman" w:hAnsi="Times New Roman"/>
          <w:color w:val="000000"/>
          <w:sz w:val="20"/>
        </w:rPr>
        <w:t xml:space="preserve">_ </w:t>
      </w:r>
      <w:r>
        <w:rPr>
          <w:rFonts w:ascii="Times New Roman" w:hAnsi="Times New Roman"/>
          <w:color w:val="000000"/>
          <w:sz w:val="20"/>
        </w:rPr>
        <w:t>ЬАШ_5142</w:t>
      </w:r>
      <w:r>
        <w:rPr>
          <w:rFonts w:ascii="Times New Roman" w:hAnsi="Times New Roman"/>
          <w:color w:val="000000"/>
          <w:sz w:val="20"/>
        </w:rPr>
        <w:t>/ (дата обращения: 12.07.2026).</w:t>
      </w:r>
    </w:p>
  </w:footnote>
  <w:footnote w:id="36">
    <w:p w14:paraId="D2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Брагинский, М. И. Договорное право: общие положения / М. И. Брагинский, В. В. </w:t>
      </w:r>
      <w:r>
        <w:rPr>
          <w:rFonts w:ascii="Times New Roman" w:hAnsi="Times New Roman"/>
          <w:color w:val="000000"/>
          <w:sz w:val="20"/>
        </w:rPr>
        <w:t>Витрянский</w:t>
      </w:r>
      <w:r>
        <w:rPr>
          <w:rFonts w:ascii="Times New Roman" w:hAnsi="Times New Roman"/>
          <w:color w:val="000000"/>
          <w:sz w:val="20"/>
        </w:rPr>
        <w:t>. — 4-е изд. — Москва : Статут, 2020. — 847 с.</w:t>
      </w:r>
    </w:p>
    <w:p w14:paraId="D3010000">
      <w:pPr>
        <w:pStyle w:val="Style_23"/>
        <w:ind/>
        <w:jc w:val="both"/>
      </w:pPr>
    </w:p>
  </w:footnote>
  <w:footnote w:id="37">
    <w:p w14:paraId="D4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Фогельсон</w:t>
      </w:r>
      <w:r>
        <w:rPr>
          <w:rFonts w:ascii="Times New Roman" w:hAnsi="Times New Roman"/>
          <w:color w:val="000000"/>
          <w:sz w:val="20"/>
        </w:rPr>
        <w:t xml:space="preserve"> </w:t>
      </w:r>
      <w:r>
        <w:rPr>
          <w:rFonts w:ascii="Times New Roman" w:hAnsi="Times New Roman"/>
          <w:color w:val="000000"/>
          <w:sz w:val="20"/>
        </w:rPr>
        <w:t>Ю.Б</w:t>
      </w:r>
      <w:r>
        <w:rPr>
          <w:rFonts w:ascii="Times New Roman" w:hAnsi="Times New Roman"/>
          <w:color w:val="000000"/>
          <w:sz w:val="20"/>
        </w:rPr>
        <w:t>. Процесс об убытках // Вестник экономического правосудия Российской Федерации. 2022. № 1. - С. 118-132.</w:t>
      </w:r>
    </w:p>
  </w:footnote>
  <w:footnote w:id="38">
    <w:p w14:paraId="D5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Шушина</w:t>
      </w:r>
      <w:r>
        <w:rPr>
          <w:rFonts w:ascii="Times New Roman" w:hAnsi="Times New Roman"/>
          <w:sz w:val="20"/>
        </w:rPr>
        <w:t xml:space="preserve"> Е. В., Крупенин В. И. Субсидиарная ответственность в гражданском праве. Проблемы правового регулирования // Право и государство: теория и практика. 2025. №7. </w:t>
      </w:r>
      <w:r>
        <w:rPr>
          <w:rFonts w:ascii="Times New Roman" w:hAnsi="Times New Roman"/>
          <w:sz w:val="20"/>
        </w:rPr>
        <w:t>URL</w:t>
      </w:r>
      <w:r>
        <w:rPr>
          <w:rFonts w:ascii="Times New Roman" w:hAnsi="Times New Roman"/>
          <w:sz w:val="20"/>
        </w:rPr>
        <w:t>: https://cyberleninka.ru/article/n/subsidiarnaya-otvetstvennost-v-grazhdanskom-prave-problemy-pravovogo-regulirovaniya (дата обращения: 25.07.2026).</w:t>
      </w:r>
    </w:p>
    <w:p w14:paraId="D6010000">
      <w:pPr>
        <w:pStyle w:val="Style_23"/>
        <w:ind/>
        <w:jc w:val="both"/>
      </w:pPr>
    </w:p>
  </w:footnote>
  <w:footnote w:id="39">
    <w:p w14:paraId="D7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Фогельсон</w:t>
      </w:r>
      <w:r>
        <w:rPr>
          <w:rFonts w:ascii="Times New Roman" w:hAnsi="Times New Roman"/>
          <w:color w:val="000000"/>
          <w:sz w:val="20"/>
        </w:rPr>
        <w:t xml:space="preserve"> </w:t>
      </w:r>
      <w:r>
        <w:rPr>
          <w:rFonts w:ascii="Times New Roman" w:hAnsi="Times New Roman"/>
          <w:color w:val="000000"/>
          <w:sz w:val="20"/>
        </w:rPr>
        <w:t>Ю.Б</w:t>
      </w:r>
      <w:r>
        <w:rPr>
          <w:rFonts w:ascii="Times New Roman" w:hAnsi="Times New Roman"/>
          <w:color w:val="000000"/>
          <w:sz w:val="20"/>
        </w:rPr>
        <w:t>. Процесс об убытках // Вестник экономического правосудия Российской Федерации. 2022. № 1. - С. 118-132.</w:t>
      </w:r>
    </w:p>
    <w:p w14:paraId="D8010000">
      <w:pPr>
        <w:pStyle w:val="Style_23"/>
        <w:ind/>
        <w:jc w:val="both"/>
      </w:pPr>
    </w:p>
  </w:footnote>
  <w:footnote w:id="40">
    <w:p w14:paraId="D9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Добрачев</w:t>
      </w:r>
      <w:r>
        <w:rPr>
          <w:rFonts w:ascii="Times New Roman" w:hAnsi="Times New Roman"/>
          <w:color w:val="000000"/>
          <w:sz w:val="20"/>
        </w:rPr>
        <w:t xml:space="preserve"> </w:t>
      </w:r>
      <w:r>
        <w:rPr>
          <w:rFonts w:ascii="Times New Roman" w:hAnsi="Times New Roman"/>
          <w:color w:val="000000"/>
          <w:sz w:val="20"/>
        </w:rPr>
        <w:t>Д.В</w:t>
      </w:r>
      <w:r>
        <w:rPr>
          <w:rFonts w:ascii="Times New Roman" w:hAnsi="Times New Roman"/>
          <w:color w:val="000000"/>
          <w:sz w:val="20"/>
        </w:rPr>
        <w:t xml:space="preserve">. Проблемы судебной практики привлечения к субсидиарной ответственности контролирующих должника лиц в процедуре банкротства. - М.: </w:t>
      </w:r>
      <w:r>
        <w:rPr>
          <w:rFonts w:ascii="Times New Roman" w:hAnsi="Times New Roman"/>
          <w:color w:val="000000"/>
          <w:sz w:val="20"/>
        </w:rPr>
        <w:t>Инфотропик</w:t>
      </w:r>
      <w:r>
        <w:rPr>
          <w:rFonts w:ascii="Times New Roman" w:hAnsi="Times New Roman"/>
          <w:color w:val="000000"/>
          <w:sz w:val="20"/>
        </w:rPr>
        <w:t xml:space="preserve"> Медиа, 2019. -172 с.</w:t>
      </w:r>
    </w:p>
  </w:footnote>
  <w:footnote w:id="41">
    <w:p w14:paraId="DA010000">
      <w:pPr>
        <w:pStyle w:val="Style_23"/>
        <w:ind/>
        <w:jc w:val="both"/>
      </w:pPr>
      <w:r>
        <w:rPr>
          <w:vertAlign w:val="superscript"/>
        </w:rPr>
        <w:footnoteRef/>
      </w:r>
      <w:r>
        <w:rPr>
          <w:rFonts w:ascii="Times New Roman" w:hAnsi="Times New Roman"/>
        </w:rPr>
        <w:t xml:space="preserve"> </w:t>
      </w:r>
      <w:r>
        <w:rPr>
          <w:rFonts w:ascii="Times New Roman" w:hAnsi="Times New Roman"/>
          <w:color w:val="000000"/>
        </w:rPr>
        <w:t>Чешин</w:t>
      </w:r>
      <w:r>
        <w:rPr>
          <w:rFonts w:ascii="Times New Roman" w:hAnsi="Times New Roman"/>
          <w:color w:val="000000"/>
        </w:rPr>
        <w:t xml:space="preserve"> </w:t>
      </w:r>
      <w:r>
        <w:rPr>
          <w:rFonts w:ascii="Times New Roman" w:hAnsi="Times New Roman"/>
          <w:color w:val="000000"/>
        </w:rPr>
        <w:t>А.В</w:t>
      </w:r>
      <w:r>
        <w:rPr>
          <w:rFonts w:ascii="Times New Roman" w:hAnsi="Times New Roman"/>
          <w:color w:val="000000"/>
        </w:rPr>
        <w:t>. Использование фикций в гражданском праве: преимущества и недостатки // Власть Закона. 2023. № 3 (55). - С. 197-206</w:t>
      </w:r>
    </w:p>
  </w:footnote>
  <w:footnote w:id="42">
    <w:p w14:paraId="DB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Богданова, Е. Е. Субсидиарная ответственность. Проблемы теории и практики / Е. Е. Богданова. - Москва : Приор-</w:t>
      </w:r>
      <w:r>
        <w:rPr>
          <w:rFonts w:ascii="Times New Roman" w:hAnsi="Times New Roman"/>
          <w:color w:val="000000"/>
          <w:sz w:val="20"/>
        </w:rPr>
        <w:t>издат</w:t>
      </w:r>
      <w:r>
        <w:rPr>
          <w:rFonts w:ascii="Times New Roman" w:hAnsi="Times New Roman"/>
          <w:color w:val="000000"/>
          <w:sz w:val="20"/>
        </w:rPr>
        <w:t>, 2003. - 108 с.</w:t>
      </w:r>
    </w:p>
  </w:footnote>
  <w:footnote w:id="43">
    <w:p w14:paraId="DC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Гонгало</w:t>
      </w:r>
      <w:r>
        <w:rPr>
          <w:rFonts w:ascii="Times New Roman" w:hAnsi="Times New Roman"/>
          <w:color w:val="000000"/>
          <w:sz w:val="20"/>
        </w:rPr>
        <w:t xml:space="preserve">, Б. М. Учение об обеспечении обязательств. Вопросы теории и практики / Б. М. </w:t>
      </w:r>
      <w:r>
        <w:rPr>
          <w:rFonts w:ascii="Times New Roman" w:hAnsi="Times New Roman"/>
          <w:color w:val="000000"/>
          <w:sz w:val="20"/>
        </w:rPr>
        <w:t>Гонгало</w:t>
      </w:r>
      <w:r>
        <w:rPr>
          <w:rFonts w:ascii="Times New Roman" w:hAnsi="Times New Roman"/>
          <w:color w:val="000000"/>
          <w:sz w:val="20"/>
        </w:rPr>
        <w:t>. - Москва : Статут, 2002. - 222 с.</w:t>
      </w:r>
    </w:p>
    <w:p w14:paraId="DD010000">
      <w:pPr>
        <w:pStyle w:val="Style_23"/>
        <w:ind/>
        <w:jc w:val="both"/>
      </w:pPr>
    </w:p>
  </w:footnote>
  <w:footnote w:id="44">
    <w:p w14:paraId="DE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Гутников </w:t>
      </w:r>
      <w:r>
        <w:rPr>
          <w:rFonts w:ascii="Times New Roman" w:hAnsi="Times New Roman"/>
          <w:color w:val="000000"/>
          <w:sz w:val="20"/>
        </w:rPr>
        <w:t>О.В</w:t>
      </w:r>
      <w:r>
        <w:rPr>
          <w:rFonts w:ascii="Times New Roman" w:hAnsi="Times New Roman"/>
          <w:color w:val="000000"/>
          <w:sz w:val="20"/>
        </w:rPr>
        <w:t>. Субсидиарная ответственность в законодательстве о юридических лицах: вопросы правового регулирования и юридическая природа // Право. Журнал Высшей школы экономики. 2018. № 1. - С. 65-66.</w:t>
      </w:r>
    </w:p>
  </w:footnote>
  <w:footnote w:id="45">
    <w:p w14:paraId="DF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sz w:val="20"/>
        </w:rPr>
        <w:t xml:space="preserve">Кротова Е. В. Субсидиарная ответственность в российском гражданском праве: </w:t>
      </w:r>
      <w:r>
        <w:rPr>
          <w:rFonts w:ascii="Times New Roman" w:hAnsi="Times New Roman"/>
          <w:sz w:val="20"/>
        </w:rPr>
        <w:t>дис</w:t>
      </w:r>
      <w:r>
        <w:rPr>
          <w:rFonts w:ascii="Times New Roman" w:hAnsi="Times New Roman"/>
          <w:sz w:val="20"/>
        </w:rPr>
        <w:t xml:space="preserve">. … канд. </w:t>
      </w:r>
      <w:r>
        <w:rPr>
          <w:rFonts w:ascii="Times New Roman" w:hAnsi="Times New Roman"/>
          <w:sz w:val="20"/>
        </w:rPr>
        <w:t>юрид</w:t>
      </w:r>
      <w:r>
        <w:rPr>
          <w:rFonts w:ascii="Times New Roman" w:hAnsi="Times New Roman"/>
          <w:sz w:val="20"/>
        </w:rPr>
        <w:t>. наук. Владивосток, 2020. 231 с</w:t>
      </w:r>
    </w:p>
  </w:footnote>
  <w:footnote w:id="46">
    <w:p w14:paraId="E0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 xml:space="preserve">Гутников </w:t>
      </w:r>
      <w:r>
        <w:rPr>
          <w:rFonts w:ascii="Times New Roman" w:hAnsi="Times New Roman"/>
          <w:color w:val="000000"/>
          <w:sz w:val="20"/>
        </w:rPr>
        <w:t>О.В</w:t>
      </w:r>
      <w:r>
        <w:rPr>
          <w:rFonts w:ascii="Times New Roman" w:hAnsi="Times New Roman"/>
          <w:color w:val="000000"/>
          <w:sz w:val="20"/>
        </w:rPr>
        <w:t>. Субсидиарная ответственность в законодательстве о юридических лицах: вопросы правового регулирования и юридическая природа // Право. Журнал Высшей школы экономики. 2018. № 1. - С. 65-66.</w:t>
      </w:r>
    </w:p>
  </w:footnote>
  <w:footnote w:id="47">
    <w:p w14:paraId="E1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Фогельсон</w:t>
      </w:r>
      <w:r>
        <w:rPr>
          <w:rFonts w:ascii="Times New Roman" w:hAnsi="Times New Roman"/>
          <w:color w:val="000000"/>
          <w:sz w:val="20"/>
        </w:rPr>
        <w:t xml:space="preserve"> </w:t>
      </w:r>
      <w:r>
        <w:rPr>
          <w:rFonts w:ascii="Times New Roman" w:hAnsi="Times New Roman"/>
          <w:color w:val="000000"/>
          <w:sz w:val="20"/>
        </w:rPr>
        <w:t>Ю.Б</w:t>
      </w:r>
      <w:r>
        <w:rPr>
          <w:rFonts w:ascii="Times New Roman" w:hAnsi="Times New Roman"/>
          <w:color w:val="000000"/>
          <w:sz w:val="20"/>
        </w:rPr>
        <w:t>. Процесс об убытках // Вестник экономического правосудия Российской Федерации. 2022. № 1. - С. 118-132.</w:t>
      </w:r>
    </w:p>
    <w:p w14:paraId="E2010000">
      <w:pPr>
        <w:pStyle w:val="Style_23"/>
        <w:ind/>
        <w:jc w:val="both"/>
      </w:pPr>
    </w:p>
  </w:footnote>
  <w:footnote w:id="48">
    <w:p w14:paraId="E3010000">
      <w:pPr>
        <w:spacing w:after="0" w:line="240" w:lineRule="auto"/>
        <w:ind/>
        <w:jc w:val="both"/>
      </w:pPr>
      <w:r>
        <w:rPr>
          <w:vertAlign w:val="superscript"/>
        </w:rPr>
        <w:footnoteRef/>
      </w:r>
      <w:r>
        <w:rPr>
          <w:rFonts w:ascii="Times New Roman" w:hAnsi="Times New Roman"/>
          <w:sz w:val="20"/>
        </w:rPr>
        <w:t xml:space="preserve"> </w:t>
      </w:r>
      <w:r>
        <w:rPr>
          <w:rFonts w:ascii="Times New Roman" w:hAnsi="Times New Roman"/>
          <w:color w:val="000000"/>
          <w:sz w:val="20"/>
        </w:rPr>
        <w:t>Добрачев</w:t>
      </w:r>
      <w:r>
        <w:rPr>
          <w:rFonts w:ascii="Times New Roman" w:hAnsi="Times New Roman"/>
          <w:color w:val="000000"/>
          <w:sz w:val="20"/>
        </w:rPr>
        <w:t xml:space="preserve"> </w:t>
      </w:r>
      <w:r>
        <w:rPr>
          <w:rFonts w:ascii="Times New Roman" w:hAnsi="Times New Roman"/>
          <w:color w:val="000000"/>
          <w:sz w:val="20"/>
        </w:rPr>
        <w:t>Д.В</w:t>
      </w:r>
      <w:r>
        <w:rPr>
          <w:rFonts w:ascii="Times New Roman" w:hAnsi="Times New Roman"/>
          <w:color w:val="000000"/>
          <w:sz w:val="20"/>
        </w:rPr>
        <w:t xml:space="preserve">. Проблемы судебной практики привлечения к субсидиарной ответственности контролирующих должника лиц в процедуре банкротства. - М.: </w:t>
      </w:r>
      <w:r>
        <w:rPr>
          <w:rFonts w:ascii="Times New Roman" w:hAnsi="Times New Roman"/>
          <w:color w:val="000000"/>
          <w:sz w:val="20"/>
        </w:rPr>
        <w:t>Инфотропик</w:t>
      </w:r>
      <w:r>
        <w:rPr>
          <w:rFonts w:ascii="Times New Roman" w:hAnsi="Times New Roman"/>
          <w:color w:val="000000"/>
          <w:sz w:val="20"/>
        </w:rPr>
        <w:t xml:space="preserve"> Медиа, 2019. -172 с.</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863"/>
      </w:pPr>
      <w:rPr>
        <w:rFonts w:ascii="Times New Roman" w:hAnsi="Times New Roman"/>
        <w:b w:val="1"/>
        <w:i w:val="0"/>
        <w:spacing w:val="0"/>
        <w:sz w:val="24"/>
      </w:rPr>
    </w:lvl>
    <w:lvl w:ilvl="1">
      <w:numFmt w:val="bullet"/>
      <w:lvlText w:val="•"/>
      <w:lvlJc w:val="left"/>
      <w:pPr>
        <w:ind w:hanging="360" w:left="1794"/>
      </w:pPr>
    </w:lvl>
    <w:lvl w:ilvl="2">
      <w:numFmt w:val="bullet"/>
      <w:lvlText w:val="•"/>
      <w:lvlJc w:val="left"/>
      <w:pPr>
        <w:ind w:hanging="360" w:left="2729"/>
      </w:pPr>
    </w:lvl>
    <w:lvl w:ilvl="3">
      <w:numFmt w:val="bullet"/>
      <w:lvlText w:val="•"/>
      <w:lvlJc w:val="left"/>
      <w:pPr>
        <w:ind w:hanging="360" w:left="3663"/>
      </w:pPr>
    </w:lvl>
    <w:lvl w:ilvl="4">
      <w:numFmt w:val="bullet"/>
      <w:lvlText w:val="•"/>
      <w:lvlJc w:val="left"/>
      <w:pPr>
        <w:ind w:hanging="360" w:left="4598"/>
      </w:pPr>
    </w:lvl>
    <w:lvl w:ilvl="5">
      <w:numFmt w:val="bullet"/>
      <w:lvlText w:val="•"/>
      <w:lvlJc w:val="left"/>
      <w:pPr>
        <w:ind w:hanging="360" w:left="5533"/>
      </w:pPr>
    </w:lvl>
    <w:lvl w:ilvl="6">
      <w:numFmt w:val="bullet"/>
      <w:lvlText w:val="•"/>
      <w:lvlJc w:val="left"/>
      <w:pPr>
        <w:ind w:hanging="360" w:left="6467"/>
      </w:pPr>
    </w:lvl>
    <w:lvl w:ilvl="7">
      <w:numFmt w:val="bullet"/>
      <w:lvlText w:val="•"/>
      <w:lvlJc w:val="left"/>
      <w:pPr>
        <w:ind w:hanging="360" w:left="7402"/>
      </w:pPr>
    </w:lvl>
    <w:lvl w:ilvl="8">
      <w:numFmt w:val="bullet"/>
      <w:lvlText w:val="•"/>
      <w:lvlJc w:val="left"/>
      <w:pPr>
        <w:ind w:hanging="360" w:left="8337"/>
      </w:pPr>
    </w:lvl>
  </w:abstractNum>
  <w:abstractNum w:abstractNumId="1">
    <w:lvl w:ilvl="0">
      <w:start w:val="1"/>
      <w:numFmt w:val="decimal"/>
      <w:lvlText w:val="%1."/>
      <w:lvlJc w:val="left"/>
      <w:pPr>
        <w:ind w:hanging="360" w:left="863"/>
      </w:pPr>
      <w:rPr>
        <w:spacing w:val="0"/>
      </w:rPr>
    </w:lvl>
    <w:lvl w:ilvl="1">
      <w:numFmt w:val="bullet"/>
      <w:lvlText w:val="•"/>
      <w:lvlJc w:val="left"/>
      <w:pPr>
        <w:ind w:hanging="360" w:left="1794"/>
      </w:pPr>
    </w:lvl>
    <w:lvl w:ilvl="2">
      <w:numFmt w:val="bullet"/>
      <w:lvlText w:val="•"/>
      <w:lvlJc w:val="left"/>
      <w:pPr>
        <w:ind w:hanging="360" w:left="2729"/>
      </w:pPr>
    </w:lvl>
    <w:lvl w:ilvl="3">
      <w:numFmt w:val="bullet"/>
      <w:lvlText w:val="•"/>
      <w:lvlJc w:val="left"/>
      <w:pPr>
        <w:ind w:hanging="360" w:left="3663"/>
      </w:pPr>
    </w:lvl>
    <w:lvl w:ilvl="4">
      <w:numFmt w:val="bullet"/>
      <w:lvlText w:val="•"/>
      <w:lvlJc w:val="left"/>
      <w:pPr>
        <w:ind w:hanging="360" w:left="4598"/>
      </w:pPr>
    </w:lvl>
    <w:lvl w:ilvl="5">
      <w:numFmt w:val="bullet"/>
      <w:lvlText w:val="•"/>
      <w:lvlJc w:val="left"/>
      <w:pPr>
        <w:ind w:hanging="360" w:left="5533"/>
      </w:pPr>
    </w:lvl>
    <w:lvl w:ilvl="6">
      <w:numFmt w:val="bullet"/>
      <w:lvlText w:val="•"/>
      <w:lvlJc w:val="left"/>
      <w:pPr>
        <w:ind w:hanging="360" w:left="6467"/>
      </w:pPr>
    </w:lvl>
    <w:lvl w:ilvl="7">
      <w:numFmt w:val="bullet"/>
      <w:lvlText w:val="•"/>
      <w:lvlJc w:val="left"/>
      <w:pPr>
        <w:ind w:hanging="360" w:left="7402"/>
      </w:pPr>
    </w:lvl>
    <w:lvl w:ilvl="8">
      <w:numFmt w:val="bullet"/>
      <w:lvlText w:val="•"/>
      <w:lvlJc w:val="left"/>
      <w:pPr>
        <w:ind w:hanging="360" w:left="8337"/>
      </w:pPr>
    </w:lvl>
  </w:abstractNum>
  <w:abstractNum w:abstractNumId="2">
    <w:lvl w:ilvl="0">
      <w:start w:val="1"/>
      <w:numFmt w:val="decimal"/>
      <w:lvlText w:val="%1."/>
      <w:lvlJc w:val="left"/>
      <w:pPr>
        <w:ind w:hanging="360" w:left="851"/>
      </w:pPr>
      <w:rPr>
        <w:spacing w:val="0"/>
      </w:rPr>
    </w:lvl>
    <w:lvl w:ilvl="1">
      <w:numFmt w:val="bullet"/>
      <w:lvlText w:val="•"/>
      <w:lvlJc w:val="left"/>
      <w:pPr>
        <w:ind w:hanging="360" w:left="1794"/>
      </w:pPr>
    </w:lvl>
    <w:lvl w:ilvl="2">
      <w:numFmt w:val="bullet"/>
      <w:lvlText w:val="•"/>
      <w:lvlJc w:val="left"/>
      <w:pPr>
        <w:ind w:hanging="360" w:left="2729"/>
      </w:pPr>
    </w:lvl>
    <w:lvl w:ilvl="3">
      <w:numFmt w:val="bullet"/>
      <w:lvlText w:val="•"/>
      <w:lvlJc w:val="left"/>
      <w:pPr>
        <w:ind w:hanging="360" w:left="3663"/>
      </w:pPr>
    </w:lvl>
    <w:lvl w:ilvl="4">
      <w:numFmt w:val="bullet"/>
      <w:lvlText w:val="•"/>
      <w:lvlJc w:val="left"/>
      <w:pPr>
        <w:ind w:hanging="360" w:left="4598"/>
      </w:pPr>
    </w:lvl>
    <w:lvl w:ilvl="5">
      <w:numFmt w:val="bullet"/>
      <w:lvlText w:val="•"/>
      <w:lvlJc w:val="left"/>
      <w:pPr>
        <w:ind w:hanging="360" w:left="5533"/>
      </w:pPr>
    </w:lvl>
    <w:lvl w:ilvl="6">
      <w:numFmt w:val="bullet"/>
      <w:lvlText w:val="•"/>
      <w:lvlJc w:val="left"/>
      <w:pPr>
        <w:ind w:hanging="360" w:left="6467"/>
      </w:pPr>
    </w:lvl>
    <w:lvl w:ilvl="7">
      <w:numFmt w:val="bullet"/>
      <w:lvlText w:val="•"/>
      <w:lvlJc w:val="left"/>
      <w:pPr>
        <w:ind w:hanging="360" w:left="7402"/>
      </w:pPr>
    </w:lvl>
    <w:lvl w:ilvl="8">
      <w:numFmt w:val="bullet"/>
      <w:lvlText w:val="•"/>
      <w:lvlJc w:val="left"/>
      <w:pPr>
        <w:ind w:hanging="360" w:left="8337"/>
      </w:pPr>
    </w:lvl>
  </w:abstractNum>
  <w:abstractNum w:abstractNumId="3">
    <w:lvl w:ilvl="0">
      <w:start w:val="1"/>
      <w:numFmt w:val="decimal"/>
      <w:lvlText w:val="%1"/>
      <w:lvlJc w:val="left"/>
      <w:pPr>
        <w:ind w:hanging="360" w:left="503"/>
      </w:pPr>
    </w:lvl>
    <w:lvl w:ilvl="1">
      <w:start w:val="1"/>
      <w:numFmt w:val="decimal"/>
      <w:lvlText w:val="%1.%2"/>
      <w:lvlJc w:val="left"/>
      <w:pPr>
        <w:ind w:hanging="360" w:left="503"/>
      </w:pPr>
      <w:rPr>
        <w:rFonts w:ascii="Times New Roman" w:hAnsi="Times New Roman"/>
        <w:b w:val="0"/>
        <w:i w:val="0"/>
        <w:spacing w:val="0"/>
        <w:sz w:val="24"/>
      </w:rPr>
    </w:lvl>
    <w:lvl w:ilvl="2">
      <w:numFmt w:val="bullet"/>
      <w:lvlText w:val="•"/>
      <w:lvlJc w:val="left"/>
      <w:pPr>
        <w:ind w:hanging="360" w:left="2441"/>
      </w:pPr>
    </w:lvl>
    <w:lvl w:ilvl="3">
      <w:numFmt w:val="bullet"/>
      <w:lvlText w:val="•"/>
      <w:lvlJc w:val="left"/>
      <w:pPr>
        <w:ind w:hanging="360" w:left="3411"/>
      </w:pPr>
    </w:lvl>
    <w:lvl w:ilvl="4">
      <w:numFmt w:val="bullet"/>
      <w:lvlText w:val="•"/>
      <w:lvlJc w:val="left"/>
      <w:pPr>
        <w:ind w:hanging="360" w:left="4382"/>
      </w:pPr>
    </w:lvl>
    <w:lvl w:ilvl="5">
      <w:numFmt w:val="bullet"/>
      <w:lvlText w:val="•"/>
      <w:lvlJc w:val="left"/>
      <w:pPr>
        <w:ind w:hanging="360" w:left="5353"/>
      </w:pPr>
    </w:lvl>
    <w:lvl w:ilvl="6">
      <w:numFmt w:val="bullet"/>
      <w:lvlText w:val="•"/>
      <w:lvlJc w:val="left"/>
      <w:pPr>
        <w:ind w:hanging="360" w:left="6323"/>
      </w:pPr>
    </w:lvl>
    <w:lvl w:ilvl="7">
      <w:numFmt w:val="bullet"/>
      <w:lvlText w:val="•"/>
      <w:lvlJc w:val="left"/>
      <w:pPr>
        <w:ind w:hanging="360" w:left="7294"/>
      </w:pPr>
    </w:lvl>
    <w:lvl w:ilvl="8">
      <w:numFmt w:val="bullet"/>
      <w:lvlText w:val="•"/>
      <w:lvlJc w:val="left"/>
      <w:pPr>
        <w:ind w:hanging="360" w:left="8265"/>
      </w:pPr>
    </w:lvl>
  </w:abstractNum>
  <w:abstractNum w:abstractNumId="4">
    <w:lvl w:ilvl="0">
      <w:start w:val="2"/>
      <w:numFmt w:val="decimal"/>
      <w:lvlText w:val="%1"/>
      <w:lvlJc w:val="left"/>
      <w:pPr>
        <w:ind w:hanging="360" w:left="503"/>
      </w:pPr>
    </w:lvl>
    <w:lvl w:ilvl="1">
      <w:start w:val="1"/>
      <w:numFmt w:val="decimal"/>
      <w:lvlText w:val="%1.%2"/>
      <w:lvlJc w:val="left"/>
      <w:pPr>
        <w:ind w:hanging="360" w:left="503"/>
      </w:pPr>
      <w:rPr>
        <w:rFonts w:ascii="Times New Roman" w:hAnsi="Times New Roman"/>
        <w:b w:val="0"/>
        <w:i w:val="0"/>
        <w:spacing w:val="0"/>
        <w:sz w:val="24"/>
      </w:rPr>
    </w:lvl>
    <w:lvl w:ilvl="2">
      <w:numFmt w:val="bullet"/>
      <w:lvlText w:val="•"/>
      <w:lvlJc w:val="left"/>
      <w:pPr>
        <w:ind w:hanging="360" w:left="2441"/>
      </w:pPr>
    </w:lvl>
    <w:lvl w:ilvl="3">
      <w:numFmt w:val="bullet"/>
      <w:lvlText w:val="•"/>
      <w:lvlJc w:val="left"/>
      <w:pPr>
        <w:ind w:hanging="360" w:left="3411"/>
      </w:pPr>
    </w:lvl>
    <w:lvl w:ilvl="4">
      <w:numFmt w:val="bullet"/>
      <w:lvlText w:val="•"/>
      <w:lvlJc w:val="left"/>
      <w:pPr>
        <w:ind w:hanging="360" w:left="4382"/>
      </w:pPr>
    </w:lvl>
    <w:lvl w:ilvl="5">
      <w:numFmt w:val="bullet"/>
      <w:lvlText w:val="•"/>
      <w:lvlJc w:val="left"/>
      <w:pPr>
        <w:ind w:hanging="360" w:left="5353"/>
      </w:pPr>
    </w:lvl>
    <w:lvl w:ilvl="6">
      <w:numFmt w:val="bullet"/>
      <w:lvlText w:val="•"/>
      <w:lvlJc w:val="left"/>
      <w:pPr>
        <w:ind w:hanging="360" w:left="6323"/>
      </w:pPr>
    </w:lvl>
    <w:lvl w:ilvl="7">
      <w:numFmt w:val="bullet"/>
      <w:lvlText w:val="•"/>
      <w:lvlJc w:val="left"/>
      <w:pPr>
        <w:ind w:hanging="360" w:left="7294"/>
      </w:pPr>
    </w:lvl>
    <w:lvl w:ilvl="8">
      <w:numFmt w:val="bullet"/>
      <w:lvlText w:val="•"/>
      <w:lvlJc w:val="left"/>
      <w:pPr>
        <w:ind w:hanging="360" w:left="8265"/>
      </w:pPr>
    </w:lvl>
  </w:abstractNum>
  <w:abstractNum w:abstractNumId="5">
    <w:lvl w:ilvl="0">
      <w:start w:val="3"/>
      <w:numFmt w:val="decimal"/>
      <w:lvlText w:val="%1"/>
      <w:lvlJc w:val="left"/>
      <w:pPr>
        <w:ind w:hanging="360" w:left="503"/>
      </w:pPr>
    </w:lvl>
    <w:lvl w:ilvl="1">
      <w:start w:val="1"/>
      <w:numFmt w:val="decimal"/>
      <w:lvlText w:val="%1.%2"/>
      <w:lvlJc w:val="left"/>
      <w:pPr>
        <w:ind w:hanging="360" w:left="503"/>
      </w:pPr>
      <w:rPr>
        <w:rFonts w:ascii="Times New Roman" w:hAnsi="Times New Roman"/>
        <w:b w:val="0"/>
        <w:i w:val="0"/>
        <w:spacing w:val="0"/>
        <w:sz w:val="24"/>
      </w:rPr>
    </w:lvl>
    <w:lvl w:ilvl="2">
      <w:numFmt w:val="bullet"/>
      <w:lvlText w:val="•"/>
      <w:lvlJc w:val="left"/>
      <w:pPr>
        <w:ind w:hanging="360" w:left="2441"/>
      </w:pPr>
    </w:lvl>
    <w:lvl w:ilvl="3">
      <w:numFmt w:val="bullet"/>
      <w:lvlText w:val="•"/>
      <w:lvlJc w:val="left"/>
      <w:pPr>
        <w:ind w:hanging="360" w:left="3411"/>
      </w:pPr>
    </w:lvl>
    <w:lvl w:ilvl="4">
      <w:numFmt w:val="bullet"/>
      <w:lvlText w:val="•"/>
      <w:lvlJc w:val="left"/>
      <w:pPr>
        <w:ind w:hanging="360" w:left="4382"/>
      </w:pPr>
    </w:lvl>
    <w:lvl w:ilvl="5">
      <w:numFmt w:val="bullet"/>
      <w:lvlText w:val="•"/>
      <w:lvlJc w:val="left"/>
      <w:pPr>
        <w:ind w:hanging="360" w:left="5353"/>
      </w:pPr>
    </w:lvl>
    <w:lvl w:ilvl="6">
      <w:numFmt w:val="bullet"/>
      <w:lvlText w:val="•"/>
      <w:lvlJc w:val="left"/>
      <w:pPr>
        <w:ind w:hanging="360" w:left="6323"/>
      </w:pPr>
    </w:lvl>
    <w:lvl w:ilvl="7">
      <w:numFmt w:val="bullet"/>
      <w:lvlText w:val="•"/>
      <w:lvlJc w:val="left"/>
      <w:pPr>
        <w:ind w:hanging="360" w:left="7294"/>
      </w:pPr>
    </w:lvl>
    <w:lvl w:ilvl="8">
      <w:numFmt w:val="bullet"/>
      <w:lvlText w:val="•"/>
      <w:lvlJc w:val="left"/>
      <w:pPr>
        <w:ind w:hanging="360" w:left="8265"/>
      </w:pPr>
    </w:lvl>
  </w:abstractNum>
  <w:abstractNum w:abstractNumId="6">
    <w:lvl w:ilvl="0">
      <w:start w:val="1"/>
      <w:numFmt w:val="bullet"/>
      <w:lvlText w:val="̶"/>
      <w:lvlJc w:val="left"/>
      <w:pPr>
        <w:tabs>
          <w:tab w:leader="none" w:pos="720" w:val="left"/>
        </w:tabs>
        <w:ind w:hanging="360" w:left="720"/>
      </w:pPr>
      <w:rPr>
        <w:rFonts w:ascii="Times New Roman" w:hAnsi="Times New Roman"/>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7">
    <w:lvl w:ilvl="0">
      <w:start w:val="1"/>
      <w:numFmt w:val="decimal"/>
      <w:lvlText w:val="%1"/>
      <w:lvlJc w:val="left"/>
      <w:pPr>
        <w:ind w:hanging="420" w:left="420"/>
      </w:pPr>
    </w:lvl>
    <w:lvl w:ilvl="1">
      <w:start w:val="1"/>
      <w:numFmt w:val="decimal"/>
      <w:lvlText w:val="%1.%2"/>
      <w:lvlJc w:val="left"/>
      <w:pPr>
        <w:ind w:hanging="420" w:left="420"/>
      </w:pPr>
    </w:lvl>
    <w:lvl w:ilvl="2">
      <w:start w:val="1"/>
      <w:numFmt w:val="decimal"/>
      <w:lvlText w:val="%1.%2.%3"/>
      <w:lvlJc w:val="left"/>
      <w:pPr>
        <w:ind w:hanging="720" w:left="720"/>
      </w:pPr>
    </w:lvl>
    <w:lvl w:ilvl="3">
      <w:start w:val="1"/>
      <w:numFmt w:val="decimal"/>
      <w:lvlText w:val="%1.%2.%3.%4"/>
      <w:lvlJc w:val="left"/>
      <w:pPr>
        <w:ind w:hanging="720" w:left="720"/>
      </w:pPr>
    </w:lvl>
    <w:lvl w:ilvl="4">
      <w:start w:val="1"/>
      <w:numFmt w:val="decimal"/>
      <w:lvlText w:val="%1.%2.%3.%4.%5"/>
      <w:lvlJc w:val="left"/>
      <w:pPr>
        <w:ind w:hanging="1080" w:left="1080"/>
      </w:pPr>
    </w:lvl>
    <w:lvl w:ilvl="5">
      <w:start w:val="1"/>
      <w:numFmt w:val="decimal"/>
      <w:lvlText w:val="%1.%2.%3.%4.%5.%6"/>
      <w:lvlJc w:val="left"/>
      <w:pPr>
        <w:ind w:hanging="1080" w:left="1080"/>
      </w:pPr>
    </w:lvl>
    <w:lvl w:ilvl="6">
      <w:start w:val="1"/>
      <w:numFmt w:val="decimal"/>
      <w:lvlText w:val="%1.%2.%3.%4.%5.%6.%7"/>
      <w:lvlJc w:val="left"/>
      <w:pPr>
        <w:ind w:hanging="1440" w:left="1440"/>
      </w:pPr>
    </w:lvl>
    <w:lvl w:ilvl="7">
      <w:start w:val="1"/>
      <w:numFmt w:val="decimal"/>
      <w:lvlText w:val="%1.%2.%3.%4.%5.%6.%7.%8"/>
      <w:lvlJc w:val="left"/>
      <w:pPr>
        <w:ind w:hanging="1440" w:left="1440"/>
      </w:pPr>
    </w:lvl>
    <w:lvl w:ilvl="8">
      <w:start w:val="1"/>
      <w:numFmt w:val="decimal"/>
      <w:lvlText w:val="%1.%2.%3.%4.%5.%6.%7.%8.%9"/>
      <w:lvlJc w:val="left"/>
      <w:pPr>
        <w:ind w:hanging="1440" w:left="1440"/>
      </w:pPr>
    </w:lvl>
  </w:abstractNum>
  <w:abstractNum w:abstractNumId="8">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style>
  <w:style w:default="1" w:styleId="Style_10_ch" w:type="character">
    <w:name w:val="Normal"/>
    <w:link w:val="Style_10"/>
  </w:style>
  <w:style w:styleId="Style_11" w:type="paragraph">
    <w:name w:val="toc 2"/>
    <w:next w:val="Style_10"/>
    <w:link w:val="Style_11_ch"/>
    <w:uiPriority w:val="39"/>
    <w:pPr>
      <w:ind w:firstLine="0" w:left="200"/>
      <w:jc w:val="left"/>
    </w:pPr>
    <w:rPr>
      <w:rFonts w:ascii="XO Thames" w:hAnsi="XO Thames"/>
      <w:sz w:val="28"/>
    </w:rPr>
  </w:style>
  <w:style w:styleId="Style_11_ch" w:type="character">
    <w:name w:val="toc 2"/>
    <w:link w:val="Style_11"/>
    <w:rPr>
      <w:rFonts w:ascii="XO Thames" w:hAnsi="XO Thames"/>
      <w:sz w:val="28"/>
    </w:rPr>
  </w:style>
  <w:style w:styleId="Style_12" w:type="paragraph">
    <w:name w:val="toc 4"/>
    <w:next w:val="Style_10"/>
    <w:link w:val="Style_12_ch"/>
    <w:uiPriority w:val="39"/>
    <w:pPr>
      <w:ind w:firstLine="0" w:left="600"/>
      <w:jc w:val="left"/>
    </w:pPr>
    <w:rPr>
      <w:rFonts w:ascii="XO Thames" w:hAnsi="XO Thames"/>
      <w:sz w:val="28"/>
    </w:rPr>
  </w:style>
  <w:style w:styleId="Style_12_ch" w:type="character">
    <w:name w:val="toc 4"/>
    <w:link w:val="Style_12"/>
    <w:rPr>
      <w:rFonts w:ascii="XO Thames" w:hAnsi="XO Thames"/>
      <w:sz w:val="28"/>
    </w:rPr>
  </w:style>
  <w:style w:styleId="Style_13" w:type="paragraph">
    <w:name w:val="toc 6"/>
    <w:next w:val="Style_10"/>
    <w:link w:val="Style_13_ch"/>
    <w:uiPriority w:val="39"/>
    <w:pPr>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10"/>
    <w:link w:val="Style_14_ch"/>
    <w:uiPriority w:val="39"/>
    <w:pPr>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15" w:type="paragraph">
    <w:name w:val="Strong"/>
    <w:basedOn w:val="Style_16"/>
    <w:link w:val="Style_15_ch"/>
    <w:rPr>
      <w:b w:val="1"/>
    </w:rPr>
  </w:style>
  <w:style w:styleId="Style_15_ch" w:type="character">
    <w:name w:val="Strong"/>
    <w:basedOn w:val="Style_16_ch"/>
    <w:link w:val="Style_15"/>
    <w:rPr>
      <w:b w:val="1"/>
    </w:rPr>
  </w:style>
  <w:style w:styleId="Style_17" w:type="paragraph">
    <w:name w:val="heading 3"/>
    <w:next w:val="Style_10"/>
    <w:link w:val="Style_17_ch"/>
    <w:uiPriority w:val="9"/>
    <w:qFormat/>
    <w:pPr>
      <w:spacing w:after="120" w:before="120"/>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8" w:type="paragraph">
    <w:name w:val="footnote reference"/>
    <w:basedOn w:val="Style_16"/>
    <w:link w:val="Style_8_ch"/>
    <w:rPr>
      <w:vertAlign w:val="superscript"/>
    </w:rPr>
  </w:style>
  <w:style w:styleId="Style_8_ch" w:type="character">
    <w:name w:val="footnote reference"/>
    <w:basedOn w:val="Style_16_ch"/>
    <w:link w:val="Style_8"/>
    <w:rPr>
      <w:vertAlign w:val="superscript"/>
    </w:rPr>
  </w:style>
  <w:style w:styleId="Style_18" w:type="paragraph">
    <w:name w:val="Normal (Web)"/>
    <w:basedOn w:val="Style_10"/>
    <w:link w:val="Style_18_ch"/>
    <w:pPr>
      <w:spacing w:afterAutospacing="on" w:beforeAutospacing="on" w:line="240" w:lineRule="auto"/>
      <w:ind/>
    </w:pPr>
    <w:rPr>
      <w:rFonts w:ascii="Times New Roman" w:hAnsi="Times New Roman"/>
      <w:sz w:val="24"/>
    </w:rPr>
  </w:style>
  <w:style w:styleId="Style_18_ch" w:type="character">
    <w:name w:val="Normal (Web)"/>
    <w:basedOn w:val="Style_10_ch"/>
    <w:link w:val="Style_18"/>
    <w:rPr>
      <w:rFonts w:ascii="Times New Roman" w:hAnsi="Times New Roman"/>
      <w:sz w:val="24"/>
    </w:rPr>
  </w:style>
  <w:style w:styleId="Style_1" w:type="paragraph">
    <w:name w:val="footer"/>
    <w:basedOn w:val="Style_10"/>
    <w:link w:val="Style_1_ch"/>
    <w:pPr>
      <w:tabs>
        <w:tab w:leader="none" w:pos="4677" w:val="center"/>
        <w:tab w:leader="none" w:pos="9355" w:val="right"/>
      </w:tabs>
      <w:spacing w:after="0" w:line="240" w:lineRule="auto"/>
      <w:ind/>
    </w:pPr>
  </w:style>
  <w:style w:styleId="Style_1_ch" w:type="character">
    <w:name w:val="footer"/>
    <w:basedOn w:val="Style_10_ch"/>
    <w:link w:val="Style_1"/>
  </w:style>
  <w:style w:styleId="Style_19" w:type="paragraph">
    <w:name w:val="toc 3"/>
    <w:next w:val="Style_10"/>
    <w:link w:val="Style_19_ch"/>
    <w:uiPriority w:val="39"/>
    <w:pPr>
      <w:ind w:firstLine="0" w:left="400"/>
      <w:jc w:val="left"/>
    </w:pPr>
    <w:rPr>
      <w:rFonts w:ascii="XO Thames" w:hAnsi="XO Thames"/>
      <w:sz w:val="28"/>
    </w:rPr>
  </w:style>
  <w:style w:styleId="Style_19_ch" w:type="character">
    <w:name w:val="toc 3"/>
    <w:link w:val="Style_19"/>
    <w:rPr>
      <w:rFonts w:ascii="XO Thames" w:hAnsi="XO Thames"/>
      <w:sz w:val="28"/>
    </w:rPr>
  </w:style>
  <w:style w:styleId="Style_5" w:type="paragraph">
    <w:name w:val="TOC Heading"/>
    <w:basedOn w:val="Style_7"/>
    <w:next w:val="Style_10"/>
    <w:link w:val="Style_5_ch"/>
    <w:pPr>
      <w:ind/>
      <w:outlineLvl w:val="8"/>
    </w:pPr>
  </w:style>
  <w:style w:styleId="Style_5_ch" w:type="character">
    <w:name w:val="TOC Heading"/>
    <w:basedOn w:val="Style_7_ch"/>
    <w:link w:val="Style_5"/>
  </w:style>
  <w:style w:styleId="Style_20" w:type="paragraph">
    <w:name w:val="heading 5"/>
    <w:next w:val="Style_10"/>
    <w:link w:val="Style_20_ch"/>
    <w:uiPriority w:val="9"/>
    <w:qFormat/>
    <w:pPr>
      <w:spacing w:after="120" w:before="120"/>
      <w:ind/>
      <w:jc w:val="both"/>
      <w:outlineLvl w:val="4"/>
    </w:pPr>
    <w:rPr>
      <w:rFonts w:ascii="XO Thames" w:hAnsi="XO Thames"/>
      <w:b w:val="1"/>
      <w:sz w:val="22"/>
    </w:rPr>
  </w:style>
  <w:style w:styleId="Style_20_ch" w:type="character">
    <w:name w:val="heading 5"/>
    <w:link w:val="Style_20"/>
    <w:rPr>
      <w:rFonts w:ascii="XO Thames" w:hAnsi="XO Thames"/>
      <w:b w:val="1"/>
      <w:sz w:val="22"/>
    </w:rPr>
  </w:style>
  <w:style w:styleId="Style_21" w:type="paragraph">
    <w:name w:val="Balloon Text"/>
    <w:basedOn w:val="Style_10"/>
    <w:link w:val="Style_21_ch"/>
    <w:pPr>
      <w:spacing w:after="0" w:line="240" w:lineRule="auto"/>
      <w:ind/>
    </w:pPr>
    <w:rPr>
      <w:rFonts w:ascii="Segoe UI" w:hAnsi="Segoe UI"/>
      <w:sz w:val="18"/>
    </w:rPr>
  </w:style>
  <w:style w:styleId="Style_21_ch" w:type="character">
    <w:name w:val="Balloon Text"/>
    <w:basedOn w:val="Style_10_ch"/>
    <w:link w:val="Style_21"/>
    <w:rPr>
      <w:rFonts w:ascii="Segoe UI" w:hAnsi="Segoe UI"/>
      <w:sz w:val="18"/>
    </w:rPr>
  </w:style>
  <w:style w:styleId="Style_7" w:type="paragraph">
    <w:name w:val="heading 1"/>
    <w:basedOn w:val="Style_10"/>
    <w:next w:val="Style_10"/>
    <w:link w:val="Style_7_ch"/>
    <w:uiPriority w:val="9"/>
    <w:qFormat/>
    <w:pPr>
      <w:keepNext w:val="1"/>
      <w:keepLines w:val="1"/>
      <w:spacing w:after="0" w:before="240"/>
      <w:ind/>
      <w:outlineLvl w:val="0"/>
    </w:pPr>
    <w:rPr>
      <w:rFonts w:asciiTheme="majorAscii" w:hAnsiTheme="majorHAnsi"/>
      <w:color w:themeColor="accent1" w:themeShade="BF" w:val="2F5496"/>
      <w:sz w:val="32"/>
    </w:rPr>
  </w:style>
  <w:style w:styleId="Style_7_ch" w:type="character">
    <w:name w:val="heading 1"/>
    <w:basedOn w:val="Style_10_ch"/>
    <w:link w:val="Style_7"/>
    <w:rPr>
      <w:rFonts w:asciiTheme="majorAscii" w:hAnsiTheme="majorHAnsi"/>
      <w:color w:themeColor="accent1" w:themeShade="BF" w:val="2F5496"/>
      <w:sz w:val="32"/>
    </w:rPr>
  </w:style>
  <w:style w:styleId="Style_22" w:type="paragraph">
    <w:name w:val="Hyperlink"/>
    <w:basedOn w:val="Style_16"/>
    <w:link w:val="Style_22_ch"/>
    <w:rPr>
      <w:color w:themeColor="hyperlink" w:val="0563C1"/>
      <w:u w:val="single"/>
    </w:rPr>
  </w:style>
  <w:style w:styleId="Style_22_ch" w:type="character">
    <w:name w:val="Hyperlink"/>
    <w:basedOn w:val="Style_16_ch"/>
    <w:link w:val="Style_22"/>
    <w:rPr>
      <w:color w:themeColor="hyperlink" w:val="0563C1"/>
      <w:u w:val="single"/>
    </w:rPr>
  </w:style>
  <w:style w:styleId="Style_23" w:type="paragraph">
    <w:name w:val="Footnote"/>
    <w:basedOn w:val="Style_10"/>
    <w:link w:val="Style_23_ch"/>
    <w:pPr>
      <w:spacing w:after="0" w:line="240" w:lineRule="auto"/>
      <w:ind/>
    </w:pPr>
    <w:rPr>
      <w:sz w:val="20"/>
    </w:rPr>
  </w:style>
  <w:style w:styleId="Style_23_ch" w:type="character">
    <w:name w:val="Footnote"/>
    <w:basedOn w:val="Style_10_ch"/>
    <w:link w:val="Style_23"/>
    <w:rPr>
      <w:sz w:val="20"/>
    </w:rPr>
  </w:style>
  <w:style w:styleId="Style_16" w:type="paragraph">
    <w:name w:val="Default Paragraph Font"/>
    <w:link w:val="Style_16_ch"/>
  </w:style>
  <w:style w:styleId="Style_16_ch" w:type="character">
    <w:name w:val="Default Paragraph Font"/>
    <w:link w:val="Style_16"/>
  </w:style>
  <w:style w:styleId="Style_6" w:type="paragraph">
    <w:name w:val="toc 1"/>
    <w:basedOn w:val="Style_10"/>
    <w:next w:val="Style_10"/>
    <w:link w:val="Style_6_ch"/>
    <w:uiPriority w:val="39"/>
    <w:pPr>
      <w:spacing w:after="100"/>
      <w:ind/>
    </w:pPr>
  </w:style>
  <w:style w:styleId="Style_6_ch" w:type="character">
    <w:name w:val="toc 1"/>
    <w:basedOn w:val="Style_10_ch"/>
    <w:link w:val="Style_6"/>
  </w:style>
  <w:style w:styleId="Style_9" w:type="paragraph">
    <w:name w:val="List Paragraph"/>
    <w:basedOn w:val="Style_10"/>
    <w:link w:val="Style_9_ch"/>
    <w:pPr>
      <w:ind w:firstLine="0" w:left="720"/>
      <w:contextualSpacing w:val="1"/>
    </w:pPr>
  </w:style>
  <w:style w:styleId="Style_9_ch" w:type="character">
    <w:name w:val="List Paragraph"/>
    <w:basedOn w:val="Style_10_ch"/>
    <w:link w:val="Style_9"/>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toc 9"/>
    <w:next w:val="Style_10"/>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header"/>
    <w:basedOn w:val="Style_10"/>
    <w:link w:val="Style_26_ch"/>
    <w:pPr>
      <w:tabs>
        <w:tab w:leader="none" w:pos="4677" w:val="center"/>
        <w:tab w:leader="none" w:pos="9355" w:val="right"/>
      </w:tabs>
      <w:spacing w:after="0" w:line="240" w:lineRule="auto"/>
      <w:ind/>
    </w:pPr>
  </w:style>
  <w:style w:styleId="Style_26_ch" w:type="character">
    <w:name w:val="header"/>
    <w:basedOn w:val="Style_10_ch"/>
    <w:link w:val="Style_26"/>
  </w:style>
  <w:style w:styleId="Style_27" w:type="paragraph">
    <w:name w:val="toc 8"/>
    <w:next w:val="Style_10"/>
    <w:link w:val="Style_27_ch"/>
    <w:uiPriority w:val="39"/>
    <w:pPr>
      <w:ind w:firstLine="0" w:left="1400"/>
      <w:jc w:val="left"/>
    </w:pPr>
    <w:rPr>
      <w:rFonts w:ascii="XO Thames" w:hAnsi="XO Thames"/>
      <w:sz w:val="28"/>
    </w:rPr>
  </w:style>
  <w:style w:styleId="Style_27_ch" w:type="character">
    <w:name w:val="toc 8"/>
    <w:link w:val="Style_27"/>
    <w:rPr>
      <w:rFonts w:ascii="XO Thames" w:hAnsi="XO Thames"/>
      <w:sz w:val="28"/>
    </w:rPr>
  </w:style>
  <w:style w:styleId="Style_28" w:type="paragraph">
    <w:name w:val="pdq2pg_selectionanchorcontainer"/>
    <w:basedOn w:val="Style_10"/>
    <w:link w:val="Style_28_ch"/>
    <w:pPr>
      <w:spacing w:afterAutospacing="on" w:beforeAutospacing="on" w:line="240" w:lineRule="auto"/>
      <w:ind/>
    </w:pPr>
    <w:rPr>
      <w:rFonts w:ascii="Times New Roman" w:hAnsi="Times New Roman"/>
      <w:sz w:val="24"/>
    </w:rPr>
  </w:style>
  <w:style w:styleId="Style_28_ch" w:type="character">
    <w:name w:val="pdq2pg_selectionanchorcontainer"/>
    <w:basedOn w:val="Style_10_ch"/>
    <w:link w:val="Style_28"/>
    <w:rPr>
      <w:rFonts w:ascii="Times New Roman" w:hAnsi="Times New Roman"/>
      <w:sz w:val="24"/>
    </w:rPr>
  </w:style>
  <w:style w:styleId="Style_29" w:type="paragraph">
    <w:name w:val="toc 5"/>
    <w:next w:val="Style_10"/>
    <w:link w:val="Style_29_ch"/>
    <w:uiPriority w:val="39"/>
    <w:pPr>
      <w:ind w:firstLine="0" w:left="800"/>
      <w:jc w:val="left"/>
    </w:pPr>
    <w:rPr>
      <w:rFonts w:ascii="XO Thames" w:hAnsi="XO Thames"/>
      <w:sz w:val="28"/>
    </w:rPr>
  </w:style>
  <w:style w:styleId="Style_29_ch" w:type="character">
    <w:name w:val="toc 5"/>
    <w:link w:val="Style_29"/>
    <w:rPr>
      <w:rFonts w:ascii="XO Thames" w:hAnsi="XO Thames"/>
      <w:sz w:val="28"/>
    </w:rPr>
  </w:style>
  <w:style w:styleId="Style_30" w:type="paragraph">
    <w:name w:val="isselectedend"/>
    <w:basedOn w:val="Style_10"/>
    <w:link w:val="Style_30_ch"/>
    <w:pPr>
      <w:spacing w:afterAutospacing="on" w:beforeAutospacing="on" w:line="240" w:lineRule="auto"/>
      <w:ind/>
    </w:pPr>
    <w:rPr>
      <w:rFonts w:ascii="Times New Roman" w:hAnsi="Times New Roman"/>
      <w:sz w:val="24"/>
    </w:rPr>
  </w:style>
  <w:style w:styleId="Style_30_ch" w:type="character">
    <w:name w:val="isselectedend"/>
    <w:basedOn w:val="Style_10_ch"/>
    <w:link w:val="Style_30"/>
    <w:rPr>
      <w:rFonts w:ascii="Times New Roman" w:hAnsi="Times New Roman"/>
      <w:sz w:val="24"/>
    </w:rPr>
  </w:style>
  <w:style w:styleId="Style_31" w:type="paragraph">
    <w:name w:val="Subtitle"/>
    <w:next w:val="Style_10"/>
    <w:link w:val="Style_31_ch"/>
    <w:uiPriority w:val="11"/>
    <w:qFormat/>
    <w:pPr>
      <w:ind/>
      <w:jc w:val="both"/>
    </w:pPr>
    <w:rPr>
      <w:rFonts w:ascii="XO Thames" w:hAnsi="XO Thames"/>
      <w:i w:val="1"/>
      <w:sz w:val="24"/>
    </w:rPr>
  </w:style>
  <w:style w:styleId="Style_31_ch" w:type="character">
    <w:name w:val="Subtitle"/>
    <w:link w:val="Style_31"/>
    <w:rPr>
      <w:rFonts w:ascii="XO Thames" w:hAnsi="XO Thames"/>
      <w:i w:val="1"/>
      <w:sz w:val="24"/>
    </w:rPr>
  </w:style>
  <w:style w:styleId="Style_32" w:type="paragraph">
    <w:name w:val="Title"/>
    <w:next w:val="Style_10"/>
    <w:link w:val="Style_32_ch"/>
    <w:uiPriority w:val="10"/>
    <w:qFormat/>
    <w:pPr>
      <w:spacing w:after="567" w:before="567"/>
      <w:ind/>
      <w:jc w:val="center"/>
    </w:pPr>
    <w:rPr>
      <w:rFonts w:ascii="XO Thames" w:hAnsi="XO Thames"/>
      <w:b w:val="1"/>
      <w:caps w:val="1"/>
      <w:sz w:val="40"/>
    </w:rPr>
  </w:style>
  <w:style w:styleId="Style_32_ch" w:type="character">
    <w:name w:val="Title"/>
    <w:link w:val="Style_32"/>
    <w:rPr>
      <w:rFonts w:ascii="XO Thames" w:hAnsi="XO Thames"/>
      <w:b w:val="1"/>
      <w:caps w:val="1"/>
      <w:sz w:val="40"/>
    </w:rPr>
  </w:style>
  <w:style w:styleId="Style_33" w:type="paragraph">
    <w:name w:val="heading 4"/>
    <w:next w:val="Style_10"/>
    <w:link w:val="Style_33_ch"/>
    <w:uiPriority w:val="9"/>
    <w:qFormat/>
    <w:pPr>
      <w:spacing w:after="120" w:before="120"/>
      <w:ind/>
      <w:jc w:val="both"/>
      <w:outlineLvl w:val="3"/>
    </w:pPr>
    <w:rPr>
      <w:rFonts w:ascii="XO Thames" w:hAnsi="XO Thames"/>
      <w:b w:val="1"/>
      <w:sz w:val="24"/>
    </w:rPr>
  </w:style>
  <w:style w:styleId="Style_33_ch" w:type="character">
    <w:name w:val="heading 4"/>
    <w:link w:val="Style_33"/>
    <w:rPr>
      <w:rFonts w:ascii="XO Thames" w:hAnsi="XO Thames"/>
      <w:b w:val="1"/>
      <w:sz w:val="24"/>
    </w:rPr>
  </w:style>
  <w:style w:styleId="Style_34" w:type="paragraph">
    <w:name w:val="heading 2"/>
    <w:basedOn w:val="Style_10"/>
    <w:next w:val="Style_10"/>
    <w:link w:val="Style_34_ch"/>
    <w:uiPriority w:val="9"/>
    <w:qFormat/>
    <w:pPr>
      <w:keepNext w:val="1"/>
      <w:keepLines w:val="1"/>
      <w:spacing w:after="0" w:before="40"/>
      <w:ind/>
      <w:outlineLvl w:val="1"/>
    </w:pPr>
    <w:rPr>
      <w:rFonts w:asciiTheme="majorAscii" w:hAnsiTheme="majorHAnsi"/>
      <w:color w:themeColor="accent1" w:themeShade="BF" w:val="2F5496"/>
      <w:sz w:val="26"/>
    </w:rPr>
  </w:style>
  <w:style w:styleId="Style_34_ch" w:type="character">
    <w:name w:val="heading 2"/>
    <w:basedOn w:val="Style_10_ch"/>
    <w:link w:val="Style_34"/>
    <w:rPr>
      <w:rFonts w:asciiTheme="majorAscii" w:hAnsiTheme="majorHAnsi"/>
      <w:color w:themeColor="accent1" w:themeShade="BF" w:val="2F5496"/>
      <w:sz w:val="26"/>
    </w:rPr>
  </w:style>
  <w:style w:default="1" w:styleId="Style_3" w:type="table">
    <w:name w:val="Normal Table"/>
    <w:tblPr>
      <w:tblInd w:type="dxa" w:w="0"/>
      <w:tblCellMar>
        <w:top w:type="dxa" w:w="0"/>
        <w:left w:type="dxa" w:w="108"/>
        <w:bottom w:type="dxa" w:w="0"/>
        <w:right w:type="dxa" w:w="108"/>
      </w:tblCellMar>
    </w:tblPr>
  </w:style>
  <w:style w:styleId="Style_4" w:type="table">
    <w:name w:val="Table Normal"/>
    <w:pPr>
      <w:widowControl w:val="0"/>
      <w:spacing w:after="0" w:line="240" w:lineRule="auto"/>
      <w:ind/>
    </w:pPr>
    <w:rPr>
      <w:rFonts w:ascii="Calibri" w:hAnsi="Calibri"/>
    </w:rPr>
    <w:tblPr>
      <w:tblCellMar>
        <w:top w:type="dxa" w:w="0"/>
        <w:left w:type="dxa" w:w="0"/>
        <w:bottom w:type="dxa" w:w="0"/>
        <w:right w:type="dxa" w:w="0"/>
      </w:tblCellMar>
    </w:tblPr>
  </w:style>
  <w:style w:styleId="Style_2" w:type="table">
    <w:name w:val="Table Grid"/>
    <w:basedOn w:val="Style_3"/>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0" Target="numbering.xml" Type="http://schemas.openxmlformats.org/officeDocument/2006/relationships/numbering"/>
  <Relationship Id="rId9" Target="footnotes.xml" Type="http://schemas.openxmlformats.org/officeDocument/2006/relationships/footnotes"/>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2026-09-01T08:04:48Z</dcterms:modified>
</cp:coreProperties>
</file>