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spacing w:after="0"/>
        <w:ind w:firstLine="709" w:left="0"/>
        <w:jc w:val="both"/>
      </w:pPr>
    </w:p>
    <w:p w14:paraId="08000000">
      <w:pPr>
        <w:spacing w:after="0"/>
        <w:ind w:firstLine="709" w:left="0"/>
        <w:jc w:val="center"/>
        <w:rPr>
          <w:b w:val="1"/>
        </w:rPr>
      </w:pPr>
      <w:r>
        <w:rPr>
          <w:b w:val="1"/>
        </w:rPr>
        <w:t>Титульный лист</w:t>
      </w:r>
    </w:p>
    <w:p w14:paraId="09000000">
      <w:pPr>
        <w:widowControl w:val="0"/>
        <w:ind/>
        <w:jc w:val="center"/>
        <w:rPr>
          <w:b w:val="1"/>
        </w:rPr>
      </w:pPr>
      <w:r>
        <w:rPr>
          <w:b w:val="1"/>
        </w:rPr>
        <w:t>Автоматизация контроля исполнения документов на примере Центра московского долголетия "Савеловский"</w:t>
      </w:r>
    </w:p>
    <w:p w14:paraId="0A000000">
      <w:pPr>
        <w:spacing w:after="0"/>
        <w:ind w:firstLine="709" w:left="0"/>
        <w:jc w:val="both"/>
      </w:pPr>
    </w:p>
    <w:p w14:paraId="0B000000">
      <w:pPr>
        <w:pageBreakBefore w:val="1"/>
        <w:spacing w:after="0"/>
        <w:ind w:firstLine="709" w:left="0"/>
        <w:jc w:val="both"/>
      </w:pPr>
    </w:p>
    <w:p w14:paraId="0C000000">
      <w:pPr>
        <w:spacing w:line="264" w:lineRule="auto"/>
        <w:ind/>
        <w:rPr>
          <w:rFonts w:ascii="Calibri" w:hAnsi="Calibri"/>
          <w:sz w:val="22"/>
        </w:rPr>
      </w:pPr>
    </w:p>
    <w:tbl>
      <w:tblPr>
        <w:tblStyle w:val="Style_2"/>
        <w:tblInd w:type="dxa" w:w="-106"/>
        <w:tblLayout w:type="fixed"/>
      </w:tblPr>
      <w:tblGrid>
        <w:gridCol w:w="1240"/>
        <w:gridCol w:w="4536"/>
        <w:gridCol w:w="4253"/>
      </w:tblGrid>
      <w:tr>
        <w:tc>
          <w:tcPr>
            <w:tcW w:type="dxa" w:w="5776"/>
            <w:gridSpan w:val="2"/>
            <w:vAlign w:val="center"/>
          </w:tcPr>
          <w:p w14:paraId="0D00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Автономная некоммерческая организация </w:t>
            </w:r>
          </w:p>
          <w:p w14:paraId="0E00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высшего образования</w:t>
            </w:r>
          </w:p>
          <w:p w14:paraId="0F00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«Московский университет «Синергия» </w:t>
            </w:r>
          </w:p>
          <w:p w14:paraId="10000000">
            <w:pPr>
              <w:spacing w:after="0"/>
              <w:ind/>
              <w:jc w:val="center"/>
              <w:rPr>
                <w:b w:val="1"/>
                <w:sz w:val="22"/>
              </w:rPr>
            </w:pPr>
          </w:p>
        </w:tc>
        <w:tc>
          <w:tcPr>
            <w:tcW w:type="dxa" w:w="4253"/>
            <w:vAlign w:val="center"/>
          </w:tcPr>
          <w:p w14:paraId="11000000">
            <w:pPr>
              <w:spacing w:after="0"/>
              <w:ind w:firstLine="0" w:left="35"/>
              <w:jc w:val="center"/>
              <w:rPr>
                <w:sz w:val="22"/>
              </w:rPr>
            </w:pPr>
            <w:r>
              <w:rPr>
                <w:rFonts w:ascii="Calibri" w:hAnsi="Calibri"/>
                <w:sz w:val="22"/>
              </w:rPr>
              <w:drawing>
                <wp:anchor allowOverlap="true" behindDoc="false" distB="0" distL="114300" distR="114300" distT="0" layoutInCell="true" locked="false" relativeHeight="251658240" simplePos="false">
                  <wp:simplePos x="0" y="0"/>
                  <wp:positionH relativeFrom="column">
                    <wp:posOffset>-29844</wp:posOffset>
                  </wp:positionH>
                  <wp:positionV relativeFrom="paragraph">
                    <wp:posOffset>-394970</wp:posOffset>
                  </wp:positionV>
                  <wp:extent cx="2514600" cy="1495425"/>
                  <wp:effectExtent b="0" l="0" r="0" t="0"/>
                  <wp:wrapNone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514600" cy="149542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c>
          <w:tcPr>
            <w:tcW w:type="dxa" w:w="1240"/>
            <w:vAlign w:val="center"/>
          </w:tcPr>
          <w:p w14:paraId="1200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Факультет</w:t>
            </w:r>
          </w:p>
        </w:tc>
        <w:tc>
          <w:tcPr>
            <w:tcW w:type="dxa" w:w="4536"/>
            <w:tcBorders>
              <w:bottom w:color="000000" w:sz="4" w:val="single"/>
            </w:tcBorders>
            <w:vAlign w:val="center"/>
          </w:tcPr>
          <w:p w14:paraId="1300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Информационных технологий</w:t>
            </w:r>
          </w:p>
        </w:tc>
        <w:tc>
          <w:tcPr>
            <w:tcW w:type="dxa" w:w="4253"/>
            <w:vAlign w:val="center"/>
          </w:tcPr>
          <w:p w14:paraId="14000000">
            <w:pPr>
              <w:spacing w:after="0"/>
              <w:ind w:firstLine="0" w:left="35"/>
              <w:jc w:val="center"/>
              <w:rPr>
                <w:b w:val="1"/>
                <w:sz w:val="22"/>
              </w:rPr>
            </w:pPr>
          </w:p>
        </w:tc>
      </w:tr>
      <w:tr>
        <w:tc>
          <w:tcPr>
            <w:tcW w:type="dxa" w:w="1240"/>
            <w:vAlign w:val="center"/>
          </w:tcPr>
          <w:p w14:paraId="1500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Кафедра</w:t>
            </w:r>
          </w:p>
        </w:tc>
        <w:tc>
          <w:tcPr>
            <w:tcW w:type="dxa" w:w="4536"/>
            <w:tcBorders>
              <w:top w:color="000000" w:sz="4" w:val="single"/>
              <w:bottom w:color="000000" w:sz="4" w:val="single"/>
            </w:tcBorders>
            <w:vAlign w:val="center"/>
          </w:tcPr>
          <w:p w14:paraId="16000000">
            <w:pPr>
              <w:spacing w:after="0"/>
              <w:ind w:firstLine="0" w:left="-104"/>
              <w:jc w:val="center"/>
              <w:rPr>
                <w:sz w:val="22"/>
              </w:rPr>
            </w:pPr>
            <w:r>
              <w:rPr>
                <w:sz w:val="22"/>
              </w:rPr>
              <w:t>Цифровой экономики</w:t>
            </w:r>
          </w:p>
        </w:tc>
        <w:tc>
          <w:tcPr>
            <w:tcW w:type="dxa" w:w="4253"/>
            <w:vAlign w:val="center"/>
          </w:tcPr>
          <w:p w14:paraId="17000000">
            <w:pPr>
              <w:spacing w:after="0"/>
              <w:ind w:firstLine="0" w:left="35"/>
              <w:jc w:val="center"/>
              <w:rPr>
                <w:b w:val="1"/>
                <w:sz w:val="22"/>
              </w:rPr>
            </w:pPr>
          </w:p>
        </w:tc>
      </w:tr>
    </w:tbl>
    <w:p w14:paraId="18000000">
      <w:pPr>
        <w:spacing w:after="0"/>
        <w:ind/>
        <w:jc w:val="center"/>
        <w:rPr>
          <w:b w:val="1"/>
          <w:sz w:val="24"/>
        </w:rPr>
      </w:pPr>
    </w:p>
    <w:p w14:paraId="19000000">
      <w:pPr>
        <w:widowControl w:val="0"/>
        <w:spacing w:after="0"/>
        <w:ind/>
        <w:jc w:val="center"/>
        <w:rPr>
          <w:b w:val="1"/>
          <w:sz w:val="24"/>
        </w:rPr>
      </w:pPr>
      <w:r>
        <w:rPr>
          <w:b w:val="1"/>
          <w:sz w:val="24"/>
        </w:rPr>
        <w:t>ЗАДАНИЕ</w:t>
      </w:r>
    </w:p>
    <w:p w14:paraId="1A000000">
      <w:pPr>
        <w:widowControl w:val="0"/>
        <w:spacing w:after="0"/>
        <w:ind/>
        <w:jc w:val="center"/>
        <w:rPr>
          <w:sz w:val="24"/>
        </w:rPr>
      </w:pPr>
      <w:r>
        <w:rPr>
          <w:sz w:val="24"/>
        </w:rPr>
        <w:t>на выпускную квалификационную работу – бакалаврскую работу</w:t>
      </w:r>
    </w:p>
    <w:p w14:paraId="1B000000">
      <w:pPr>
        <w:widowControl w:val="0"/>
        <w:spacing w:after="0"/>
        <w:ind/>
        <w:jc w:val="center"/>
        <w:rPr>
          <w:sz w:val="24"/>
        </w:rPr>
      </w:pPr>
      <w:r>
        <w:rPr>
          <w:sz w:val="24"/>
        </w:rPr>
        <w:t>обучающемуся</w:t>
      </w:r>
    </w:p>
    <w:tbl>
      <w:tblPr>
        <w:tblStyle w:val="Style_3"/>
        <w:tblBorders>
          <w:top w:color="000000" w:sz="4" w:val="nil"/>
          <w:left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9355"/>
      </w:tblGrid>
      <w:tr>
        <w:tc>
          <w:tcPr>
            <w:tcW w:type="dxa" w:w="9355"/>
            <w:tcBorders>
              <w:top w:color="000000" w:sz="4" w:val="nil"/>
              <w:left w:color="000000" w:sz="4" w:val="nil"/>
              <w:right w:color="000000" w:sz="4" w:val="nil"/>
            </w:tcBorders>
          </w:tcPr>
          <w:p w14:paraId="1C000000">
            <w:pPr>
              <w:widowControl w:val="0"/>
              <w:ind/>
              <w:jc w:val="center"/>
              <w:rPr>
                <w:sz w:val="24"/>
              </w:rPr>
            </w:pPr>
          </w:p>
        </w:tc>
      </w:tr>
    </w:tbl>
    <w:p w14:paraId="1D000000">
      <w:pPr>
        <w:widowControl w:val="0"/>
        <w:spacing w:after="0"/>
        <w:ind/>
        <w:jc w:val="center"/>
        <w:rPr>
          <w:sz w:val="16"/>
        </w:rPr>
      </w:pPr>
      <w:r>
        <w:rPr>
          <w:sz w:val="16"/>
        </w:rPr>
        <w:t>(Фамилия Имя Отчество полностью)</w:t>
      </w:r>
    </w:p>
    <w:p w14:paraId="1E000000">
      <w:pPr>
        <w:widowControl w:val="0"/>
        <w:spacing w:after="0"/>
        <w:ind/>
        <w:jc w:val="center"/>
        <w:rPr>
          <w:sz w:val="24"/>
        </w:rPr>
      </w:pPr>
    </w:p>
    <w:p w14:paraId="1F000000">
      <w:pPr>
        <w:widowControl w:val="0"/>
        <w:spacing w:after="0"/>
        <w:ind w:firstLine="851" w:left="0"/>
        <w:jc w:val="both"/>
        <w:rPr>
          <w:b w:val="1"/>
          <w:sz w:val="24"/>
        </w:rPr>
      </w:pPr>
      <w:r>
        <w:rPr>
          <w:b w:val="1"/>
          <w:sz w:val="24"/>
        </w:rPr>
        <w:t xml:space="preserve">1. Тема выпускной квалификационной работы: </w:t>
      </w:r>
    </w:p>
    <w:tbl>
      <w:tblPr>
        <w:tblStyle w:val="Style_3"/>
        <w:tblBorders>
          <w:top w:color="000000" w:sz="4" w:val="nil"/>
          <w:left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color="000000" w:sz="4" w:val="nil"/>
              <w:left w:color="000000" w:sz="4" w:val="nil"/>
              <w:right w:color="000000" w:sz="4" w:val="nil"/>
            </w:tcBorders>
          </w:tcPr>
          <w:p w14:paraId="20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Автоматизация контроля исполнения документов на примере Центра московского долголетия "Савеловский"</w:t>
            </w:r>
          </w:p>
        </w:tc>
      </w:tr>
    </w:tbl>
    <w:p w14:paraId="21000000">
      <w:pPr>
        <w:widowControl w:val="0"/>
        <w:spacing w:after="0"/>
        <w:ind/>
        <w:jc w:val="center"/>
        <w:rPr>
          <w:b w:val="1"/>
          <w:sz w:val="24"/>
        </w:rPr>
      </w:pPr>
    </w:p>
    <w:p w14:paraId="22000000">
      <w:pPr>
        <w:widowControl w:val="0"/>
        <w:spacing w:after="0" w:line="288" w:lineRule="auto"/>
        <w:ind w:firstLine="851" w:left="0"/>
        <w:jc w:val="both"/>
        <w:rPr>
          <w:b w:val="1"/>
          <w:sz w:val="24"/>
        </w:rPr>
      </w:pPr>
      <w:r>
        <w:rPr>
          <w:b w:val="1"/>
          <w:sz w:val="24"/>
        </w:rPr>
        <w:t>2. Структура ВКР.</w:t>
      </w:r>
    </w:p>
    <w:p w14:paraId="23000000">
      <w:bookmarkStart w:id="1" w:name="__RefHeading___1"/>
      <w:bookmarkEnd w:id="1"/>
      <w:pPr>
        <w:widowControl w:val="0"/>
        <w:tabs>
          <w:tab w:leader="none" w:pos="426" w:val="left"/>
          <w:tab w:leader="none" w:pos="851" w:val="left"/>
          <w:tab w:leader="none" w:pos="993" w:val="left"/>
        </w:tabs>
        <w:spacing w:after="0"/>
        <w:ind w:firstLine="567" w:left="0"/>
        <w:jc w:val="both"/>
        <w:outlineLvl w:val="0"/>
        <w:rPr>
          <w:b w:val="1"/>
          <w:sz w:val="24"/>
        </w:rPr>
      </w:pPr>
      <w:r>
        <w:rPr>
          <w:b w:val="1"/>
          <w:sz w:val="24"/>
        </w:rPr>
        <w:t>ВВЕДЕНИЕ</w:t>
      </w:r>
    </w:p>
    <w:p w14:paraId="24000000">
      <w:pPr>
        <w:spacing w:after="0"/>
        <w:ind w:firstLine="567" w:left="0"/>
        <w:jc w:val="both"/>
        <w:rPr>
          <w:b w:val="1"/>
          <w:sz w:val="24"/>
        </w:rPr>
      </w:pPr>
      <w:r>
        <w:rPr>
          <w:b w:val="1"/>
          <w:sz w:val="24"/>
        </w:rPr>
        <w:t>ГЛАВА 1. АНАЛИТИЧЕСКАЯ ЧАСТЬ</w:t>
      </w:r>
    </w:p>
    <w:p w14:paraId="25000000">
      <w:pPr>
        <w:widowControl w:val="0"/>
        <w:numPr>
          <w:ilvl w:val="1"/>
          <w:numId w:val="1"/>
        </w:numPr>
        <w:tabs>
          <w:tab w:leader="none" w:pos="1134" w:val="left"/>
        </w:tabs>
        <w:spacing w:after="0" w:line="264" w:lineRule="auto"/>
        <w:ind w:hanging="284" w:left="993"/>
        <w:jc w:val="both"/>
        <w:rPr>
          <w:sz w:val="24"/>
        </w:rPr>
      </w:pPr>
      <w:r>
        <w:rPr>
          <w:sz w:val="24"/>
        </w:rPr>
        <w:t>Технико-экономическая характеристика предметной области и предприятия. Анализ деятельности «КАК ЕСТЬ»</w:t>
      </w:r>
    </w:p>
    <w:p w14:paraId="26000000">
      <w:pPr>
        <w:widowControl w:val="0"/>
        <w:numPr>
          <w:ilvl w:val="2"/>
          <w:numId w:val="1"/>
        </w:numPr>
        <w:tabs>
          <w:tab w:leader="none" w:pos="1560" w:val="left"/>
        </w:tabs>
        <w:spacing w:after="0" w:line="264" w:lineRule="auto"/>
        <w:ind w:firstLine="0" w:left="1418"/>
        <w:jc w:val="both"/>
        <w:rPr>
          <w:sz w:val="24"/>
        </w:rPr>
      </w:pPr>
      <w:r>
        <w:rPr>
          <w:sz w:val="24"/>
        </w:rPr>
        <w:t>Характеристика предприятия и его деятельности</w:t>
      </w:r>
    </w:p>
    <w:p w14:paraId="27000000">
      <w:pPr>
        <w:widowControl w:val="0"/>
        <w:numPr>
          <w:ilvl w:val="2"/>
          <w:numId w:val="1"/>
        </w:numPr>
        <w:tabs>
          <w:tab w:leader="none" w:pos="1560" w:val="left"/>
        </w:tabs>
        <w:spacing w:after="0" w:line="264" w:lineRule="auto"/>
        <w:ind w:firstLine="0" w:left="1418"/>
        <w:jc w:val="both"/>
        <w:rPr>
          <w:sz w:val="24"/>
        </w:rPr>
      </w:pPr>
      <w:r>
        <w:rPr>
          <w:sz w:val="24"/>
        </w:rPr>
        <w:t>Организационная структура управления предприятием</w:t>
      </w:r>
    </w:p>
    <w:p w14:paraId="28000000">
      <w:pPr>
        <w:widowControl w:val="0"/>
        <w:numPr>
          <w:ilvl w:val="2"/>
          <w:numId w:val="1"/>
        </w:numPr>
        <w:tabs>
          <w:tab w:leader="none" w:pos="1560" w:val="left"/>
        </w:tabs>
        <w:spacing w:after="0" w:line="264" w:lineRule="auto"/>
        <w:ind w:firstLine="0" w:left="1418"/>
        <w:jc w:val="both"/>
        <w:rPr>
          <w:sz w:val="24"/>
        </w:rPr>
      </w:pPr>
      <w:r>
        <w:rPr>
          <w:sz w:val="24"/>
        </w:rPr>
        <w:t>Программная и техническая архитектура ИС предприятия</w:t>
      </w:r>
    </w:p>
    <w:p w14:paraId="29000000">
      <w:pPr>
        <w:widowControl w:val="0"/>
        <w:numPr>
          <w:ilvl w:val="1"/>
          <w:numId w:val="1"/>
        </w:numPr>
        <w:tabs>
          <w:tab w:leader="none" w:pos="1134" w:val="left"/>
        </w:tabs>
        <w:spacing w:after="0" w:line="264" w:lineRule="auto"/>
        <w:ind w:hanging="284" w:left="993"/>
        <w:jc w:val="both"/>
        <w:rPr>
          <w:sz w:val="24"/>
        </w:rPr>
      </w:pPr>
      <w:r>
        <w:rPr>
          <w:sz w:val="24"/>
        </w:rPr>
        <w:t>Характеристика комплекса задач, задачи и обоснование необходимости автоматизации</w:t>
      </w:r>
    </w:p>
    <w:p w14:paraId="2A000000">
      <w:pPr>
        <w:widowControl w:val="0"/>
        <w:numPr>
          <w:ilvl w:val="2"/>
          <w:numId w:val="1"/>
        </w:numPr>
        <w:tabs>
          <w:tab w:leader="none" w:pos="1560" w:val="left"/>
        </w:tabs>
        <w:spacing w:after="0" w:line="264" w:lineRule="auto"/>
        <w:ind w:firstLine="0" w:left="1418"/>
        <w:jc w:val="both"/>
        <w:rPr>
          <w:sz w:val="24"/>
        </w:rPr>
      </w:pPr>
      <w:r>
        <w:rPr>
          <w:sz w:val="24"/>
        </w:rPr>
        <w:t>Выбор комплекса задач автоматизации и характеристика существующих бизнес-процессов</w:t>
      </w:r>
    </w:p>
    <w:p w14:paraId="2B000000">
      <w:pPr>
        <w:widowControl w:val="0"/>
        <w:numPr>
          <w:ilvl w:val="2"/>
          <w:numId w:val="1"/>
        </w:numPr>
        <w:tabs>
          <w:tab w:leader="none" w:pos="1560" w:val="left"/>
        </w:tabs>
        <w:spacing w:after="0" w:line="264" w:lineRule="auto"/>
        <w:ind w:firstLine="0" w:left="1418"/>
        <w:jc w:val="both"/>
        <w:rPr>
          <w:sz w:val="24"/>
        </w:rPr>
      </w:pPr>
      <w:r>
        <w:rPr>
          <w:sz w:val="24"/>
        </w:rPr>
        <w:t>Определение места проектируемой задачи в комплексе задач и ее описание</w:t>
      </w:r>
    </w:p>
    <w:p w14:paraId="2C000000">
      <w:pPr>
        <w:widowControl w:val="0"/>
        <w:numPr>
          <w:ilvl w:val="2"/>
          <w:numId w:val="1"/>
        </w:numPr>
        <w:tabs>
          <w:tab w:leader="none" w:pos="1560" w:val="left"/>
        </w:tabs>
        <w:spacing w:after="0" w:line="264" w:lineRule="auto"/>
        <w:ind w:firstLine="0" w:left="1418"/>
        <w:jc w:val="both"/>
        <w:rPr>
          <w:sz w:val="24"/>
        </w:rPr>
      </w:pPr>
      <w:r>
        <w:rPr>
          <w:sz w:val="24"/>
        </w:rPr>
        <w:t>Обоснование необходимости использования вычислительной техники для решения задачи</w:t>
      </w:r>
    </w:p>
    <w:p w14:paraId="2D000000">
      <w:pPr>
        <w:widowControl w:val="0"/>
        <w:numPr>
          <w:ilvl w:val="2"/>
          <w:numId w:val="1"/>
        </w:numPr>
        <w:tabs>
          <w:tab w:leader="none" w:pos="1560" w:val="left"/>
        </w:tabs>
        <w:spacing w:after="0" w:line="264" w:lineRule="auto"/>
        <w:ind w:firstLine="0" w:left="1418"/>
        <w:jc w:val="both"/>
        <w:rPr>
          <w:sz w:val="24"/>
        </w:rPr>
      </w:pPr>
      <w:r>
        <w:rPr>
          <w:sz w:val="24"/>
        </w:rPr>
        <w:t>Анализ системы обеспечения информационной безопасности и защиты информации</w:t>
      </w:r>
    </w:p>
    <w:p w14:paraId="2E000000">
      <w:pPr>
        <w:widowControl w:val="0"/>
        <w:numPr>
          <w:ilvl w:val="1"/>
          <w:numId w:val="1"/>
        </w:numPr>
        <w:tabs>
          <w:tab w:leader="none" w:pos="1134" w:val="left"/>
        </w:tabs>
        <w:spacing w:after="0" w:line="264" w:lineRule="auto"/>
        <w:ind w:hanging="284" w:left="993"/>
        <w:jc w:val="both"/>
        <w:rPr>
          <w:sz w:val="24"/>
        </w:rPr>
      </w:pPr>
      <w:r>
        <w:rPr>
          <w:sz w:val="24"/>
        </w:rPr>
        <w:t>Анализ существующих разработок и выбор стратегии автоматизации «КАК ДОЛЖНО БЫТЬ»</w:t>
      </w:r>
    </w:p>
    <w:p w14:paraId="2F000000">
      <w:pPr>
        <w:widowControl w:val="0"/>
        <w:numPr>
          <w:ilvl w:val="2"/>
          <w:numId w:val="1"/>
        </w:numPr>
        <w:tabs>
          <w:tab w:leader="none" w:pos="1560" w:val="left"/>
        </w:tabs>
        <w:spacing w:after="0" w:line="264" w:lineRule="auto"/>
        <w:ind w:firstLine="0" w:left="1418"/>
        <w:jc w:val="both"/>
        <w:rPr>
          <w:sz w:val="24"/>
        </w:rPr>
      </w:pPr>
      <w:r>
        <w:rPr>
          <w:sz w:val="24"/>
        </w:rPr>
        <w:t>Анализ существующих разработок для автоматизации задачи</w:t>
      </w:r>
    </w:p>
    <w:p w14:paraId="30000000">
      <w:pPr>
        <w:widowControl w:val="0"/>
        <w:numPr>
          <w:ilvl w:val="2"/>
          <w:numId w:val="1"/>
        </w:numPr>
        <w:tabs>
          <w:tab w:leader="none" w:pos="1560" w:val="left"/>
        </w:tabs>
        <w:spacing w:after="0" w:line="264" w:lineRule="auto"/>
        <w:ind w:firstLine="0" w:left="1418"/>
        <w:jc w:val="both"/>
        <w:rPr>
          <w:sz w:val="24"/>
        </w:rPr>
      </w:pPr>
      <w:r>
        <w:rPr>
          <w:sz w:val="24"/>
        </w:rPr>
        <w:t>Выбор и обоснование стратегии автоматизации задачи</w:t>
      </w:r>
    </w:p>
    <w:p w14:paraId="31000000">
      <w:pPr>
        <w:widowControl w:val="0"/>
        <w:numPr>
          <w:ilvl w:val="2"/>
          <w:numId w:val="1"/>
        </w:numPr>
        <w:tabs>
          <w:tab w:leader="none" w:pos="1560" w:val="left"/>
        </w:tabs>
        <w:spacing w:after="0" w:line="264" w:lineRule="auto"/>
        <w:ind w:firstLine="0" w:left="1418"/>
        <w:jc w:val="both"/>
        <w:rPr>
          <w:sz w:val="24"/>
        </w:rPr>
      </w:pPr>
      <w:r>
        <w:rPr>
          <w:sz w:val="24"/>
        </w:rPr>
        <w:t>Выбор и обоснование способа приобретения ИС для автоматизации задачи</w:t>
      </w:r>
    </w:p>
    <w:p w14:paraId="32000000">
      <w:pPr>
        <w:widowControl w:val="0"/>
        <w:numPr>
          <w:ilvl w:val="1"/>
          <w:numId w:val="1"/>
        </w:numPr>
        <w:tabs>
          <w:tab w:leader="none" w:pos="1134" w:val="left"/>
        </w:tabs>
        <w:spacing w:after="0" w:line="264" w:lineRule="auto"/>
        <w:ind w:hanging="284" w:left="993"/>
        <w:jc w:val="both"/>
        <w:rPr>
          <w:sz w:val="24"/>
        </w:rPr>
      </w:pPr>
      <w:r>
        <w:rPr>
          <w:sz w:val="24"/>
        </w:rPr>
        <w:t>Обоснование проектных решений</w:t>
      </w:r>
    </w:p>
    <w:p w14:paraId="33000000">
      <w:pPr>
        <w:widowControl w:val="0"/>
        <w:numPr>
          <w:ilvl w:val="2"/>
          <w:numId w:val="1"/>
        </w:numPr>
        <w:tabs>
          <w:tab w:leader="none" w:pos="1560" w:val="left"/>
        </w:tabs>
        <w:spacing w:after="0" w:line="264" w:lineRule="auto"/>
        <w:ind w:firstLine="0" w:left="1418"/>
        <w:jc w:val="both"/>
        <w:rPr>
          <w:sz w:val="24"/>
        </w:rPr>
      </w:pPr>
      <w:r>
        <w:rPr>
          <w:sz w:val="24"/>
        </w:rPr>
        <w:t>Обоснование проектных решений по информационному обеспечению</w:t>
      </w:r>
    </w:p>
    <w:p w14:paraId="34000000">
      <w:pPr>
        <w:widowControl w:val="0"/>
        <w:numPr>
          <w:ilvl w:val="2"/>
          <w:numId w:val="1"/>
        </w:numPr>
        <w:tabs>
          <w:tab w:leader="none" w:pos="1560" w:val="left"/>
        </w:tabs>
        <w:spacing w:after="0" w:line="264" w:lineRule="auto"/>
        <w:ind w:firstLine="0" w:left="1418"/>
        <w:jc w:val="both"/>
        <w:rPr>
          <w:sz w:val="24"/>
        </w:rPr>
      </w:pPr>
      <w:r>
        <w:rPr>
          <w:sz w:val="24"/>
        </w:rPr>
        <w:t>Обоснование проектных решений по программному обеспечению</w:t>
      </w:r>
    </w:p>
    <w:p w14:paraId="35000000">
      <w:pPr>
        <w:widowControl w:val="0"/>
        <w:numPr>
          <w:ilvl w:val="2"/>
          <w:numId w:val="1"/>
        </w:numPr>
        <w:tabs>
          <w:tab w:leader="none" w:pos="1560" w:val="left"/>
        </w:tabs>
        <w:spacing w:after="0" w:line="264" w:lineRule="auto"/>
        <w:ind w:firstLine="0" w:left="1418"/>
        <w:jc w:val="both"/>
        <w:rPr>
          <w:sz w:val="24"/>
        </w:rPr>
      </w:pPr>
      <w:r>
        <w:rPr>
          <w:sz w:val="24"/>
        </w:rPr>
        <w:t>Обоснование проектных решений по техническому обеспечению</w:t>
      </w:r>
    </w:p>
    <w:p w14:paraId="36000000">
      <w:pPr>
        <w:spacing w:after="0"/>
        <w:ind w:firstLine="567" w:left="0"/>
        <w:jc w:val="both"/>
        <w:rPr>
          <w:b w:val="1"/>
          <w:sz w:val="24"/>
        </w:rPr>
      </w:pPr>
      <w:r>
        <w:rPr>
          <w:b w:val="1"/>
          <w:sz w:val="24"/>
        </w:rPr>
        <w:t>ГЛАВА 2. ПРОЕКТНАЯ ЧАСТЬ</w:t>
      </w:r>
    </w:p>
    <w:p w14:paraId="37000000">
      <w:pPr>
        <w:widowControl w:val="0"/>
        <w:numPr>
          <w:ilvl w:val="1"/>
          <w:numId w:val="2"/>
        </w:numPr>
        <w:spacing w:after="0" w:line="264" w:lineRule="auto"/>
        <w:ind w:hanging="425" w:left="1134"/>
        <w:jc w:val="both"/>
        <w:rPr>
          <w:sz w:val="24"/>
        </w:rPr>
      </w:pPr>
      <w:r>
        <w:rPr>
          <w:sz w:val="24"/>
        </w:rPr>
        <w:t>Разработка проекта автоматизации</w:t>
      </w:r>
    </w:p>
    <w:p w14:paraId="38000000">
      <w:pPr>
        <w:widowControl w:val="0"/>
        <w:numPr>
          <w:ilvl w:val="2"/>
          <w:numId w:val="2"/>
        </w:numPr>
        <w:tabs>
          <w:tab w:leader="none" w:pos="1560" w:val="left"/>
        </w:tabs>
        <w:spacing w:after="0" w:line="264" w:lineRule="auto"/>
        <w:ind w:hanging="283" w:left="1276"/>
        <w:jc w:val="both"/>
        <w:rPr>
          <w:sz w:val="24"/>
        </w:rPr>
      </w:pPr>
      <w:r>
        <w:rPr>
          <w:sz w:val="24"/>
        </w:rPr>
        <w:t>Этапы жизненного цикла проекта автоматизации</w:t>
      </w:r>
    </w:p>
    <w:p w14:paraId="39000000">
      <w:pPr>
        <w:widowControl w:val="0"/>
        <w:numPr>
          <w:ilvl w:val="2"/>
          <w:numId w:val="2"/>
        </w:numPr>
        <w:tabs>
          <w:tab w:leader="none" w:pos="1560" w:val="left"/>
        </w:tabs>
        <w:spacing w:after="0" w:line="264" w:lineRule="auto"/>
        <w:ind w:hanging="283" w:left="1276"/>
        <w:jc w:val="both"/>
        <w:rPr>
          <w:sz w:val="24"/>
        </w:rPr>
      </w:pPr>
      <w:r>
        <w:rPr>
          <w:sz w:val="24"/>
        </w:rPr>
        <w:t>Ожидаемые риски на этапах жизненного цикла и их описание</w:t>
      </w:r>
    </w:p>
    <w:p w14:paraId="3A000000">
      <w:pPr>
        <w:widowControl w:val="0"/>
        <w:numPr>
          <w:ilvl w:val="2"/>
          <w:numId w:val="2"/>
        </w:numPr>
        <w:tabs>
          <w:tab w:leader="none" w:pos="1560" w:val="left"/>
        </w:tabs>
        <w:spacing w:after="0" w:line="264" w:lineRule="auto"/>
        <w:ind w:hanging="567" w:left="1560"/>
        <w:jc w:val="both"/>
        <w:rPr>
          <w:sz w:val="24"/>
        </w:rPr>
      </w:pPr>
      <w:r>
        <w:rPr>
          <w:sz w:val="24"/>
        </w:rPr>
        <w:t xml:space="preserve">Организационно-правовые и программно-аппаратные средства обеспечения </w:t>
      </w:r>
      <w:r>
        <w:rPr>
          <w:sz w:val="24"/>
        </w:rPr>
        <w:t xml:space="preserve">информационной безопасности и защиты информации </w:t>
      </w:r>
    </w:p>
    <w:p w14:paraId="3B000000">
      <w:pPr>
        <w:widowControl w:val="0"/>
        <w:numPr>
          <w:ilvl w:val="1"/>
          <w:numId w:val="2"/>
        </w:numPr>
        <w:tabs>
          <w:tab w:leader="none" w:pos="1134" w:val="left"/>
        </w:tabs>
        <w:spacing w:after="0" w:line="264" w:lineRule="auto"/>
        <w:ind w:hanging="142" w:left="851"/>
        <w:jc w:val="both"/>
        <w:rPr>
          <w:sz w:val="24"/>
        </w:rPr>
      </w:pPr>
      <w:r>
        <w:rPr>
          <w:sz w:val="24"/>
        </w:rPr>
        <w:t>Информационное обеспечение задачи</w:t>
      </w:r>
    </w:p>
    <w:p w14:paraId="3C000000">
      <w:pPr>
        <w:widowControl w:val="0"/>
        <w:numPr>
          <w:ilvl w:val="2"/>
          <w:numId w:val="2"/>
        </w:numPr>
        <w:spacing w:after="0" w:line="264" w:lineRule="auto"/>
        <w:ind w:hanging="567" w:left="1560"/>
        <w:jc w:val="both"/>
        <w:rPr>
          <w:sz w:val="24"/>
        </w:rPr>
      </w:pPr>
      <w:r>
        <w:rPr>
          <w:sz w:val="24"/>
        </w:rPr>
        <w:t>Информационная модель и её описание</w:t>
      </w:r>
    </w:p>
    <w:p w14:paraId="3D000000">
      <w:pPr>
        <w:widowControl w:val="0"/>
        <w:numPr>
          <w:ilvl w:val="2"/>
          <w:numId w:val="2"/>
        </w:numPr>
        <w:spacing w:after="0" w:line="264" w:lineRule="auto"/>
        <w:ind w:hanging="567" w:left="1560"/>
        <w:jc w:val="both"/>
        <w:rPr>
          <w:sz w:val="24"/>
        </w:rPr>
      </w:pPr>
      <w:r>
        <w:rPr>
          <w:sz w:val="24"/>
        </w:rPr>
        <w:t>Характеристика нормативно-справочной, входной и оперативной информации</w:t>
      </w:r>
    </w:p>
    <w:p w14:paraId="3E000000">
      <w:pPr>
        <w:widowControl w:val="0"/>
        <w:numPr>
          <w:ilvl w:val="2"/>
          <w:numId w:val="2"/>
        </w:numPr>
        <w:spacing w:after="0" w:line="264" w:lineRule="auto"/>
        <w:ind w:hanging="567" w:left="1560"/>
        <w:jc w:val="both"/>
        <w:rPr>
          <w:sz w:val="24"/>
        </w:rPr>
      </w:pPr>
      <w:r>
        <w:rPr>
          <w:sz w:val="24"/>
        </w:rPr>
        <w:t>Характеристика результатной информации</w:t>
      </w:r>
    </w:p>
    <w:p w14:paraId="3F000000">
      <w:pPr>
        <w:widowControl w:val="0"/>
        <w:numPr>
          <w:ilvl w:val="1"/>
          <w:numId w:val="2"/>
        </w:numPr>
        <w:tabs>
          <w:tab w:leader="none" w:pos="1276" w:val="left"/>
        </w:tabs>
        <w:spacing w:after="0" w:line="264" w:lineRule="auto"/>
        <w:ind w:hanging="567" w:left="1276"/>
        <w:jc w:val="both"/>
        <w:rPr>
          <w:sz w:val="24"/>
        </w:rPr>
      </w:pPr>
      <w:r>
        <w:rPr>
          <w:sz w:val="24"/>
        </w:rPr>
        <w:t>Программное обеспечение задачи</w:t>
      </w:r>
    </w:p>
    <w:p w14:paraId="40000000">
      <w:pPr>
        <w:widowControl w:val="0"/>
        <w:numPr>
          <w:ilvl w:val="2"/>
          <w:numId w:val="2"/>
        </w:numPr>
        <w:tabs>
          <w:tab w:leader="none" w:pos="1418" w:val="left"/>
          <w:tab w:leader="none" w:pos="1440" w:val="clear"/>
        </w:tabs>
        <w:spacing w:after="0" w:line="264" w:lineRule="auto"/>
        <w:ind w:hanging="567" w:left="1560"/>
        <w:jc w:val="both"/>
        <w:rPr>
          <w:sz w:val="24"/>
        </w:rPr>
      </w:pPr>
      <w:r>
        <w:rPr>
          <w:sz w:val="24"/>
        </w:rPr>
        <w:t>Общие положения (дерево функций и сценарий диалога)</w:t>
      </w:r>
    </w:p>
    <w:p w14:paraId="41000000">
      <w:pPr>
        <w:widowControl w:val="0"/>
        <w:numPr>
          <w:ilvl w:val="2"/>
          <w:numId w:val="2"/>
        </w:numPr>
        <w:tabs>
          <w:tab w:leader="none" w:pos="1418" w:val="left"/>
          <w:tab w:leader="none" w:pos="1440" w:val="clear"/>
        </w:tabs>
        <w:spacing w:after="0" w:line="264" w:lineRule="auto"/>
        <w:ind w:hanging="567" w:left="1560"/>
        <w:jc w:val="both"/>
        <w:rPr>
          <w:sz w:val="24"/>
        </w:rPr>
      </w:pPr>
      <w:r>
        <w:rPr>
          <w:sz w:val="24"/>
        </w:rPr>
        <w:t>Характеристика базы данных</w:t>
      </w:r>
    </w:p>
    <w:p w14:paraId="42000000">
      <w:pPr>
        <w:widowControl w:val="0"/>
        <w:numPr>
          <w:ilvl w:val="2"/>
          <w:numId w:val="2"/>
        </w:numPr>
        <w:tabs>
          <w:tab w:leader="none" w:pos="1418" w:val="left"/>
          <w:tab w:leader="none" w:pos="1440" w:val="clear"/>
        </w:tabs>
        <w:spacing w:after="0" w:line="264" w:lineRule="auto"/>
        <w:ind w:hanging="567" w:left="1560"/>
        <w:jc w:val="both"/>
        <w:rPr>
          <w:sz w:val="24"/>
        </w:rPr>
      </w:pPr>
      <w:r>
        <w:rPr>
          <w:sz w:val="24"/>
        </w:rPr>
        <w:t>Структурная схема пакета (дерево вызова программных модулей)</w:t>
      </w:r>
    </w:p>
    <w:p w14:paraId="43000000">
      <w:pPr>
        <w:widowControl w:val="0"/>
        <w:numPr>
          <w:ilvl w:val="2"/>
          <w:numId w:val="2"/>
        </w:numPr>
        <w:tabs>
          <w:tab w:leader="none" w:pos="1418" w:val="left"/>
          <w:tab w:leader="none" w:pos="1440" w:val="clear"/>
        </w:tabs>
        <w:spacing w:after="0" w:line="264" w:lineRule="auto"/>
        <w:ind w:hanging="567" w:left="1560"/>
        <w:jc w:val="both"/>
        <w:rPr>
          <w:sz w:val="24"/>
        </w:rPr>
      </w:pPr>
      <w:r>
        <w:rPr>
          <w:sz w:val="24"/>
        </w:rPr>
        <w:t>Описание программных модулей</w:t>
      </w:r>
    </w:p>
    <w:p w14:paraId="44000000">
      <w:pPr>
        <w:widowControl w:val="0"/>
        <w:numPr>
          <w:ilvl w:val="1"/>
          <w:numId w:val="2"/>
        </w:numPr>
        <w:tabs>
          <w:tab w:leader="none" w:pos="1134" w:val="left"/>
        </w:tabs>
        <w:spacing w:after="0" w:line="264" w:lineRule="auto"/>
        <w:ind w:hanging="142" w:left="851"/>
        <w:jc w:val="both"/>
        <w:rPr>
          <w:sz w:val="24"/>
        </w:rPr>
      </w:pPr>
      <w:r>
        <w:rPr>
          <w:sz w:val="24"/>
        </w:rPr>
        <w:t>Контрольный пример реализации проекта и его описание</w:t>
      </w:r>
    </w:p>
    <w:p w14:paraId="45000000">
      <w:pPr>
        <w:spacing w:after="0"/>
        <w:ind w:firstLine="0" w:left="567"/>
        <w:jc w:val="both"/>
        <w:rPr>
          <w:b w:val="1"/>
          <w:sz w:val="24"/>
        </w:rPr>
      </w:pPr>
      <w:r>
        <w:rPr>
          <w:b w:val="1"/>
          <w:sz w:val="24"/>
        </w:rPr>
        <w:t>ГЛАВА 3. ОБОСНОВАНИЕ ЭКОНОМИЧЕСКОЙ ЭФФЕКТИВНОСТИ ПРОЕКТА</w:t>
      </w:r>
    </w:p>
    <w:p w14:paraId="46000000">
      <w:pPr>
        <w:spacing w:after="0"/>
        <w:ind w:firstLine="0" w:left="709"/>
        <w:jc w:val="both"/>
        <w:rPr>
          <w:sz w:val="24"/>
        </w:rPr>
      </w:pPr>
      <w:r>
        <w:rPr>
          <w:sz w:val="24"/>
        </w:rPr>
        <w:t>3.1. Выбор и обоснование методики расчёта экономической эффективности</w:t>
      </w:r>
    </w:p>
    <w:p w14:paraId="47000000">
      <w:pPr>
        <w:spacing w:after="0"/>
        <w:ind w:firstLine="0" w:left="709"/>
        <w:jc w:val="both"/>
        <w:rPr>
          <w:sz w:val="24"/>
        </w:rPr>
      </w:pPr>
      <w:r>
        <w:rPr>
          <w:sz w:val="24"/>
        </w:rPr>
        <w:t>3.2. Расчёт показателей экономической эффективности проекта</w:t>
      </w:r>
    </w:p>
    <w:p w14:paraId="48000000">
      <w:pPr>
        <w:spacing w:after="0"/>
        <w:ind w:firstLine="709" w:left="0"/>
        <w:jc w:val="both"/>
        <w:rPr>
          <w:b w:val="1"/>
          <w:sz w:val="24"/>
        </w:rPr>
      </w:pPr>
      <w:bookmarkStart w:id="2" w:name="_Hlk86853793"/>
      <w:r>
        <w:rPr>
          <w:b w:val="1"/>
          <w:sz w:val="24"/>
        </w:rPr>
        <w:t>ЗАКЛЮЧЕНИЕ</w:t>
      </w:r>
    </w:p>
    <w:p w14:paraId="49000000">
      <w:pPr>
        <w:spacing w:after="0"/>
        <w:ind w:firstLine="709" w:left="0"/>
        <w:jc w:val="both"/>
        <w:rPr>
          <w:b w:val="1"/>
          <w:sz w:val="24"/>
        </w:rPr>
      </w:pPr>
      <w:r>
        <w:rPr>
          <w:b w:val="1"/>
          <w:sz w:val="24"/>
        </w:rPr>
        <w:t>СПИСОК ИСПОЛЬЗОВАННОЙ ЛИТЕРАТУРЫ</w:t>
      </w:r>
    </w:p>
    <w:p w14:paraId="4A000000">
      <w:pPr>
        <w:spacing w:after="0"/>
        <w:ind w:firstLine="709" w:left="0"/>
        <w:jc w:val="both"/>
        <w:rPr>
          <w:b w:val="1"/>
          <w:sz w:val="24"/>
        </w:rPr>
      </w:pPr>
      <w:r>
        <w:rPr>
          <w:b w:val="1"/>
          <w:sz w:val="24"/>
        </w:rPr>
        <w:t>ПРИЛОЖЕНИЯ</w:t>
      </w:r>
    </w:p>
    <w:p w14:paraId="4B000000">
      <w:bookmarkStart w:id="3" w:name="__RefHeading___2"/>
      <w:bookmarkEnd w:id="3"/>
      <w:pPr>
        <w:widowControl w:val="0"/>
        <w:numPr>
          <w:ilvl w:val="0"/>
          <w:numId w:val="3"/>
        </w:numPr>
        <w:tabs>
          <w:tab w:leader="none" w:pos="1560" w:val="left"/>
        </w:tabs>
        <w:spacing w:after="0" w:line="264" w:lineRule="auto"/>
        <w:ind w:firstLine="567" w:left="0"/>
        <w:contextualSpacing w:val="1"/>
        <w:outlineLvl w:val="0"/>
        <w:rPr>
          <w:b w:val="1"/>
          <w:sz w:val="24"/>
        </w:rPr>
      </w:pPr>
      <w:bookmarkEnd w:id="2"/>
      <w:r>
        <w:rPr>
          <w:b w:val="1"/>
          <w:sz w:val="24"/>
        </w:rPr>
        <w:t>Основные вопросы, подлежащие разработке.</w:t>
      </w:r>
    </w:p>
    <w:p w14:paraId="4C000000">
      <w:pPr>
        <w:widowControl w:val="0"/>
        <w:tabs>
          <w:tab w:leader="none" w:pos="851" w:val="left"/>
          <w:tab w:leader="none" w:pos="993" w:val="left"/>
        </w:tabs>
        <w:spacing w:after="0"/>
        <w:ind w:firstLine="567" w:left="0"/>
        <w:jc w:val="both"/>
        <w:rPr>
          <w:sz w:val="24"/>
        </w:rPr>
      </w:pPr>
      <w:r>
        <w:rPr>
          <w:b w:val="1"/>
          <w:i w:val="1"/>
          <w:sz w:val="24"/>
        </w:rPr>
        <w:t>Во введении</w:t>
      </w:r>
      <w:r>
        <w:rPr>
          <w:sz w:val="24"/>
        </w:rPr>
        <w:t xml:space="preserve"> необходимо сформулировать и определить:  </w:t>
      </w:r>
    </w:p>
    <w:p w14:paraId="4D000000">
      <w:pPr>
        <w:widowControl w:val="0"/>
        <w:numPr>
          <w:ilvl w:val="0"/>
          <w:numId w:val="4"/>
        </w:numPr>
        <w:tabs>
          <w:tab w:leader="none" w:pos="851" w:val="left"/>
          <w:tab w:leader="none" w:pos="993" w:val="left"/>
          <w:tab w:leader="none" w:pos="1134" w:val="left"/>
        </w:tabs>
        <w:spacing w:after="0" w:line="264" w:lineRule="auto"/>
        <w:ind w:firstLine="567" w:left="0"/>
        <w:jc w:val="both"/>
        <w:rPr>
          <w:sz w:val="24"/>
        </w:rPr>
      </w:pPr>
      <w:r>
        <w:rPr>
          <w:sz w:val="24"/>
        </w:rPr>
        <w:t>актуальность темы;</w:t>
      </w:r>
    </w:p>
    <w:p w14:paraId="4E000000">
      <w:pPr>
        <w:widowControl w:val="0"/>
        <w:numPr>
          <w:ilvl w:val="0"/>
          <w:numId w:val="4"/>
        </w:numPr>
        <w:tabs>
          <w:tab w:leader="none" w:pos="851" w:val="left"/>
          <w:tab w:leader="none" w:pos="993" w:val="left"/>
          <w:tab w:leader="none" w:pos="1134" w:val="left"/>
        </w:tabs>
        <w:spacing w:after="0" w:line="264" w:lineRule="auto"/>
        <w:ind w:firstLine="567" w:left="0"/>
        <w:jc w:val="both"/>
        <w:rPr>
          <w:sz w:val="24"/>
        </w:rPr>
      </w:pPr>
      <w:r>
        <w:rPr>
          <w:sz w:val="24"/>
        </w:rPr>
        <w:t>цель и задачи исследования;</w:t>
      </w:r>
    </w:p>
    <w:p w14:paraId="4F000000">
      <w:pPr>
        <w:widowControl w:val="0"/>
        <w:numPr>
          <w:ilvl w:val="0"/>
          <w:numId w:val="4"/>
        </w:numPr>
        <w:tabs>
          <w:tab w:leader="none" w:pos="851" w:val="left"/>
          <w:tab w:leader="none" w:pos="993" w:val="left"/>
          <w:tab w:leader="none" w:pos="1134" w:val="left"/>
        </w:tabs>
        <w:spacing w:after="0" w:line="264" w:lineRule="auto"/>
        <w:ind w:firstLine="567" w:left="0"/>
        <w:jc w:val="both"/>
        <w:rPr>
          <w:sz w:val="24"/>
        </w:rPr>
      </w:pPr>
      <w:r>
        <w:rPr>
          <w:sz w:val="24"/>
        </w:rPr>
        <w:t xml:space="preserve">предмет и объект исследования (указывается конкретная организация и исследуемый проект); </w:t>
      </w:r>
    </w:p>
    <w:p w14:paraId="50000000">
      <w:pPr>
        <w:widowControl w:val="0"/>
        <w:numPr>
          <w:ilvl w:val="0"/>
          <w:numId w:val="4"/>
        </w:numPr>
        <w:tabs>
          <w:tab w:leader="none" w:pos="851" w:val="left"/>
          <w:tab w:leader="none" w:pos="993" w:val="left"/>
          <w:tab w:leader="none" w:pos="1134" w:val="left"/>
        </w:tabs>
        <w:spacing w:after="0" w:line="264" w:lineRule="auto"/>
        <w:ind w:firstLine="567" w:left="0"/>
        <w:jc w:val="both"/>
        <w:rPr>
          <w:sz w:val="24"/>
        </w:rPr>
      </w:pPr>
      <w:r>
        <w:rPr>
          <w:sz w:val="24"/>
        </w:rPr>
        <w:t>информационная база исследования (источники информации: от нормативных до интернет-ресурсов);</w:t>
      </w:r>
    </w:p>
    <w:p w14:paraId="51000000">
      <w:pPr>
        <w:widowControl w:val="0"/>
        <w:numPr>
          <w:ilvl w:val="0"/>
          <w:numId w:val="4"/>
        </w:numPr>
        <w:tabs>
          <w:tab w:leader="none" w:pos="851" w:val="left"/>
          <w:tab w:leader="none" w:pos="993" w:val="left"/>
          <w:tab w:leader="none" w:pos="1134" w:val="left"/>
        </w:tabs>
        <w:spacing w:after="0" w:line="264" w:lineRule="auto"/>
        <w:ind w:firstLine="567" w:left="0"/>
        <w:jc w:val="both"/>
        <w:rPr>
          <w:sz w:val="24"/>
        </w:rPr>
      </w:pPr>
      <w:r>
        <w:rPr>
          <w:sz w:val="24"/>
        </w:rPr>
        <w:t>методы исследования (общенаучные и методы проектного менеджмента);</w:t>
      </w:r>
    </w:p>
    <w:p w14:paraId="52000000">
      <w:pPr>
        <w:widowControl w:val="0"/>
        <w:numPr>
          <w:ilvl w:val="0"/>
          <w:numId w:val="4"/>
        </w:numPr>
        <w:tabs>
          <w:tab w:leader="none" w:pos="851" w:val="left"/>
          <w:tab w:leader="none" w:pos="993" w:val="left"/>
          <w:tab w:leader="none" w:pos="1134" w:val="left"/>
        </w:tabs>
        <w:spacing w:after="0" w:line="264" w:lineRule="auto"/>
        <w:ind w:firstLine="567" w:left="0"/>
        <w:jc w:val="both"/>
        <w:rPr>
          <w:sz w:val="24"/>
        </w:rPr>
      </w:pPr>
      <w:r>
        <w:rPr>
          <w:sz w:val="24"/>
        </w:rPr>
        <w:t>практическое использование рекомендаций автора в деятельности исследуемой организации.</w:t>
      </w:r>
    </w:p>
    <w:p w14:paraId="53000000">
      <w:pPr>
        <w:widowControl w:val="0"/>
        <w:tabs>
          <w:tab w:leader="none" w:pos="0" w:val="left"/>
        </w:tabs>
        <w:spacing w:after="0"/>
        <w:ind w:firstLine="567" w:left="0"/>
        <w:jc w:val="both"/>
        <w:rPr>
          <w:sz w:val="24"/>
        </w:rPr>
      </w:pPr>
      <w:r>
        <w:rPr>
          <w:sz w:val="24"/>
        </w:rPr>
        <w:t xml:space="preserve">Для написания главы 1 рекомендуется изучить основную и дополнительную литературу по выбранной теме. </w:t>
      </w:r>
    </w:p>
    <w:p w14:paraId="54000000">
      <w:pPr>
        <w:widowControl w:val="0"/>
        <w:tabs>
          <w:tab w:leader="none" w:pos="0" w:val="left"/>
        </w:tabs>
        <w:spacing w:after="0"/>
        <w:ind w:firstLine="567" w:left="0"/>
        <w:jc w:val="both"/>
        <w:rPr>
          <w:sz w:val="24"/>
        </w:rPr>
      </w:pPr>
      <w:r>
        <w:rPr>
          <w:b w:val="1"/>
          <w:sz w:val="24"/>
        </w:rPr>
        <w:t>В</w:t>
      </w:r>
      <w:r>
        <w:rPr>
          <w:sz w:val="24"/>
        </w:rPr>
        <w:t xml:space="preserve"> </w:t>
      </w:r>
      <w:r>
        <w:rPr>
          <w:b w:val="1"/>
          <w:sz w:val="24"/>
        </w:rPr>
        <w:t>Главе 1</w:t>
      </w:r>
      <w:r>
        <w:rPr>
          <w:sz w:val="24"/>
        </w:rPr>
        <w:t xml:space="preserve"> необходимо представить обоснование актуальности выбора автоматизируемой задачи, проектных решений по информационному, программному и аппаратному обеспечению, дать ее развернутое описание, отразить взаимосвязь с другими задачами, изложить используемую стратегию автоматизации и способ приобретения информационной системы.</w:t>
      </w:r>
    </w:p>
    <w:p w14:paraId="55000000">
      <w:pPr>
        <w:widowControl w:val="0"/>
        <w:tabs>
          <w:tab w:leader="none" w:pos="0" w:val="left"/>
        </w:tabs>
        <w:spacing w:after="0"/>
        <w:ind w:firstLine="567" w:left="0"/>
        <w:jc w:val="both"/>
        <w:rPr>
          <w:sz w:val="24"/>
        </w:rPr>
      </w:pPr>
      <w:r>
        <w:rPr>
          <w:sz w:val="24"/>
        </w:rPr>
        <w:t xml:space="preserve">В разделе 1.1. необходимо привести краткое описание компании и таблицу показателей ее деятельности, рисунок организационной структуры и его описание, рисунки программной и технической архитектуры, а также их описание. </w:t>
      </w:r>
    </w:p>
    <w:p w14:paraId="56000000">
      <w:pPr>
        <w:widowControl w:val="0"/>
        <w:tabs>
          <w:tab w:leader="none" w:pos="0" w:val="left"/>
        </w:tabs>
        <w:spacing w:after="0"/>
        <w:ind w:firstLine="567" w:left="0"/>
        <w:jc w:val="both"/>
        <w:rPr>
          <w:sz w:val="24"/>
        </w:rPr>
      </w:pPr>
      <w:r>
        <w:rPr>
          <w:sz w:val="24"/>
        </w:rPr>
        <w:t>В разделе 1.2 следует обосновать актуальность выбора автоматизируемой задачи, для этого необходимо провести анализ организационной, программной и технической архитектуры с целью определения перечня задач, которые необходимо автоматизировать и выбора наиболее приоритетной из них. С целью определения информационных потоков выбранной задачи необходимо привести соответствующие IDEF диаграммы. Далее необходимо привести рисунок, отражающий документооборот автоматизируемой задачи, таблицу прагматических характеристик соответствующих документов (периодичность, время на обработку и так далее) и определить комплекс программно-аппаратных средств, обеспечивающих информационную безопасность и защиту информации в рамках решаемой задачи.</w:t>
      </w:r>
    </w:p>
    <w:p w14:paraId="57000000">
      <w:pPr>
        <w:widowControl w:val="0"/>
        <w:tabs>
          <w:tab w:leader="none" w:pos="0" w:val="left"/>
        </w:tabs>
        <w:spacing w:after="0"/>
        <w:ind w:firstLine="567" w:left="0"/>
        <w:jc w:val="both"/>
        <w:rPr>
          <w:sz w:val="24"/>
        </w:rPr>
      </w:pPr>
      <w:r>
        <w:rPr>
          <w:sz w:val="24"/>
        </w:rPr>
        <w:t xml:space="preserve">В разделе 1.3 необходимо провести анализ готовых программных решений автоматизируемой задачи (в виде сравнительной таблицы наиболее интересных решений), </w:t>
      </w:r>
      <w:r>
        <w:rPr>
          <w:sz w:val="24"/>
        </w:rPr>
        <w:drawing>
          <wp:inline>
            <wp:extent cx="6120130" cy="5002530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6120130" cy="500253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24"/>
        </w:rPr>
        <w:t>рисунок дерева вызова программных модулей, а также таблицу с перечнем и назначением модулей;</w:t>
      </w:r>
    </w:p>
    <w:p w14:paraId="58000000">
      <w:pPr>
        <w:widowControl w:val="0"/>
        <w:numPr>
          <w:ilvl w:val="0"/>
          <w:numId w:val="5"/>
        </w:numPr>
        <w:tabs>
          <w:tab w:leader="none" w:pos="0" w:val="left"/>
        </w:tabs>
        <w:spacing w:after="0" w:line="264" w:lineRule="auto"/>
        <w:ind/>
        <w:contextualSpacing w:val="1"/>
        <w:jc w:val="both"/>
        <w:rPr>
          <w:sz w:val="24"/>
        </w:rPr>
      </w:pPr>
      <w:r>
        <w:rPr>
          <w:sz w:val="24"/>
        </w:rPr>
        <w:t>блок-схема основного/расчетного модуля, описание блок-схем алгоритмов основных расчетных модулей.</w:t>
      </w:r>
    </w:p>
    <w:p w14:paraId="59000000">
      <w:pPr>
        <w:widowControl w:val="0"/>
        <w:tabs>
          <w:tab w:leader="none" w:pos="0" w:val="left"/>
        </w:tabs>
        <w:spacing w:after="0"/>
        <w:ind w:firstLine="567" w:left="0"/>
        <w:jc w:val="both"/>
        <w:rPr>
          <w:sz w:val="24"/>
        </w:rPr>
      </w:pPr>
      <w:r>
        <w:rPr>
          <w:sz w:val="24"/>
        </w:rPr>
        <w:t>В разделе 2.4 следует представить экранные формы, демонстрирующие работу системы (не менее 7) и их описание.</w:t>
      </w:r>
    </w:p>
    <w:p w14:paraId="5A000000">
      <w:pPr>
        <w:widowControl w:val="0"/>
        <w:tabs>
          <w:tab w:leader="none" w:pos="0" w:val="left"/>
        </w:tabs>
        <w:spacing w:after="0"/>
        <w:ind w:firstLine="567" w:left="0"/>
        <w:jc w:val="both"/>
        <w:rPr>
          <w:sz w:val="24"/>
        </w:rPr>
      </w:pPr>
      <w:r>
        <w:rPr>
          <w:b w:val="1"/>
          <w:sz w:val="24"/>
        </w:rPr>
        <w:t>В Главе 3</w:t>
      </w:r>
      <w:r>
        <w:rPr>
          <w:sz w:val="24"/>
        </w:rPr>
        <w:t xml:space="preserve"> необходимо привести методику расчета показателей экономической эффективности и расчеты, сделанные в соответствии с изложенной методикой. Расчетные данные следует представить в виде таблиц и диаграмм, отражающие сравнение базового и предлагаемого вариантов. </w:t>
      </w:r>
    </w:p>
    <w:p w14:paraId="5B000000">
      <w:bookmarkStart w:id="4" w:name="__RefHeading___3"/>
      <w:bookmarkEnd w:id="4"/>
      <w:pPr>
        <w:widowControl w:val="0"/>
        <w:numPr>
          <w:ilvl w:val="0"/>
          <w:numId w:val="3"/>
        </w:numPr>
        <w:tabs>
          <w:tab w:leader="none" w:pos="1560" w:val="left"/>
        </w:tabs>
        <w:spacing w:after="0" w:line="264" w:lineRule="auto"/>
        <w:ind w:firstLine="567" w:left="0"/>
        <w:contextualSpacing w:val="1"/>
        <w:outlineLvl w:val="0"/>
        <w:rPr>
          <w:b w:val="1"/>
          <w:sz w:val="24"/>
        </w:rPr>
      </w:pPr>
      <w:r>
        <w:rPr>
          <w:b w:val="1"/>
          <w:sz w:val="24"/>
        </w:rPr>
        <w:t>Заключение.</w:t>
      </w:r>
    </w:p>
    <w:p w14:paraId="5C000000">
      <w:pPr>
        <w:widowControl w:val="0"/>
        <w:tabs>
          <w:tab w:leader="none" w:pos="851" w:val="left"/>
          <w:tab w:leader="none" w:pos="993" w:val="left"/>
        </w:tabs>
        <w:spacing w:after="0"/>
        <w:ind w:firstLine="567" w:left="0"/>
        <w:jc w:val="both"/>
        <w:rPr>
          <w:sz w:val="24"/>
        </w:rPr>
      </w:pPr>
      <w:r>
        <w:rPr>
          <w:sz w:val="24"/>
        </w:rPr>
        <w:t>В «Заключении» необходимо подвести итоги выпускной квалификационной работы. Раскрыть содержание основных выводов, сделанных в процессе проведенного исследования, представить краткую характеристику результатов, полученных в ходе решения поставленных во «Введении» задач и, тем самым, ответить на основной вопрос работы: о степени достижимости поставленной в выпускной квалификационной работе цели.</w:t>
      </w:r>
    </w:p>
    <w:p w14:paraId="5D000000">
      <w:bookmarkStart w:id="5" w:name="__RefHeading___4"/>
      <w:bookmarkEnd w:id="5"/>
      <w:pPr>
        <w:widowControl w:val="0"/>
        <w:numPr>
          <w:ilvl w:val="0"/>
          <w:numId w:val="3"/>
        </w:numPr>
        <w:tabs>
          <w:tab w:leader="none" w:pos="1560" w:val="left"/>
        </w:tabs>
        <w:spacing w:after="0" w:line="264" w:lineRule="auto"/>
        <w:ind w:firstLine="567" w:left="0"/>
        <w:contextualSpacing w:val="1"/>
        <w:jc w:val="both"/>
        <w:outlineLvl w:val="0"/>
        <w:rPr>
          <w:b w:val="1"/>
          <w:sz w:val="24"/>
        </w:rPr>
      </w:pPr>
      <w:r>
        <w:rPr>
          <w:b w:val="1"/>
          <w:sz w:val="24"/>
        </w:rPr>
        <w:t>Приложение.</w:t>
      </w:r>
    </w:p>
    <w:p w14:paraId="5E000000">
      <w:pPr>
        <w:widowControl w:val="0"/>
        <w:spacing w:after="0"/>
        <w:ind w:firstLine="567" w:left="0"/>
        <w:jc w:val="both"/>
        <w:rPr>
          <w:sz w:val="24"/>
        </w:rPr>
      </w:pPr>
      <w:r>
        <w:rPr>
          <w:sz w:val="24"/>
        </w:rPr>
        <w:t>В «Приложении» обязательно должен быть представлен фрагмент листинга программного кода (распечатка на исходном языке программирования отлаженных основных расчетных модулей - около 400 операторов языка высокого уровня или адаптированных программных средств, использованных в работе), также могут быть вынесены другие объемные графические материалы (схемы или таблицы из основной части выпускной квалификационной работы).</w:t>
      </w:r>
    </w:p>
    <w:p w14:paraId="5F000000">
      <w:bookmarkStart w:id="6" w:name="__RefHeading___5"/>
      <w:bookmarkEnd w:id="6"/>
      <w:pPr>
        <w:widowControl w:val="0"/>
        <w:numPr>
          <w:ilvl w:val="0"/>
          <w:numId w:val="3"/>
        </w:numPr>
        <w:tabs>
          <w:tab w:leader="none" w:pos="1560" w:val="left"/>
        </w:tabs>
        <w:spacing w:after="0" w:line="264" w:lineRule="auto"/>
        <w:ind w:firstLine="567" w:left="0"/>
        <w:contextualSpacing w:val="1"/>
        <w:jc w:val="both"/>
        <w:outlineLvl w:val="0"/>
        <w:rPr>
          <w:b w:val="1"/>
          <w:sz w:val="24"/>
        </w:rPr>
      </w:pPr>
      <w:r>
        <w:rPr>
          <w:b w:val="1"/>
          <w:sz w:val="24"/>
        </w:rPr>
        <w:t>Исходные данные по ВКР:</w:t>
      </w:r>
    </w:p>
    <w:p w14:paraId="60000000">
      <w:bookmarkStart w:id="7" w:name="__RefHeading___6"/>
      <w:bookmarkEnd w:id="7"/>
      <w:pPr>
        <w:widowControl w:val="0"/>
        <w:tabs>
          <w:tab w:leader="none" w:pos="851" w:val="left"/>
          <w:tab w:leader="none" w:pos="993" w:val="left"/>
        </w:tabs>
        <w:spacing w:after="0"/>
        <w:ind w:firstLine="567" w:left="0"/>
        <w:jc w:val="both"/>
        <w:outlineLvl w:val="0"/>
        <w:rPr>
          <w:b w:val="1"/>
          <w:i w:val="1"/>
          <w:sz w:val="24"/>
        </w:rPr>
      </w:pPr>
      <w:r>
        <w:rPr>
          <w:b w:val="1"/>
          <w:i w:val="1"/>
          <w:sz w:val="24"/>
        </w:rPr>
        <w:t>Основная литература:</w:t>
      </w:r>
    </w:p>
    <w:p w14:paraId="61000000">
      <w:pPr>
        <w:widowControl w:val="0"/>
        <w:numPr>
          <w:ilvl w:val="0"/>
          <w:numId w:val="6"/>
        </w:numPr>
        <w:tabs>
          <w:tab w:leader="none" w:pos="993" w:val="left"/>
        </w:tabs>
        <w:spacing w:after="0" w:line="264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Казарин, О. В.  Надежность и безопасность программного обеспечения : учебное пособие для вузов / О. В. Казарин, И. Б. Шубинский. – Москва : Издательство Юрайт, 2021. – 342 с. – (Высшее образование). – ISBN 978-5-534-05142-1. – Текст : электронный // Образовательная платформа Юрайт [сайт]. – URL: https://urait.ru/bcode/473348 </w:t>
      </w:r>
    </w:p>
    <w:p w14:paraId="62000000">
      <w:pPr>
        <w:widowControl w:val="0"/>
        <w:numPr>
          <w:ilvl w:val="0"/>
          <w:numId w:val="6"/>
        </w:numPr>
        <w:tabs>
          <w:tab w:leader="none" w:pos="993" w:val="left"/>
        </w:tabs>
        <w:spacing w:after="0" w:line="264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Информационные системы управления производственной компанией : учебник и практикум для вузов / под редакцией Н. Н. Лычкиной. – Москва : Издательство Юрайт, 2021. – 249 с. – (Высшее образование). – ISBN 978-5-534-00764-0. – Текст : электронный // Образовательная платформа Юрайт [сайт]. – URL: https://urait.ru/bcode/468813 </w:t>
      </w:r>
    </w:p>
    <w:p w14:paraId="63000000">
      <w:pPr>
        <w:widowControl w:val="0"/>
        <w:numPr>
          <w:ilvl w:val="0"/>
          <w:numId w:val="6"/>
        </w:numPr>
        <w:tabs>
          <w:tab w:leader="none" w:pos="993" w:val="left"/>
        </w:tabs>
        <w:spacing w:after="0" w:line="264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Организационное и правовое обеспечение информационной безопасности : учебник и практикум для вузов / под редакцией А. А. Стрельцова. – Москва : Издательство Юрайт, 2021. – 325 с. – (Высшее образование). – ISBN 978-5-534-03600-8. – Текст : электронный // Образовательная платформа Юрайт [сайт]. – URL: https://urait.ru/bcode/469235 </w:t>
      </w:r>
    </w:p>
    <w:p w14:paraId="64000000">
      <w:pPr>
        <w:widowControl w:val="0"/>
        <w:numPr>
          <w:ilvl w:val="0"/>
          <w:numId w:val="6"/>
        </w:numPr>
        <w:tabs>
          <w:tab w:leader="none" w:pos="993" w:val="left"/>
        </w:tabs>
        <w:spacing w:after="0" w:line="264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Ипатова, Э. Р. Методологии и технологии системного проектирования информационных систем : учебник / Э. Р. Ипатова, Ю. В. Ипатов. – 3-е изд., стер. – Москва : ФЛИНТА, 2021. – 256 с. : табл., схем. – (Информационные технологии). – Режим доступа: по подписке. – URL: https://biblioclub.ru/index.php?page=book&amp;id=79551  – Библиогр.: с. 95-96. – ISBN 978-5-89349-978-0. – Текст : электронный. </w:t>
      </w:r>
    </w:p>
    <w:p w14:paraId="65000000">
      <w:pPr>
        <w:widowControl w:val="0"/>
        <w:numPr>
          <w:ilvl w:val="0"/>
          <w:numId w:val="6"/>
        </w:numPr>
        <w:tabs>
          <w:tab w:leader="none" w:pos="993" w:val="left"/>
        </w:tabs>
        <w:spacing w:after="0" w:line="264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Чернышов, В. Н. Моделирование информационных процессов и исследование в ИТ : учебное пособие / В. Н. Чернышов, Д. В. Образцов, А. В. Платёнкин. – Тамбов : Тамбовский государственный технический университет (ТГТУ), 2017. – 98 с. : ил. – Режим доступа: по подписке. – URL: https://biblioclub.ru/index.php?page=book&amp;id=499294  – Библиогр.: с. 92-94. – ISBN 978-5-8265-1789-5. – Текст : электронный. </w:t>
      </w:r>
    </w:p>
    <w:p w14:paraId="66000000">
      <w:pPr>
        <w:widowControl w:val="0"/>
        <w:numPr>
          <w:ilvl w:val="0"/>
          <w:numId w:val="6"/>
        </w:numPr>
        <w:tabs>
          <w:tab w:leader="none" w:pos="993" w:val="left"/>
        </w:tabs>
        <w:spacing w:after="0" w:line="264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Милехина, О. В. Информационные системы: теоретические предпосылки к построению : учебное пособие / О. В. Милехина, Е. Я. Захарова, В. А. Титова ; Новосибирский государственный технический университет. – 2-е изд. – Новосибирск : Новосибирский государственный технический университет, 2014. – 283 с. : схем., табл. – Режим доступа: по подписке. – URL: https://biblioclub.ru/index.php?page=book&amp;id=258420  – Библиогр.: с. 192-194. – ISBN 978-5-7782- 2405-6. – Текст : электронный. </w:t>
      </w:r>
    </w:p>
    <w:p w14:paraId="67000000">
      <w:pPr>
        <w:widowControl w:val="0"/>
        <w:numPr>
          <w:ilvl w:val="0"/>
          <w:numId w:val="6"/>
        </w:numPr>
        <w:tabs>
          <w:tab w:leader="none" w:pos="993" w:val="left"/>
        </w:tabs>
        <w:spacing w:after="0" w:line="264" w:lineRule="auto"/>
        <w:ind w:firstLine="709" w:left="0"/>
        <w:jc w:val="both"/>
        <w:rPr>
          <w:sz w:val="24"/>
        </w:rPr>
      </w:pPr>
      <w:r>
        <w:rPr>
          <w:sz w:val="24"/>
        </w:rPr>
        <w:t>Экономическая информатика: введение в экономический анализ информационных систем : учебник / М. И. Лугачев, Е. И. Анно, М. Р. Когаловский [и др.] ; Московский государственный университет им. М. В. Ломоносова, Экономический факультет. – Москва : ИНФРА-М, 2005. – 956 с. : ил., табл. – Режим доступа: по подписке. – URL: https://biblioclub.ru/index.php?page=book&amp;id=276605  – Библиогр. в кн. – ISBN 5-16-002009-8. – Текст : электронный.</w:t>
      </w:r>
    </w:p>
    <w:p w14:paraId="68000000">
      <w:pPr>
        <w:widowControl w:val="0"/>
        <w:numPr>
          <w:ilvl w:val="0"/>
          <w:numId w:val="6"/>
        </w:numPr>
        <w:tabs>
          <w:tab w:leader="none" w:pos="993" w:val="left"/>
        </w:tabs>
        <w:spacing w:after="0" w:line="264" w:lineRule="auto"/>
        <w:ind w:firstLine="709" w:left="0"/>
        <w:jc w:val="both"/>
        <w:rPr>
          <w:sz w:val="24"/>
        </w:rPr>
      </w:pPr>
      <w:r>
        <w:rPr>
          <w:sz w:val="24"/>
        </w:rPr>
        <w:t>Нетёсова, О. Ю.  Информационные системы и технологии в экономике : учебное пособие для вузов / О. Ю. Нетёсова. – 3-е изд., испр. и доп. – Москва : Издательство Юрайт, 2021. – 178 с. – (Высшее образование). – ISBN 978-5-534-08223-4. – Текст : электронный // Образовательная платформа Юрайт [сайт]. – URL: https://urait.ru/bcode/471403</w:t>
      </w:r>
    </w:p>
    <w:p w14:paraId="69000000">
      <w:bookmarkStart w:id="8" w:name="__RefHeading___7"/>
      <w:bookmarkEnd w:id="8"/>
      <w:pPr>
        <w:widowControl w:val="0"/>
        <w:spacing w:after="0"/>
        <w:ind w:firstLine="709" w:left="0"/>
        <w:jc w:val="both"/>
        <w:outlineLvl w:val="1"/>
        <w:rPr>
          <w:b w:val="1"/>
          <w:i w:val="1"/>
          <w:sz w:val="24"/>
        </w:rPr>
      </w:pPr>
      <w:r>
        <w:rPr>
          <w:b w:val="1"/>
          <w:i w:val="1"/>
          <w:sz w:val="24"/>
        </w:rPr>
        <w:t>Дополнительная литература:</w:t>
      </w:r>
    </w:p>
    <w:p w14:paraId="6A000000">
      <w:pPr>
        <w:numPr>
          <w:ilvl w:val="0"/>
          <w:numId w:val="7"/>
        </w:numPr>
        <w:tabs>
          <w:tab w:leader="none" w:pos="1134" w:val="left"/>
        </w:tabs>
        <w:spacing w:after="0" w:line="264" w:lineRule="auto"/>
        <w:ind w:firstLine="709" w:left="0"/>
        <w:contextualSpacing w:val="1"/>
        <w:jc w:val="both"/>
        <w:rPr>
          <w:b w:val="1"/>
          <w:sz w:val="24"/>
        </w:rPr>
      </w:pPr>
      <w:r>
        <w:rPr>
          <w:sz w:val="24"/>
        </w:rPr>
        <w:t xml:space="preserve">Горелов, С. В. Основы научных исследований : учебное пособие / С. В. Горелов, В. П. Горелов, Е. А. Григорьев ; под ред. В. П. Горелова. – 2-е изд., стер. – Москва ; Берлин : Директ-Медиа, 2016. – 534 с. : ил., табл. – Режим доступа: по подписке. – URL: </w:t>
      </w:r>
      <w:r>
        <w:rPr>
          <w:color w:val="0000FF"/>
          <w:sz w:val="24"/>
          <w:u w:val="single"/>
        </w:rPr>
        <w:fldChar w:fldCharType="begin"/>
      </w:r>
      <w:r>
        <w:rPr>
          <w:color w:val="0000FF"/>
          <w:sz w:val="24"/>
          <w:u w:val="single"/>
        </w:rPr>
        <w:instrText>HYPERLINK "https://biblioclub.ru/index.php?page=book&amp;id=443846"</w:instrText>
      </w:r>
      <w:r>
        <w:rPr>
          <w:color w:val="0000FF"/>
          <w:sz w:val="24"/>
          <w:u w:val="single"/>
        </w:rPr>
        <w:fldChar w:fldCharType="separate"/>
      </w:r>
      <w:r>
        <w:rPr>
          <w:color w:val="0000FF"/>
          <w:sz w:val="24"/>
          <w:u w:val="single"/>
        </w:rPr>
        <w:t>https://biblioclub.ru/index.php?page=book&amp;id=443846</w:t>
      </w:r>
      <w:r>
        <w:rPr>
          <w:color w:val="0000FF"/>
          <w:sz w:val="24"/>
          <w:u w:val="single"/>
        </w:rPr>
        <w:fldChar w:fldCharType="end"/>
      </w:r>
      <w:r>
        <w:rPr>
          <w:sz w:val="24"/>
        </w:rPr>
        <w:t xml:space="preserve">  – Библиогр. в кн. – ISBN 978-5-4475-8350-7. – DOI 10.23681/443846. – Текст : электронный.</w:t>
      </w:r>
    </w:p>
    <w:p w14:paraId="6B000000">
      <w:pPr>
        <w:numPr>
          <w:ilvl w:val="0"/>
          <w:numId w:val="7"/>
        </w:numPr>
        <w:tabs>
          <w:tab w:leader="none" w:pos="1134" w:val="left"/>
        </w:tabs>
        <w:spacing w:after="0" w:line="264" w:lineRule="auto"/>
        <w:ind w:firstLine="709" w:left="0"/>
        <w:contextualSpacing w:val="1"/>
        <w:jc w:val="both"/>
        <w:rPr>
          <w:b w:val="1"/>
          <w:sz w:val="24"/>
        </w:rPr>
      </w:pPr>
      <w:r>
        <w:rPr>
          <w:sz w:val="24"/>
        </w:rPr>
        <w:t xml:space="preserve">Мендель, А. В. Модели принятия решений : учебное пособие / А. В. Мендель. – Москва : Юнити, 2015. – 463 с. : табл., граф., схемы – Режим доступа: по подписке. – URL: </w:t>
      </w:r>
      <w:r>
        <w:rPr>
          <w:color w:val="0000FF"/>
          <w:sz w:val="24"/>
          <w:u w:val="single"/>
        </w:rPr>
        <w:fldChar w:fldCharType="begin"/>
      </w:r>
      <w:r>
        <w:rPr>
          <w:color w:val="0000FF"/>
          <w:sz w:val="24"/>
          <w:u w:val="single"/>
        </w:rPr>
        <w:instrText>HYPERLINK "https://biblioclub.ru/index.php?page=book&amp;id=115173"</w:instrText>
      </w:r>
      <w:r>
        <w:rPr>
          <w:color w:val="0000FF"/>
          <w:sz w:val="24"/>
          <w:u w:val="single"/>
        </w:rPr>
        <w:fldChar w:fldCharType="separate"/>
      </w:r>
      <w:r>
        <w:rPr>
          <w:color w:val="0000FF"/>
          <w:sz w:val="24"/>
          <w:u w:val="single"/>
        </w:rPr>
        <w:t>https://biblioclub.ru/index.php?page=book&amp;id=115173</w:t>
      </w:r>
      <w:r>
        <w:rPr>
          <w:color w:val="0000FF"/>
          <w:sz w:val="24"/>
          <w:u w:val="single"/>
        </w:rPr>
        <w:fldChar w:fldCharType="end"/>
      </w:r>
      <w:r>
        <w:rPr>
          <w:sz w:val="24"/>
        </w:rPr>
        <w:t xml:space="preserve">  – Библиогр. в кн. – ISBN 978-5-238-01894-2. – Текст : электронный.</w:t>
      </w:r>
    </w:p>
    <w:p w14:paraId="6C000000">
      <w:pPr>
        <w:numPr>
          <w:ilvl w:val="0"/>
          <w:numId w:val="7"/>
        </w:numPr>
        <w:tabs>
          <w:tab w:leader="none" w:pos="1134" w:val="left"/>
        </w:tabs>
        <w:spacing w:after="0" w:line="264" w:lineRule="auto"/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Романова, Ю.</w:t>
      </w:r>
      <w:r>
        <w:rPr>
          <w:sz w:val="24"/>
        </w:rPr>
        <w:t> </w:t>
      </w:r>
      <w:r>
        <w:rPr>
          <w:sz w:val="24"/>
        </w:rPr>
        <w:t>Д.</w:t>
      </w:r>
      <w:r>
        <w:rPr>
          <w:i w:val="1"/>
          <w:sz w:val="24"/>
        </w:rPr>
        <w:t> </w:t>
      </w:r>
      <w:r>
        <w:rPr>
          <w:sz w:val="24"/>
        </w:rPr>
        <w:t> </w:t>
      </w:r>
      <w:r>
        <w:rPr>
          <w:sz w:val="24"/>
        </w:rPr>
        <w:t>Информационные технологии в управлении персоналом</w:t>
      </w:r>
      <w:r>
        <w:rPr>
          <w:sz w:val="24"/>
        </w:rPr>
        <w:t> </w:t>
      </w:r>
      <w:r>
        <w:rPr>
          <w:sz w:val="24"/>
        </w:rPr>
        <w:t>: учебник и практикум для вузов</w:t>
      </w:r>
      <w:r>
        <w:rPr>
          <w:sz w:val="24"/>
        </w:rPr>
        <w:t> </w:t>
      </w:r>
      <w:r>
        <w:rPr>
          <w:sz w:val="24"/>
        </w:rPr>
        <w:t>/ Ю.</w:t>
      </w:r>
      <w:r>
        <w:rPr>
          <w:sz w:val="24"/>
        </w:rPr>
        <w:t> </w:t>
      </w:r>
      <w:r>
        <w:rPr>
          <w:sz w:val="24"/>
        </w:rPr>
        <w:t>Д.</w:t>
      </w:r>
      <w:r>
        <w:rPr>
          <w:sz w:val="24"/>
        </w:rPr>
        <w:t> </w:t>
      </w:r>
      <w:r>
        <w:rPr>
          <w:sz w:val="24"/>
        </w:rPr>
        <w:t>Романова, Т.</w:t>
      </w:r>
      <w:r>
        <w:rPr>
          <w:sz w:val="24"/>
        </w:rPr>
        <w:t> </w:t>
      </w:r>
      <w:r>
        <w:rPr>
          <w:sz w:val="24"/>
        </w:rPr>
        <w:t>А.</w:t>
      </w:r>
      <w:r>
        <w:rPr>
          <w:sz w:val="24"/>
        </w:rPr>
        <w:t> </w:t>
      </w:r>
      <w:r>
        <w:rPr>
          <w:sz w:val="24"/>
        </w:rPr>
        <w:t>Винтова, П.</w:t>
      </w:r>
      <w:r>
        <w:rPr>
          <w:sz w:val="24"/>
        </w:rPr>
        <w:t> </w:t>
      </w:r>
      <w:r>
        <w:rPr>
          <w:sz w:val="24"/>
        </w:rPr>
        <w:t>Е.</w:t>
      </w:r>
      <w:r>
        <w:rPr>
          <w:sz w:val="24"/>
        </w:rPr>
        <w:t> </w:t>
      </w:r>
      <w:r>
        <w:rPr>
          <w:sz w:val="24"/>
        </w:rPr>
        <w:t>Коваль.</w:t>
      </w:r>
      <w:r>
        <w:rPr>
          <w:sz w:val="24"/>
        </w:rPr>
        <w:t> </w:t>
      </w:r>
      <w:r>
        <w:rPr>
          <w:sz w:val="24"/>
        </w:rPr>
        <w:t>– 3-е изд., перераб. и доп.</w:t>
      </w:r>
      <w:r>
        <w:rPr>
          <w:sz w:val="24"/>
        </w:rPr>
        <w:t> </w:t>
      </w:r>
      <w:r>
        <w:rPr>
          <w:sz w:val="24"/>
        </w:rPr>
        <w:t>– Москва</w:t>
      </w:r>
      <w:r>
        <w:rPr>
          <w:sz w:val="24"/>
        </w:rPr>
        <w:t> </w:t>
      </w:r>
      <w:r>
        <w:rPr>
          <w:sz w:val="24"/>
        </w:rPr>
        <w:t>: Издательство Юрайт, 2021.</w:t>
      </w:r>
      <w:r>
        <w:rPr>
          <w:sz w:val="24"/>
        </w:rPr>
        <w:t> </w:t>
      </w:r>
      <w:r>
        <w:rPr>
          <w:sz w:val="24"/>
        </w:rPr>
        <w:t>– 271</w:t>
      </w:r>
      <w:r>
        <w:rPr>
          <w:sz w:val="24"/>
        </w:rPr>
        <w:t> </w:t>
      </w:r>
      <w:r>
        <w:rPr>
          <w:sz w:val="24"/>
        </w:rPr>
        <w:t>с.</w:t>
      </w:r>
      <w:r>
        <w:rPr>
          <w:sz w:val="24"/>
        </w:rPr>
        <w:t> </w:t>
      </w:r>
      <w:r>
        <w:rPr>
          <w:sz w:val="24"/>
        </w:rPr>
        <w:t>– (Высшее образование).</w:t>
      </w:r>
      <w:r>
        <w:rPr>
          <w:sz w:val="24"/>
        </w:rPr>
        <w:t> </w:t>
      </w:r>
      <w:r>
        <w:rPr>
          <w:sz w:val="24"/>
        </w:rPr>
        <w:t xml:space="preserve">– </w:t>
      </w:r>
      <w:r>
        <w:rPr>
          <w:sz w:val="24"/>
        </w:rPr>
        <w:t>ISBN </w:t>
      </w:r>
      <w:r>
        <w:rPr>
          <w:sz w:val="24"/>
        </w:rPr>
        <w:t xml:space="preserve">978-5-534-09309-4. – Текст : электронный // Образовательная платформа Юрайт [сайт]. – </w:t>
      </w:r>
      <w:r>
        <w:rPr>
          <w:sz w:val="24"/>
        </w:rPr>
        <w:t>URL</w:t>
      </w:r>
      <w:r>
        <w:rPr>
          <w:sz w:val="24"/>
        </w:rPr>
        <w:t>:</w:t>
      </w:r>
      <w:r>
        <w:rPr>
          <w:sz w:val="24"/>
        </w:rPr>
        <w:t> </w:t>
      </w:r>
      <w:r>
        <w:rPr>
          <w:color w:val="0000FF"/>
          <w:sz w:val="24"/>
          <w:u w:val="single"/>
        </w:rPr>
        <w:fldChar w:fldCharType="begin"/>
      </w:r>
      <w:r>
        <w:rPr>
          <w:color w:val="0000FF"/>
          <w:sz w:val="24"/>
          <w:u w:val="single"/>
        </w:rPr>
        <w:instrText>HYPERLINK "https://urait.ru/bcode/468991"</w:instrText>
      </w:r>
      <w:r>
        <w:rPr>
          <w:color w:val="0000FF"/>
          <w:sz w:val="24"/>
          <w:u w:val="single"/>
        </w:rPr>
        <w:fldChar w:fldCharType="separate"/>
      </w:r>
      <w:r>
        <w:rPr>
          <w:color w:val="0000FF"/>
          <w:sz w:val="24"/>
          <w:u w:val="single"/>
        </w:rPr>
        <w:t>https</w:t>
      </w:r>
      <w:r>
        <w:rPr>
          <w:color w:val="0000FF"/>
          <w:sz w:val="24"/>
          <w:u w:val="single"/>
        </w:rPr>
        <w:t>://</w:t>
      </w:r>
      <w:r>
        <w:rPr>
          <w:color w:val="0000FF"/>
          <w:sz w:val="24"/>
          <w:u w:val="single"/>
        </w:rPr>
        <w:t>urait</w:t>
      </w:r>
      <w:r>
        <w:rPr>
          <w:color w:val="0000FF"/>
          <w:sz w:val="24"/>
          <w:u w:val="single"/>
        </w:rPr>
        <w:t>.</w:t>
      </w:r>
      <w:r>
        <w:rPr>
          <w:color w:val="0000FF"/>
          <w:sz w:val="24"/>
          <w:u w:val="single"/>
        </w:rPr>
        <w:t>ru</w:t>
      </w:r>
      <w:r>
        <w:rPr>
          <w:color w:val="0000FF"/>
          <w:sz w:val="24"/>
          <w:u w:val="single"/>
        </w:rPr>
        <w:t>/</w:t>
      </w:r>
      <w:r>
        <w:rPr>
          <w:color w:val="0000FF"/>
          <w:sz w:val="24"/>
          <w:u w:val="single"/>
        </w:rPr>
        <w:t>bcode</w:t>
      </w:r>
      <w:r>
        <w:rPr>
          <w:color w:val="0000FF"/>
          <w:sz w:val="24"/>
          <w:u w:val="single"/>
        </w:rPr>
        <w:t>/468991</w:t>
      </w:r>
      <w:r>
        <w:rPr>
          <w:color w:val="0000FF"/>
          <w:sz w:val="24"/>
          <w:u w:val="single"/>
        </w:rPr>
        <w:fldChar w:fldCharType="end"/>
      </w:r>
      <w:r>
        <w:rPr>
          <w:sz w:val="24"/>
        </w:rPr>
        <w:t> </w:t>
      </w:r>
    </w:p>
    <w:p w14:paraId="6D000000">
      <w:pPr>
        <w:numPr>
          <w:ilvl w:val="0"/>
          <w:numId w:val="7"/>
        </w:numPr>
        <w:tabs>
          <w:tab w:leader="none" w:pos="1134" w:val="left"/>
        </w:tabs>
        <w:spacing w:after="0" w:line="264" w:lineRule="auto"/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 xml:space="preserve">Басыня, Е. А. Системное администрирование и информационная безопасность : учебное пособие : [16+] / Е. А. Басыня. – Новосибирск : Новосибирский государственный технический университет, 2018. – 79 с. : ил. – Режим доступа: по подписке. – URL: </w:t>
      </w:r>
      <w:r>
        <w:rPr>
          <w:color w:val="0000FF"/>
          <w:sz w:val="24"/>
          <w:u w:val="single"/>
        </w:rPr>
        <w:fldChar w:fldCharType="begin"/>
      </w:r>
      <w:r>
        <w:rPr>
          <w:color w:val="0000FF"/>
          <w:sz w:val="24"/>
          <w:u w:val="single"/>
        </w:rPr>
        <w:instrText>HYPERLINK "https://biblioclub.ru/index.php?page=book&amp;id=575325"</w:instrText>
      </w:r>
      <w:r>
        <w:rPr>
          <w:color w:val="0000FF"/>
          <w:sz w:val="24"/>
          <w:u w:val="single"/>
        </w:rPr>
        <w:fldChar w:fldCharType="separate"/>
      </w:r>
      <w:r>
        <w:rPr>
          <w:color w:val="0000FF"/>
          <w:sz w:val="24"/>
          <w:u w:val="single"/>
        </w:rPr>
        <w:t>https://biblioclub.ru/index.php?page=book&amp;id=575325</w:t>
      </w:r>
      <w:r>
        <w:rPr>
          <w:color w:val="0000FF"/>
          <w:sz w:val="24"/>
          <w:u w:val="single"/>
        </w:rPr>
        <w:fldChar w:fldCharType="end"/>
      </w:r>
      <w:r>
        <w:rPr>
          <w:sz w:val="24"/>
        </w:rPr>
        <w:t xml:space="preserve"> – Библиогр. в кн. – ISBN 978-5-7782-3484-0. – Текст : электронный.</w:t>
      </w:r>
    </w:p>
    <w:p w14:paraId="6E000000">
      <w:pPr>
        <w:numPr>
          <w:ilvl w:val="0"/>
          <w:numId w:val="7"/>
        </w:numPr>
        <w:tabs>
          <w:tab w:leader="none" w:pos="1134" w:val="left"/>
        </w:tabs>
        <w:spacing w:after="0" w:line="264" w:lineRule="auto"/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 xml:space="preserve">Филиппов, Б. И. Информационная безопасность. Основы надежности средств связи : учебник : [16+] / Б. И. Филиппов, О. Г. Шерстнева. – Москва ; Берлин : Директ-Медиа, 2019. – 240 с. : ил., табл. – Режим доступа: по подписке. – URL: </w:t>
      </w:r>
      <w:r>
        <w:rPr>
          <w:color w:val="0000FF"/>
          <w:sz w:val="24"/>
          <w:u w:val="single"/>
        </w:rPr>
        <w:fldChar w:fldCharType="begin"/>
      </w:r>
      <w:r>
        <w:rPr>
          <w:color w:val="0000FF"/>
          <w:sz w:val="24"/>
          <w:u w:val="single"/>
        </w:rPr>
        <w:instrText>HYPERLINK "https://biblioclub.ru/index.php?page=book&amp;id=499170"</w:instrText>
      </w:r>
      <w:r>
        <w:rPr>
          <w:color w:val="0000FF"/>
          <w:sz w:val="24"/>
          <w:u w:val="single"/>
        </w:rPr>
        <w:fldChar w:fldCharType="separate"/>
      </w:r>
      <w:r>
        <w:rPr>
          <w:color w:val="0000FF"/>
          <w:sz w:val="24"/>
          <w:u w:val="single"/>
        </w:rPr>
        <w:t>https://biblioclub.ru/index.php?page=book&amp;id=499170</w:t>
      </w:r>
      <w:r>
        <w:rPr>
          <w:color w:val="0000FF"/>
          <w:sz w:val="24"/>
          <w:u w:val="single"/>
        </w:rPr>
        <w:fldChar w:fldCharType="end"/>
      </w:r>
      <w:r>
        <w:rPr>
          <w:sz w:val="24"/>
        </w:rPr>
        <w:t xml:space="preserve"> – Библиогр.: с. 221-226. – ISBN 978-5-4475-9823-5. – DOI 10.23681/499170. – Текст : электронный.</w:t>
      </w:r>
    </w:p>
    <w:p w14:paraId="6F000000">
      <w:pPr>
        <w:numPr>
          <w:ilvl w:val="0"/>
          <w:numId w:val="7"/>
        </w:numPr>
        <w:tabs>
          <w:tab w:leader="none" w:pos="1134" w:val="left"/>
        </w:tabs>
        <w:spacing w:after="0" w:line="264" w:lineRule="auto"/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Назаров, С. В. Современные операционные системы : учебное пособие / С.</w:t>
      </w:r>
      <w:r>
        <w:rPr>
          <w:sz w:val="24"/>
        </w:rPr>
        <w:t> </w:t>
      </w:r>
      <w:r>
        <w:rPr>
          <w:sz w:val="24"/>
        </w:rPr>
        <w:t>В.</w:t>
      </w:r>
      <w:r>
        <w:rPr>
          <w:sz w:val="24"/>
        </w:rPr>
        <w:t> </w:t>
      </w:r>
      <w:r>
        <w:rPr>
          <w:sz w:val="24"/>
        </w:rPr>
        <w:t>Назаров, А.</w:t>
      </w:r>
      <w:r>
        <w:rPr>
          <w:sz w:val="24"/>
        </w:rPr>
        <w:t> </w:t>
      </w:r>
      <w:r>
        <w:rPr>
          <w:sz w:val="24"/>
        </w:rPr>
        <w:t>И.</w:t>
      </w:r>
      <w:r>
        <w:rPr>
          <w:sz w:val="24"/>
        </w:rPr>
        <w:t> </w:t>
      </w:r>
      <w:r>
        <w:rPr>
          <w:sz w:val="24"/>
        </w:rPr>
        <w:t xml:space="preserve">Широков. – Москва : Интернет-Университет Информационных Технологий (ИНТУИТ) : Бином. Лаборатория знаний, 2011. – 280 с. : ил., табл., схем. – (Основы информационных технологий). – Режим доступа: по подписке. – </w:t>
      </w:r>
      <w:r>
        <w:rPr>
          <w:sz w:val="24"/>
        </w:rPr>
        <w:t>URL</w:t>
      </w:r>
      <w:r>
        <w:rPr>
          <w:sz w:val="24"/>
        </w:rPr>
        <w:t>:</w:t>
      </w:r>
      <w:r>
        <w:rPr>
          <w:sz w:val="24"/>
        </w:rPr>
        <w:t> </w:t>
      </w:r>
      <w:r>
        <w:rPr>
          <w:color w:val="0000FF"/>
          <w:sz w:val="24"/>
          <w:u w:val="single"/>
        </w:rPr>
        <w:fldChar w:fldCharType="begin"/>
      </w:r>
      <w:r>
        <w:rPr>
          <w:color w:val="0000FF"/>
          <w:sz w:val="24"/>
          <w:u w:val="single"/>
        </w:rPr>
        <w:instrText>HYPERLINK "https://biblioclub.ru/index.php?page=book&amp;id=233197"</w:instrText>
      </w:r>
      <w:r>
        <w:rPr>
          <w:color w:val="0000FF"/>
          <w:sz w:val="24"/>
          <w:u w:val="single"/>
        </w:rPr>
        <w:fldChar w:fldCharType="separate"/>
      </w:r>
      <w:r>
        <w:rPr>
          <w:color w:val="0000FF"/>
          <w:sz w:val="24"/>
          <w:u w:val="single"/>
        </w:rPr>
        <w:t>https</w:t>
      </w:r>
      <w:r>
        <w:rPr>
          <w:color w:val="0000FF"/>
          <w:sz w:val="24"/>
          <w:u w:val="single"/>
        </w:rPr>
        <w:t>://</w:t>
      </w:r>
      <w:r>
        <w:rPr>
          <w:color w:val="0000FF"/>
          <w:sz w:val="24"/>
          <w:u w:val="single"/>
        </w:rPr>
        <w:t>biblioclub</w:t>
      </w:r>
      <w:r>
        <w:rPr>
          <w:color w:val="0000FF"/>
          <w:sz w:val="24"/>
          <w:u w:val="single"/>
        </w:rPr>
        <w:t>.</w:t>
      </w:r>
      <w:r>
        <w:rPr>
          <w:color w:val="0000FF"/>
          <w:sz w:val="24"/>
          <w:u w:val="single"/>
        </w:rPr>
        <w:t>ru</w:t>
      </w:r>
      <w:r>
        <w:rPr>
          <w:color w:val="0000FF"/>
          <w:sz w:val="24"/>
          <w:u w:val="single"/>
        </w:rPr>
        <w:t>/</w:t>
      </w:r>
      <w:r>
        <w:rPr>
          <w:color w:val="0000FF"/>
          <w:sz w:val="24"/>
          <w:u w:val="single"/>
        </w:rPr>
        <w:t>index</w:t>
      </w:r>
      <w:r>
        <w:rPr>
          <w:color w:val="0000FF"/>
          <w:sz w:val="24"/>
          <w:u w:val="single"/>
        </w:rPr>
        <w:t>.</w:t>
      </w:r>
      <w:r>
        <w:rPr>
          <w:color w:val="0000FF"/>
          <w:sz w:val="24"/>
          <w:u w:val="single"/>
        </w:rPr>
        <w:t>php</w:t>
      </w:r>
      <w:r>
        <w:rPr>
          <w:color w:val="0000FF"/>
          <w:sz w:val="24"/>
          <w:u w:val="single"/>
        </w:rPr>
        <w:t>?</w:t>
      </w:r>
      <w:r>
        <w:rPr>
          <w:color w:val="0000FF"/>
          <w:sz w:val="24"/>
          <w:u w:val="single"/>
        </w:rPr>
        <w:t>page</w:t>
      </w:r>
      <w:r>
        <w:rPr>
          <w:color w:val="0000FF"/>
          <w:sz w:val="24"/>
          <w:u w:val="single"/>
        </w:rPr>
        <w:t>=</w:t>
      </w:r>
      <w:r>
        <w:rPr>
          <w:color w:val="0000FF"/>
          <w:sz w:val="24"/>
          <w:u w:val="single"/>
        </w:rPr>
        <w:t>book</w:t>
      </w:r>
      <w:r>
        <w:rPr>
          <w:color w:val="0000FF"/>
          <w:sz w:val="24"/>
          <w:u w:val="single"/>
        </w:rPr>
        <w:t>&amp;</w:t>
      </w:r>
      <w:r>
        <w:rPr>
          <w:color w:val="0000FF"/>
          <w:sz w:val="24"/>
          <w:u w:val="single"/>
        </w:rPr>
        <w:t>id</w:t>
      </w:r>
      <w:r>
        <w:rPr>
          <w:color w:val="0000FF"/>
          <w:sz w:val="24"/>
          <w:u w:val="single"/>
        </w:rPr>
        <w:t>=233197</w:t>
      </w:r>
      <w:r>
        <w:rPr>
          <w:color w:val="0000FF"/>
          <w:sz w:val="24"/>
          <w:u w:val="single"/>
        </w:rPr>
        <w:fldChar w:fldCharType="end"/>
      </w:r>
      <w:r>
        <w:rPr>
          <w:sz w:val="24"/>
        </w:rPr>
        <w:t> </w:t>
      </w:r>
      <w:r>
        <w:rPr>
          <w:sz w:val="24"/>
        </w:rPr>
        <w:t xml:space="preserve">– </w:t>
      </w:r>
      <w:r>
        <w:rPr>
          <w:sz w:val="24"/>
        </w:rPr>
        <w:t>ISBN</w:t>
      </w:r>
      <w:r>
        <w:rPr>
          <w:sz w:val="24"/>
        </w:rPr>
        <w:t xml:space="preserve"> 978-5-9963-0416-5. – Текст : электронный.</w:t>
      </w:r>
    </w:p>
    <w:p w14:paraId="70000000">
      <w:pPr>
        <w:numPr>
          <w:ilvl w:val="0"/>
          <w:numId w:val="7"/>
        </w:numPr>
        <w:tabs>
          <w:tab w:leader="none" w:pos="1134" w:val="left"/>
        </w:tabs>
        <w:spacing w:after="0" w:line="264" w:lineRule="auto"/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 xml:space="preserve">Власенко, А. Ю. Операционные системы : учебное пособие : [16+] / А. Ю. Власенко, С. Н. Карабцев, Т. С. Рейн. – Кемерово : Кемеровский государственный университет, 2019. – 161 с. : ил., табл. – Режим доступа: по подписке. – URL: </w:t>
      </w:r>
      <w:r>
        <w:rPr>
          <w:color w:val="0000FF"/>
          <w:sz w:val="24"/>
          <w:u w:val="single"/>
        </w:rPr>
        <w:fldChar w:fldCharType="begin"/>
      </w:r>
      <w:r>
        <w:rPr>
          <w:color w:val="0000FF"/>
          <w:sz w:val="24"/>
          <w:u w:val="single"/>
        </w:rPr>
        <w:instrText>HYPERLINK "https://biblioclub.ru/index.php?page=book&amp;id=574269"</w:instrText>
      </w:r>
      <w:r>
        <w:rPr>
          <w:color w:val="0000FF"/>
          <w:sz w:val="24"/>
          <w:u w:val="single"/>
        </w:rPr>
        <w:fldChar w:fldCharType="separate"/>
      </w:r>
      <w:r>
        <w:rPr>
          <w:color w:val="0000FF"/>
          <w:sz w:val="24"/>
          <w:u w:val="single"/>
        </w:rPr>
        <w:t>https://biblioclub.ru/index.php?page=book&amp;id=574269</w:t>
      </w:r>
      <w:r>
        <w:rPr>
          <w:color w:val="0000FF"/>
          <w:sz w:val="24"/>
          <w:u w:val="single"/>
        </w:rPr>
        <w:fldChar w:fldCharType="end"/>
      </w:r>
      <w:r>
        <w:rPr>
          <w:sz w:val="24"/>
        </w:rPr>
        <w:t xml:space="preserve"> – Библиогр. в кн. – ISBN 978-5-8353-2424-8. – Текст : электронный.</w:t>
      </w:r>
    </w:p>
    <w:p w14:paraId="71000000">
      <w:pPr>
        <w:numPr>
          <w:ilvl w:val="0"/>
          <w:numId w:val="7"/>
        </w:numPr>
        <w:tabs>
          <w:tab w:leader="none" w:pos="1134" w:val="left"/>
        </w:tabs>
        <w:spacing w:after="0" w:line="264" w:lineRule="auto"/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Внуков, А.</w:t>
      </w:r>
      <w:r>
        <w:rPr>
          <w:sz w:val="24"/>
        </w:rPr>
        <w:t> </w:t>
      </w:r>
      <w:r>
        <w:rPr>
          <w:sz w:val="24"/>
        </w:rPr>
        <w:t>А.</w:t>
      </w:r>
      <w:r>
        <w:rPr>
          <w:i w:val="1"/>
          <w:sz w:val="24"/>
        </w:rPr>
        <w:t> </w:t>
      </w:r>
      <w:r>
        <w:rPr>
          <w:sz w:val="24"/>
        </w:rPr>
        <w:t> </w:t>
      </w:r>
      <w:r>
        <w:rPr>
          <w:sz w:val="24"/>
        </w:rPr>
        <w:t>Защита информации в банковских системах</w:t>
      </w:r>
      <w:r>
        <w:rPr>
          <w:sz w:val="24"/>
        </w:rPr>
        <w:t> </w:t>
      </w:r>
      <w:r>
        <w:rPr>
          <w:sz w:val="24"/>
        </w:rPr>
        <w:t>: учебное пособие для вузов</w:t>
      </w:r>
      <w:r>
        <w:rPr>
          <w:sz w:val="24"/>
        </w:rPr>
        <w:t> </w:t>
      </w:r>
      <w:r>
        <w:rPr>
          <w:sz w:val="24"/>
        </w:rPr>
        <w:t>/ А.</w:t>
      </w:r>
      <w:r>
        <w:rPr>
          <w:sz w:val="24"/>
        </w:rPr>
        <w:t> </w:t>
      </w:r>
      <w:r>
        <w:rPr>
          <w:sz w:val="24"/>
        </w:rPr>
        <w:t>А.</w:t>
      </w:r>
      <w:r>
        <w:rPr>
          <w:sz w:val="24"/>
        </w:rPr>
        <w:t> </w:t>
      </w:r>
      <w:r>
        <w:rPr>
          <w:sz w:val="24"/>
        </w:rPr>
        <w:t>Внуков.</w:t>
      </w:r>
      <w:r>
        <w:rPr>
          <w:sz w:val="24"/>
        </w:rPr>
        <w:t> </w:t>
      </w:r>
      <w:r>
        <w:rPr>
          <w:sz w:val="24"/>
        </w:rPr>
        <w:t>– 2-е изд., испр. и доп.</w:t>
      </w:r>
      <w:r>
        <w:rPr>
          <w:sz w:val="24"/>
        </w:rPr>
        <w:t> </w:t>
      </w:r>
      <w:r>
        <w:rPr>
          <w:sz w:val="24"/>
        </w:rPr>
        <w:t>– Москва</w:t>
      </w:r>
      <w:r>
        <w:rPr>
          <w:sz w:val="24"/>
        </w:rPr>
        <w:t> </w:t>
      </w:r>
      <w:r>
        <w:rPr>
          <w:sz w:val="24"/>
        </w:rPr>
        <w:t>: Издательство Юрайт, 2021.</w:t>
      </w:r>
      <w:r>
        <w:rPr>
          <w:sz w:val="24"/>
        </w:rPr>
        <w:t> </w:t>
      </w:r>
      <w:r>
        <w:rPr>
          <w:sz w:val="24"/>
        </w:rPr>
        <w:t>– 246</w:t>
      </w:r>
      <w:r>
        <w:rPr>
          <w:sz w:val="24"/>
        </w:rPr>
        <w:t> </w:t>
      </w:r>
      <w:r>
        <w:rPr>
          <w:sz w:val="24"/>
        </w:rPr>
        <w:t>с.</w:t>
      </w:r>
      <w:r>
        <w:rPr>
          <w:sz w:val="24"/>
        </w:rPr>
        <w:t> </w:t>
      </w:r>
      <w:r>
        <w:rPr>
          <w:sz w:val="24"/>
        </w:rPr>
        <w:t>– (Высшее образование).</w:t>
      </w:r>
      <w:r>
        <w:rPr>
          <w:sz w:val="24"/>
        </w:rPr>
        <w:t> </w:t>
      </w:r>
      <w:r>
        <w:rPr>
          <w:sz w:val="24"/>
        </w:rPr>
        <w:t xml:space="preserve">– </w:t>
      </w:r>
      <w:r>
        <w:rPr>
          <w:sz w:val="24"/>
        </w:rPr>
        <w:t>ISBN </w:t>
      </w:r>
      <w:r>
        <w:rPr>
          <w:sz w:val="24"/>
        </w:rPr>
        <w:t xml:space="preserve">978-5-534-01679-6. – Текст : электронный // Образовательная платформа Юрайт [сайт]. – </w:t>
      </w:r>
      <w:r>
        <w:rPr>
          <w:sz w:val="24"/>
        </w:rPr>
        <w:t>URL</w:t>
      </w:r>
      <w:r>
        <w:rPr>
          <w:sz w:val="24"/>
        </w:rPr>
        <w:t>:</w:t>
      </w:r>
      <w:r>
        <w:rPr>
          <w:sz w:val="24"/>
        </w:rPr>
        <w:t> </w:t>
      </w:r>
      <w:r>
        <w:rPr>
          <w:color w:val="0000FF"/>
          <w:sz w:val="24"/>
          <w:u w:val="single"/>
        </w:rPr>
        <w:fldChar w:fldCharType="begin"/>
      </w:r>
      <w:r>
        <w:rPr>
          <w:color w:val="0000FF"/>
          <w:sz w:val="24"/>
          <w:u w:val="single"/>
        </w:rPr>
        <w:instrText>HYPERLINK "https://urait.ru/bcode/468273"</w:instrText>
      </w:r>
      <w:r>
        <w:rPr>
          <w:color w:val="0000FF"/>
          <w:sz w:val="24"/>
          <w:u w:val="single"/>
        </w:rPr>
        <w:fldChar w:fldCharType="separate"/>
      </w:r>
      <w:r>
        <w:rPr>
          <w:color w:val="0000FF"/>
          <w:sz w:val="24"/>
          <w:u w:val="single"/>
        </w:rPr>
        <w:t>https</w:t>
      </w:r>
      <w:r>
        <w:rPr>
          <w:color w:val="0000FF"/>
          <w:sz w:val="24"/>
          <w:u w:val="single"/>
        </w:rPr>
        <w:t>://</w:t>
      </w:r>
      <w:r>
        <w:rPr>
          <w:color w:val="0000FF"/>
          <w:sz w:val="24"/>
          <w:u w:val="single"/>
        </w:rPr>
        <w:t>urait</w:t>
      </w:r>
      <w:r>
        <w:rPr>
          <w:color w:val="0000FF"/>
          <w:sz w:val="24"/>
          <w:u w:val="single"/>
        </w:rPr>
        <w:t>.</w:t>
      </w:r>
      <w:r>
        <w:rPr>
          <w:color w:val="0000FF"/>
          <w:sz w:val="24"/>
          <w:u w:val="single"/>
        </w:rPr>
        <w:t>ru</w:t>
      </w:r>
      <w:r>
        <w:rPr>
          <w:color w:val="0000FF"/>
          <w:sz w:val="24"/>
          <w:u w:val="single"/>
        </w:rPr>
        <w:t>/</w:t>
      </w:r>
      <w:r>
        <w:rPr>
          <w:color w:val="0000FF"/>
          <w:sz w:val="24"/>
          <w:u w:val="single"/>
        </w:rPr>
        <w:t>bcode</w:t>
      </w:r>
      <w:r>
        <w:rPr>
          <w:color w:val="0000FF"/>
          <w:sz w:val="24"/>
          <w:u w:val="single"/>
        </w:rPr>
        <w:t>/468273</w:t>
      </w:r>
      <w:r>
        <w:rPr>
          <w:color w:val="0000FF"/>
          <w:sz w:val="24"/>
          <w:u w:val="single"/>
        </w:rPr>
        <w:fldChar w:fldCharType="end"/>
      </w:r>
      <w:r>
        <w:rPr>
          <w:sz w:val="24"/>
        </w:rPr>
        <w:t> </w:t>
      </w:r>
    </w:p>
    <w:p w14:paraId="72000000">
      <w:bookmarkStart w:id="9" w:name="__RefHeading___8"/>
      <w:bookmarkEnd w:id="9"/>
      <w:pPr>
        <w:widowControl w:val="0"/>
        <w:tabs>
          <w:tab w:leader="none" w:pos="851" w:val="left"/>
          <w:tab w:leader="none" w:pos="993" w:val="left"/>
        </w:tabs>
        <w:spacing w:after="0"/>
        <w:ind w:firstLine="567" w:left="0"/>
        <w:contextualSpacing w:val="1"/>
        <w:jc w:val="both"/>
        <w:outlineLvl w:val="0"/>
        <w:rPr>
          <w:b w:val="1"/>
          <w:i w:val="1"/>
          <w:sz w:val="24"/>
        </w:rPr>
      </w:pPr>
      <w:r>
        <w:rPr>
          <w:b w:val="1"/>
          <w:i w:val="1"/>
          <w:sz w:val="24"/>
        </w:rPr>
        <w:t>Интернет-ресурсы</w:t>
      </w:r>
    </w:p>
    <w:tbl>
      <w:tblPr>
        <w:tblStyle w:val="Style_3"/>
        <w:tblLayout w:type="fixed"/>
      </w:tblPr>
      <w:tblGrid>
        <w:gridCol w:w="562"/>
        <w:gridCol w:w="6237"/>
        <w:gridCol w:w="2694"/>
      </w:tblGrid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bookmarkStart w:id="10" w:name="__RefHeading___9"/>
            <w:bookmarkEnd w:id="10"/>
            <w:pPr>
              <w:widowControl w:val="0"/>
              <w:tabs>
                <w:tab w:leader="none" w:pos="1418" w:val="left"/>
              </w:tabs>
              <w:ind/>
              <w:jc w:val="center"/>
              <w:outlineLvl w:val="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bookmarkStart w:id="11" w:name="__RefHeading___10"/>
            <w:bookmarkEnd w:id="11"/>
            <w:pPr>
              <w:widowControl w:val="0"/>
              <w:tabs>
                <w:tab w:leader="none" w:pos="1418" w:val="left"/>
              </w:tabs>
              <w:ind/>
              <w:jc w:val="center"/>
              <w:outlineLvl w:val="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Наименование портала (издания, курса, документа)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bookmarkStart w:id="12" w:name="__RefHeading___11"/>
            <w:bookmarkEnd w:id="12"/>
            <w:pPr>
              <w:widowControl w:val="0"/>
              <w:tabs>
                <w:tab w:leader="none" w:pos="1418" w:val="left"/>
              </w:tabs>
              <w:ind/>
              <w:jc w:val="center"/>
              <w:outlineLvl w:val="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Ссылка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bookmarkStart w:id="13" w:name="__RefHeading___12"/>
            <w:bookmarkEnd w:id="13"/>
            <w:pPr>
              <w:widowControl w:val="0"/>
              <w:tabs>
                <w:tab w:leader="none" w:pos="1418" w:val="left"/>
              </w:tabs>
              <w:ind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bookmarkStart w:id="14" w:name="__RefHeading___13"/>
            <w:bookmarkEnd w:id="14"/>
            <w:pPr>
              <w:widowControl w:val="0"/>
              <w:tabs>
                <w:tab w:leader="none" w:pos="1418" w:val="left"/>
              </w:tabs>
              <w:ind/>
              <w:outlineLvl w:val="1"/>
              <w:rPr>
                <w:sz w:val="24"/>
              </w:rPr>
            </w:pPr>
            <w:r>
              <w:rPr>
                <w:sz w:val="24"/>
              </w:rPr>
              <w:t>Образовательная платформа «Юрайт». Для вузов и ссузов. Электронная библиотечная система (ЭБС)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bookmarkStart w:id="15" w:name="__RefHeading___14"/>
            <w:bookmarkEnd w:id="15"/>
            <w:pPr>
              <w:widowControl w:val="0"/>
              <w:tabs>
                <w:tab w:leader="none" w:pos="993" w:val="left"/>
              </w:tabs>
              <w:ind/>
              <w:contextualSpacing w:val="1"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https://urait.ru/</w:t>
            </w:r>
          </w:p>
          <w:p w14:paraId="79000000">
            <w:pPr>
              <w:widowControl w:val="0"/>
              <w:tabs>
                <w:tab w:leader="none" w:pos="1418" w:val="left"/>
              </w:tabs>
              <w:ind/>
              <w:outlineLvl w:val="1"/>
              <w:rPr>
                <w:sz w:val="24"/>
              </w:rPr>
            </w:pP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bookmarkStart w:id="16" w:name="__RefHeading___15"/>
            <w:bookmarkEnd w:id="16"/>
            <w:pPr>
              <w:widowControl w:val="0"/>
              <w:tabs>
                <w:tab w:leader="none" w:pos="1418" w:val="left"/>
              </w:tabs>
              <w:ind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bookmarkStart w:id="17" w:name="__RefHeading___16"/>
            <w:bookmarkEnd w:id="17"/>
            <w:pPr>
              <w:widowControl w:val="0"/>
              <w:tabs>
                <w:tab w:leader="none" w:pos="1418" w:val="left"/>
              </w:tabs>
              <w:ind/>
              <w:outlineLvl w:val="1"/>
              <w:rPr>
                <w:sz w:val="24"/>
              </w:rPr>
            </w:pPr>
            <w:r>
              <w:rPr>
                <w:sz w:val="24"/>
              </w:rPr>
              <w:t>Официальный интернет-портал базы данных правовой информации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bookmarkStart w:id="18" w:name="__RefHeading___17"/>
            <w:bookmarkEnd w:id="18"/>
            <w:pPr>
              <w:widowControl w:val="0"/>
              <w:tabs>
                <w:tab w:leader="none" w:pos="993" w:val="left"/>
              </w:tabs>
              <w:ind/>
              <w:contextualSpacing w:val="1"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http://pravo.gov.ru</w:t>
            </w:r>
          </w:p>
          <w:p w14:paraId="7D000000">
            <w:pPr>
              <w:widowControl w:val="0"/>
              <w:tabs>
                <w:tab w:leader="none" w:pos="1418" w:val="left"/>
              </w:tabs>
              <w:ind/>
              <w:outlineLvl w:val="1"/>
              <w:rPr>
                <w:sz w:val="24"/>
              </w:rPr>
            </w:pP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bookmarkStart w:id="19" w:name="__RefHeading___18"/>
            <w:bookmarkEnd w:id="19"/>
            <w:pPr>
              <w:widowControl w:val="0"/>
              <w:tabs>
                <w:tab w:leader="none" w:pos="1418" w:val="left"/>
              </w:tabs>
              <w:ind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bookmarkStart w:id="20" w:name="__RefHeading___19"/>
            <w:bookmarkEnd w:id="20"/>
            <w:pPr>
              <w:widowControl w:val="0"/>
              <w:tabs>
                <w:tab w:leader="none" w:pos="1418" w:val="left"/>
              </w:tabs>
              <w:ind/>
              <w:outlineLvl w:val="1"/>
              <w:rPr>
                <w:sz w:val="24"/>
              </w:rPr>
            </w:pPr>
            <w:r>
              <w:rPr>
                <w:sz w:val="24"/>
              </w:rPr>
              <w:t>Портал Федеральных государственных образовательных стандартов высшего образования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bookmarkStart w:id="21" w:name="__RefHeading___20"/>
            <w:bookmarkEnd w:id="21"/>
            <w:pPr>
              <w:widowControl w:val="0"/>
              <w:tabs>
                <w:tab w:leader="none" w:pos="993" w:val="left"/>
              </w:tabs>
              <w:ind/>
              <w:contextualSpacing w:val="1"/>
              <w:jc w:val="both"/>
              <w:outlineLvl w:val="0"/>
              <w:rPr>
                <w:sz w:val="24"/>
              </w:rPr>
            </w:pPr>
            <w:r>
              <w:rPr>
                <w:color w:val="0000FF"/>
                <w:sz w:val="24"/>
                <w:u w:val="single"/>
              </w:rPr>
              <w:fldChar w:fldCharType="begin"/>
            </w:r>
            <w:r>
              <w:rPr>
                <w:color w:val="0000FF"/>
                <w:sz w:val="24"/>
                <w:u w:val="single"/>
              </w:rPr>
              <w:instrText>HYPERLINK "http://fgosvo.ru"</w:instrText>
            </w:r>
            <w:r>
              <w:rPr>
                <w:color w:val="0000FF"/>
                <w:sz w:val="24"/>
                <w:u w:val="single"/>
              </w:rPr>
              <w:fldChar w:fldCharType="separate"/>
            </w:r>
            <w:r>
              <w:rPr>
                <w:color w:val="0000FF"/>
                <w:sz w:val="24"/>
                <w:u w:val="single"/>
              </w:rPr>
              <w:t>http://fgosvo.ru</w:t>
            </w:r>
            <w:r>
              <w:rPr>
                <w:color w:val="0000FF"/>
                <w:sz w:val="24"/>
                <w:u w:val="single"/>
              </w:rPr>
              <w:fldChar w:fldCharType="end"/>
            </w:r>
          </w:p>
          <w:p w14:paraId="81000000">
            <w:pPr>
              <w:widowControl w:val="0"/>
              <w:tabs>
                <w:tab w:leader="none" w:pos="1418" w:val="left"/>
              </w:tabs>
              <w:ind/>
              <w:outlineLvl w:val="1"/>
              <w:rPr>
                <w:sz w:val="24"/>
              </w:rPr>
            </w:pP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bookmarkStart w:id="22" w:name="__RefHeading___21"/>
            <w:bookmarkEnd w:id="22"/>
            <w:pPr>
              <w:widowControl w:val="0"/>
              <w:tabs>
                <w:tab w:leader="none" w:pos="1418" w:val="left"/>
              </w:tabs>
              <w:ind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bookmarkStart w:id="23" w:name="__RefHeading___22"/>
            <w:bookmarkEnd w:id="23"/>
            <w:pPr>
              <w:widowControl w:val="0"/>
              <w:tabs>
                <w:tab w:leader="none" w:pos="1418" w:val="left"/>
              </w:tabs>
              <w:ind/>
              <w:outlineLvl w:val="1"/>
              <w:rPr>
                <w:sz w:val="24"/>
              </w:rPr>
            </w:pPr>
            <w:r>
              <w:rPr>
                <w:sz w:val="24"/>
              </w:rPr>
              <w:t>Компьютерная справочная правовая система «КонсультантПлюс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bookmarkStart w:id="24" w:name="__RefHeading___23"/>
            <w:bookmarkEnd w:id="24"/>
            <w:pPr>
              <w:widowControl w:val="0"/>
              <w:tabs>
                <w:tab w:leader="none" w:pos="993" w:val="left"/>
              </w:tabs>
              <w:ind/>
              <w:contextualSpacing w:val="1"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http://www.consultant.ru/</w:t>
            </w:r>
          </w:p>
        </w:tc>
      </w:tr>
    </w:tbl>
    <w:p w14:paraId="85000000">
      <w:pPr>
        <w:widowControl w:val="0"/>
        <w:tabs>
          <w:tab w:leader="none" w:pos="1418" w:val="left"/>
        </w:tabs>
        <w:spacing w:after="0"/>
        <w:ind/>
        <w:outlineLvl w:val="1"/>
        <w:rPr>
          <w:sz w:val="24"/>
        </w:rPr>
      </w:pPr>
    </w:p>
    <w:tbl>
      <w:tblPr>
        <w:tblStyle w:val="Style_3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1955"/>
        <w:gridCol w:w="1302"/>
        <w:gridCol w:w="2381"/>
        <w:gridCol w:w="793"/>
        <w:gridCol w:w="2924"/>
      </w:tblGrid>
      <w:tr>
        <w:tc>
          <w:tcPr>
            <w:tcW w:type="dxa" w:w="195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86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</w:p>
        </w:tc>
        <w:tc>
          <w:tcPr>
            <w:tcW w:type="dxa" w:w="130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87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2381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</w:tcPr>
          <w:p/>
        </w:tc>
        <w:tc>
          <w:tcPr>
            <w:tcW w:type="dxa" w:w="79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88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2924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vAlign w:val="bottom"/>
          </w:tcPr>
          <w:p/>
        </w:tc>
      </w:tr>
      <w:tr>
        <w:tc>
          <w:tcPr>
            <w:tcW w:type="dxa" w:w="195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89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130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8A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2381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</w:tcPr>
          <w:p w14:paraId="8B000000">
            <w:pPr>
              <w:widowControl w:val="0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(подпись)</w:t>
            </w:r>
          </w:p>
        </w:tc>
        <w:tc>
          <w:tcPr>
            <w:tcW w:type="dxa" w:w="79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8C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2924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</w:tcPr>
          <w:p w14:paraId="8D000000">
            <w:pPr>
              <w:widowControl w:val="0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(И.О. Фамилия)</w:t>
            </w:r>
          </w:p>
        </w:tc>
      </w:tr>
      <w:tr>
        <w:tc>
          <w:tcPr>
            <w:tcW w:type="dxa" w:w="9355"/>
            <w:gridSpan w:val="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8E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Обучающийся задание получил: «  27  »  июня  2026 г.</w:t>
            </w:r>
          </w:p>
        </w:tc>
      </w:tr>
      <w:tr>
        <w:tc>
          <w:tcPr>
            <w:tcW w:type="dxa" w:w="195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8F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130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90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238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91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79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92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292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93000000">
            <w:pPr>
              <w:widowControl w:val="0"/>
              <w:ind/>
              <w:rPr>
                <w:sz w:val="24"/>
              </w:rPr>
            </w:pPr>
          </w:p>
        </w:tc>
      </w:tr>
      <w:tr>
        <w:tc>
          <w:tcPr>
            <w:tcW w:type="dxa" w:w="195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94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Обучающийся</w:t>
            </w:r>
          </w:p>
        </w:tc>
        <w:tc>
          <w:tcPr>
            <w:tcW w:type="dxa" w:w="130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95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2381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</w:tcPr>
          <w:p w14:paraId="96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79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97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2924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</w:tcPr>
          <w:p w14:paraId="98000000">
            <w:pPr>
              <w:widowControl w:val="0"/>
              <w:ind/>
              <w:rPr>
                <w:sz w:val="24"/>
              </w:rPr>
            </w:pPr>
          </w:p>
        </w:tc>
      </w:tr>
      <w:tr>
        <w:tc>
          <w:tcPr>
            <w:tcW w:type="dxa" w:w="195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99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130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9A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2381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</w:tcPr>
          <w:p w14:paraId="9B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16"/>
              </w:rPr>
              <w:t>(подпись)</w:t>
            </w:r>
          </w:p>
        </w:tc>
        <w:tc>
          <w:tcPr>
            <w:tcW w:type="dxa" w:w="79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9C000000">
            <w:pPr>
              <w:widowControl w:val="0"/>
              <w:ind/>
              <w:jc w:val="center"/>
              <w:rPr>
                <w:sz w:val="24"/>
              </w:rPr>
            </w:pPr>
          </w:p>
        </w:tc>
        <w:tc>
          <w:tcPr>
            <w:tcW w:type="dxa" w:w="2924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</w:tcPr>
          <w:p w14:paraId="9D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16"/>
              </w:rPr>
              <w:t>(И.О. Фамилия)</w:t>
            </w:r>
          </w:p>
        </w:tc>
      </w:tr>
    </w:tbl>
    <w:p w14:paraId="9E000000">
      <w:pPr>
        <w:spacing w:line="264" w:lineRule="auto"/>
        <w:ind/>
        <w:rPr>
          <w:rFonts w:ascii="Calibri" w:hAnsi="Calibri"/>
          <w:sz w:val="22"/>
        </w:rPr>
      </w:pPr>
    </w:p>
    <w:p w14:paraId="9F000000">
      <w:pPr>
        <w:sectPr>
          <w:pgSz w:h="16838" w:orient="portrait" w:w="11906"/>
          <w:pgMar w:bottom="1134" w:footer="709" w:gutter="0" w:header="709" w:left="1701" w:right="567" w:top="1134"/>
        </w:sectPr>
      </w:pPr>
    </w:p>
    <w:p w14:paraId="A0000000">
      <w:bookmarkStart w:id="25" w:name="__RefHeading___24"/>
      <w:bookmarkEnd w:id="25"/>
      <w:pPr>
        <w:keepNext w:val="1"/>
        <w:keepLines w:val="1"/>
        <w:pageBreakBefore w:val="1"/>
        <w:widowControl w:val="0"/>
        <w:spacing w:after="0"/>
        <w:ind/>
        <w:jc w:val="center"/>
        <w:outlineLvl w:val="0"/>
        <w:rPr>
          <w:b w:val="1"/>
          <w:sz w:val="32"/>
        </w:rPr>
      </w:pPr>
      <w:r>
        <w:rPr>
          <w:b w:val="1"/>
          <w:sz w:val="32"/>
        </w:rPr>
        <w:t>СОДЕРЖАНИЕ</w:t>
      </w:r>
    </w:p>
    <w:p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ВВЕДЕНИЕ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A2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    Основные вопросы, подлежащие разработке.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A3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2.    Заключение.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A4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3.    Приложение.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A5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4.    Исходные данные по ВКР: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A6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Основная литература: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A7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Дополнительная литература: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A8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Интернет-ресурсы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A9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№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AA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Наименование портала (издания, курса, документа)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AB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Ссылка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AC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1.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AD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Образовательная платформа «Юрайт». Для вузов и ссузов. Электронная библиотечная система (ЭБС)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AE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https://urait.ru/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AF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2.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B0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Официальный интернет-портал базы данных правовой информации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B1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http://pravo.gov.ru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B2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3.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B3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Портал Федеральных государственных образовательных стандартов высшего образования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B4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http://fgosvo.ru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B5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4.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B6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Компьютерная справочная правовая система «КонсультантПлюс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B7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http://www.consultant.ru/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B8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СОДЕРЖАНИЕ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B9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Введение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BA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ГЛАВА 1. Аналитическая часть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BB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"__RefHeading___27"</w:instrText>
      </w:r>
      <w:r>
        <w:fldChar w:fldCharType="separate"/>
      </w:r>
      <w:r>
        <w:t>1.1 Технико-экономическая характеристика предметной области и предприятия. Анализ деятельности «КАК ЕСТЬ»</w:t>
      </w:r>
      <w:r>
        <w:tab/>
      </w:r>
      <w:r>
        <w:fldChar w:fldCharType="begin"/>
      </w:r>
      <w:r>
        <w:instrText>PAGEREF __RefHeading___27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BC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"__RefHeading___28"</w:instrText>
      </w:r>
      <w:r>
        <w:fldChar w:fldCharType="separate"/>
      </w:r>
      <w:r>
        <w:t>1.1.1 Характеристика предприятия и его деятельности</w:t>
      </w:r>
      <w:r>
        <w:tab/>
      </w:r>
      <w:r>
        <w:fldChar w:fldCharType="begin"/>
      </w:r>
      <w:r>
        <w:instrText>PAGEREF __RefHeading___28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BD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"__RefHeading___29"</w:instrText>
      </w:r>
      <w:r>
        <w:fldChar w:fldCharType="separate"/>
      </w:r>
      <w:r>
        <w:t>1.1.2 Организационная структура управления предприятием</w:t>
      </w:r>
      <w:r>
        <w:tab/>
      </w:r>
      <w:r>
        <w:fldChar w:fldCharType="begin"/>
      </w:r>
      <w:r>
        <w:instrText>PAGEREF __RefHeading___29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BE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"__RefHeading___30"</w:instrText>
      </w:r>
      <w:r>
        <w:fldChar w:fldCharType="separate"/>
      </w:r>
      <w:r>
        <w:t>1.1.3 Программная и техническая архитектура ИС предприятия</w:t>
      </w:r>
      <w:r>
        <w:tab/>
      </w:r>
      <w:r>
        <w:fldChar w:fldCharType="begin"/>
      </w:r>
      <w:r>
        <w:instrText>PAGEREF __RefHeading___30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BF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"__RefHeading___31"</w:instrText>
      </w:r>
      <w:r>
        <w:fldChar w:fldCharType="separate"/>
      </w:r>
      <w:r>
        <w:t>1.2 Характеристика комплекса задач, задачи и обоснование необходимости автоматизации</w:t>
      </w:r>
      <w:r>
        <w:tab/>
      </w:r>
      <w:r>
        <w:fldChar w:fldCharType="begin"/>
      </w:r>
      <w:r>
        <w:instrText>PAGEREF __RefHeading___31 \h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 w14:paraId="C0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"__RefHeading___32"</w:instrText>
      </w:r>
      <w:r>
        <w:fldChar w:fldCharType="separate"/>
      </w:r>
      <w:r>
        <w:t>1.2.1 Выбор комплекса задач автоматизации и характеристика существующих бизнес процессов</w:t>
      </w:r>
      <w:r>
        <w:tab/>
      </w:r>
      <w:r>
        <w:fldChar w:fldCharType="begin"/>
      </w:r>
      <w:r>
        <w:instrText>PAGEREF __RefHeading___32 \h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 w14:paraId="C1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"__RefHeading___33"</w:instrText>
      </w:r>
      <w:r>
        <w:fldChar w:fldCharType="separate"/>
      </w:r>
      <w:r>
        <w:t>1.2.2 Определение места проектируемой задачи в комплексе задач и ее описание</w:t>
      </w:r>
      <w:r>
        <w:tab/>
      </w:r>
      <w:r>
        <w:fldChar w:fldCharType="begin"/>
      </w:r>
      <w:r>
        <w:instrText>PAGEREF __RefHeading___33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C2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"__RefHeading___34"</w:instrText>
      </w:r>
      <w:r>
        <w:fldChar w:fldCharType="separate"/>
      </w:r>
      <w:r>
        <w:t>1.2.3 Обоснование необходимости использования вычислительной техники для решения задачи</w:t>
      </w:r>
      <w:r>
        <w:tab/>
      </w:r>
      <w:r>
        <w:fldChar w:fldCharType="begin"/>
      </w:r>
      <w:r>
        <w:instrText>PAGEREF __RefHeading___34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C3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"__RefHeading___35"</w:instrText>
      </w:r>
      <w:r>
        <w:fldChar w:fldCharType="separate"/>
      </w:r>
      <w:r>
        <w:t>1.2.4 Анализ системы обеспечения информационной безопасности и защиты информации</w:t>
      </w:r>
      <w:r>
        <w:tab/>
      </w:r>
      <w:r>
        <w:fldChar w:fldCharType="begin"/>
      </w:r>
      <w:r>
        <w:instrText>PAGEREF __RefHeading___35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C4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"__RefHeading___36"</w:instrText>
      </w:r>
      <w:r>
        <w:fldChar w:fldCharType="separate"/>
      </w:r>
      <w:r>
        <w:t>1.3 Анализ существующих разработок и выбор стратегии автоматизации «КАК ДОЛЖНО БЫТЬ»</w:t>
      </w:r>
      <w:r>
        <w:tab/>
      </w:r>
      <w:r>
        <w:fldChar w:fldCharType="begin"/>
      </w:r>
      <w:r>
        <w:instrText>PAGEREF __RefHeading___36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C5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"__RefHeading___37"</w:instrText>
      </w:r>
      <w:r>
        <w:fldChar w:fldCharType="separate"/>
      </w:r>
      <w:r>
        <w:t>1.3.1 Анализ существующих разработок для автоматизации задачи</w:t>
      </w:r>
      <w:r>
        <w:tab/>
      </w:r>
      <w:r>
        <w:fldChar w:fldCharType="begin"/>
      </w:r>
      <w:r>
        <w:instrText>PAGEREF __RefHeading___37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C6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"__RefHeading___38"</w:instrText>
      </w:r>
      <w:r>
        <w:fldChar w:fldCharType="separate"/>
      </w:r>
      <w:r>
        <w:t>1.3.2 Выбор и обоснование стратегии автоматизации задачи</w:t>
      </w:r>
      <w:r>
        <w:tab/>
      </w:r>
      <w:r>
        <w:fldChar w:fldCharType="begin"/>
      </w:r>
      <w:r>
        <w:instrText>PAGEREF __RefHeading___38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C7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"__RefHeading___39"</w:instrText>
      </w:r>
      <w:r>
        <w:fldChar w:fldCharType="separate"/>
      </w:r>
      <w:r>
        <w:t>1.3.3 Выбор и обоснование способа приобретения ИС для автоматизации задачи</w:t>
      </w:r>
      <w:r>
        <w:tab/>
      </w:r>
      <w:r>
        <w:fldChar w:fldCharType="begin"/>
      </w:r>
      <w:r>
        <w:instrText>PAGEREF __RefHeading___39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C8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"__RefHeading___40"</w:instrText>
      </w:r>
      <w:r>
        <w:fldChar w:fldCharType="separate"/>
      </w:r>
      <w:r>
        <w:t>1.4 Обоснование проектных решений</w:t>
      </w:r>
      <w:r>
        <w:tab/>
      </w:r>
      <w:r>
        <w:fldChar w:fldCharType="begin"/>
      </w:r>
      <w:r>
        <w:instrText>PAGEREF __RefHeading___40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C9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"__RefHeading___41"</w:instrText>
      </w:r>
      <w:r>
        <w:fldChar w:fldCharType="separate"/>
      </w:r>
      <w:r>
        <w:t>1.4.1 Обоснование проектных решений по информационному обеспечению</w:t>
      </w:r>
      <w:r>
        <w:tab/>
      </w:r>
      <w:r>
        <w:fldChar w:fldCharType="begin"/>
      </w:r>
      <w:r>
        <w:instrText>PAGEREF __RefHeading___41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CA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"__RefHeading___42"</w:instrText>
      </w:r>
      <w:r>
        <w:fldChar w:fldCharType="separate"/>
      </w:r>
      <w:r>
        <w:t>1.4.2 Обоснование проектных решений по программному обеспечению</w:t>
      </w:r>
      <w:r>
        <w:tab/>
      </w:r>
      <w:r>
        <w:fldChar w:fldCharType="begin"/>
      </w:r>
      <w:r>
        <w:instrText>PAGEREF __RefHeading___42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CB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"__RefHeading___43"</w:instrText>
      </w:r>
      <w:r>
        <w:fldChar w:fldCharType="separate"/>
      </w:r>
      <w:r>
        <w:t>1.4.3 Обоснование проектных решений по техническому обеспечению</w:t>
      </w:r>
      <w:r>
        <w:tab/>
      </w:r>
      <w:r>
        <w:fldChar w:fldCharType="begin"/>
      </w:r>
      <w:r>
        <w:instrText>PAGEREF __RefHeading___43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CC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"__RefHeading___44"</w:instrText>
      </w:r>
      <w:r>
        <w:fldChar w:fldCharType="separate"/>
      </w:r>
      <w:r>
        <w:t>Выводы по главе 1</w:t>
      </w:r>
      <w:r>
        <w:tab/>
      </w:r>
      <w:r>
        <w:fldChar w:fldCharType="begin"/>
      </w:r>
      <w:r>
        <w:instrText>PAGEREF __RefHeading___44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CD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"__RefHeading___45"</w:instrText>
      </w:r>
      <w:r>
        <w:fldChar w:fldCharType="separate"/>
      </w:r>
      <w:r>
        <w:t>ГЛАВА 2. Проектная часть</w:t>
      </w:r>
      <w:r>
        <w:tab/>
      </w:r>
      <w:r>
        <w:fldChar w:fldCharType="begin"/>
      </w:r>
      <w:r>
        <w:instrText>PAGEREF __RefHeading___45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CE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"__RefHeading___46"</w:instrText>
      </w:r>
      <w:r>
        <w:fldChar w:fldCharType="separate"/>
      </w:r>
      <w:r>
        <w:t>2.1 Разработка проекта автоматизации</w:t>
      </w:r>
      <w:r>
        <w:tab/>
      </w:r>
      <w:r>
        <w:fldChar w:fldCharType="begin"/>
      </w:r>
      <w:r>
        <w:instrText>PAGEREF __RefHeading___46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CF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"__RefHeading___47"</w:instrText>
      </w:r>
      <w:r>
        <w:fldChar w:fldCharType="separate"/>
      </w:r>
      <w:r>
        <w:t>2.1.1 Этапы жизненного цикла проекта автоматизации</w:t>
      </w:r>
      <w:r>
        <w:tab/>
      </w:r>
      <w:r>
        <w:fldChar w:fldCharType="begin"/>
      </w:r>
      <w:r>
        <w:instrText>PAGEREF __RefHeading___47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D0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"__RefHeading___48"</w:instrText>
      </w:r>
      <w:r>
        <w:fldChar w:fldCharType="separate"/>
      </w:r>
      <w:r>
        <w:t>2.1.2 Ожидаемые риски на этапах жизненного цикла и их описание</w:t>
      </w:r>
      <w:r>
        <w:tab/>
      </w:r>
      <w:r>
        <w:fldChar w:fldCharType="begin"/>
      </w:r>
      <w:r>
        <w:instrText>PAGEREF __RefHeading___48 \h</w:instrText>
      </w:r>
      <w:r>
        <w:fldChar w:fldCharType="separate"/>
      </w:r>
      <w:r>
        <w:t>40</w:t>
      </w:r>
      <w:r>
        <w:fldChar w:fldCharType="end"/>
      </w:r>
      <w:r>
        <w:fldChar w:fldCharType="end"/>
      </w:r>
    </w:p>
    <w:p w14:paraId="D1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"__RefHeading___49"</w:instrText>
      </w:r>
      <w:r>
        <w:fldChar w:fldCharType="separate"/>
      </w:r>
      <w:r>
        <w:t>2.1.3 Организационно-правовые и программно-аппаратные средства обеспечения информационной безопасности и защиты информации</w:t>
      </w:r>
      <w:r>
        <w:tab/>
      </w:r>
      <w:r>
        <w:fldChar w:fldCharType="begin"/>
      </w:r>
      <w:r>
        <w:instrText>PAGEREF __RefHeading___49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D2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"__RefHeading___50"</w:instrText>
      </w:r>
      <w:r>
        <w:fldChar w:fldCharType="separate"/>
      </w:r>
      <w:r>
        <w:t>2.2 Информационное обеспечение задачи</w:t>
      </w:r>
      <w:r>
        <w:tab/>
      </w:r>
      <w:r>
        <w:fldChar w:fldCharType="begin"/>
      </w:r>
      <w:r>
        <w:instrText>PAGEREF __RefHeading___50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D3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"__RefHeading___51"</w:instrText>
      </w:r>
      <w:r>
        <w:fldChar w:fldCharType="separate"/>
      </w:r>
      <w:r>
        <w:t>2.2.1 Информационная модель и её описание</w:t>
      </w:r>
      <w:r>
        <w:tab/>
      </w:r>
      <w:r>
        <w:fldChar w:fldCharType="begin"/>
      </w:r>
      <w:r>
        <w:instrText>PAGEREF __RefHeading___51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D4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"__RefHeading___52"</w:instrText>
      </w:r>
      <w:r>
        <w:fldChar w:fldCharType="separate"/>
      </w:r>
      <w:r>
        <w:t>2.2.2 Характеристика нормативно-справочной, входной и оперативной информации</w:t>
      </w:r>
      <w:r>
        <w:tab/>
      </w:r>
      <w:r>
        <w:fldChar w:fldCharType="begin"/>
      </w:r>
      <w:r>
        <w:instrText>PAGEREF __RefHeading___52 \h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 w14:paraId="D5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"__RefHeading___53"</w:instrText>
      </w:r>
      <w:r>
        <w:fldChar w:fldCharType="separate"/>
      </w:r>
      <w:r>
        <w:t>2.2.3 Характеристика результатной информации</w:t>
      </w:r>
      <w:r>
        <w:tab/>
      </w:r>
      <w:r>
        <w:fldChar w:fldCharType="begin"/>
      </w:r>
      <w:r>
        <w:instrText>PAGEREF __RefHeading___53 \h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 w14:paraId="D6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"__RefHeading___54"</w:instrText>
      </w:r>
      <w:r>
        <w:fldChar w:fldCharType="separate"/>
      </w:r>
      <w:r>
        <w:t>2.3 Программное обеспечение задачи</w:t>
      </w:r>
      <w:r>
        <w:tab/>
      </w:r>
      <w:r>
        <w:fldChar w:fldCharType="begin"/>
      </w:r>
      <w:r>
        <w:instrText>PAGEREF __RefHeading___54 \h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 w14:paraId="D7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"__RefHeading___55"</w:instrText>
      </w:r>
      <w:r>
        <w:fldChar w:fldCharType="separate"/>
      </w:r>
      <w:r>
        <w:t>2.3.1 Общие положения (дерево функций и сценарий диалога)</w:t>
      </w:r>
      <w:r>
        <w:tab/>
      </w:r>
      <w:r>
        <w:fldChar w:fldCharType="begin"/>
      </w:r>
      <w:r>
        <w:instrText>PAGEREF __RefHeading___55 \h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 w14:paraId="D8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"__RefHeading___56"</w:instrText>
      </w:r>
      <w:r>
        <w:fldChar w:fldCharType="separate"/>
      </w:r>
      <w:r>
        <w:t>2.3.2 Характеристика базы данных</w:t>
      </w:r>
      <w:r>
        <w:tab/>
      </w:r>
      <w:r>
        <w:fldChar w:fldCharType="begin"/>
      </w:r>
      <w:r>
        <w:instrText>PAGEREF __RefHeading___56 \h</w:instrText>
      </w:r>
      <w:r>
        <w:fldChar w:fldCharType="separate"/>
      </w:r>
      <w:r>
        <w:t>51</w:t>
      </w:r>
      <w:r>
        <w:fldChar w:fldCharType="end"/>
      </w:r>
      <w:r>
        <w:fldChar w:fldCharType="end"/>
      </w:r>
    </w:p>
    <w:p w14:paraId="D9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"__RefHeading___57"</w:instrText>
      </w:r>
      <w:r>
        <w:fldChar w:fldCharType="separate"/>
      </w:r>
      <w:r>
        <w:t>2.3.3 Структурная схема пакета (дерево вызова программных модулей)</w:t>
      </w:r>
      <w:r>
        <w:tab/>
      </w:r>
      <w:r>
        <w:fldChar w:fldCharType="begin"/>
      </w:r>
      <w:r>
        <w:instrText>PAGEREF __RefHeading___57 \h</w:instrText>
      </w:r>
      <w:r>
        <w:fldChar w:fldCharType="separate"/>
      </w:r>
      <w:r>
        <w:t>53</w:t>
      </w:r>
      <w:r>
        <w:fldChar w:fldCharType="end"/>
      </w:r>
      <w:r>
        <w:fldChar w:fldCharType="end"/>
      </w:r>
    </w:p>
    <w:p w14:paraId="DA000000">
      <w:pPr>
        <w:pStyle w:val="Style_6"/>
        <w:tabs>
          <w:tab w:leader="dot" w:pos="9638" w:val="right"/>
        </w:tabs>
        <w:ind/>
      </w:pPr>
      <w:r>
        <w:fldChar w:fldCharType="begin"/>
      </w:r>
      <w:r>
        <w:instrText>HYPERLINK \l "__RefHeading___58"</w:instrText>
      </w:r>
      <w:r>
        <w:fldChar w:fldCharType="separate"/>
      </w:r>
      <w:r>
        <w:t>2.3.4 Описание программных модулей</w:t>
      </w:r>
      <w:r>
        <w:tab/>
      </w:r>
      <w:r>
        <w:fldChar w:fldCharType="begin"/>
      </w:r>
      <w:r>
        <w:instrText>PAGEREF __RefHeading___58 \h</w:instrText>
      </w:r>
      <w:r>
        <w:fldChar w:fldCharType="separate"/>
      </w:r>
      <w:r>
        <w:t>54</w:t>
      </w:r>
      <w:r>
        <w:fldChar w:fldCharType="end"/>
      </w:r>
      <w:r>
        <w:fldChar w:fldCharType="end"/>
      </w:r>
    </w:p>
    <w:p w14:paraId="DB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"__RefHeading___59"</w:instrText>
      </w:r>
      <w:r>
        <w:fldChar w:fldCharType="separate"/>
      </w:r>
      <w:r>
        <w:t>2.4 Контрольный пример реализации проекта и его описание</w:t>
      </w:r>
      <w:r>
        <w:tab/>
      </w:r>
      <w:r>
        <w:fldChar w:fldCharType="begin"/>
      </w:r>
      <w:r>
        <w:instrText>PAGEREF __RefHeading___59 \h</w:instrText>
      </w:r>
      <w:r>
        <w:fldChar w:fldCharType="separate"/>
      </w:r>
      <w:r>
        <w:t>56</w:t>
      </w:r>
      <w:r>
        <w:fldChar w:fldCharType="end"/>
      </w:r>
      <w:r>
        <w:fldChar w:fldCharType="end"/>
      </w:r>
    </w:p>
    <w:p w14:paraId="DC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"__RefHeading___60"</w:instrText>
      </w:r>
      <w:r>
        <w:fldChar w:fldCharType="separate"/>
      </w:r>
      <w:r>
        <w:t>Выводы по главе 2</w:t>
      </w:r>
      <w:r>
        <w:tab/>
      </w:r>
      <w:r>
        <w:fldChar w:fldCharType="begin"/>
      </w:r>
      <w:r>
        <w:instrText>PAGEREF __RefHeading___60 \h</w:instrText>
      </w:r>
      <w:r>
        <w:fldChar w:fldCharType="separate"/>
      </w:r>
      <w:r>
        <w:t>61</w:t>
      </w:r>
      <w:r>
        <w:fldChar w:fldCharType="end"/>
      </w:r>
      <w:r>
        <w:fldChar w:fldCharType="end"/>
      </w:r>
    </w:p>
    <w:p w14:paraId="DD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"__RefHeading___61"</w:instrText>
      </w:r>
      <w:r>
        <w:fldChar w:fldCharType="separate"/>
      </w:r>
      <w:r>
        <w:t>ГЛАВА 3. ОБОСНОВАНИЕ ЭКОНОМИЧЕСКОЙ ЭФФЕКТИВНОСТИ ПРОЕКТА</w:t>
      </w:r>
      <w:r>
        <w:tab/>
      </w:r>
      <w:r>
        <w:fldChar w:fldCharType="begin"/>
      </w:r>
      <w:r>
        <w:instrText>PAGEREF __RefHeading___61 \h</w:instrText>
      </w:r>
      <w:r>
        <w:fldChar w:fldCharType="separate"/>
      </w:r>
      <w:r>
        <w:t>62</w:t>
      </w:r>
      <w:r>
        <w:fldChar w:fldCharType="end"/>
      </w:r>
      <w:r>
        <w:fldChar w:fldCharType="end"/>
      </w:r>
    </w:p>
    <w:p w14:paraId="DE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"__RefHeading___62"</w:instrText>
      </w:r>
      <w:r>
        <w:fldChar w:fldCharType="separate"/>
      </w:r>
      <w:r>
        <w:t>3.1 Выбор и обоснование методики расчёта экономической эффективности</w:t>
      </w:r>
      <w:r>
        <w:tab/>
      </w:r>
      <w:r>
        <w:fldChar w:fldCharType="begin"/>
      </w:r>
      <w:r>
        <w:instrText>PAGEREF __RefHeading___62 \h</w:instrText>
      </w:r>
      <w:r>
        <w:fldChar w:fldCharType="separate"/>
      </w:r>
      <w:r>
        <w:t>62</w:t>
      </w:r>
      <w:r>
        <w:fldChar w:fldCharType="end"/>
      </w:r>
      <w:r>
        <w:fldChar w:fldCharType="end"/>
      </w:r>
    </w:p>
    <w:p w14:paraId="DF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"__RefHeading___63"</w:instrText>
      </w:r>
      <w:r>
        <w:fldChar w:fldCharType="separate"/>
      </w:r>
      <w:r>
        <w:t>3.2 Расчёт показателей экономической эффективности проекта</w:t>
      </w:r>
      <w:r>
        <w:tab/>
      </w:r>
      <w:r>
        <w:fldChar w:fldCharType="begin"/>
      </w:r>
      <w:r>
        <w:instrText>PAGEREF __RefHeading___63 \h</w:instrText>
      </w:r>
      <w:r>
        <w:fldChar w:fldCharType="separate"/>
      </w:r>
      <w:r>
        <w:t>63</w:t>
      </w:r>
      <w:r>
        <w:fldChar w:fldCharType="end"/>
      </w:r>
      <w:r>
        <w:fldChar w:fldCharType="end"/>
      </w:r>
    </w:p>
    <w:p w14:paraId="E0000000">
      <w:pPr>
        <w:pStyle w:val="Style_5"/>
        <w:tabs>
          <w:tab w:leader="dot" w:pos="9638" w:val="right"/>
        </w:tabs>
        <w:ind/>
      </w:pPr>
      <w:r>
        <w:fldChar w:fldCharType="begin"/>
      </w:r>
      <w:r>
        <w:instrText>HYPERLINK \l "__RefHeading___64"</w:instrText>
      </w:r>
      <w:r>
        <w:fldChar w:fldCharType="separate"/>
      </w:r>
      <w:r>
        <w:t>Выводы по главе 3</w:t>
      </w:r>
      <w:r>
        <w:tab/>
      </w:r>
      <w:r>
        <w:fldChar w:fldCharType="begin"/>
      </w:r>
      <w:r>
        <w:instrText>PAGEREF __RefHeading___64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E1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"__RefHeading___65"</w:instrText>
      </w:r>
      <w:r>
        <w:fldChar w:fldCharType="separate"/>
      </w:r>
      <w:r>
        <w:t>ЗАКЛЮЧЕНИЕ</w:t>
      </w:r>
      <w:r>
        <w:tab/>
      </w:r>
      <w:r>
        <w:fldChar w:fldCharType="begin"/>
      </w:r>
      <w:r>
        <w:instrText>PAGEREF __RefHeading___65 \h</w:instrText>
      </w:r>
      <w:r>
        <w:fldChar w:fldCharType="separate"/>
      </w:r>
      <w:r>
        <w:t>69</w:t>
      </w:r>
      <w:r>
        <w:fldChar w:fldCharType="end"/>
      </w:r>
      <w:r>
        <w:fldChar w:fldCharType="end"/>
      </w:r>
    </w:p>
    <w:p w14:paraId="E2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"__RefHeading___66"</w:instrText>
      </w:r>
      <w:r>
        <w:fldChar w:fldCharType="separate"/>
      </w:r>
      <w:r>
        <w:t>СПИСОК ИСПОЛЬЗОВАННОЙ ЛИТЕРАТУРЫ</w:t>
      </w:r>
      <w:r>
        <w:tab/>
      </w:r>
      <w:r>
        <w:fldChar w:fldCharType="begin"/>
      </w:r>
      <w:r>
        <w:instrText>PAGEREF __RefHeading___66 \h</w:instrText>
      </w:r>
      <w:r>
        <w:fldChar w:fldCharType="separate"/>
      </w:r>
      <w:r>
        <w:t>70</w:t>
      </w:r>
      <w:r>
        <w:fldChar w:fldCharType="end"/>
      </w:r>
      <w:r>
        <w:fldChar w:fldCharType="end"/>
      </w:r>
    </w:p>
    <w:p w14:paraId="E3000000">
      <w:pPr>
        <w:pStyle w:val="Style_4"/>
        <w:tabs>
          <w:tab w:leader="none" w:pos="9638" w:val="clear"/>
          <w:tab w:leader="dot" w:pos="9638" w:val="right"/>
        </w:tabs>
        <w:ind/>
      </w:pPr>
      <w:r>
        <w:fldChar w:fldCharType="begin"/>
      </w:r>
      <w:r>
        <w:instrText>HYPERLINK \l "__RefHeading___67"</w:instrText>
      </w:r>
      <w:r>
        <w:fldChar w:fldCharType="separate"/>
      </w:r>
      <w:r>
        <w:t>ПРИЛОЖЕНИЕ</w:t>
      </w:r>
      <w:r>
        <w:tab/>
      </w:r>
      <w:r>
        <w:fldChar w:fldCharType="begin"/>
      </w:r>
      <w:r>
        <w:instrText>PAGEREF __RefHeading___67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>
      <w:r>
        <w:fldChar w:fldCharType="end"/>
      </w:r>
    </w:p>
    <w:p w14:paraId="E5000000">
      <w:pPr>
        <w:widowControl w:val="0"/>
        <w:spacing w:after="0" w:line="360" w:lineRule="auto"/>
        <w:ind/>
      </w:pPr>
    </w:p>
    <w:p w14:paraId="E6000000">
      <w:bookmarkStart w:id="26" w:name="__RefHeading___25"/>
      <w:bookmarkEnd w:id="26"/>
      <w:pPr>
        <w:keepNext w:val="1"/>
        <w:keepLines w:val="1"/>
        <w:pageBreakBefore w:val="1"/>
        <w:widowControl w:val="0"/>
        <w:spacing w:after="0"/>
        <w:ind/>
        <w:jc w:val="center"/>
        <w:outlineLvl w:val="0"/>
        <w:rPr>
          <w:rFonts w:ascii="Times New Roman Полужирный" w:hAnsi="Times New Roman Полужирный"/>
          <w:b w:val="1"/>
          <w:caps w:val="1"/>
          <w:sz w:val="32"/>
        </w:rPr>
      </w:pPr>
      <w:r>
        <w:rPr>
          <w:rFonts w:ascii="Times New Roman Полужирный" w:hAnsi="Times New Roman Полужирный"/>
          <w:b w:val="1"/>
          <w:caps w:val="1"/>
          <w:sz w:val="32"/>
        </w:rPr>
        <w:t>Введение</w:t>
      </w:r>
    </w:p>
    <w:p w14:paraId="E7000000">
      <w:pPr>
        <w:spacing w:after="0" w:line="360" w:lineRule="auto"/>
        <w:ind w:firstLine="709" w:left="0"/>
        <w:jc w:val="both"/>
        <w:rPr>
          <w:color w:val="000000"/>
        </w:rPr>
      </w:pPr>
    </w:p>
    <w:p w14:paraId="E8000000">
      <w:pPr>
        <w:spacing w:after="0" w:line="360" w:lineRule="auto"/>
        <w:ind w:firstLine="709" w:left="0"/>
        <w:jc w:val="both"/>
      </w:pPr>
      <w:bookmarkStart w:id="27" w:name="_Hlk178692223"/>
      <w:r>
        <w:t xml:space="preserve">Ежедневная деятельность московских учреждений социальной сферы неразрывно связана с приёмом и рассмотрением обращений граждан. Центры московского долголетия, входящие в экосистему «Московское долголетие» и подведомственные Департаменту труда и социальной защиты населения города Москвы, ежедневно обрабатывают значительный поток запросов посетителей </w:t>
      </w:r>
      <w:r>
        <w:t>–</w:t>
      </w:r>
      <w:r>
        <w:t xml:space="preserve"> об участии в проекте, записи на занятия, организации досуга и получении государственных услуг. В результате сотрудникам приходится обрабатывать существенные объёмы документации.</w:t>
      </w:r>
    </w:p>
    <w:p w14:paraId="E9000000">
      <w:pPr>
        <w:spacing w:after="0" w:line="360" w:lineRule="auto"/>
        <w:ind w:firstLine="709" w:left="0"/>
        <w:jc w:val="both"/>
        <w:rPr>
          <w:color w:val="000000"/>
        </w:rPr>
      </w:pPr>
      <w:r>
        <w:t xml:space="preserve">Актуальность темы обусловлена тем, что для ЦМД «Савёловский» автоматизированная обработка документов является одной из опорных составляющих организационного управления: она охватывает и работу с входящей и исходящей корреспонденцией, и оформление финансовых бумаг, и кадровое делопроизводство. Само учреждение считает эту задачу приоритетной в рамках проводимых преобразований. Причина </w:t>
      </w:r>
      <w:r>
        <w:t>–</w:t>
      </w:r>
      <w:r>
        <w:t xml:space="preserve"> быстрое расширение линейки программных продуктов, рассчитанных на самые разные категории пользователей: от частных лиц до крупных организаций. Параллельное использование множества разрозненных систем усложняет процессы и препятствует внедрению новых технологий. Отсюда вытекает, что дальнейшее повышение уровня автоматизации документооборота становится необходимым условием для масштабных обновлений.</w:t>
      </w:r>
    </w:p>
    <w:p w14:paraId="EA000000">
      <w:pPr>
        <w:widowControl w:val="0"/>
        <w:spacing w:after="0" w:line="360" w:lineRule="auto"/>
        <w:ind w:firstLine="851" w:left="0"/>
        <w:jc w:val="both"/>
      </w:pPr>
      <w:r>
        <w:t>Разработка автоматизированного сервиса, охватывающего работу с входящей и исходящей информацией, отчётностью, движением документов на всех этапах их обработки и использованием электронной подписи, обусловлена тем, что современная информационная среда предполагает широкое применение информационно-коммуникационных технологий.</w:t>
      </w:r>
    </w:p>
    <w:p w14:paraId="EB000000">
      <w:pPr>
        <w:widowControl w:val="0"/>
        <w:spacing w:after="0" w:line="360" w:lineRule="auto"/>
        <w:ind w:firstLine="851" w:left="0"/>
        <w:jc w:val="both"/>
      </w:pPr>
      <w:r>
        <w:t xml:space="preserve">Влияние информационно-коммуникационных технологий на производительность труда несомненно: оно проявляется как в росте результативности отдельного сотрудника, так и в повышении эффективности </w:t>
      </w:r>
      <w:r>
        <w:t>деятельности учреждения в целом.</w:t>
      </w:r>
    </w:p>
    <w:p w14:paraId="EC000000">
      <w:pPr>
        <w:spacing w:after="0" w:line="360" w:lineRule="auto"/>
        <w:ind w:firstLine="709" w:left="0"/>
        <w:jc w:val="both"/>
      </w:pPr>
      <w:r>
        <w:rPr>
          <w:color w:val="000000"/>
        </w:rPr>
        <w:t xml:space="preserve">Именно поэтому совершенствование документационного обеспечения управления относится к числу первоочередных задач практически любой организации. По мере развития деятельности у учреждения возникает необходимость оперативно адаптировать процессы обработки документов к изменяющимся требованиям законодательства </w:t>
      </w:r>
      <w:r>
        <w:rPr>
          <w:color w:val="000000"/>
        </w:rPr>
        <w:t>–</w:t>
      </w:r>
      <w:r>
        <w:rPr>
          <w:color w:val="000000"/>
        </w:rPr>
        <w:t xml:space="preserve"> что как раз и подчёркивает актуальность рассматриваемой темы.</w:t>
      </w:r>
    </w:p>
    <w:p w14:paraId="ED000000">
      <w:pPr>
        <w:spacing w:after="0" w:line="360" w:lineRule="auto"/>
        <w:ind w:firstLine="709" w:left="0"/>
        <w:jc w:val="both"/>
      </w:pPr>
      <w:r>
        <w:t xml:space="preserve">Объектом исследования выступает деятельность Центра московского долголетия «Савёловский», а предметом </w:t>
      </w:r>
      <w:r>
        <w:t>–</w:t>
      </w:r>
      <w:r>
        <w:t xml:space="preserve"> процессы контроля исполнения документов.</w:t>
      </w:r>
    </w:p>
    <w:p w14:paraId="EE000000">
      <w:pPr>
        <w:spacing w:after="0" w:line="360" w:lineRule="auto"/>
        <w:ind w:firstLine="709" w:left="0"/>
        <w:jc w:val="both"/>
      </w:pPr>
      <w:r>
        <w:t>Цель работы состоит в повышении эффективности учёта обращений граждан в ЦМД «Савёловский» за счёт создания информационной системы, автоматизирующей регистрацию и обработку обращений, отслеживание сроков их рассмотрения и подготовку отчётности.</w:t>
      </w:r>
      <w:bookmarkStart w:id="28" w:name="_Hlk234045740"/>
      <w:bookmarkEnd w:id="28"/>
    </w:p>
    <w:p w14:paraId="EF000000">
      <w:pPr>
        <w:spacing w:after="0" w:line="360" w:lineRule="auto"/>
        <w:ind w:firstLine="709" w:left="0"/>
        <w:jc w:val="both"/>
      </w:pPr>
      <w:r>
        <w:t>Достижение поставленной цели предполагает решение следующих задач:</w:t>
      </w:r>
    </w:p>
    <w:p w14:paraId="F0000000">
      <w:pPr>
        <w:spacing w:after="0" w:line="360" w:lineRule="auto"/>
        <w:ind w:firstLine="709" w:left="0"/>
        <w:jc w:val="both"/>
      </w:pPr>
      <w:r>
        <w:t>– изучить предметную область и деятельность ЦМД «Савёловский», в том числе его организационную, программную и техническую архитектуру;</w:t>
      </w:r>
    </w:p>
    <w:p w14:paraId="F1000000">
      <w:pPr>
        <w:spacing w:after="0" w:line="360" w:lineRule="auto"/>
        <w:ind w:firstLine="709" w:left="0"/>
        <w:jc w:val="both"/>
      </w:pPr>
      <w:r>
        <w:t>– исследовать действующую технологию учёта обращений «как есть», выявить её недостатки и обосновать целесообразность автоматизации;</w:t>
      </w:r>
    </w:p>
    <w:p w14:paraId="F2000000">
      <w:pPr>
        <w:spacing w:after="0" w:line="360" w:lineRule="auto"/>
        <w:ind w:firstLine="709" w:left="0"/>
        <w:jc w:val="both"/>
      </w:pPr>
      <w:r>
        <w:t>– проанализировать представленные на рынке программные продукты, выбрать стратегию автоматизации и способ приобретения информационной системы;</w:t>
      </w:r>
    </w:p>
    <w:p w14:paraId="F3000000">
      <w:pPr>
        <w:spacing w:after="0" w:line="360" w:lineRule="auto"/>
        <w:ind w:firstLine="709" w:left="0"/>
        <w:jc w:val="both"/>
      </w:pPr>
      <w:r>
        <w:t>– обосновать проектные решения по информационному, программному и техническому обеспечению;</w:t>
      </w:r>
    </w:p>
    <w:p w14:paraId="F4000000">
      <w:pPr>
        <w:spacing w:after="0" w:line="360" w:lineRule="auto"/>
        <w:ind w:firstLine="709" w:left="0"/>
        <w:jc w:val="both"/>
      </w:pPr>
      <w:r>
        <w:t>– спроектировать информационную систему: разработать дерево функций и сценарий диалога, структуру базы данных, перечень программных модулей и алгоритмы их работы;</w:t>
      </w:r>
    </w:p>
    <w:p w14:paraId="F5000000">
      <w:pPr>
        <w:spacing w:after="0" w:line="360" w:lineRule="auto"/>
        <w:ind w:firstLine="709" w:left="0"/>
        <w:jc w:val="both"/>
      </w:pPr>
      <w:r>
        <w:t>– реализовать программное обеспечение и продемонстрировать его работу на контрольном примере;</w:t>
      </w:r>
    </w:p>
    <w:p w14:paraId="F6000000">
      <w:pPr>
        <w:spacing w:after="0" w:line="360" w:lineRule="auto"/>
        <w:ind w:firstLine="709" w:left="0"/>
        <w:jc w:val="both"/>
      </w:pPr>
      <w:r>
        <w:t>– обосновать экономическую эффективность созданной информационной системы.</w:t>
      </w:r>
    </w:p>
    <w:p w14:paraId="F7000000">
      <w:pPr>
        <w:spacing w:after="0" w:line="360" w:lineRule="auto"/>
        <w:ind w:firstLine="709" w:left="0"/>
        <w:jc w:val="both"/>
      </w:pPr>
      <w:r>
        <w:t>В процессе работы использовались методы системного анализа предметной области, функционального моделирования бизнес-процессов в нотации IDEF0, проектирования и нормализации реляционных баз данных, моделирования «сущность–связь», а также приёмы структурного и объектно-ориентированного программирования. Экономическая эффективность оценивалась путём сопоставления базового и проектного вариантов.</w:t>
      </w:r>
    </w:p>
    <w:p w14:paraId="F8000000">
      <w:pPr>
        <w:spacing w:after="0" w:line="360" w:lineRule="auto"/>
        <w:ind w:firstLine="709" w:left="0"/>
        <w:jc w:val="both"/>
      </w:pPr>
      <w:r>
        <w:t>Практическая значимость работы заключается в том, что разработанную информационную систему можно внедрить в ЦМД «Савёловский» для автоматизации контроля исполнения документов. Её применение снижает трудовые и стоимостные затраты на обработку обращений, способствует соблюдению установленных законом сроков рассмотрения, повышает качество обслуживания посетителей и уровень защиты персональных данных. Предложенные решения носят типовой характер, поэтому их несложно адаптировать к другим центрам московского долголетия и учреждениям социальной сферы.</w:t>
      </w:r>
    </w:p>
    <w:p w14:paraId="F9000000">
      <w:pPr>
        <w:spacing w:after="0" w:line="360" w:lineRule="auto"/>
        <w:ind w:firstLine="709" w:left="0"/>
        <w:jc w:val="both"/>
      </w:pPr>
      <w:r>
        <w:t>По структуре работа состоит из введения, трёх глав, заключения, списка использованных источников и приложения. В первой главе анализируется предметная область и обосновывается потребность в автоматизации. Во второй главе выполнено проектирование информационной системы. В третьей главе обосновывается экономическая эффективность проекта. В приложении приведён листинг программного кода ключевых модулей системы.</w:t>
      </w:r>
    </w:p>
    <w:p w14:paraId="FA000000">
      <w:bookmarkStart w:id="29" w:name="__RefHeading___26"/>
      <w:bookmarkEnd w:id="29"/>
      <w:pPr>
        <w:keepNext w:val="1"/>
        <w:keepLines w:val="1"/>
        <w:pageBreakBefore w:val="1"/>
        <w:widowControl w:val="0"/>
        <w:spacing w:after="0"/>
        <w:ind/>
        <w:jc w:val="center"/>
        <w:outlineLvl w:val="0"/>
        <w:rPr>
          <w:rFonts w:ascii="Times New Roman Полужирный" w:hAnsi="Times New Roman Полужирный"/>
          <w:b w:val="1"/>
          <w:caps w:val="1"/>
          <w:sz w:val="32"/>
        </w:rPr>
      </w:pPr>
      <w:bookmarkEnd w:id="27"/>
      <w:r>
        <w:rPr>
          <w:rFonts w:ascii="Times New Roman Полужирный" w:hAnsi="Times New Roman Полужирный"/>
          <w:b w:val="1"/>
          <w:caps w:val="1"/>
          <w:sz w:val="32"/>
        </w:rPr>
        <w:t>ГЛАВА</w:t>
      </w:r>
      <w:r>
        <w:rPr>
          <w:rFonts w:asciiTheme="minorAscii" w:hAnsiTheme="minorHAnsi"/>
          <w:b w:val="1"/>
          <w:caps w:val="1"/>
          <w:sz w:val="32"/>
        </w:rPr>
        <w:t xml:space="preserve"> </w:t>
      </w:r>
      <w:r>
        <w:rPr>
          <w:rFonts w:ascii="Times New Roman Полужирный" w:hAnsi="Times New Roman Полужирный"/>
          <w:b w:val="1"/>
          <w:caps w:val="1"/>
          <w:sz w:val="32"/>
        </w:rPr>
        <w:t>1. Аналитическая часть</w:t>
      </w:r>
    </w:p>
    <w:p w14:paraId="FB000000">
      <w:bookmarkStart w:id="30" w:name="__RefHeading___27"/>
      <w:bookmarkEnd w:id="30"/>
      <w:pPr>
        <w:keepNext w:val="1"/>
        <w:keepLines w:val="1"/>
        <w:widowControl w:val="0"/>
        <w:spacing w:after="0"/>
        <w:ind/>
        <w:jc w:val="center"/>
        <w:outlineLvl w:val="1"/>
        <w:rPr>
          <w:b w:val="1"/>
        </w:rPr>
      </w:pPr>
      <w:r>
        <w:rPr>
          <w:b w:val="1"/>
        </w:rPr>
        <w:t>1.1 Технико-экономическая характеристика предметной области и предприятия. Анализ деятельности «КАК ЕСТЬ»</w:t>
      </w:r>
    </w:p>
    <w:p w14:paraId="FC000000">
      <w:bookmarkStart w:id="31" w:name="__RefHeading___28"/>
      <w:bookmarkEnd w:id="31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</w:rPr>
      </w:pPr>
      <w:r>
        <w:rPr>
          <w:b w:val="1"/>
        </w:rPr>
        <w:t>1.1.1 Характеристика предприятия и его деятельности</w:t>
      </w:r>
    </w:p>
    <w:p w14:paraId="FD000000">
      <w:pPr>
        <w:pStyle w:val="Style_7"/>
      </w:pPr>
    </w:p>
    <w:p w14:paraId="FE000000">
      <w:pPr>
        <w:pStyle w:val="Style_7"/>
      </w:pPr>
      <w:r>
        <w:t xml:space="preserve">Данная выпускная квалификационная работа посвящена деятельности ЦМД «Савёловский» </w:t>
      </w:r>
      <w:r>
        <w:t>–</w:t>
      </w:r>
      <w:r>
        <w:t xml:space="preserve"> государственного учреждения социальной сферы, находящегося в Северном административном округе Москвы. Центр относится к городской сети центров московского долголетия, подведомственных Департаменту труда и социальной защиты населения города Москвы, и занимается организацией досуга граждан старшего возраста. В рамках исследования рассматривается не деятельность учреждения в целом, а конкретный управленческий процесс </w:t>
      </w:r>
      <w:r>
        <w:t>–</w:t>
      </w:r>
      <w:r>
        <w:t xml:space="preserve"> приём, регистрация и контроль исполнения обращений граждан.</w:t>
      </w:r>
    </w:p>
    <w:p w14:paraId="FF000000">
      <w:pPr>
        <w:pStyle w:val="Style_7"/>
      </w:pPr>
      <w:r>
        <w:t xml:space="preserve">История ЦМД «Савёловский» начинается в 2018 году, когда по инициативе Правительства Москвы был запущен пилотный проект «Московское долголетие». В январе 2019 года проект приобрёл постоянный статус и в настоящее время охватывает более 130 пространств по всему городу [1, 2]. Его задача </w:t>
      </w:r>
      <w:r>
        <w:t>–</w:t>
      </w:r>
      <w:r>
        <w:t xml:space="preserve"> создать среду, в которой москвичи старше 55 лет могут заниматься спортом, творчеством и непрерывным образованием. ЦМД «Савёловский» полностью соответствует этой концепции: занятия для участников бесплатны, а запись возможна как лично, так и через единый портал mos.ru.</w:t>
      </w:r>
    </w:p>
    <w:p w14:paraId="00010000">
      <w:pPr>
        <w:pStyle w:val="Style_7"/>
      </w:pPr>
      <w:r>
        <w:t>Учреждение занимает площадь порядка 700 м² по адресу улица Верхняя Масловка, дом 24, и работает с посетителями с понедельника по субботу с 09:00 до 21:00. Штат насчитывает 14 сотрудников: руководитель, его заместитель, методисты, специалисты по социальной работе, администраторы и технический персонал [3]. Ежемесячно Центр принимает около 2 500 посетителей и обрабатывает порядка 320 обращений граждан, поступающих по телефону, электронной почте, лично на стойке администратора и через городские информационные сервисы.</w:t>
      </w:r>
    </w:p>
    <w:p w14:paraId="01010000">
      <w:pPr>
        <w:pStyle w:val="Style_7"/>
      </w:pPr>
      <w:r>
        <w:t xml:space="preserve">Именно эти 320 ежемесячных обращений и формируют документальную нагрузку, для которой в учреждении пока нет специализированного инструмента. Около 35 % из них требуют письменной фиксации, назначения ответственного и контроля срока. Ручное занесение сведений в таблицу Excel занимает в среднем 6–7 минут на одно обращение, а поиск ранее зарегистрированного обращения </w:t>
      </w:r>
      <w:r>
        <w:t>–</w:t>
      </w:r>
      <w:r>
        <w:t xml:space="preserve"> 10–12 минут (Таблица 1). За этими цифрами стоит не бытовое неудобство, а системная проблема: при нынешнем объёме потока одна утраченная запись или запоздалая обработка обращения оборачивается срывом регламентных сроков и жалобами граждан.</w:t>
      </w:r>
    </w:p>
    <w:p w14:paraId="02010000">
      <w:pPr>
        <w:pStyle w:val="Style_8"/>
      </w:pPr>
      <w:r>
        <w:t>Таблица 1</w:t>
      </w:r>
    </w:p>
    <w:p w14:paraId="03010000">
      <w:pPr>
        <w:pStyle w:val="Style_9"/>
      </w:pPr>
      <w:r>
        <w:t>Основные технико-экономические показатели деятельности ЦМД «Савёловский»</w:t>
      </w:r>
    </w:p>
    <w:tbl>
      <w:tblPr>
        <w:tblStyle w:val="Style_10"/>
        <w:tblLayout w:type="fixed"/>
      </w:tblPr>
      <w:tblGrid>
        <w:gridCol w:w="6055"/>
        <w:gridCol w:w="3300"/>
      </w:tblGrid>
      <w:tr>
        <w:tc>
          <w:tcPr>
            <w:tcW w:type="dxa" w:w="6055"/>
          </w:tcPr>
          <w:p w14:paraId="04010000">
            <w:pPr>
              <w:ind/>
              <w:jc w:val="center"/>
              <w:rPr>
                <w:rFonts w:ascii="Constantia" w:hAnsi="Constantia"/>
                <w:sz w:val="22"/>
              </w:rPr>
            </w:pPr>
            <w:r>
              <w:rPr>
                <w:b w:val="1"/>
                <w:sz w:val="24"/>
              </w:rPr>
              <w:t>Показатель</w:t>
            </w:r>
          </w:p>
        </w:tc>
        <w:tc>
          <w:tcPr>
            <w:tcW w:type="dxa" w:w="3300"/>
          </w:tcPr>
          <w:p w14:paraId="05010000">
            <w:pPr>
              <w:ind/>
              <w:jc w:val="center"/>
              <w:rPr>
                <w:rFonts w:ascii="Constantia" w:hAnsi="Constantia"/>
                <w:sz w:val="22"/>
              </w:rPr>
            </w:pPr>
            <w:r>
              <w:rPr>
                <w:b w:val="1"/>
                <w:sz w:val="24"/>
              </w:rPr>
              <w:t>Значение</w:t>
            </w:r>
          </w:p>
        </w:tc>
      </w:tr>
      <w:tr>
        <w:tc>
          <w:tcPr>
            <w:tcW w:type="dxa" w:w="6055"/>
          </w:tcPr>
          <w:p w14:paraId="06010000">
            <w:pPr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Административный округ</w:t>
            </w:r>
          </w:p>
        </w:tc>
        <w:tc>
          <w:tcPr>
            <w:tcW w:type="dxa" w:w="3300"/>
          </w:tcPr>
          <w:p w14:paraId="07010000">
            <w:pPr>
              <w:ind/>
              <w:jc w:val="center"/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Северный (САО)</w:t>
            </w:r>
          </w:p>
        </w:tc>
      </w:tr>
      <w:tr>
        <w:tc>
          <w:tcPr>
            <w:tcW w:type="dxa" w:w="6055"/>
          </w:tcPr>
          <w:p w14:paraId="08010000">
            <w:pPr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Режим работы</w:t>
            </w:r>
          </w:p>
        </w:tc>
        <w:tc>
          <w:tcPr>
            <w:tcW w:type="dxa" w:w="3300"/>
          </w:tcPr>
          <w:p w14:paraId="09010000">
            <w:pPr>
              <w:ind/>
              <w:jc w:val="center"/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пн–сб, 09:00–21:00</w:t>
            </w:r>
          </w:p>
        </w:tc>
      </w:tr>
      <w:tr>
        <w:tc>
          <w:tcPr>
            <w:tcW w:type="dxa" w:w="6055"/>
          </w:tcPr>
          <w:p w14:paraId="0A010000">
            <w:pPr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Общая площадь помещений, м²</w:t>
            </w:r>
          </w:p>
        </w:tc>
        <w:tc>
          <w:tcPr>
            <w:tcW w:type="dxa" w:w="3300"/>
          </w:tcPr>
          <w:p w14:paraId="0B010000">
            <w:pPr>
              <w:ind/>
              <w:jc w:val="center"/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около 700</w:t>
            </w:r>
          </w:p>
        </w:tc>
      </w:tr>
      <w:tr>
        <w:tc>
          <w:tcPr>
            <w:tcW w:type="dxa" w:w="6055"/>
          </w:tcPr>
          <w:p w14:paraId="0C010000">
            <w:pPr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Количество функциональных зон (локаций)</w:t>
            </w:r>
          </w:p>
        </w:tc>
        <w:tc>
          <w:tcPr>
            <w:tcW w:type="dxa" w:w="3300"/>
          </w:tcPr>
          <w:p w14:paraId="0D010000">
            <w:pPr>
              <w:ind/>
              <w:jc w:val="center"/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8–10</w:t>
            </w:r>
          </w:p>
        </w:tc>
      </w:tr>
      <w:tr>
        <w:tc>
          <w:tcPr>
            <w:tcW w:type="dxa" w:w="6055"/>
          </w:tcPr>
          <w:p w14:paraId="0E010000">
            <w:pPr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Среднемесячное число посетителей, чел.</w:t>
            </w:r>
          </w:p>
        </w:tc>
        <w:tc>
          <w:tcPr>
            <w:tcW w:type="dxa" w:w="3300"/>
          </w:tcPr>
          <w:p w14:paraId="0F010000">
            <w:pPr>
              <w:ind/>
              <w:jc w:val="center"/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около 2500</w:t>
            </w:r>
          </w:p>
        </w:tc>
      </w:tr>
      <w:tr>
        <w:tc>
          <w:tcPr>
            <w:tcW w:type="dxa" w:w="6055"/>
          </w:tcPr>
          <w:p w14:paraId="10010000">
            <w:pPr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Количество действующих клубов и групп</w:t>
            </w:r>
          </w:p>
        </w:tc>
        <w:tc>
          <w:tcPr>
            <w:tcW w:type="dxa" w:w="3300"/>
          </w:tcPr>
          <w:p w14:paraId="11010000">
            <w:pPr>
              <w:ind/>
              <w:jc w:val="center"/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около 40</w:t>
            </w:r>
          </w:p>
        </w:tc>
      </w:tr>
      <w:tr>
        <w:tc>
          <w:tcPr>
            <w:tcW w:type="dxa" w:w="6055"/>
          </w:tcPr>
          <w:p w14:paraId="12010000">
            <w:pPr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Штатная численность сотрудников, чел.</w:t>
            </w:r>
          </w:p>
        </w:tc>
        <w:tc>
          <w:tcPr>
            <w:tcW w:type="dxa" w:w="3300"/>
          </w:tcPr>
          <w:p w14:paraId="13010000">
            <w:pPr>
              <w:ind/>
              <w:jc w:val="center"/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14</w:t>
            </w:r>
          </w:p>
        </w:tc>
      </w:tr>
      <w:tr>
        <w:tc>
          <w:tcPr>
            <w:tcW w:type="dxa" w:w="6055"/>
          </w:tcPr>
          <w:p w14:paraId="14010000">
            <w:pPr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Среднемесячное количество обращений граждан, ед.</w:t>
            </w:r>
          </w:p>
        </w:tc>
        <w:tc>
          <w:tcPr>
            <w:tcW w:type="dxa" w:w="3300"/>
          </w:tcPr>
          <w:p w14:paraId="15010000">
            <w:pPr>
              <w:ind/>
              <w:jc w:val="center"/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около 320</w:t>
            </w:r>
          </w:p>
        </w:tc>
      </w:tr>
      <w:tr>
        <w:tc>
          <w:tcPr>
            <w:tcW w:type="dxa" w:w="6055"/>
          </w:tcPr>
          <w:p w14:paraId="16010000">
            <w:pPr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Доля письменных обращений (заявления, e-mail), %</w:t>
            </w:r>
          </w:p>
        </w:tc>
        <w:tc>
          <w:tcPr>
            <w:tcW w:type="dxa" w:w="3300"/>
          </w:tcPr>
          <w:p w14:paraId="17010000">
            <w:pPr>
              <w:ind/>
              <w:jc w:val="center"/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около 35</w:t>
            </w:r>
          </w:p>
        </w:tc>
      </w:tr>
      <w:tr>
        <w:tc>
          <w:tcPr>
            <w:tcW w:type="dxa" w:w="6055"/>
          </w:tcPr>
          <w:p w14:paraId="18010000">
            <w:pPr>
              <w:rPr>
                <w:rFonts w:ascii="Constantia" w:hAnsi="Constantia"/>
                <w:sz w:val="22"/>
              </w:rPr>
            </w:pPr>
            <w:r>
              <w:rPr>
                <w:color w:val="000000"/>
                <w:sz w:val="24"/>
              </w:rPr>
              <w:t>Среднее время ручной регистрации одного обращения, мин.</w:t>
            </w:r>
          </w:p>
        </w:tc>
        <w:tc>
          <w:tcPr>
            <w:tcW w:type="dxa" w:w="3300"/>
          </w:tcPr>
          <w:p w14:paraId="19010000">
            <w:pPr>
              <w:ind/>
              <w:jc w:val="center"/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6–7</w:t>
            </w:r>
          </w:p>
        </w:tc>
      </w:tr>
      <w:tr>
        <w:tc>
          <w:tcPr>
            <w:tcW w:type="dxa" w:w="6055"/>
          </w:tcPr>
          <w:p w14:paraId="1A010000">
            <w:pPr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Среднее время поиска данных по ранее поступившему обращению, мин.</w:t>
            </w:r>
          </w:p>
        </w:tc>
        <w:tc>
          <w:tcPr>
            <w:tcW w:type="dxa" w:w="3300"/>
          </w:tcPr>
          <w:p w14:paraId="1B010000">
            <w:pPr>
              <w:ind/>
              <w:jc w:val="center"/>
              <w:rPr>
                <w:rFonts w:ascii="Constantia" w:hAnsi="Constantia"/>
                <w:sz w:val="22"/>
              </w:rPr>
            </w:pPr>
            <w:r>
              <w:rPr>
                <w:sz w:val="24"/>
              </w:rPr>
              <w:t>10–12</w:t>
            </w:r>
          </w:p>
        </w:tc>
      </w:tr>
    </w:tbl>
    <w:p w14:paraId="1C010000">
      <w:pPr>
        <w:spacing w:after="0" w:line="360" w:lineRule="auto"/>
        <w:ind w:firstLine="709" w:left="0"/>
        <w:jc w:val="both"/>
      </w:pPr>
    </w:p>
    <w:p w14:paraId="1D010000">
      <w:pPr>
        <w:spacing w:after="0" w:line="480" w:lineRule="exact"/>
        <w:ind w:firstLine="709" w:left="0"/>
        <w:jc w:val="both"/>
        <w:rPr>
          <w:color w:val="000000"/>
        </w:rPr>
      </w:pPr>
      <w:r>
        <w:rPr>
          <w:color w:val="000000"/>
        </w:rPr>
        <w:t>Показатели таблицы 1 демонстрируют значительный поток посетителей и обращений, с которым приходится работать сотрудникам учреждения. Таким образом, ЦМД «Савёловский» представляет собой компактное, но достаточно загруженное учреждение, в котором ежедневно возникает до 15 новых документальных задач, каждая из которых нуждается в регистрации, назначении исполнителя и контроле результата. Именно устранение разрыва между фактическим объёмом обращений и имеющимися средствами их обработки выступает главным практическим стимулом для создания информационной системы контроля исполнения документов.</w:t>
      </w:r>
    </w:p>
    <w:p w14:paraId="1E010000">
      <w:pPr>
        <w:spacing w:after="0" w:line="360" w:lineRule="auto"/>
        <w:ind w:firstLine="709" w:left="0"/>
        <w:jc w:val="both"/>
      </w:pPr>
    </w:p>
    <w:p w14:paraId="1F010000">
      <w:bookmarkStart w:id="32" w:name="__RefHeading___29"/>
      <w:bookmarkEnd w:id="32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</w:rPr>
      </w:pPr>
      <w:r>
        <w:rPr>
          <w:b w:val="1"/>
        </w:rPr>
        <w:t>1.1.2 Организационная структура управления предприятием</w:t>
      </w:r>
    </w:p>
    <w:p w14:paraId="20010000">
      <w:pPr>
        <w:spacing w:after="0"/>
        <w:ind/>
        <w:rPr>
          <w:sz w:val="24"/>
        </w:rPr>
      </w:pPr>
    </w:p>
    <w:p w14:paraId="21010000">
      <w:pPr>
        <w:pStyle w:val="Style_7"/>
      </w:pPr>
      <w:r>
        <w:t>Модель управления ЦМД «Савёловский» организована по линейно-функциональному принципу: каждый работник подчиняется одному непосредственному руководителю, а специализированные функции распределены между отдельными подразделениями. Для учреждений с небольшим штатом и устоявшимся набором повторяющихся операций подобная схема вполне оправдана (Рисунок 1).</w:t>
      </w:r>
    </w:p>
    <w:p w14:paraId="22010000">
      <w:pPr>
        <w:pStyle w:val="Style_7"/>
      </w:pPr>
      <w:r>
        <w:t>Во главе Центра стоит руководитель, которому напрямую подчинены заместитель, сектор информационно-технического обеспечения и централизованная бухгалтерия вышестоящей организации. В свою очередь заместитель курирует четыре направления: отдел организации досуговой деятельности (методисты и организаторы клубной работы), службу по работе с посетителями (администраторы и дежурные администраторы), специалистов по социальной работе и административно-хозяйственный отдел.</w:t>
      </w:r>
    </w:p>
    <w:p w14:paraId="23010000">
      <w:pPr>
        <w:pStyle w:val="Style_7"/>
      </w:pPr>
      <w:r>
        <w:t>Если рассмотреть данную структуру с точки зрения движения документов, обращение гражданина последовательно проходит через три ключевых звена: администратор (приём и первичная фиксация) → руководитель или его заместитель (резолюция и назначение исполнителя) → профильный специалист (подготовка ответа по существу). При ручной обработке каждый такой переход сопровождается передачей бумажного документа или пересылкой файла Excel, что само по себе становится источником задержек и потерь информации.</w:t>
      </w:r>
    </w:p>
    <w:p w14:paraId="24010000">
      <w:pPr>
        <w:pStyle w:val="Style_7"/>
      </w:pPr>
      <w:r>
        <w:t>Сектор информационно-технического обеспечения непосредственно не участвует в обработке обращений, однако именно на него будет возложено развёртывание и поддержка проектируемой системы. Это обстоятельство необходимо учитывать при проектировании: система должна оставаться простой в администрировании, чтобы один специалист мог поддерживать её работу без привлечения сторонней технической помощи.</w:t>
      </w:r>
    </w:p>
    <w:p w14:paraId="25010000">
      <w:pPr>
        <w:keepNext w:val="1"/>
        <w:spacing w:after="60" w:before="120" w:line="360" w:lineRule="auto"/>
        <w:ind/>
        <w:jc w:val="center"/>
      </w:pPr>
      <w:r>
        <w:drawing>
          <wp:inline>
            <wp:extent cx="5715000" cy="1741714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6"/>
                    <a:srcRect b="0" l="0" r="0" t="0"/>
                    <a:stretch/>
                  </pic:blipFill>
                  <pic:spPr>
                    <a:xfrm flipH="false" flipV="false" rot="0">
                      <a:ext cx="5715000" cy="174171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6010000">
      <w:pPr>
        <w:pStyle w:val="Style_11"/>
      </w:pPr>
      <w:r>
        <w:t>Рисунок 1. Организационная структура управления ЦМД «Савёловский»</w:t>
      </w:r>
    </w:p>
    <w:p w14:paraId="27010000">
      <w:pPr>
        <w:spacing w:after="0" w:line="360" w:lineRule="auto"/>
        <w:ind w:firstLine="709" w:left="0"/>
        <w:jc w:val="both"/>
      </w:pPr>
    </w:p>
    <w:p w14:paraId="28010000">
      <w:pPr>
        <w:pStyle w:val="Style_7"/>
      </w:pPr>
      <w:r>
        <w:t xml:space="preserve">Линейно-функциональная структура обеспечивает управляемость и чёткое распределение полномочий, однако при ручном документообороте порождает эффект «узких мест»: достаточно руководителю задержать резолюцию или исполнителю забыть уведомить администратора о завершении работы </w:t>
      </w:r>
      <w:r>
        <w:t>–</w:t>
      </w:r>
      <w:r>
        <w:t xml:space="preserve"> и сроки нарушаются незаметно для остальных участников. Именно для устранения этого недостатка предназначена централизованная информационная система с контролем сроков и автоматическими уведомлениями.</w:t>
      </w:r>
    </w:p>
    <w:p w14:paraId="29010000">
      <w:pPr>
        <w:widowControl w:val="0"/>
        <w:spacing w:after="0" w:line="360" w:lineRule="auto"/>
        <w:ind w:firstLine="851" w:left="0"/>
        <w:jc w:val="both"/>
      </w:pPr>
    </w:p>
    <w:p w14:paraId="2A010000">
      <w:bookmarkStart w:id="33" w:name="__RefHeading___30"/>
      <w:bookmarkEnd w:id="33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</w:rPr>
      </w:pPr>
      <w:r>
        <w:rPr>
          <w:b w:val="1"/>
        </w:rPr>
        <w:t>1.1.3 Программная и техническая архитектура ИС предприятия</w:t>
      </w:r>
    </w:p>
    <w:p w14:paraId="2B010000">
      <w:pPr>
        <w:spacing w:after="0"/>
        <w:ind/>
        <w:rPr>
          <w:sz w:val="24"/>
        </w:rPr>
      </w:pPr>
    </w:p>
    <w:p w14:paraId="2C010000">
      <w:pPr>
        <w:pStyle w:val="Style_7"/>
      </w:pPr>
      <w:r>
        <w:t xml:space="preserve">Программно-техническая среда ЦМД «Савёловский» типична для небольших городских социальных учреждений: рабочие места объединены в локальную сеть, а часть операций сотрудники выполняют через Интернет в городских государственных информационных системах (Рисунок 2). Отдельного приложения для работы с обращениями граждан в Центре не предусмотрено </w:t>
      </w:r>
      <w:r>
        <w:t>–</w:t>
      </w:r>
      <w:r>
        <w:t xml:space="preserve"> эту функцию вынужденно выполняет Excel.</w:t>
      </w:r>
    </w:p>
    <w:p w14:paraId="2D010000">
      <w:pPr>
        <w:pStyle w:val="Style_7"/>
      </w:pPr>
      <w:r>
        <w:t xml:space="preserve">На всех рабочих местах установлена операционная система Microsoft Windows 10/11. Из прикладных программ чаще всего используется офисный пакет Microsoft Office: в Word готовят ответы на письменные обращения и служебные записки, в Excel ведут электронный журнал регистрации. За антивирусную защиту отвечает Kaspersky, за архивирование файлов </w:t>
      </w:r>
      <w:r>
        <w:t>–</w:t>
      </w:r>
      <w:r>
        <w:t xml:space="preserve"> 7-Zip. Кроме локального ПО, сотрудники постоянно обращаются к городским сервисам: порталу mos.ru, системе СУДИР (login.mos.ru), корпоративной почте </w:t>
      </w:r>
      <w:r>
        <w:t>домена @social.mos.ru и внутренним ресурсам экосистемы «Московское долголетие» [3]. Перечень программного обеспечения представлен в таблице 3.Помимо локального ПО, сотрудники регулярно работают с городскими сервисами: порталом mos.ru, системой СУДИР (login.mos.ru), электронной почтой домена @social.mos.ru и внутренними ресурсами экосистемы «Московское долголетие» [3]. Состав программного обеспечения приведён в таблице 3.</w:t>
      </w:r>
    </w:p>
    <w:p w14:paraId="2E010000">
      <w:pPr>
        <w:pStyle w:val="Style_7"/>
      </w:pPr>
      <w:r>
        <w:t>Принципиально важно то, что журнал в Excel, при всём его удобстве, не является инструментом контроля исполнения. Он лишь фиксирует факт регистрации, но не отслеживает движение документа между исполнителями, не напоминает о приближении сроков и не формирует сводную статистику по типам обращений или загрузке отдельных работников. Фактически учёт и контроль в Центре существуют раздельно.</w:t>
      </w:r>
    </w:p>
    <w:p w14:paraId="2F010000">
      <w:pPr>
        <w:keepNext w:val="1"/>
        <w:spacing w:after="60" w:before="120" w:line="360" w:lineRule="auto"/>
        <w:ind/>
        <w:jc w:val="center"/>
      </w:pPr>
      <w:r>
        <w:drawing>
          <wp:inline>
            <wp:extent cx="5179740" cy="2393546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5179740" cy="239354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0010000">
      <w:pPr>
        <w:pStyle w:val="Style_11"/>
      </w:pPr>
      <w:r>
        <w:t>Рисунок 2. Программная архитектура ИС ЦМД «Савёловский»</w:t>
      </w:r>
    </w:p>
    <w:p w14:paraId="31010000">
      <w:pPr>
        <w:spacing w:after="0" w:line="360" w:lineRule="auto"/>
        <w:ind w:firstLine="709" w:left="0"/>
        <w:jc w:val="both"/>
      </w:pPr>
    </w:p>
    <w:p w14:paraId="32010000">
      <w:pPr>
        <w:pStyle w:val="Style_7"/>
      </w:pPr>
      <w:r>
        <w:t>Рабочие места администраторов, методиста и руководителя подключены к локальной сети через коммутатор, поддерживающий проводное и Wi-Fi соединение (Рисунок 3). К этой же сети подключены сетевое хранилище (NAS) для общих файлов и резервных копий, многофункциональное устройство для печати и сканирования, а также маршрутизатор, обеспечивающий выход во внешние городские сети.</w:t>
      </w:r>
    </w:p>
    <w:p w14:paraId="33010000">
      <w:pPr>
        <w:keepNext w:val="1"/>
        <w:spacing w:after="60" w:before="120" w:line="360" w:lineRule="auto"/>
        <w:ind/>
        <w:jc w:val="center"/>
      </w:pPr>
      <w:r>
        <w:drawing>
          <wp:inline>
            <wp:extent cx="5915089" cy="2545977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5915089" cy="254597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4010000">
      <w:pPr>
        <w:pStyle w:val="Style_11"/>
      </w:pPr>
      <w:r>
        <w:t>Рисунок 3. Техническая архитектура ИС ЦМД «Савёловский»</w:t>
      </w:r>
    </w:p>
    <w:p w14:paraId="35010000">
      <w:pPr>
        <w:spacing w:after="0" w:line="360" w:lineRule="auto"/>
        <w:ind w:firstLine="709" w:left="0"/>
        <w:jc w:val="both"/>
      </w:pPr>
    </w:p>
    <w:p w14:paraId="36010000">
      <w:pPr>
        <w:pStyle w:val="Style_7"/>
      </w:pPr>
      <w:r>
        <w:t>Перечень технических средств представлен в таблице 2.</w:t>
      </w:r>
    </w:p>
    <w:p w14:paraId="37010000">
      <w:pPr>
        <w:pStyle w:val="Style_8"/>
      </w:pPr>
      <w:r>
        <w:t>Таблица 2</w:t>
      </w:r>
    </w:p>
    <w:p w14:paraId="38010000">
      <w:pPr>
        <w:pStyle w:val="Style_9"/>
      </w:pPr>
      <w:r>
        <w:t>Состав технического обеспечения ЦМД «Савёловский»</w:t>
      </w:r>
    </w:p>
    <w:tbl>
      <w:tblPr>
        <w:tblStyle w:val="Style_3"/>
        <w:tblLayout w:type="fixed"/>
      </w:tblPr>
      <w:tblGrid>
        <w:gridCol w:w="3539"/>
        <w:gridCol w:w="5103"/>
        <w:gridCol w:w="992"/>
      </w:tblGrid>
      <w:tr>
        <w:tc>
          <w:tcPr>
            <w:tcW w:type="dxa" w:w="3539"/>
          </w:tcPr>
          <w:p w14:paraId="39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</w:p>
        </w:tc>
        <w:tc>
          <w:tcPr>
            <w:tcW w:type="dxa" w:w="5103"/>
          </w:tcPr>
          <w:p w14:paraId="3A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Характеристики и назначение</w:t>
            </w:r>
          </w:p>
        </w:tc>
        <w:tc>
          <w:tcPr>
            <w:tcW w:type="dxa" w:w="992"/>
          </w:tcPr>
          <w:p w14:paraId="3B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</w:p>
        </w:tc>
      </w:tr>
      <w:tr>
        <w:tc>
          <w:tcPr>
            <w:tcW w:type="dxa" w:w="3539"/>
          </w:tcPr>
          <w:p w14:paraId="3C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АРМ сотрудника</w:t>
            </w:r>
          </w:p>
        </w:tc>
        <w:tc>
          <w:tcPr>
            <w:tcW w:type="dxa" w:w="5103"/>
          </w:tcPr>
          <w:p w14:paraId="3D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Процессор</w:t>
            </w:r>
            <w:r>
              <w:rPr>
                <w:b w:val="0"/>
                <w:sz w:val="24"/>
              </w:rPr>
              <w:t xml:space="preserve"> Intel Core i3/i5, </w:t>
            </w:r>
            <w:r>
              <w:rPr>
                <w:b w:val="0"/>
                <w:sz w:val="24"/>
              </w:rPr>
              <w:t>ОЗУ</w:t>
            </w:r>
            <w:r>
              <w:rPr>
                <w:b w:val="0"/>
                <w:sz w:val="24"/>
              </w:rPr>
              <w:t xml:space="preserve"> 8 </w:t>
            </w:r>
            <w:r>
              <w:rPr>
                <w:b w:val="0"/>
                <w:sz w:val="24"/>
              </w:rPr>
              <w:t>ГБ</w:t>
            </w:r>
            <w:r>
              <w:rPr>
                <w:b w:val="0"/>
                <w:sz w:val="24"/>
              </w:rPr>
              <w:t xml:space="preserve">, SSD 256 </w:t>
            </w:r>
            <w:r>
              <w:rPr>
                <w:b w:val="0"/>
                <w:sz w:val="24"/>
              </w:rPr>
              <w:t>ГБ</w:t>
            </w:r>
            <w:r>
              <w:rPr>
                <w:b w:val="0"/>
                <w:sz w:val="24"/>
              </w:rPr>
              <w:t xml:space="preserve">, </w:t>
            </w:r>
            <w:r>
              <w:rPr>
                <w:b w:val="0"/>
                <w:sz w:val="24"/>
              </w:rPr>
              <w:t>ОС</w:t>
            </w:r>
            <w:r>
              <w:rPr>
                <w:b w:val="0"/>
                <w:sz w:val="24"/>
              </w:rPr>
              <w:t xml:space="preserve"> Windows 10/11;</w:t>
            </w:r>
          </w:p>
        </w:tc>
        <w:tc>
          <w:tcPr>
            <w:tcW w:type="dxa" w:w="992"/>
          </w:tcPr>
          <w:p w14:paraId="3E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</w:p>
        </w:tc>
      </w:tr>
      <w:tr>
        <w:tc>
          <w:tcPr>
            <w:tcW w:type="dxa" w:w="3539"/>
          </w:tcPr>
          <w:p w14:paraId="3F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рабочие места администраторов, методиста и руководителя</w:t>
            </w:r>
          </w:p>
        </w:tc>
        <w:tc>
          <w:tcPr>
            <w:tcW w:type="dxa" w:w="5103"/>
          </w:tcPr>
          <w:p w14:paraId="40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992"/>
          </w:tcPr>
          <w:p w14:paraId="41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</w:p>
        </w:tc>
      </w:tr>
      <w:tr>
        <w:tc>
          <w:tcPr>
            <w:tcW w:type="dxa" w:w="3539"/>
          </w:tcPr>
          <w:p w14:paraId="42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Многофункциональное устройство (МФУ)</w:t>
            </w:r>
          </w:p>
        </w:tc>
        <w:tc>
          <w:tcPr>
            <w:tcW w:type="dxa" w:w="5103"/>
          </w:tcPr>
          <w:p w14:paraId="43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Лазерное МФУ формата A4: печать, сканирование, копирование документов</w:t>
            </w:r>
          </w:p>
        </w:tc>
        <w:tc>
          <w:tcPr>
            <w:tcW w:type="dxa" w:w="992"/>
          </w:tcPr>
          <w:p w14:paraId="44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</w:t>
            </w:r>
          </w:p>
        </w:tc>
      </w:tr>
      <w:tr>
        <w:tc>
          <w:tcPr>
            <w:tcW w:type="dxa" w:w="3539"/>
          </w:tcPr>
          <w:p w14:paraId="45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Маршрутизатор / коммутатор</w:t>
            </w:r>
          </w:p>
        </w:tc>
        <w:tc>
          <w:tcPr>
            <w:tcW w:type="dxa" w:w="5103"/>
          </w:tcPr>
          <w:p w14:paraId="46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Организация ЛВС, поддержка проводного и Wi-Fi подключения, выход в Интернет</w:t>
            </w:r>
          </w:p>
        </w:tc>
        <w:tc>
          <w:tcPr>
            <w:tcW w:type="dxa" w:w="992"/>
          </w:tcPr>
          <w:p w14:paraId="47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</w:t>
            </w:r>
          </w:p>
        </w:tc>
      </w:tr>
      <w:tr>
        <w:tc>
          <w:tcPr>
            <w:tcW w:type="dxa" w:w="3539"/>
          </w:tcPr>
          <w:p w14:paraId="48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Сетевое хранилище (NAS)</w:t>
            </w:r>
          </w:p>
        </w:tc>
        <w:tc>
          <w:tcPr>
            <w:tcW w:type="dxa" w:w="5103"/>
          </w:tcPr>
          <w:p w14:paraId="49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Хранение общих файлов и автоматических резервных копий</w:t>
            </w:r>
          </w:p>
        </w:tc>
        <w:tc>
          <w:tcPr>
            <w:tcW w:type="dxa" w:w="992"/>
          </w:tcPr>
          <w:p w14:paraId="4A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</w:t>
            </w:r>
          </w:p>
        </w:tc>
      </w:tr>
      <w:tr>
        <w:tc>
          <w:tcPr>
            <w:tcW w:type="dxa" w:w="3539"/>
          </w:tcPr>
          <w:p w14:paraId="4B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Источник бесперебойного питания</w:t>
            </w:r>
          </w:p>
        </w:tc>
        <w:tc>
          <w:tcPr>
            <w:tcW w:type="dxa" w:w="5103"/>
          </w:tcPr>
          <w:p w14:paraId="4C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Защита сетевого оборудования и серверных ресурсов от перебоев питания</w:t>
            </w:r>
          </w:p>
        </w:tc>
        <w:tc>
          <w:tcPr>
            <w:tcW w:type="dxa" w:w="992"/>
          </w:tcPr>
          <w:p w14:paraId="4D010000">
            <w:pPr>
              <w:pStyle w:val="Style_8"/>
              <w:tabs>
                <w:tab w:leader="none" w:pos="1134" w:val="clear"/>
                <w:tab w:leader="none" w:pos="3828" w:val="clear"/>
              </w:tabs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</w:t>
            </w:r>
          </w:p>
        </w:tc>
      </w:tr>
    </w:tbl>
    <w:p w14:paraId="4E010000">
      <w:pPr>
        <w:pStyle w:val="Style_8"/>
      </w:pPr>
      <w:r>
        <w:t>Таблица 3</w:t>
      </w:r>
    </w:p>
    <w:p w14:paraId="4F010000">
      <w:pPr>
        <w:pStyle w:val="Style_9"/>
      </w:pPr>
      <w:r>
        <w:t>Состав программного обеспечения АРМ сотрудника ЦМД «Савёловский»</w:t>
      </w:r>
    </w:p>
    <w:tbl>
      <w:tblPr>
        <w:tblStyle w:val="Style_3"/>
        <w:tblLayout w:type="fixed"/>
      </w:tblPr>
      <w:tblGrid>
        <w:gridCol w:w="3114"/>
        <w:gridCol w:w="4016"/>
        <w:gridCol w:w="2551"/>
      </w:tblGrid>
      <w:tr>
        <w:tc>
          <w:tcPr>
            <w:tcW w:type="dxa" w:w="3114"/>
          </w:tcPr>
          <w:p w14:paraId="50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Программное обеспечение</w:t>
            </w:r>
          </w:p>
        </w:tc>
        <w:tc>
          <w:tcPr>
            <w:tcW w:type="dxa" w:w="4016"/>
          </w:tcPr>
          <w:p w14:paraId="51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  <w:tc>
          <w:tcPr>
            <w:tcW w:type="dxa" w:w="2551"/>
          </w:tcPr>
          <w:p w14:paraId="52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Тип лицензии</w:t>
            </w:r>
          </w:p>
        </w:tc>
      </w:tr>
      <w:tr>
        <w:tc>
          <w:tcPr>
            <w:tcW w:type="dxa" w:w="3114"/>
          </w:tcPr>
          <w:p w14:paraId="53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Microsoft Windows 10/11</w:t>
            </w:r>
          </w:p>
        </w:tc>
        <w:tc>
          <w:tcPr>
            <w:tcW w:type="dxa" w:w="4016"/>
          </w:tcPr>
          <w:p w14:paraId="54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Операционная система</w:t>
            </w:r>
          </w:p>
        </w:tc>
        <w:tc>
          <w:tcPr>
            <w:tcW w:type="dxa" w:w="2551"/>
          </w:tcPr>
          <w:p w14:paraId="55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Лицензия</w:t>
            </w:r>
          </w:p>
        </w:tc>
      </w:tr>
      <w:tr>
        <w:tc>
          <w:tcPr>
            <w:tcW w:type="dxa" w:w="3114"/>
          </w:tcPr>
          <w:p w14:paraId="56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Microsoft Office (Word, Excel)</w:t>
            </w:r>
          </w:p>
        </w:tc>
        <w:tc>
          <w:tcPr>
            <w:tcW w:type="dxa" w:w="4016"/>
          </w:tcPr>
          <w:p w14:paraId="57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Подготовка документов; ведение журнала обращений в Excel</w:t>
            </w:r>
          </w:p>
        </w:tc>
        <w:tc>
          <w:tcPr>
            <w:tcW w:type="dxa" w:w="2551"/>
          </w:tcPr>
          <w:p w14:paraId="58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Лицензия</w:t>
            </w:r>
          </w:p>
        </w:tc>
      </w:tr>
      <w:tr>
        <w:tc>
          <w:tcPr>
            <w:tcW w:type="dxa" w:w="3114"/>
          </w:tcPr>
          <w:p w14:paraId="59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Веб-браузер</w:t>
            </w:r>
          </w:p>
        </w:tc>
        <w:tc>
          <w:tcPr>
            <w:tcW w:type="dxa" w:w="4016"/>
          </w:tcPr>
          <w:p w14:paraId="5A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Доступ к городским порталам и сервисам mos.ru</w:t>
            </w:r>
          </w:p>
        </w:tc>
        <w:tc>
          <w:tcPr>
            <w:tcW w:type="dxa" w:w="2551"/>
          </w:tcPr>
          <w:p w14:paraId="5B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Свободное ПО</w:t>
            </w:r>
          </w:p>
        </w:tc>
      </w:tr>
      <w:tr>
        <w:tc>
          <w:tcPr>
            <w:tcW w:type="dxa" w:w="3114"/>
          </w:tcPr>
          <w:p w14:paraId="5C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Почтовый клиент</w:t>
            </w:r>
          </w:p>
        </w:tc>
        <w:tc>
          <w:tcPr>
            <w:tcW w:type="dxa" w:w="4016"/>
          </w:tcPr>
          <w:p w14:paraId="5D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Работа с корпоративной почтой @social.mos.ru</w:t>
            </w:r>
          </w:p>
        </w:tc>
        <w:tc>
          <w:tcPr>
            <w:tcW w:type="dxa" w:w="2551"/>
          </w:tcPr>
          <w:p w14:paraId="5E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>
        <w:tc>
          <w:tcPr>
            <w:tcW w:type="dxa" w:w="3114"/>
          </w:tcPr>
          <w:p w14:paraId="5F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Антивирусное ПО (Kaspersky)</w:t>
            </w:r>
          </w:p>
        </w:tc>
        <w:tc>
          <w:tcPr>
            <w:tcW w:type="dxa" w:w="4016"/>
          </w:tcPr>
          <w:p w14:paraId="60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Защита рабочих мест от вредоносного ПО</w:t>
            </w:r>
          </w:p>
        </w:tc>
        <w:tc>
          <w:tcPr>
            <w:tcW w:type="dxa" w:w="2551"/>
          </w:tcPr>
          <w:p w14:paraId="61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Лицензия</w:t>
            </w:r>
          </w:p>
        </w:tc>
      </w:tr>
      <w:tr>
        <w:tc>
          <w:tcPr>
            <w:tcW w:type="dxa" w:w="3114"/>
          </w:tcPr>
          <w:p w14:paraId="62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Архиватор (7-Zip)</w:t>
            </w:r>
          </w:p>
        </w:tc>
        <w:tc>
          <w:tcPr>
            <w:tcW w:type="dxa" w:w="4016"/>
          </w:tcPr>
          <w:p w14:paraId="63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Сжатие и архивирование файлов</w:t>
            </w:r>
          </w:p>
        </w:tc>
        <w:tc>
          <w:tcPr>
            <w:tcW w:type="dxa" w:w="2551"/>
          </w:tcPr>
          <w:p w14:paraId="64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Свободное ПО</w:t>
            </w:r>
          </w:p>
        </w:tc>
      </w:tr>
      <w:tr>
        <w:tc>
          <w:tcPr>
            <w:tcW w:type="dxa" w:w="3114"/>
          </w:tcPr>
          <w:p w14:paraId="65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Средство резервного копирования</w:t>
            </w:r>
          </w:p>
        </w:tc>
        <w:tc>
          <w:tcPr>
            <w:tcW w:type="dxa" w:w="4016"/>
          </w:tcPr>
          <w:p w14:paraId="66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Создание плановых резервных копий данных</w:t>
            </w:r>
          </w:p>
        </w:tc>
        <w:tc>
          <w:tcPr>
            <w:tcW w:type="dxa" w:w="2551"/>
          </w:tcPr>
          <w:p w14:paraId="6701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</w:tbl>
    <w:p w14:paraId="68010000">
      <w:pPr>
        <w:spacing w:after="0" w:line="480" w:lineRule="exact"/>
        <w:ind w:firstLine="709" w:left="0"/>
        <w:jc w:val="both"/>
        <w:rPr>
          <w:color w:val="000000"/>
        </w:rPr>
      </w:pPr>
      <w:r>
        <w:rPr>
          <w:color w:val="000000"/>
        </w:rPr>
        <w:t>Имеющаяся инфраструктура позволяет развернуть веб-приложение для работы с обращениями без закупки нового оборудования: сеть, серверное хранилище и браузеры уже установлены на каждом рабочем месте. Сервер приложения можно разместить на одном из действующих ПК либо на NAS, а доступ организовать через браузер. Такой вариант не требует установки дополнительного клиентского ПО и снижает нагрузку на технического специалиста учреждения.</w:t>
      </w:r>
    </w:p>
    <w:p w14:paraId="69010000">
      <w:pPr>
        <w:spacing w:after="0" w:line="480" w:lineRule="exact"/>
        <w:ind w:firstLine="709" w:left="0"/>
        <w:jc w:val="both"/>
        <w:rPr>
          <w:color w:val="000000"/>
        </w:rPr>
      </w:pPr>
      <w:r>
        <w:rPr>
          <w:color w:val="000000"/>
        </w:rPr>
        <w:t xml:space="preserve">Таким образом, анализ программной и технической архитектуры показывает, что Центр технически готов к внедрению информационной системы. Не хватает лишь одного звена </w:t>
      </w:r>
      <w:r>
        <w:rPr>
          <w:color w:val="000000"/>
        </w:rPr>
        <w:t>–</w:t>
      </w:r>
      <w:r>
        <w:rPr>
          <w:color w:val="000000"/>
        </w:rPr>
        <w:t xml:space="preserve"> специализированного прикладного ПО, которое обеспечило бы полный цикл работы с обращением: регистрацию, распределение по исполнителям, контроль сроков и формирование отчётности. Именно разработка этого звена составляет предмет настоящей ВКР.</w:t>
      </w:r>
    </w:p>
    <w:p w14:paraId="6A010000">
      <w:pPr>
        <w:pStyle w:val="Style_7"/>
      </w:pPr>
    </w:p>
    <w:p w14:paraId="6B010000">
      <w:bookmarkStart w:id="34" w:name="__RefHeading___31"/>
      <w:bookmarkEnd w:id="34"/>
      <w:pPr>
        <w:keepNext w:val="1"/>
        <w:keepLines w:val="1"/>
        <w:widowControl w:val="0"/>
        <w:spacing w:after="0"/>
        <w:ind/>
        <w:jc w:val="center"/>
        <w:outlineLvl w:val="1"/>
        <w:rPr>
          <w:b w:val="1"/>
        </w:rPr>
      </w:pPr>
      <w:r>
        <w:rPr>
          <w:b w:val="1"/>
        </w:rPr>
        <w:t>1.2 Характеристика комплекса задач, задачи и обоснование необходимости автоматизации</w:t>
      </w:r>
    </w:p>
    <w:p w14:paraId="6C010000">
      <w:bookmarkStart w:id="35" w:name="__RefHeading___32"/>
      <w:bookmarkEnd w:id="35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</w:rPr>
      </w:pPr>
      <w:r>
        <w:rPr>
          <w:b w:val="1"/>
        </w:rPr>
        <w:t>1.2.1 Выбор комплекса задач автоматизации и характеристика существующих бизнес процессов</w:t>
      </w:r>
    </w:p>
    <w:p w14:paraId="6D010000">
      <w:pPr>
        <w:spacing w:after="0" w:before="120" w:line="360" w:lineRule="auto"/>
        <w:ind w:firstLine="851" w:left="0"/>
        <w:jc w:val="both"/>
      </w:pPr>
    </w:p>
    <w:p w14:paraId="6E010000">
      <w:pPr>
        <w:pStyle w:val="Style_7"/>
      </w:pPr>
      <w:r>
        <w:t>На рисунке 4 представлена схема организации бизнес-процесса документооборота, отражающая порядок систематизированного управленческого контроля внутри учреждения.</w:t>
      </w:r>
    </w:p>
    <w:p w14:paraId="6F010000">
      <w:pPr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</w:rPr>
      </w:pPr>
      <w:r>
        <w:rPr>
          <w:b w:val="1"/>
        </w:rPr>
        <w:drawing>
          <wp:inline>
            <wp:extent cx="4928110" cy="3021954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4928110" cy="302195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0010000">
      <w:pPr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</w:rPr>
      </w:pPr>
      <w:r>
        <w:rPr>
          <w:b w:val="1"/>
        </w:rPr>
        <w:t>Рисунок 4. Контекстная диаграмма</w:t>
      </w:r>
    </w:p>
    <w:p w14:paraId="71010000">
      <w:pPr>
        <w:widowControl w:val="0"/>
        <w:spacing w:after="0" w:line="360" w:lineRule="auto"/>
        <w:ind w:firstLine="851" w:left="0"/>
        <w:jc w:val="both"/>
      </w:pPr>
    </w:p>
    <w:p w14:paraId="72010000">
      <w:pPr>
        <w:pStyle w:val="Style_7"/>
      </w:pPr>
      <w:r>
        <w:t>Входные информационные потоки системы включают реквизиты поступающих документов, данные для номенклатурного списка и запросы на отчётность. Выходные потоки формируются на основе сведений об исполнении документов и их передаче в архив [2]. Это наглядно отражено на диаграмме декомпозиции основного бизнес-процесса на рисунке 4.</w:t>
      </w:r>
    </w:p>
    <w:p w14:paraId="73010000">
      <w:pPr>
        <w:pStyle w:val="Style_7"/>
      </w:pPr>
      <w:r>
        <w:t>Анализ рисунка 6 показывает, что действующая в учреждении система электронного документооборота включает следующие операции:</w:t>
      </w:r>
    </w:p>
    <w:p w14:paraId="74010000">
      <w:pPr>
        <w:pStyle w:val="Style_12"/>
        <w:numPr>
          <w:ilvl w:val="0"/>
          <w:numId w:val="8"/>
        </w:numPr>
        <w:ind w:hanging="283" w:left="1134"/>
      </w:pPr>
      <w:r>
        <w:t>– упорядочивание поступающей в учреждение документации;</w:t>
      </w:r>
    </w:p>
    <w:p w14:paraId="75010000">
      <w:pPr>
        <w:pStyle w:val="Style_12"/>
        <w:numPr>
          <w:ilvl w:val="0"/>
          <w:numId w:val="8"/>
        </w:numPr>
        <w:ind w:hanging="283" w:left="1134"/>
      </w:pPr>
      <w:r>
        <w:t>– упорядочивание отправляемой из учреждения корреспонденции;</w:t>
      </w:r>
    </w:p>
    <w:p w14:paraId="76010000">
      <w:pPr>
        <w:pStyle w:val="Style_12"/>
        <w:numPr>
          <w:ilvl w:val="0"/>
          <w:numId w:val="8"/>
        </w:numPr>
        <w:ind w:hanging="283" w:left="1134"/>
      </w:pPr>
      <w:r>
        <w:t>– распределение корреспонденции с учётом ограниченности материальных и трудовых ресурсов;</w:t>
      </w:r>
    </w:p>
    <w:p w14:paraId="77010000">
      <w:pPr>
        <w:pStyle w:val="Style_12"/>
        <w:numPr>
          <w:ilvl w:val="0"/>
          <w:numId w:val="8"/>
        </w:numPr>
        <w:ind w:hanging="283" w:left="1134"/>
      </w:pPr>
      <w:r>
        <w:t>– анализ данных и подготовка отчётов с актуальной информацией.</w:t>
      </w:r>
    </w:p>
    <w:p w14:paraId="78010000">
      <w:pPr>
        <w:pStyle w:val="Style_7"/>
      </w:pPr>
      <w:r>
        <w:t>Подробнее этот процесс раскрыт на иллюстрациях, приведённых на рисунках 5–8.</w:t>
      </w:r>
    </w:p>
    <w:p w14:paraId="79010000">
      <w:pPr>
        <w:spacing w:after="60" w:before="60"/>
        <w:ind/>
        <w:jc w:val="center"/>
        <w:rPr>
          <w:rFonts w:ascii="Verdana" w:hAnsi="Verdana"/>
          <w:b w:val="1"/>
          <w:color w:val="000000"/>
          <w:sz w:val="24"/>
        </w:rPr>
      </w:pPr>
      <w:r>
        <w:rPr>
          <w:rFonts w:ascii="Verdana" w:hAnsi="Verdana"/>
          <w:b w:val="1"/>
          <w:color w:val="000000"/>
          <w:sz w:val="24"/>
        </w:rPr>
        <w:drawing>
          <wp:inline>
            <wp:extent cx="5191125" cy="3419746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10"/>
                    <a:stretch/>
                  </pic:blipFill>
                  <pic:spPr>
                    <a:xfrm flipH="false" flipV="false" rot="0">
                      <a:ext cx="5191125" cy="341974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A010000">
      <w:pPr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</w:rPr>
      </w:pPr>
      <w:r>
        <w:rPr>
          <w:b w:val="1"/>
        </w:rPr>
        <w:t>Рисунок 5. Диаграмма контроля исполнения документов</w:t>
      </w:r>
    </w:p>
    <w:p w14:paraId="7B010000">
      <w:pPr>
        <w:spacing w:after="60" w:before="60"/>
        <w:ind/>
        <w:jc w:val="center"/>
        <w:rPr>
          <w:rFonts w:ascii="Verdana" w:hAnsi="Verdana"/>
          <w:b w:val="1"/>
          <w:color w:val="000000"/>
          <w:sz w:val="24"/>
        </w:rPr>
      </w:pPr>
    </w:p>
    <w:p w14:paraId="7C010000">
      <w:pPr>
        <w:spacing w:after="60" w:before="60"/>
        <w:ind/>
        <w:jc w:val="center"/>
        <w:rPr>
          <w:rFonts w:ascii="Verdana" w:hAnsi="Verdana"/>
          <w:b w:val="1"/>
          <w:color w:val="000000"/>
          <w:sz w:val="24"/>
        </w:rPr>
      </w:pPr>
      <w:r>
        <w:rPr>
          <w:rFonts w:ascii="Verdana" w:hAnsi="Verdana"/>
          <w:b w:val="1"/>
          <w:color w:val="000000"/>
          <w:sz w:val="24"/>
        </w:rPr>
        <w:drawing>
          <wp:inline>
            <wp:extent cx="5924550" cy="3790950"/>
            <wp:effectExtent b="0" l="0" r="0" t="0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11"/>
                    <a:stretch/>
                  </pic:blipFill>
                  <pic:spPr>
                    <a:xfrm flipH="false" flipV="false" rot="0">
                      <a:ext cx="5924550" cy="37909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D010000">
      <w:pPr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</w:rPr>
      </w:pPr>
      <w:r>
        <w:rPr>
          <w:b w:val="1"/>
        </w:rPr>
        <w:t>Рисунок 6. Диаграмма ведения учета входящих документов</w:t>
      </w:r>
    </w:p>
    <w:p w14:paraId="7E010000">
      <w:pPr>
        <w:spacing w:after="60" w:before="60"/>
        <w:ind/>
        <w:jc w:val="center"/>
        <w:rPr>
          <w:b w:val="1"/>
        </w:rPr>
      </w:pPr>
    </w:p>
    <w:p w14:paraId="7F010000">
      <w:pPr>
        <w:spacing w:after="60" w:before="60"/>
        <w:ind/>
        <w:jc w:val="center"/>
        <w:rPr>
          <w:rFonts w:ascii="Verdana" w:hAnsi="Verdana"/>
          <w:b w:val="1"/>
          <w:color w:val="000000"/>
          <w:sz w:val="24"/>
        </w:rPr>
      </w:pPr>
      <w:r>
        <w:rPr>
          <w:rFonts w:ascii="Verdana" w:hAnsi="Verdana"/>
          <w:b w:val="1"/>
          <w:color w:val="000000"/>
          <w:sz w:val="24"/>
        </w:rPr>
        <w:drawing>
          <wp:inline>
            <wp:extent cx="6029325" cy="3905250"/>
            <wp:effectExtent b="0" l="0" r="0" t="0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12"/>
                    <a:stretch/>
                  </pic:blipFill>
                  <pic:spPr>
                    <a:xfrm flipH="false" flipV="false" rot="0">
                      <a:ext cx="6029325" cy="39052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0010000">
      <w:pPr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</w:rPr>
      </w:pPr>
      <w:r>
        <w:rPr>
          <w:b w:val="1"/>
        </w:rPr>
        <w:t>Рисунок 7. Диаграмма ведения журналов отправленной корреспонденции</w:t>
      </w:r>
    </w:p>
    <w:p w14:paraId="81010000">
      <w:pPr>
        <w:spacing w:after="60" w:before="60"/>
        <w:ind/>
        <w:jc w:val="center"/>
        <w:rPr>
          <w:rFonts w:ascii="Verdana" w:hAnsi="Verdana"/>
          <w:b w:val="1"/>
          <w:color w:val="000000"/>
          <w:sz w:val="24"/>
        </w:rPr>
      </w:pPr>
    </w:p>
    <w:p w14:paraId="82010000">
      <w:pPr>
        <w:spacing w:after="60" w:before="60"/>
        <w:ind/>
        <w:jc w:val="center"/>
        <w:rPr>
          <w:rFonts w:ascii="Verdana" w:hAnsi="Verdana"/>
          <w:b w:val="1"/>
          <w:color w:val="000000"/>
          <w:sz w:val="24"/>
        </w:rPr>
      </w:pPr>
      <w:r>
        <w:rPr>
          <w:rFonts w:ascii="Verdana" w:hAnsi="Verdana"/>
          <w:b w:val="1"/>
          <w:color w:val="000000"/>
          <w:sz w:val="24"/>
        </w:rPr>
        <w:drawing>
          <wp:inline>
            <wp:extent cx="6010275" cy="3819525"/>
            <wp:effectExtent b="0" l="0" r="0" t="0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3"/>
                    <a:stretch/>
                  </pic:blipFill>
                  <pic:spPr>
                    <a:xfrm flipH="false" flipV="false" rot="0">
                      <a:ext cx="6010275" cy="3819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3010000">
      <w:pPr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</w:rPr>
      </w:pPr>
      <w:r>
        <w:rPr>
          <w:b w:val="1"/>
        </w:rPr>
        <w:t>Рисунок 8. Диаграмма работы с картотекой делопроизводства</w:t>
      </w:r>
    </w:p>
    <w:p w14:paraId="84010000">
      <w:pPr>
        <w:spacing w:after="0"/>
        <w:ind w:firstLine="709" w:left="0"/>
        <w:jc w:val="both"/>
      </w:pPr>
    </w:p>
    <w:p w14:paraId="85010000">
      <w:pPr>
        <w:spacing w:after="0" w:line="360" w:lineRule="auto"/>
        <w:ind w:firstLine="851" w:left="0"/>
        <w:jc w:val="both"/>
        <w:rPr>
          <w:color w:val="000000"/>
        </w:rPr>
      </w:pPr>
      <w:r>
        <w:rPr>
          <w:color w:val="000000"/>
        </w:rPr>
        <w:t>В рассматриваемом учреждении принято вести входящую и исходящую документацию на бумажных носителях либо с использованием офисных программ.</w:t>
      </w:r>
    </w:p>
    <w:p w14:paraId="86010000">
      <w:pPr>
        <w:pStyle w:val="Style_7"/>
      </w:pPr>
      <w:r>
        <w:t>Такой подход сопряжён с очевидными издержками: данные нередко приходится вводить повторно, при переносе в учётные формы возникают ошибки, а сведение информации в единые отчёты вызывает затруднения.</w:t>
      </w:r>
    </w:p>
    <w:p w14:paraId="87010000">
      <w:pPr>
        <w:pStyle w:val="Style_7"/>
      </w:pPr>
      <w:r>
        <w:t>В Центре широко распространена практика регистрации поступающих сведений в бумажных журналах, что подтверждает факт их получения. Отсутствие современных средств автоматизированной обработки электронных документов существенно осложняет решение задач контроля исполнения.</w:t>
      </w:r>
    </w:p>
    <w:p w14:paraId="88010000">
      <w:pPr>
        <w:spacing w:after="0"/>
        <w:ind/>
        <w:jc w:val="both"/>
        <w:rPr>
          <w:sz w:val="24"/>
        </w:rPr>
      </w:pPr>
    </w:p>
    <w:p w14:paraId="89010000">
      <w:bookmarkStart w:id="36" w:name="__RefHeading___33"/>
      <w:bookmarkEnd w:id="36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</w:rPr>
      </w:pPr>
      <w:r>
        <w:rPr>
          <w:b w:val="1"/>
        </w:rPr>
        <w:t>1.2.2 Определение места проектируемой задачи в комплексе задач и ее описание</w:t>
      </w:r>
    </w:p>
    <w:p w14:paraId="8A010000">
      <w:pPr>
        <w:widowControl w:val="0"/>
        <w:spacing w:after="0" w:line="360" w:lineRule="auto"/>
        <w:ind w:firstLine="851" w:left="0"/>
        <w:jc w:val="both"/>
      </w:pPr>
    </w:p>
    <w:p w14:paraId="8B010000">
      <w:pPr>
        <w:pStyle w:val="Style_7"/>
      </w:pPr>
      <w:r>
        <w:t xml:space="preserve">Далее рассматривается вид бизнес-процесса после внедрения информационной системы. На схеме под номером 9 показана общая структура предлагаемого решения, а на схеме 10 </w:t>
      </w:r>
      <w:r>
        <w:t>–</w:t>
      </w:r>
      <w:r>
        <w:t xml:space="preserve"> подробное разложение основного процесса на составные части.</w:t>
      </w:r>
    </w:p>
    <w:p w14:paraId="8C010000">
      <w:pPr>
        <w:keepNext w:val="1"/>
        <w:spacing w:after="0" w:line="360" w:lineRule="auto"/>
        <w:ind/>
        <w:jc w:val="center"/>
        <w:rPr>
          <w:color w:val="000000"/>
          <w:spacing w:val="-3"/>
        </w:rPr>
      </w:pPr>
      <w:r>
        <w:rPr>
          <w:color w:val="000000"/>
          <w:spacing w:val="-3"/>
        </w:rPr>
        <w:drawing>
          <wp:inline>
            <wp:extent cx="5234520" cy="3426940"/>
            <wp:effectExtent b="0" l="0" r="0" t="0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4"/>
                    <a:stretch/>
                  </pic:blipFill>
                  <pic:spPr>
                    <a:xfrm flipH="false" flipV="false" rot="0">
                      <a:ext cx="5234520" cy="34269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D010000">
      <w:pPr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>Рисунок 9. Контекстная схема обновленного бизнес-процесса</w:t>
      </w:r>
    </w:p>
    <w:p w14:paraId="8E010000">
      <w:pPr>
        <w:spacing w:after="0" w:line="360" w:lineRule="auto"/>
        <w:ind w:firstLine="851" w:left="0"/>
        <w:jc w:val="both"/>
        <w:rPr>
          <w:color w:val="000000"/>
        </w:rPr>
      </w:pPr>
    </w:p>
    <w:p w14:paraId="8F010000">
      <w:pPr>
        <w:pStyle w:val="Style_7"/>
      </w:pPr>
      <w:r>
        <w:t xml:space="preserve">Не имея автоматизированных средств анализа данных, учреждение сталкивается с рядом трудностей. Прежде всего, невозможно контролировать сроки обработки документов, а значит, возрастает риск просрочек. Кроме того, без надлежащих мер контроля документ может остаться незарегистрированным. Ещё одно слабое место ручной схемы </w:t>
      </w:r>
      <w:r>
        <w:t>–</w:t>
      </w:r>
      <w:r>
        <w:t xml:space="preserve"> сложность распределения обязанностей при исполнении распоряжений руководства. Наконец, важнейшая для управления возможность </w:t>
      </w:r>
      <w:r>
        <w:t>–</w:t>
      </w:r>
      <w:r>
        <w:t xml:space="preserve"> построение аналитической отчётности по динамике документооборота </w:t>
      </w:r>
      <w:r>
        <w:t>–</w:t>
      </w:r>
      <w:r>
        <w:t xml:space="preserve"> без автоматизации практически недостижима, что заметно тормозит оптимизацию управленческих задач [10].</w:t>
      </w:r>
    </w:p>
    <w:p w14:paraId="90010000">
      <w:pPr>
        <w:pStyle w:val="Style_7"/>
      </w:pPr>
      <w:r>
        <w:t>Соблюдение сроков, от которых зависит оперативность принятия решений, остаётся обязательным условием эффективного управления. Именно поэтому назрела необходимость модернизации схемы документооборота, детально показанной на схеме 10.</w:t>
      </w:r>
    </w:p>
    <w:p w14:paraId="91010000">
      <w:pPr>
        <w:keepNext w:val="1"/>
        <w:spacing w:after="0" w:line="360" w:lineRule="auto"/>
        <w:ind/>
        <w:jc w:val="center"/>
        <w:rPr>
          <w:color w:val="000000"/>
          <w:spacing w:val="-3"/>
        </w:rPr>
      </w:pPr>
      <w:r>
        <w:rPr>
          <w:color w:val="000000"/>
          <w:spacing w:val="-3"/>
        </w:rPr>
        <w:drawing>
          <wp:inline>
            <wp:extent cx="5685155" cy="4231758"/>
            <wp:effectExtent b="0" l="0" r="0" t="0"/>
            <wp:docPr hidden="false" id="24" name="Picture 24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5"/>
                    <a:stretch/>
                  </pic:blipFill>
                  <pic:spPr>
                    <a:xfrm flipH="false" flipV="false" rot="0">
                      <a:ext cx="5685155" cy="423175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2010000">
      <w:pPr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>Рисунок 10. Схема декомпозиции обновленного бизнес-процесса</w:t>
      </w:r>
    </w:p>
    <w:p w14:paraId="93010000">
      <w:pPr>
        <w:spacing w:after="0"/>
        <w:ind/>
        <w:rPr>
          <w:sz w:val="24"/>
        </w:rPr>
      </w:pPr>
    </w:p>
    <w:p w14:paraId="94010000">
      <w:bookmarkStart w:id="37" w:name="__RefHeading___34"/>
      <w:bookmarkEnd w:id="37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</w:rPr>
      </w:pPr>
      <w:r>
        <w:rPr>
          <w:b w:val="1"/>
        </w:rPr>
        <w:t>1.2.3 Обоснование необходимости использования вычислительной техники для решения задачи</w:t>
      </w:r>
    </w:p>
    <w:p w14:paraId="95010000">
      <w:pPr>
        <w:widowControl w:val="0"/>
        <w:spacing w:after="0" w:line="360" w:lineRule="auto"/>
        <w:ind w:firstLine="851" w:left="0"/>
        <w:jc w:val="both"/>
      </w:pPr>
    </w:p>
    <w:p w14:paraId="96010000">
      <w:pPr>
        <w:pStyle w:val="Style_7"/>
      </w:pPr>
      <w:r>
        <w:t>Документооборот сопровождает деятельность любого учреждения, включая социальную сферу. Специалист-делопроизводитель, руководствуясь должностной инструкцией, ежедневно принимает, регистрирует и упорядочивает значительные объёмы входящей, текущей и исходящей информации.</w:t>
      </w:r>
    </w:p>
    <w:p w14:paraId="97010000">
      <w:pPr>
        <w:pStyle w:val="Style_7"/>
      </w:pPr>
      <w:r>
        <w:t>На рисунке 11 приведён документооборот, соответствующий функциям специалиста по делопроизводству [14].</w:t>
      </w:r>
    </w:p>
    <w:p w14:paraId="98010000">
      <w:pPr>
        <w:spacing w:after="0" w:line="360" w:lineRule="auto"/>
        <w:ind w:firstLine="851" w:left="0"/>
        <w:jc w:val="both"/>
        <w:rPr>
          <w:color w:val="000000"/>
        </w:rPr>
      </w:pPr>
    </w:p>
    <w:p w14:paraId="99010000">
      <w:pPr>
        <w:keepNext w:val="1"/>
        <w:spacing w:after="0" w:line="360" w:lineRule="auto"/>
        <w:ind/>
        <w:jc w:val="center"/>
        <w:rPr>
          <w:color w:val="000000"/>
          <w:spacing w:val="-3"/>
        </w:rPr>
      </w:pPr>
      <w:r>
        <w:rPr>
          <w:color w:val="000000"/>
          <w:spacing w:val="-3"/>
        </w:rPr>
        <w:drawing>
          <wp:inline>
            <wp:extent cx="5829300" cy="4114800"/>
            <wp:effectExtent b="0" l="0" r="0" t="0"/>
            <wp:docPr hidden="false" id="26" name="Picture 26"/>
            <a:graphic>
              <a:graphicData uri="http://schemas.openxmlformats.org/drawingml/2006/picture">
                <pic:pic>
                  <pic:nvPicPr>
                    <pic:cNvPr hidden="false" id="25" name="Picture 25"/>
                    <pic:cNvPicPr preferRelativeResize="true"/>
                  </pic:nvPicPr>
                  <pic:blipFill>
                    <a:blip r:embed="rId16"/>
                    <a:srcRect b="0" l="0" r="0" t="0"/>
                    <a:stretch/>
                  </pic:blipFill>
                  <pic:spPr>
                    <a:xfrm flipH="false" flipV="false" rot="0">
                      <a:ext cx="58293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A010000">
      <w:pPr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 xml:space="preserve">Рисунок 11. Схема электронного документооборота </w:t>
      </w:r>
    </w:p>
    <w:p w14:paraId="9B010000">
      <w:pPr>
        <w:spacing w:after="0" w:line="360" w:lineRule="auto"/>
        <w:ind w:firstLine="851" w:left="0"/>
        <w:jc w:val="both"/>
        <w:rPr>
          <w:color w:val="000000"/>
        </w:rPr>
      </w:pPr>
    </w:p>
    <w:p w14:paraId="9C010000">
      <w:pPr>
        <w:pStyle w:val="Style_7"/>
      </w:pPr>
      <w:r>
        <w:t>Данные, сопоставляющие затраты времени на перечисленные операции в обеих технологиях, для наглядности представлены в таблице 4.</w:t>
      </w:r>
    </w:p>
    <w:p w14:paraId="9D01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right"/>
        <w:rPr>
          <w:b w:val="1"/>
          <w:color w:val="000000"/>
        </w:rPr>
      </w:pPr>
      <w:r>
        <w:rPr>
          <w:b w:val="1"/>
          <w:color w:val="000000"/>
        </w:rPr>
        <w:t>Таблица 4</w:t>
      </w:r>
    </w:p>
    <w:p w14:paraId="9E01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>Частота формирования отчетных документов</w:t>
      </w:r>
    </w:p>
    <w:tbl>
      <w:tblPr>
        <w:tblStyle w:val="Style_2"/>
        <w:tblLayout w:type="fixed"/>
        <w:tblCellMar>
          <w:left w:type="dxa" w:w="10"/>
          <w:right w:type="dxa" w:w="10"/>
        </w:tblCellMar>
      </w:tblPr>
      <w:tblGrid>
        <w:gridCol w:w="4678"/>
        <w:gridCol w:w="1559"/>
        <w:gridCol w:w="1983"/>
        <w:gridCol w:w="1418"/>
      </w:tblGrid>
      <w:tr>
        <w:trPr>
          <w:trHeight w:hRule="atLeast" w:val="20"/>
        </w:trPr>
        <w:tc>
          <w:tcPr>
            <w:tcW w:type="dxa" w:w="4678"/>
            <w:vMerge w:val="restart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F01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Название документа</w:t>
            </w:r>
          </w:p>
        </w:tc>
        <w:tc>
          <w:tcPr>
            <w:tcW w:type="dxa" w:w="3542"/>
            <w:gridSpan w:val="2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001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Длительность выполнения операции, мин</w:t>
            </w:r>
          </w:p>
        </w:tc>
        <w:tc>
          <w:tcPr>
            <w:tcW w:type="dxa" w:w="1418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101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Количество операций в год</w:t>
            </w:r>
          </w:p>
        </w:tc>
      </w:tr>
      <w:tr>
        <w:trPr>
          <w:trHeight w:hRule="atLeast" w:val="20"/>
        </w:trPr>
        <w:tc>
          <w:tcPr>
            <w:tcW w:type="dxa" w:w="4678"/>
            <w:gridSpan w:val="1"/>
            <w:vMerge w:val="continue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1559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201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по базовой технологии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301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с использованием ИС</w:t>
            </w:r>
          </w:p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4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Регистрация поступающей корреспонденции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5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6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0,5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7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5000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8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Регистрация отправляемой корреспонденции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9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A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0,5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B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5000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C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Определение сотрудников для исполнения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D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E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0,2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F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5000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B0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Списание в дело отработанного документа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B1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B2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0,2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B3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5000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B4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Формирование списка документов, находящихся в работе специалистов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B5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B6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0,5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B7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50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B8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Поиск данных по документам с нарушенным сроком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B9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BA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0,5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BB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50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BC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Формирование отчетности по сотрудникам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BD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BE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0,5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BF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0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Изменение списка сотрудников, задействованных в исполнении документа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1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2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301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5000</w:t>
            </w:r>
          </w:p>
        </w:tc>
      </w:tr>
    </w:tbl>
    <w:p w14:paraId="C4010000">
      <w:pPr>
        <w:spacing w:after="0" w:line="360" w:lineRule="auto"/>
        <w:ind w:firstLine="709" w:left="0"/>
        <w:jc w:val="both"/>
      </w:pPr>
    </w:p>
    <w:p w14:paraId="C5010000">
      <w:pPr>
        <w:pStyle w:val="Style_7"/>
      </w:pPr>
      <w:r>
        <w:t>Расчёты показывают, что внедрение информационной системы контроля исполнения документов заметно сократит время на отслеживание отработки резолюций и получение данных о ходе работы, а также позволит объективно оценивать нагрузку на специалистов.</w:t>
      </w:r>
    </w:p>
    <w:p w14:paraId="C6010000">
      <w:pPr>
        <w:spacing w:after="0"/>
        <w:ind/>
        <w:jc w:val="center"/>
        <w:rPr>
          <w:sz w:val="24"/>
        </w:rPr>
      </w:pPr>
    </w:p>
    <w:p w14:paraId="C7010000">
      <w:bookmarkStart w:id="38" w:name="__RefHeading___35"/>
      <w:bookmarkEnd w:id="38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</w:rPr>
      </w:pPr>
      <w:r>
        <w:rPr>
          <w:b w:val="1"/>
        </w:rPr>
        <w:t>1.2.4 Анализ системы обеспечения информационной безопасности и защиты информации</w:t>
      </w:r>
    </w:p>
    <w:p w14:paraId="C8010000">
      <w:pPr>
        <w:widowControl w:val="0"/>
        <w:spacing w:after="0" w:line="360" w:lineRule="auto"/>
        <w:ind w:firstLine="851" w:left="0"/>
        <w:jc w:val="both"/>
      </w:pPr>
    </w:p>
    <w:p w14:paraId="C901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В учреждении действует политика конфиденциальности. При трудоустройстве каждый сотрудник проходит инструктаж, подписывает трудовой договор, а также обязательство о неразглашении информации.</w:t>
      </w:r>
    </w:p>
    <w:p w14:paraId="CA01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Поскольку часть сотрудников работает с финансовой информацией, вход в компьютер осуществляется исключительно по логину и паролю.</w:t>
      </w:r>
    </w:p>
    <w:p w14:paraId="CB01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Для защиты от интернет-угроз на компьютерах и ноутбуках установлен антивирус Kaspersky.</w:t>
      </w:r>
    </w:p>
    <w:p w14:paraId="CC01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Данное средство обеспечивает:</w:t>
      </w:r>
    </w:p>
    <w:p w14:paraId="CD010000">
      <w:pPr>
        <w:spacing w:after="0" w:line="360" w:lineRule="auto"/>
        <w:ind w:hanging="425" w:left="1276"/>
        <w:contextualSpacing w:val="1"/>
      </w:pPr>
      <w:r>
        <w:t>– противодействие хакерским атакам;</w:t>
      </w:r>
    </w:p>
    <w:p w14:paraId="CE010000">
      <w:pPr>
        <w:spacing w:after="0" w:line="360" w:lineRule="auto"/>
        <w:ind w:hanging="425" w:left="1276"/>
        <w:contextualSpacing w:val="1"/>
      </w:pPr>
      <w:r>
        <w:t>– защиту от фишинга;</w:t>
      </w:r>
    </w:p>
    <w:p w14:paraId="CF010000">
      <w:pPr>
        <w:spacing w:after="0" w:line="360" w:lineRule="auto"/>
        <w:ind w:hanging="425" w:left="1276"/>
        <w:contextualSpacing w:val="1"/>
      </w:pPr>
      <w:r>
        <w:t>– работу сетевого экрана;</w:t>
      </w:r>
    </w:p>
    <w:p w14:paraId="D0010000">
      <w:pPr>
        <w:spacing w:after="0" w:line="360" w:lineRule="auto"/>
        <w:ind w:hanging="425" w:left="1276"/>
        <w:contextualSpacing w:val="1"/>
      </w:pPr>
      <w:r>
        <w:t>– безопасную работу с электронной почтой;</w:t>
      </w:r>
    </w:p>
    <w:p w14:paraId="D1010000">
      <w:pPr>
        <w:spacing w:after="0" w:line="360" w:lineRule="auto"/>
        <w:ind w:hanging="425" w:left="1276"/>
        <w:contextualSpacing w:val="1"/>
      </w:pPr>
      <w:r>
        <w:t>– контроль подключаемых съёмных устройств;</w:t>
      </w:r>
    </w:p>
    <w:p w14:paraId="D2010000">
      <w:pPr>
        <w:spacing w:after="0" w:line="360" w:lineRule="auto"/>
        <w:ind w:hanging="425" w:left="1276"/>
        <w:contextualSpacing w:val="1"/>
      </w:pPr>
      <w:r>
        <w:t>– фильтрацию массовых спам-рассылок [13].</w:t>
      </w:r>
    </w:p>
    <w:p w14:paraId="D301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Дополнительно на компьютерах развёрнута утилита Security Administrator 14.0, ограничивающая доступ к устройству и его настройкам.</w:t>
      </w:r>
    </w:p>
    <w:p w14:paraId="D4010000">
      <w:pPr>
        <w:spacing w:after="0" w:line="360" w:lineRule="auto"/>
        <w:ind w:firstLine="851" w:left="0"/>
        <w:jc w:val="both"/>
        <w:rPr>
          <w:color w:themeColor="text1" w:val="000000"/>
          <w:sz w:val="24"/>
        </w:rPr>
      </w:pPr>
      <w:r>
        <w:rPr>
          <w:color w:themeColor="text1" w:val="000000"/>
        </w:rPr>
        <w:t>Основной учёт ведётся в программе, где сосредоточена вся необходимая информация, а доступ к ней также защищён средствами аутентификации [22].</w:t>
      </w:r>
    </w:p>
    <w:p w14:paraId="D501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К средствам сетевой безопасности относятся межсетевые экраны и специализированное программное обеспечение. Наряду с этим требуется усилить защиту рабочих станций и исключить физический доступ посторонних лиц.Также необходимо повысить безопасность рабочих станций и исключить физический доступ внешних злоумышленников.</w:t>
      </w:r>
    </w:p>
    <w:p w14:paraId="D6010000">
      <w:pPr>
        <w:spacing w:after="0"/>
        <w:ind/>
        <w:jc w:val="both"/>
        <w:rPr>
          <w:sz w:val="24"/>
        </w:rPr>
      </w:pPr>
    </w:p>
    <w:p w14:paraId="D7010000">
      <w:bookmarkStart w:id="39" w:name="__RefHeading___36"/>
      <w:bookmarkEnd w:id="39"/>
      <w:pPr>
        <w:keepNext w:val="1"/>
        <w:keepLines w:val="1"/>
        <w:widowControl w:val="0"/>
        <w:spacing w:after="0"/>
        <w:ind/>
        <w:jc w:val="center"/>
        <w:outlineLvl w:val="1"/>
        <w:rPr>
          <w:b w:val="1"/>
        </w:rPr>
      </w:pPr>
      <w:r>
        <w:rPr>
          <w:b w:val="1"/>
        </w:rPr>
        <w:t>1.3 Анализ существующих разработок и выбор стратегии автоматизации «КАК ДОЛЖНО БЫТЬ»</w:t>
      </w:r>
    </w:p>
    <w:p w14:paraId="D8010000">
      <w:bookmarkStart w:id="40" w:name="__RefHeading___37"/>
      <w:bookmarkEnd w:id="40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</w:rPr>
      </w:pPr>
      <w:r>
        <w:rPr>
          <w:b w:val="1"/>
        </w:rPr>
        <w:t>1.3.1 Анализ существующих разработок для автоматизации задачи</w:t>
      </w:r>
    </w:p>
    <w:p w14:paraId="D9010000">
      <w:pPr>
        <w:spacing w:after="0" w:before="120" w:line="360" w:lineRule="auto"/>
        <w:ind w:firstLine="851" w:left="0"/>
        <w:jc w:val="both"/>
      </w:pPr>
    </w:p>
    <w:p w14:paraId="DA010000">
      <w:pPr>
        <w:pStyle w:val="Style_7"/>
      </w:pPr>
      <w:r>
        <w:t>Рынок информационных продуктов предлагает широкий выбор программных разработок с богатым набором функциональных возможностей.</w:t>
      </w:r>
    </w:p>
    <w:p w14:paraId="DB010000">
      <w:pPr>
        <w:pStyle w:val="Style_7"/>
      </w:pPr>
      <w:r>
        <w:t xml:space="preserve">Как и в других областях, сегодня существует немало программных средств, способных решить поставленную в работе задачу </w:t>
      </w:r>
      <w:r>
        <w:t>–</w:t>
      </w:r>
      <w:r>
        <w:t xml:space="preserve"> автоматизацию контроля исполнения документов. Особенность этой задачи в том, что помимо привычного учёта документов система должна поддерживать распределение работы между исполнителями, взаимодействие с корреспондентами и элементы планирования деятельности.</w:t>
      </w:r>
    </w:p>
    <w:p w14:paraId="DC010000">
      <w:pPr>
        <w:pStyle w:val="Style_7"/>
      </w:pPr>
      <w:r>
        <w:t>Directum Lite.</w:t>
      </w:r>
    </w:p>
    <w:p w14:paraId="DD010000">
      <w:pPr>
        <w:pStyle w:val="Style_7"/>
      </w:pPr>
      <w:r>
        <w:t>Респект: Учет договоров.</w:t>
      </w:r>
    </w:p>
    <w:p w14:paraId="DE010000">
      <w:pPr>
        <w:pStyle w:val="Style_7"/>
      </w:pPr>
      <w:r>
        <w:t>1С: Документооборот.</w:t>
      </w:r>
    </w:p>
    <w:p w14:paraId="DF010000">
      <w:pPr>
        <w:pStyle w:val="Style_7"/>
      </w:pPr>
      <w:r>
        <w:t>Астрал.ЭДО.</w:t>
      </w:r>
    </w:p>
    <w:p w14:paraId="E0010000">
      <w:pPr>
        <w:pStyle w:val="Style_7"/>
      </w:pPr>
      <w:r>
        <w:t>ЭДО.Поток.</w:t>
      </w:r>
    </w:p>
    <w:p w14:paraId="E1010000">
      <w:pPr>
        <w:pStyle w:val="Style_7"/>
      </w:pPr>
      <w:r>
        <w:t>Далее рассмотрены системы, наиболее подходящие для данного учреждения.</w:t>
      </w:r>
    </w:p>
    <w:p w14:paraId="E2010000">
      <w:pPr>
        <w:pStyle w:val="Style_7"/>
      </w:pPr>
      <w:bookmarkStart w:id="41" w:name="_Hlk156055892"/>
      <w:r>
        <w:t>Система Directum представляет собой многофункциональную платформу для обмена документами и ведения деятельности [21]. Она обеспечивает конфиденциальность и защищённость персональных данных, что подтверждается описанием на рисунке 12.</w:t>
      </w:r>
      <w:bookmarkEnd w:id="41"/>
    </w:p>
    <w:p w14:paraId="E3010000">
      <w:pPr>
        <w:keepNext w:val="1"/>
        <w:spacing w:after="0" w:line="360" w:lineRule="auto"/>
        <w:ind/>
        <w:jc w:val="center"/>
        <w:rPr>
          <w:color w:val="000000"/>
          <w:highlight w:val="white"/>
        </w:rPr>
      </w:pPr>
      <w:r>
        <w:rPr>
          <w:color w:val="000000"/>
          <w:highlight w:val="white"/>
        </w:rPr>
        <w:drawing>
          <wp:inline>
            <wp:extent cx="5939790" cy="3186430"/>
            <wp:effectExtent b="0" l="0" r="0" t="0"/>
            <wp:docPr hidden="false" id="28" name="Picture 28"/>
            <a:graphic>
              <a:graphicData uri="http://schemas.openxmlformats.org/drawingml/2006/picture">
                <pic:pic>
                  <pic:nvPicPr>
                    <pic:cNvPr hidden="false" id="27" name="Picture 27"/>
                    <pic:cNvPicPr preferRelativeResize="true"/>
                  </pic:nvPicPr>
                  <pic:blipFill>
                    <a:blip r:embed="rId17"/>
                    <a:stretch/>
                  </pic:blipFill>
                  <pic:spPr>
                    <a:xfrm flipH="false" flipV="false" rot="0">
                      <a:ext cx="5939790" cy="318643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E4010000">
      <w:pPr>
        <w:spacing w:after="0"/>
        <w:ind/>
        <w:jc w:val="center"/>
        <w:rPr>
          <w:rFonts w:ascii="Times New Roman Полужирный" w:hAnsi="Times New Roman Полужирный"/>
          <w:b w:val="1"/>
          <w:color w:val="000000"/>
        </w:rPr>
      </w:pPr>
      <w:bookmarkStart w:id="42" w:name="_Hlk156055916"/>
      <w:r>
        <w:rPr>
          <w:rFonts w:ascii="Times New Roman Полужирный" w:hAnsi="Times New Roman Полужирный"/>
          <w:b w:val="1"/>
          <w:color w:val="000000"/>
        </w:rPr>
        <w:t>Рисунок 1</w:t>
      </w:r>
      <w:r>
        <w:rPr>
          <w:rFonts w:ascii="Times New Roman Полужирный" w:hAnsi="Times New Roman Полужирный"/>
          <w:b w:val="1"/>
          <w:color w:val="000000"/>
        </w:rPr>
        <w:t>2.</w:t>
      </w:r>
      <w:r>
        <w:rPr>
          <w:rFonts w:ascii="Times New Roman Полужирный" w:hAnsi="Times New Roman Полужирный"/>
          <w:b w:val="1"/>
          <w:color w:val="000000"/>
        </w:rPr>
        <w:t xml:space="preserve"> Система Directum</w:t>
      </w:r>
      <w:bookmarkEnd w:id="42"/>
    </w:p>
    <w:p w14:paraId="E5010000">
      <w:pPr>
        <w:spacing w:after="0" w:line="360" w:lineRule="auto"/>
        <w:ind w:firstLine="851" w:left="0"/>
        <w:jc w:val="both"/>
        <w:rPr>
          <w:color w:val="000000"/>
        </w:rPr>
      </w:pPr>
    </w:p>
    <w:p w14:paraId="E6010000">
      <w:pPr>
        <w:widowControl w:val="0"/>
        <w:spacing w:after="0" w:line="360" w:lineRule="auto"/>
        <w:ind w:firstLine="709" w:left="0"/>
        <w:jc w:val="both"/>
        <w:rPr>
          <w:color w:val="000000"/>
        </w:rPr>
      </w:pPr>
      <w:r>
        <w:rPr>
          <w:color w:val="000000"/>
        </w:rPr>
        <w:t>Ключевые возможности программы:</w:t>
      </w:r>
    </w:p>
    <w:p w14:paraId="E7010000">
      <w:pPr>
        <w:pStyle w:val="Style_7"/>
      </w:pPr>
      <w:r>
        <w:t>– обмен документами и регистрация договоров;</w:t>
      </w:r>
    </w:p>
    <w:p w14:paraId="E8010000">
      <w:pPr>
        <w:widowControl w:val="0"/>
        <w:tabs>
          <w:tab w:leader="none" w:pos="1090" w:val="left"/>
        </w:tabs>
        <w:spacing w:after="0" w:line="360" w:lineRule="auto"/>
        <w:ind w:firstLine="709" w:left="0"/>
        <w:jc w:val="both"/>
        <w:rPr>
          <w:color w:val="000000"/>
        </w:rPr>
      </w:pPr>
      <w:r>
        <w:rPr>
          <w:color w:val="000000"/>
        </w:rPr>
        <w:t>– взаимодействие между руководителями и сотрудниками;</w:t>
      </w:r>
    </w:p>
    <w:p w14:paraId="E9010000">
      <w:pPr>
        <w:widowControl w:val="0"/>
        <w:tabs>
          <w:tab w:leader="none" w:pos="1090" w:val="left"/>
        </w:tabs>
        <w:spacing w:after="0" w:line="360" w:lineRule="auto"/>
        <w:ind w:firstLine="709" w:left="0"/>
        <w:jc w:val="both"/>
        <w:rPr>
          <w:color w:val="000000"/>
        </w:rPr>
      </w:pPr>
      <w:r>
        <w:rPr>
          <w:color w:val="000000"/>
        </w:rPr>
        <w:t>– поиск материалов и реквизитов в массиве документации;</w:t>
      </w:r>
    </w:p>
    <w:p w14:paraId="EA010000">
      <w:pPr>
        <w:widowControl w:val="0"/>
        <w:tabs>
          <w:tab w:leader="none" w:pos="1090" w:val="left"/>
        </w:tabs>
        <w:spacing w:after="0" w:line="360" w:lineRule="auto"/>
        <w:ind w:firstLine="709" w:left="0"/>
        <w:jc w:val="both"/>
        <w:rPr>
          <w:color w:val="000000"/>
        </w:rPr>
      </w:pPr>
      <w:r>
        <w:rPr>
          <w:color w:val="000000"/>
        </w:rPr>
        <w:t>– контроль выполнения заданий;</w:t>
      </w:r>
    </w:p>
    <w:p w14:paraId="EB010000">
      <w:pPr>
        <w:widowControl w:val="0"/>
        <w:tabs>
          <w:tab w:leader="none" w:pos="1090" w:val="left"/>
        </w:tabs>
        <w:spacing w:after="0" w:line="360" w:lineRule="auto"/>
        <w:ind w:firstLine="709" w:left="0"/>
        <w:jc w:val="both"/>
        <w:rPr>
          <w:color w:val="000000"/>
        </w:rPr>
      </w:pPr>
      <w:r>
        <w:rPr>
          <w:color w:val="000000"/>
        </w:rPr>
        <w:t>– отчётность на основе анализа и мониторинга работы персонала;</w:t>
      </w:r>
    </w:p>
    <w:p w14:paraId="EC010000">
      <w:pPr>
        <w:widowControl w:val="0"/>
        <w:tabs>
          <w:tab w:leader="none" w:pos="1090" w:val="left"/>
        </w:tabs>
        <w:spacing w:after="0" w:line="360" w:lineRule="auto"/>
        <w:ind w:firstLine="709" w:left="0"/>
        <w:jc w:val="both"/>
        <w:rPr>
          <w:color w:val="000000"/>
        </w:rPr>
      </w:pPr>
      <w:r>
        <w:rPr>
          <w:color w:val="000000"/>
        </w:rPr>
        <w:t>– архивирование и длительное хранение данных на платформе;</w:t>
      </w:r>
    </w:p>
    <w:p w14:paraId="ED010000">
      <w:pPr>
        <w:widowControl w:val="0"/>
        <w:tabs>
          <w:tab w:leader="none" w:pos="1090" w:val="left"/>
        </w:tabs>
        <w:spacing w:after="0" w:line="360" w:lineRule="auto"/>
        <w:ind w:firstLine="709" w:left="0"/>
        <w:jc w:val="both"/>
        <w:rPr>
          <w:color w:val="000000"/>
        </w:rPr>
      </w:pPr>
      <w:r>
        <w:rPr>
          <w:color w:val="000000"/>
        </w:rPr>
        <w:t>– совместный доступ сотрудников к документам и заданиям [21].</w:t>
      </w:r>
    </w:p>
    <w:p w14:paraId="EE010000">
      <w:pPr>
        <w:widowControl w:val="0"/>
        <w:spacing w:after="0" w:line="360" w:lineRule="auto"/>
        <w:ind w:firstLine="709" w:left="0"/>
        <w:jc w:val="both"/>
        <w:rPr>
          <w:color w:val="000000"/>
        </w:rPr>
      </w:pPr>
      <w:bookmarkStart w:id="43" w:name="_Hlk156055942"/>
      <w:bookmarkStart w:id="44" w:name="_Hlk202807310"/>
      <w:r>
        <w:rPr>
          <w:color w:val="000000"/>
        </w:rPr>
        <w:t xml:space="preserve">Sabi </w:t>
      </w:r>
      <w:r>
        <w:rPr>
          <w:color w:val="000000"/>
        </w:rPr>
        <w:t>–</w:t>
      </w:r>
      <w:r>
        <w:rPr>
          <w:color w:val="000000"/>
        </w:rPr>
        <w:t xml:space="preserve"> программа для организации договорной работы на предприятии; её интерфейс представлен на рисунке 13.</w:t>
      </w:r>
      <w:bookmarkEnd w:id="43"/>
      <w:bookmarkEnd w:id="44"/>
    </w:p>
    <w:p w14:paraId="EF010000">
      <w:pPr>
        <w:keepNext w:val="1"/>
        <w:spacing w:after="0" w:line="360" w:lineRule="auto"/>
        <w:ind/>
        <w:jc w:val="center"/>
        <w:rPr>
          <w:color w:val="000000"/>
        </w:rPr>
      </w:pPr>
      <w:r>
        <w:rPr>
          <w:color w:val="000000"/>
        </w:rPr>
        <w:drawing>
          <wp:inline>
            <wp:extent cx="5939790" cy="2923540"/>
            <wp:effectExtent b="0" l="0" r="0" t="0"/>
            <wp:docPr hidden="false" id="30" name="Picture 30"/>
            <a:graphic>
              <a:graphicData uri="http://schemas.openxmlformats.org/drawingml/2006/picture">
                <pic:pic>
                  <pic:nvPicPr>
                    <pic:cNvPr hidden="false" id="29" name="Picture 29"/>
                    <pic:cNvPicPr preferRelativeResize="true"/>
                  </pic:nvPicPr>
                  <pic:blipFill>
                    <a:blip r:embed="rId18"/>
                    <a:stretch/>
                  </pic:blipFill>
                  <pic:spPr>
                    <a:xfrm flipH="false" flipV="false" rot="0">
                      <a:ext cx="5939790" cy="29235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0010000">
      <w:pPr>
        <w:spacing w:after="0"/>
        <w:ind/>
        <w:jc w:val="center"/>
        <w:rPr>
          <w:rFonts w:ascii="Times New Roman Полужирный" w:hAnsi="Times New Roman Полужирный"/>
          <w:b w:val="1"/>
          <w:color w:val="000000"/>
        </w:rPr>
      </w:pPr>
      <w:bookmarkStart w:id="45" w:name="_Hlk156056003"/>
      <w:r>
        <w:rPr>
          <w:rFonts w:ascii="Times New Roman Полужирный" w:hAnsi="Times New Roman Полужирный"/>
          <w:b w:val="1"/>
          <w:color w:val="000000"/>
        </w:rPr>
        <w:t>Рисунок 1</w:t>
      </w:r>
      <w:r>
        <w:rPr>
          <w:rFonts w:ascii="Calibri" w:hAnsi="Calibri"/>
          <w:b w:val="1"/>
          <w:color w:val="000000"/>
        </w:rPr>
        <w:t>3.</w:t>
      </w:r>
      <w:r>
        <w:rPr>
          <w:rFonts w:ascii="Times New Roman Полужирный" w:hAnsi="Times New Roman Полужирный"/>
          <w:b w:val="1"/>
          <w:color w:val="000000"/>
        </w:rPr>
        <w:t xml:space="preserve"> Система </w:t>
      </w:r>
      <w:r>
        <w:rPr>
          <w:rFonts w:ascii="Times New Roman Полужирный" w:hAnsi="Times New Roman Полужирный"/>
          <w:b w:val="1"/>
          <w:color w:val="000000"/>
        </w:rPr>
        <w:t>Sabi</w:t>
      </w:r>
      <w:bookmarkEnd w:id="45"/>
    </w:p>
    <w:p w14:paraId="F1010000">
      <w:pPr>
        <w:spacing w:after="0" w:line="360" w:lineRule="auto"/>
        <w:ind w:firstLine="851" w:left="0"/>
        <w:jc w:val="both"/>
        <w:rPr>
          <w:color w:val="000000"/>
        </w:rPr>
      </w:pPr>
    </w:p>
    <w:p w14:paraId="F2010000">
      <w:pPr>
        <w:pStyle w:val="Style_7"/>
      </w:pPr>
      <w:r>
        <w:t>Программа автоматизирует управление договорами и позволяет включить договорной учёт в планово-финансовый контур предприятия.</w:t>
      </w:r>
    </w:p>
    <w:p w14:paraId="F3010000">
      <w:pPr>
        <w:pStyle w:val="Style_7"/>
      </w:pPr>
      <w:r>
        <w:t>Ключевые возможности программы:</w:t>
      </w:r>
    </w:p>
    <w:p w14:paraId="F4010000">
      <w:pPr>
        <w:pStyle w:val="Style_7"/>
      </w:pPr>
      <w:r>
        <w:t>– подготовка и согласование договоров;</w:t>
      </w:r>
    </w:p>
    <w:p w14:paraId="F5010000">
      <w:pPr>
        <w:pStyle w:val="Style_7"/>
      </w:pPr>
      <w:r>
        <w:t>– формирование бланков документов;</w:t>
      </w:r>
    </w:p>
    <w:p w14:paraId="F6010000">
      <w:pPr>
        <w:pStyle w:val="Style_7"/>
      </w:pPr>
      <w:r>
        <w:t>– ведение журнала договоров предприятия;</w:t>
      </w:r>
    </w:p>
    <w:p w14:paraId="F7010000">
      <w:pPr>
        <w:pStyle w:val="Style_7"/>
      </w:pPr>
      <w:r>
        <w:t>– планирование и контроль исполнения договоров.</w:t>
      </w:r>
    </w:p>
    <w:p w14:paraId="F8010000">
      <w:pPr>
        <w:pStyle w:val="Style_7"/>
      </w:pPr>
      <w:r>
        <w:t>Для функционирования приложения аппаратное и программное обеспечение должно соответствовать требованиям платформы 1С: Предприятие 8.</w:t>
      </w:r>
    </w:p>
    <w:p w14:paraId="F9010000">
      <w:pPr>
        <w:pStyle w:val="Style_7"/>
        <w:rPr>
          <w:color w:val="222222"/>
        </w:rPr>
      </w:pPr>
      <w:r>
        <w:rPr>
          <w:color w:val="222222"/>
        </w:rPr>
        <w:t>Комплексная автоматизированная система «1С: Документооборот» предназначена для автоматизации управления на средних и крупных предприятиях, в том числе обладающих сложной организационной (филиалы, холдинги) и территориально распределённой структурой [18]. Пример реализации бизнес-процесса «Управление договорами» приведён на рисунке 14.</w:t>
      </w:r>
    </w:p>
    <w:p w14:paraId="FA010000">
      <w:pPr>
        <w:keepNext w:val="1"/>
        <w:spacing w:after="0" w:line="360" w:lineRule="auto"/>
        <w:ind/>
        <w:jc w:val="center"/>
        <w:rPr>
          <w:color w:val="000000"/>
        </w:rPr>
      </w:pPr>
      <w:r>
        <w:rPr>
          <w:color w:val="000000"/>
        </w:rPr>
        <w:drawing>
          <wp:inline>
            <wp:extent cx="5937141" cy="3381935"/>
            <wp:effectExtent b="0" l="0" r="0" t="0"/>
            <wp:docPr hidden="false" id="32" name="Picture 32"/>
            <a:graphic>
              <a:graphicData uri="http://schemas.openxmlformats.org/drawingml/2006/picture">
                <pic:pic>
                  <pic:nvPicPr>
                    <pic:cNvPr hidden="false" id="31" name="Picture 31"/>
                    <pic:cNvPicPr preferRelativeResize="true"/>
                  </pic:nvPicPr>
                  <pic:blipFill>
                    <a:blip r:embed="rId19"/>
                    <a:srcRect b="0" l="0" r="0" t="0"/>
                    <a:stretch/>
                  </pic:blipFill>
                  <pic:spPr>
                    <a:xfrm flipH="false" flipV="false" rot="0">
                      <a:ext cx="5937141" cy="338193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B010000">
      <w:pPr>
        <w:spacing w:after="0"/>
        <w:ind/>
        <w:jc w:val="center"/>
        <w:rPr>
          <w:rFonts w:ascii="Times New Roman Полужирный" w:hAnsi="Times New Roman Полужирный"/>
          <w:b w:val="1"/>
          <w:color w:val="000000"/>
        </w:rPr>
      </w:pPr>
      <w:r>
        <w:rPr>
          <w:rFonts w:ascii="Times New Roman Полужирный" w:hAnsi="Times New Roman Полужирный"/>
          <w:b w:val="1"/>
          <w:color w:val="000000"/>
        </w:rPr>
        <w:t>Рисунок 1</w:t>
      </w:r>
      <w:r>
        <w:rPr>
          <w:rFonts w:ascii="Calibri" w:hAnsi="Calibri"/>
          <w:b w:val="1"/>
          <w:color w:val="000000"/>
        </w:rPr>
        <w:t>4.</w:t>
      </w:r>
      <w:r>
        <w:rPr>
          <w:rFonts w:ascii="Times New Roman Полужирный" w:hAnsi="Times New Roman Полужирный"/>
          <w:b w:val="1"/>
          <w:color w:val="000000"/>
        </w:rPr>
        <w:t xml:space="preserve"> Настройка рабочего стола</w:t>
      </w:r>
    </w:p>
    <w:p w14:paraId="FC010000">
      <w:pPr>
        <w:spacing w:after="0" w:line="360" w:lineRule="auto"/>
        <w:ind w:firstLine="851" w:left="0"/>
        <w:jc w:val="both"/>
        <w:rPr>
          <w:color w:val="000000"/>
        </w:rPr>
      </w:pPr>
    </w:p>
    <w:p w14:paraId="FD010000">
      <w:pPr>
        <w:pStyle w:val="Style_7"/>
      </w:pPr>
      <w:r>
        <w:t>Являясь ядром прикладной части информационной системы, платформа направлена на повышение эффективности управления и взаимодействия сотрудников, клиентов и партнёров в динамичной деловой среде.</w:t>
      </w:r>
    </w:p>
    <w:p w14:paraId="FE010000">
      <w:pPr>
        <w:pStyle w:val="Style_7"/>
      </w:pPr>
      <w:r>
        <w:t>Соответствующий модуль системы даёт возможность формировать целый ряд типовых отчётов.</w:t>
      </w:r>
    </w:p>
    <w:p w14:paraId="FF010000">
      <w:pPr>
        <w:pStyle w:val="Style_7"/>
      </w:pPr>
      <w:r>
        <w:t>Отчёт об ожидаемых поступлениях и выбытиях объединяет сведения о предстоящих платежах контрагентам и планируемых поступлениях по договорным обязательствам.</w:t>
      </w:r>
    </w:p>
    <w:p w14:paraId="00020000">
      <w:pPr>
        <w:pStyle w:val="Style_7"/>
      </w:pPr>
      <w:r>
        <w:t>Отчёт о предстоящих поставках и отгрузках схож с предыдущим, однако отражает взаимоотношения с партнёрами.</w:t>
      </w:r>
    </w:p>
    <w:p w14:paraId="01020000">
      <w:pPr>
        <w:pStyle w:val="Style_7"/>
      </w:pPr>
      <w:r>
        <w:t>Отчёт о просроченных обязательствах объединяет данные о задолженностях по поставкам и платежам.</w:t>
      </w:r>
    </w:p>
    <w:p w14:paraId="02020000">
      <w:pPr>
        <w:pStyle w:val="Style_7"/>
      </w:pPr>
      <w:r>
        <w:t xml:space="preserve">Отчёт о взаиморасчётах с контрагентами показывает текущее состояние расчётов со всеми контрагентами. По нему можно оценить суммы плановой и фактической дебиторской и кредиторской задолженности, а также фактическое исполнение обязательств сторонами. Нередко такой отчёт формируют не только по организации в целом, но и по каждому договору для всех его участников </w:t>
      </w:r>
      <w:r>
        <w:t>[26].сторонами. Часто такой отчет формируется не только для компании в целом, но и по каждому конкретному договору для всех участвующих в нем сторон» [26].</w:t>
      </w:r>
    </w:p>
    <w:p w14:paraId="03020000">
      <w:pPr>
        <w:pStyle w:val="Style_7"/>
      </w:pPr>
      <w:r>
        <w:t>Сравнение возможностей рассмотренных систем приведено в таблице 5.</w:t>
      </w:r>
    </w:p>
    <w:p w14:paraId="0402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right"/>
        <w:rPr>
          <w:b w:val="1"/>
          <w:color w:val="000000"/>
        </w:rPr>
      </w:pPr>
      <w:r>
        <w:rPr>
          <w:b w:val="1"/>
          <w:color w:val="000000"/>
        </w:rPr>
        <w:t>Таблица 5</w:t>
      </w:r>
    </w:p>
    <w:p w14:paraId="0502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>Анализ программных решений</w:t>
      </w:r>
    </w:p>
    <w:tbl>
      <w:tblPr>
        <w:tblStyle w:val="Style_2"/>
        <w:tblLayout w:type="fixed"/>
        <w:tblCellMar>
          <w:left w:type="dxa" w:w="55"/>
          <w:right w:type="dxa" w:w="55"/>
        </w:tblCellMar>
      </w:tblPr>
      <w:tblGrid>
        <w:gridCol w:w="3626"/>
        <w:gridCol w:w="2268"/>
        <w:gridCol w:w="1559"/>
        <w:gridCol w:w="1701"/>
      </w:tblGrid>
      <w:tr>
        <w:tc>
          <w:tcPr>
            <w:tcW w:type="dxa" w:w="36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5"/>
              <w:right w:type="dxa" w:w="55"/>
            </w:tcMar>
          </w:tcPr>
          <w:p w14:paraId="06020000">
            <w:pPr>
              <w:spacing w:after="0"/>
              <w:ind/>
              <w:jc w:val="center"/>
              <w:rPr>
                <w:b w:val="1"/>
                <w:color w:val="000000"/>
                <w:sz w:val="24"/>
                <w:highlight w:val="white"/>
              </w:rPr>
            </w:pPr>
            <w:r>
              <w:rPr>
                <w:b w:val="1"/>
                <w:color w:val="000000"/>
                <w:sz w:val="24"/>
                <w:highlight w:val="white"/>
              </w:rPr>
              <w:t>Наименование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5"/>
              <w:right w:type="dxa" w:w="55"/>
            </w:tcMar>
          </w:tcPr>
          <w:p w14:paraId="07020000">
            <w:pPr>
              <w:spacing w:after="0"/>
              <w:ind/>
              <w:jc w:val="center"/>
              <w:rPr>
                <w:b w:val="1"/>
                <w:color w:val="000000"/>
                <w:sz w:val="24"/>
                <w:highlight w:val="white"/>
              </w:rPr>
            </w:pPr>
            <w:r>
              <w:rPr>
                <w:b w:val="1"/>
                <w:color w:val="000000"/>
                <w:sz w:val="24"/>
                <w:highlight w:val="white"/>
              </w:rPr>
              <w:t>Возможность внесения изменений в программу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5"/>
              <w:right w:type="dxa" w:w="55"/>
            </w:tcMar>
          </w:tcPr>
          <w:p w14:paraId="08020000">
            <w:pPr>
              <w:spacing w:after="0"/>
              <w:ind/>
              <w:jc w:val="center"/>
              <w:rPr>
                <w:b w:val="1"/>
                <w:color w:val="000000"/>
                <w:sz w:val="24"/>
                <w:highlight w:val="white"/>
              </w:rPr>
            </w:pPr>
            <w:r>
              <w:rPr>
                <w:b w:val="1"/>
                <w:color w:val="000000"/>
                <w:sz w:val="24"/>
                <w:highlight w:val="white"/>
              </w:rPr>
              <w:t>Функциональные возможности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5"/>
              <w:right w:type="dxa" w:w="55"/>
            </w:tcMar>
          </w:tcPr>
          <w:p w14:paraId="09020000">
            <w:pPr>
              <w:spacing w:after="0"/>
              <w:ind/>
              <w:jc w:val="center"/>
              <w:rPr>
                <w:b w:val="1"/>
                <w:color w:val="000000"/>
                <w:sz w:val="24"/>
                <w:highlight w:val="white"/>
              </w:rPr>
            </w:pPr>
            <w:r>
              <w:rPr>
                <w:b w:val="1"/>
                <w:color w:val="000000"/>
                <w:sz w:val="24"/>
                <w:highlight w:val="white"/>
              </w:rPr>
              <w:t>Цена, руб.</w:t>
            </w:r>
          </w:p>
        </w:tc>
      </w:tr>
      <w:tr>
        <w:tc>
          <w:tcPr>
            <w:tcW w:type="dxa" w:w="36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5"/>
              <w:right w:type="dxa" w:w="55"/>
            </w:tcMar>
          </w:tcPr>
          <w:p w14:paraId="0A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Directum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5"/>
              <w:right w:type="dxa" w:w="55"/>
            </w:tcMar>
          </w:tcPr>
          <w:p w14:paraId="0B020000">
            <w:pPr>
              <w:spacing w:after="0"/>
              <w:ind/>
              <w:jc w:val="center"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>-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5"/>
              <w:right w:type="dxa" w:w="55"/>
            </w:tcMar>
          </w:tcPr>
          <w:p w14:paraId="0C020000">
            <w:pPr>
              <w:spacing w:after="0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>70%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5"/>
              <w:right w:type="dxa" w:w="55"/>
            </w:tcMar>
          </w:tcPr>
          <w:p w14:paraId="0D020000">
            <w:pPr>
              <w:spacing w:after="0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>49000</w:t>
            </w:r>
          </w:p>
        </w:tc>
      </w:tr>
      <w:tr>
        <w:tc>
          <w:tcPr>
            <w:tcW w:type="dxa" w:w="36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5"/>
              <w:right w:type="dxa" w:w="55"/>
            </w:tcMar>
          </w:tcPr>
          <w:p w14:paraId="0E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1С: Документооборот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5"/>
              <w:right w:type="dxa" w:w="55"/>
            </w:tcMar>
          </w:tcPr>
          <w:p w14:paraId="0F020000">
            <w:pPr>
              <w:spacing w:after="0"/>
              <w:ind/>
              <w:jc w:val="center"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>+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5"/>
              <w:right w:type="dxa" w:w="55"/>
            </w:tcMar>
          </w:tcPr>
          <w:p w14:paraId="10020000">
            <w:pPr>
              <w:spacing w:after="0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>100%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5"/>
              <w:right w:type="dxa" w:w="55"/>
            </w:tcMar>
          </w:tcPr>
          <w:p w14:paraId="11020000">
            <w:pPr>
              <w:spacing w:after="0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>34 000</w:t>
            </w:r>
          </w:p>
        </w:tc>
      </w:tr>
      <w:tr>
        <w:tc>
          <w:tcPr>
            <w:tcW w:type="dxa" w:w="36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5"/>
              <w:right w:type="dxa" w:w="55"/>
            </w:tcMar>
          </w:tcPr>
          <w:p w14:paraId="12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Sabi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5"/>
              <w:right w:type="dxa" w:w="55"/>
            </w:tcMar>
          </w:tcPr>
          <w:p w14:paraId="13020000">
            <w:pPr>
              <w:spacing w:after="0"/>
              <w:ind/>
              <w:jc w:val="center"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>-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55"/>
              <w:right w:type="dxa" w:w="55"/>
            </w:tcMar>
          </w:tcPr>
          <w:p w14:paraId="14020000">
            <w:pPr>
              <w:spacing w:after="0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>90%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5"/>
              <w:right w:type="dxa" w:w="55"/>
            </w:tcMar>
          </w:tcPr>
          <w:p w14:paraId="15020000">
            <w:pPr>
              <w:spacing w:after="0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</w:rPr>
              <w:t>28 900</w:t>
            </w:r>
          </w:p>
        </w:tc>
      </w:tr>
    </w:tbl>
    <w:p w14:paraId="16020000">
      <w:pPr>
        <w:spacing w:after="0" w:line="360" w:lineRule="auto"/>
        <w:ind w:firstLine="851" w:left="0"/>
        <w:jc w:val="both"/>
        <w:rPr>
          <w:color w:val="000000"/>
        </w:rPr>
      </w:pPr>
    </w:p>
    <w:p w14:paraId="17020000">
      <w:pPr>
        <w:pStyle w:val="Style_7"/>
      </w:pPr>
      <w:r>
        <w:t>Рассмотрев ряд наиболее известных готовых решений для автоматизации документооборота, можно сделать вывод, что все они обладают избыточной функциональностью и не покрывают частные задачи учреждения. В связи с этим в рассматриваемом случае целесообразнее разработать информационную систему собственными силами.</w:t>
      </w:r>
    </w:p>
    <w:p w14:paraId="18020000">
      <w:pPr>
        <w:spacing w:after="0"/>
        <w:ind/>
        <w:rPr>
          <w:sz w:val="24"/>
        </w:rPr>
      </w:pPr>
    </w:p>
    <w:p w14:paraId="19020000">
      <w:bookmarkStart w:id="46" w:name="__RefHeading___38"/>
      <w:bookmarkEnd w:id="46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</w:rPr>
      </w:pPr>
      <w:r>
        <w:rPr>
          <w:b w:val="1"/>
        </w:rPr>
        <w:t>1.3.2 Выбор и обоснование стратегии автоматизации задачи</w:t>
      </w:r>
    </w:p>
    <w:p w14:paraId="1A020000">
      <w:pPr>
        <w:spacing w:after="0" w:before="120" w:line="360" w:lineRule="auto"/>
        <w:ind w:firstLine="851" w:left="0"/>
        <w:jc w:val="both"/>
      </w:pPr>
    </w:p>
    <w:p w14:paraId="1B020000">
      <w:pPr>
        <w:pStyle w:val="Style_7"/>
      </w:pPr>
      <w:r>
        <w:t>Приступая к внедрению систем управления исполнительской документацией, необходимо определиться с оптимальным подходом к автоматизации [13].</w:t>
      </w:r>
    </w:p>
    <w:p w14:paraId="1C020000">
      <w:pPr>
        <w:pStyle w:val="Style_7"/>
      </w:pPr>
      <w:r>
        <w:t>В практике автоматизации применяются следующие стратегии.</w:t>
      </w:r>
    </w:p>
    <w:p w14:paraId="1D020000">
      <w:pPr>
        <w:pStyle w:val="Style_7"/>
      </w:pPr>
      <w:r>
        <w:t>На выбор стратегии влияет несколько факторов: возможность нарастить или улучшить функции системы после её внедрения, стремление быстро окупить вложенные средства и необходимость жёстко контролировать временные затраты.</w:t>
      </w:r>
    </w:p>
    <w:p w14:paraId="1E020000">
      <w:pPr>
        <w:pStyle w:val="Style_7"/>
      </w:pPr>
      <w:r>
        <w:t>С учётом этих ориентиров рассматриваются следующие варианты построения автоматизированной среды.</w:t>
      </w:r>
    </w:p>
    <w:p w14:paraId="1F020000">
      <w:pPr>
        <w:pStyle w:val="Style_7"/>
      </w:pPr>
      <w:r>
        <w:t>1. Хаотичная автоматизация предполагает внедрение отдельных компонентов системы по мере их появления и, как правило, сводится к решению текущих, нередко внезапно возникающих задач.</w:t>
      </w:r>
    </w:p>
    <w:p w14:paraId="20020000">
      <w:pPr>
        <w:pStyle w:val="Style_7"/>
      </w:pPr>
      <w:r>
        <w:t xml:space="preserve">При хаотичной автоматизации единого плана не существует </w:t>
      </w:r>
      <w:r>
        <w:t>–</w:t>
      </w:r>
      <w:r>
        <w:t xml:space="preserve"> автоматизации подвергаются лишь отдельные неотложные операции. Как правило, требуется охватить узкий круг операций, тогда как автоматизировать целое направление или участок ресурсов не удаётся.</w:t>
      </w:r>
    </w:p>
    <w:p w14:paraId="21020000">
      <w:pPr>
        <w:pStyle w:val="Style_7"/>
      </w:pPr>
      <w:r>
        <w:t>Подобный сценарий представляет собой скорее временную меру, своего рода «заплатку», которая обеспечивает лишь сиюминутную работоспособность и не претендует на системность.</w:t>
      </w:r>
    </w:p>
    <w:p w14:paraId="22020000">
      <w:pPr>
        <w:pStyle w:val="Style_7"/>
      </w:pPr>
      <w:r>
        <w:t>При автоматизации по участкам преобразованиями охватываются отдельные производственные или управленческие направления, объединённые общими функциональными связями.</w:t>
      </w:r>
    </w:p>
    <w:p w14:paraId="23020000">
      <w:pPr>
        <w:pStyle w:val="Style_7"/>
      </w:pPr>
      <w:r>
        <w:t>Такая стратегия особенно оправдана в случаях, когда полное оснащение предприятия средствами автоматизации невозможно из-за нехватки ресурсов, либо когда от внедрения на конкретном участке ожидается значительный эффект.</w:t>
      </w:r>
    </w:p>
    <w:p w14:paraId="24020000">
      <w:pPr>
        <w:pStyle w:val="Style_7"/>
      </w:pPr>
      <w:r>
        <w:t>Автоматизация по участкам представляет собой автоматизацию отдельных управленческих подразделений. Она применяется, когда у организации имеются стратегический и оперативный планы автоматизации; при этом стратегический план целесообразно пересматривать не реже одного раза в год.</w:t>
      </w:r>
    </w:p>
    <w:p w14:paraId="25020000">
      <w:pPr>
        <w:pStyle w:val="Style_7"/>
      </w:pPr>
      <w:r>
        <w:t xml:space="preserve">Модель автоматизации по направлениям основана на последовательном внедрении программных средств в отдельные сферы деятельности </w:t>
      </w:r>
      <w:r>
        <w:t>–</w:t>
      </w:r>
      <w:r>
        <w:t xml:space="preserve"> например, в управление обслуживанием, документооборот или финансовое администрирование. Она даёт возможность детализировать и наращивать цифровизацию с учётом особенностей конкретных функциональных блоков.</w:t>
      </w:r>
    </w:p>
    <w:p w14:paraId="26020000">
      <w:pPr>
        <w:pStyle w:val="Style_7"/>
      </w:pPr>
      <w:r>
        <w:t xml:space="preserve">Таким образом, выбор стратегии автоматизации определяется сочетанием трёх составляющих: потенциала дальнейшего развития внедряемых решений, </w:t>
      </w:r>
      <w:r>
        <w:t>затрат на их реализацию и глубины достигаемой интеграции в рамках поставленных задач.</w:t>
      </w:r>
    </w:p>
    <w:p w14:paraId="27020000">
      <w:pPr>
        <w:pStyle w:val="Style_7"/>
      </w:pPr>
      <w:r>
        <w:t>Полная (комплексная) автоматизация охватывает все функции управления и все бизнес-процессы предприятия; она требует значительных вложений, однако обеспечивает наибольшую отдачу.</w:t>
      </w:r>
    </w:p>
    <w:p w14:paraId="28020000">
      <w:pPr>
        <w:pStyle w:val="Style_7"/>
      </w:pPr>
      <w:r>
        <w:t>По итогам сравнения возможных подходов было отдано предпочтение поэтапной автоматизации отдельных участков.</w:t>
      </w:r>
    </w:p>
    <w:p w14:paraId="29020000">
      <w:pPr>
        <w:pStyle w:val="Style_7"/>
        <w:rPr>
          <w:sz w:val="24"/>
        </w:rPr>
      </w:pPr>
      <w:r>
        <w:t>Таким образом, после детального анализа вариантов выбрана стратегия автоматизации по участкам [3].</w:t>
      </w:r>
    </w:p>
    <w:p w14:paraId="2A020000">
      <w:pPr>
        <w:pStyle w:val="Style_7"/>
      </w:pPr>
      <w:r>
        <w:t>Поскольку в настоящей работе автоматизируется контроль исполнения документов, наиболее подходящим оказывается вариант автоматизации по направлениям.</w:t>
      </w:r>
    </w:p>
    <w:p w14:paraId="2B020000">
      <w:pPr>
        <w:widowControl w:val="0"/>
        <w:spacing w:after="0" w:line="360" w:lineRule="auto"/>
        <w:ind w:firstLine="851" w:left="0"/>
        <w:jc w:val="both"/>
      </w:pPr>
    </w:p>
    <w:p w14:paraId="2C020000">
      <w:bookmarkStart w:id="47" w:name="__RefHeading___39"/>
      <w:bookmarkEnd w:id="47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</w:rPr>
      </w:pPr>
      <w:r>
        <w:rPr>
          <w:b w:val="1"/>
        </w:rPr>
        <w:t>1.3.3 Выбор и обоснование способа приобретения ИС для автоматизации задачи</w:t>
      </w:r>
    </w:p>
    <w:p w14:paraId="2D020000">
      <w:pPr>
        <w:spacing w:after="0"/>
        <w:ind/>
        <w:jc w:val="both"/>
        <w:rPr>
          <w:sz w:val="24"/>
        </w:rPr>
      </w:pPr>
    </w:p>
    <w:p w14:paraId="2E020000">
      <w:pPr>
        <w:pStyle w:val="Style_7"/>
      </w:pPr>
      <w:r>
        <w:t>Деятельность любого учреждения невозможна без опоры на информационные ресурсы.</w:t>
      </w:r>
    </w:p>
    <w:p w14:paraId="2F020000">
      <w:pPr>
        <w:pStyle w:val="Style_7"/>
      </w:pPr>
      <w:r>
        <w:t xml:space="preserve">В связи с этим приобретение внеоборотных активов </w:t>
      </w:r>
      <w:r>
        <w:t>–</w:t>
      </w:r>
      <w:r>
        <w:t xml:space="preserve"> программного и технического обеспечения </w:t>
      </w:r>
      <w:r>
        <w:t>–</w:t>
      </w:r>
      <w:r>
        <w:t xml:space="preserve"> существенно влияет на развитие организации и её конкурентоспособность.</w:t>
      </w:r>
    </w:p>
    <w:p w14:paraId="30020000">
      <w:pPr>
        <w:pStyle w:val="Style_7"/>
      </w:pPr>
      <w:r>
        <w:t>Среди способов приобретения выделяют аренду, разработку собственными силами или силами сторонних исполнителей, а также приобретение отечественных либо зарубежных решений.</w:t>
      </w:r>
    </w:p>
    <w:p w14:paraId="31020000">
      <w:pPr>
        <w:pStyle w:val="Style_7"/>
      </w:pPr>
      <w:r>
        <w:t xml:space="preserve">Возможен и промежуточный вариант </w:t>
      </w:r>
      <w:r>
        <w:t>–</w:t>
      </w:r>
      <w:r>
        <w:t xml:space="preserve"> приобретение продукта с последующей адаптацией или доработкой, выполняемой как своими силами, так и с привлечением внешних специалистов.</w:t>
      </w:r>
    </w:p>
    <w:p w14:paraId="32020000">
      <w:pPr>
        <w:pStyle w:val="Style_7"/>
      </w:pPr>
      <w:r>
        <w:t>Выбор между этими вариантами определяется имеющимися ресурсами учреждения и спецификой решаемой задачи.</w:t>
      </w:r>
    </w:p>
    <w:p w14:paraId="33020000">
      <w:pPr>
        <w:pStyle w:val="Style_7"/>
      </w:pPr>
      <w:r>
        <w:t>По результатам анализа выбрана разработка силами собственного кадрового потенциала [6].</w:t>
      </w:r>
    </w:p>
    <w:p w14:paraId="34020000">
      <w:pPr>
        <w:pStyle w:val="Style_7"/>
      </w:pPr>
      <w:r>
        <w:t>Применительно к объекту исследования целесообразно разработать узкоспециализированное программное обеспечение для управления документооборотом собственными силами.</w:t>
      </w:r>
    </w:p>
    <w:p w14:paraId="35020000">
      <w:pPr>
        <w:spacing w:after="0"/>
        <w:ind/>
        <w:jc w:val="both"/>
        <w:rPr>
          <w:sz w:val="24"/>
        </w:rPr>
      </w:pPr>
    </w:p>
    <w:p w14:paraId="36020000">
      <w:bookmarkStart w:id="48" w:name="__RefHeading___40"/>
      <w:bookmarkEnd w:id="48"/>
      <w:pPr>
        <w:keepNext w:val="1"/>
        <w:keepLines w:val="1"/>
        <w:widowControl w:val="0"/>
        <w:spacing w:after="0"/>
        <w:ind/>
        <w:jc w:val="center"/>
        <w:outlineLvl w:val="1"/>
        <w:rPr>
          <w:b w:val="1"/>
        </w:rPr>
      </w:pPr>
      <w:r>
        <w:rPr>
          <w:b w:val="1"/>
        </w:rPr>
        <w:t>1.4 Обоснование проектных решений</w:t>
      </w:r>
    </w:p>
    <w:p w14:paraId="37020000">
      <w:bookmarkStart w:id="49" w:name="__RefHeading___41"/>
      <w:bookmarkEnd w:id="49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</w:rPr>
      </w:pPr>
      <w:r>
        <w:rPr>
          <w:b w:val="1"/>
        </w:rPr>
        <w:t>1.4.1 Обоснование проектных решений по информационному обеспечению</w:t>
      </w:r>
    </w:p>
    <w:p w14:paraId="38020000">
      <w:pPr>
        <w:widowControl w:val="0"/>
        <w:spacing w:after="0" w:line="360" w:lineRule="auto"/>
        <w:ind w:firstLine="851" w:left="0"/>
        <w:jc w:val="both"/>
      </w:pPr>
    </w:p>
    <w:p w14:paraId="39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Основу информационного обеспечения проектного решения прежде всего составляют различные классификаторы.</w:t>
      </w:r>
    </w:p>
    <w:p w14:paraId="3A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 xml:space="preserve">Виды экономической деятельности систематизируются по ОКВЭД </w:t>
      </w:r>
      <w:r>
        <w:rPr>
          <w:color w:themeColor="text1" w:val="000000"/>
        </w:rPr>
        <w:t>–</w:t>
      </w:r>
      <w:r>
        <w:rPr>
          <w:color w:themeColor="text1" w:val="000000"/>
        </w:rPr>
        <w:t xml:space="preserve"> общероссийскому классификатору видов экономической деятельности.</w:t>
      </w:r>
    </w:p>
    <w:p w14:paraId="3B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В соответствии с ним каждая организация относится к определённому классу, подклассу, группе и подгруппе.</w:t>
      </w:r>
    </w:p>
    <w:p w14:paraId="3C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Продукция и товары кодируются по ОКПД 2, согласованному с международной гармонизированной системой описания и кодирования товаров [11].</w:t>
      </w:r>
    </w:p>
    <w:p w14:paraId="3D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Такая классификация позволяет использовать международные коды EAN.</w:t>
      </w:r>
    </w:p>
    <w:p w14:paraId="3E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В основе работы системы лежат исходные документы нескольких видов: перечень корреспондентов и контрагентов, поступающие обращения и заявки, утверждённые регламенты обработки, а также сведения о движении и распределении документов [18].</w:t>
      </w:r>
    </w:p>
    <w:p w14:paraId="3F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Важную роль играет информационная база. Она представляет собой организованную совокупность данных, хранимых в памяти вычислительной системы в виде файлов, благодаря которым удовлетворяются информационные потребности управленческих процессов и решаемых задач [13].</w:t>
      </w:r>
    </w:p>
    <w:p w14:paraId="40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Отдельного внимания заслуживает разработка локальных (корпоративных) классификаторов информации [25].</w:t>
      </w:r>
    </w:p>
    <w:p w14:paraId="41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Для кодирования должностей служащих применяется Общероссийский классификатор профессий рабочих, должностей служащих и тарифных разрядов (ОКПДТР). Каждая его позиция состоит из трёх блоков:</w:t>
      </w:r>
    </w:p>
    <w:p w14:paraId="42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– блок идентификации;</w:t>
      </w:r>
    </w:p>
    <w:p w14:paraId="43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– блок наименования объекта классификации;</w:t>
      </w:r>
    </w:p>
    <w:p w14:paraId="44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– информационный блок.</w:t>
      </w:r>
    </w:p>
    <w:p w14:paraId="45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Блок идентификации построен на серийно-порядковой системе кодирования объектов классификации.</w:t>
      </w:r>
    </w:p>
    <w:p w14:paraId="46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Идентификационный блок объекта включает пять цифровых десятичных знаков и контрольное число, рассчитываемое по действующей Методике расчёта и применения контрольных чисел [26].</w:t>
      </w:r>
    </w:p>
    <w:p w14:paraId="47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Блок наименования объекта классификации содержит унифицированную запись конкретной профессии рабочего или должности служащего [1].</w:t>
      </w:r>
    </w:p>
    <w:p w14:paraId="48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Фасетами данного объекта являются вид входящего документа, секретарь, получатель и организация; они приведены в таблице 6.</w:t>
      </w:r>
    </w:p>
    <w:p w14:paraId="4902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right"/>
        <w:rPr>
          <w:b w:val="1"/>
          <w:color w:val="000000"/>
        </w:rPr>
      </w:pPr>
      <w:r>
        <w:rPr>
          <w:b w:val="1"/>
          <w:color w:val="000000"/>
        </w:rPr>
        <w:t>Таблица 6</w:t>
      </w:r>
    </w:p>
    <w:p w14:paraId="4A02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>Фасеты объекта «Входящий документ»</w:t>
      </w:r>
    </w:p>
    <w:tbl>
      <w:tblPr>
        <w:tblStyle w:val="Style_13"/>
        <w:tblLayout w:type="fixed"/>
      </w:tblPr>
      <w:tblGrid>
        <w:gridCol w:w="1983"/>
        <w:gridCol w:w="1957"/>
        <w:gridCol w:w="3523"/>
        <w:gridCol w:w="2165"/>
      </w:tblGrid>
      <w:tr>
        <w:tc>
          <w:tcPr>
            <w:tcW w:type="dxa" w:w="1983"/>
          </w:tcPr>
          <w:p w14:paraId="4B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Вид входящего документа</w:t>
            </w:r>
          </w:p>
        </w:tc>
        <w:tc>
          <w:tcPr>
            <w:tcW w:type="dxa" w:w="1957"/>
          </w:tcPr>
          <w:p w14:paraId="4C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Секретарь</w:t>
            </w:r>
          </w:p>
        </w:tc>
        <w:tc>
          <w:tcPr>
            <w:tcW w:type="dxa" w:w="3523"/>
          </w:tcPr>
          <w:p w14:paraId="4D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Получатель</w:t>
            </w:r>
          </w:p>
        </w:tc>
        <w:tc>
          <w:tcPr>
            <w:tcW w:type="dxa" w:w="2165"/>
          </w:tcPr>
          <w:p w14:paraId="4E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Организация</w:t>
            </w:r>
          </w:p>
        </w:tc>
      </w:tr>
      <w:tr>
        <w:tc>
          <w:tcPr>
            <w:tcW w:type="dxa" w:w="1983"/>
          </w:tcPr>
          <w:p w14:paraId="4F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Приказы</w:t>
            </w:r>
          </w:p>
        </w:tc>
        <w:tc>
          <w:tcPr>
            <w:tcW w:type="dxa" w:w="1957"/>
          </w:tcPr>
          <w:p w14:paraId="50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Иванова О.А.</w:t>
            </w:r>
          </w:p>
        </w:tc>
        <w:tc>
          <w:tcPr>
            <w:tcW w:type="dxa" w:w="3523"/>
          </w:tcPr>
          <w:p w14:paraId="51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Ген. Директор</w:t>
            </w:r>
          </w:p>
        </w:tc>
        <w:tc>
          <w:tcPr>
            <w:tcW w:type="dxa" w:w="2165"/>
          </w:tcPr>
          <w:p w14:paraId="52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Авеста-Проект</w:t>
            </w:r>
          </w:p>
        </w:tc>
      </w:tr>
      <w:tr>
        <w:tc>
          <w:tcPr>
            <w:tcW w:type="dxa" w:w="1983"/>
          </w:tcPr>
          <w:p w14:paraId="53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Распоряжение</w:t>
            </w:r>
          </w:p>
        </w:tc>
        <w:tc>
          <w:tcPr>
            <w:tcW w:type="dxa" w:w="1957"/>
          </w:tcPr>
          <w:p w14:paraId="54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Петрова А.Ю.</w:t>
            </w:r>
          </w:p>
        </w:tc>
        <w:tc>
          <w:tcPr>
            <w:tcW w:type="dxa" w:w="3523"/>
          </w:tcPr>
          <w:p w14:paraId="55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Начальник отдела продаж - Назмутдинов Ф.Ф.</w:t>
            </w:r>
          </w:p>
        </w:tc>
        <w:tc>
          <w:tcPr>
            <w:tcW w:type="dxa" w:w="2165"/>
          </w:tcPr>
          <w:p w14:paraId="56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Bosch-сервис</w:t>
            </w:r>
          </w:p>
        </w:tc>
      </w:tr>
      <w:tr>
        <w:tc>
          <w:tcPr>
            <w:tcW w:type="dxa" w:w="1983"/>
          </w:tcPr>
          <w:p w14:paraId="57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Вид входящего документа</w:t>
            </w:r>
          </w:p>
        </w:tc>
        <w:tc>
          <w:tcPr>
            <w:tcW w:type="dxa" w:w="1957"/>
          </w:tcPr>
          <w:p w14:paraId="58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Секретарь</w:t>
            </w:r>
          </w:p>
        </w:tc>
        <w:tc>
          <w:tcPr>
            <w:tcW w:type="dxa" w:w="3523"/>
          </w:tcPr>
          <w:p w14:paraId="59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Получатель</w:t>
            </w:r>
          </w:p>
        </w:tc>
        <w:tc>
          <w:tcPr>
            <w:tcW w:type="dxa" w:w="2165"/>
          </w:tcPr>
          <w:p w14:paraId="5A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Организация</w:t>
            </w:r>
          </w:p>
        </w:tc>
      </w:tr>
      <w:tr>
        <w:tc>
          <w:tcPr>
            <w:tcW w:type="dxa" w:w="1983"/>
          </w:tcPr>
          <w:p w14:paraId="5B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Договор</w:t>
            </w:r>
          </w:p>
        </w:tc>
        <w:tc>
          <w:tcPr>
            <w:tcW w:type="dxa" w:w="1957"/>
          </w:tcPr>
          <w:p w14:paraId="5C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Назарова В.О.</w:t>
            </w:r>
          </w:p>
        </w:tc>
        <w:tc>
          <w:tcPr>
            <w:tcW w:type="dxa" w:w="3523"/>
          </w:tcPr>
          <w:p w14:paraId="5D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Начальник отдела бухгалтерии - Сметанин С.В.</w:t>
            </w:r>
          </w:p>
        </w:tc>
        <w:tc>
          <w:tcPr>
            <w:tcW w:type="dxa" w:w="2165"/>
          </w:tcPr>
          <w:p w14:paraId="5E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buknanotech</w:t>
            </w:r>
          </w:p>
        </w:tc>
      </w:tr>
      <w:tr>
        <w:tc>
          <w:tcPr>
            <w:tcW w:type="dxa" w:w="1983"/>
          </w:tcPr>
          <w:p w14:paraId="5F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Докладная записка</w:t>
            </w:r>
          </w:p>
        </w:tc>
        <w:tc>
          <w:tcPr>
            <w:tcW w:type="dxa" w:w="1957"/>
          </w:tcPr>
          <w:p w14:paraId="60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Эксперт</w:t>
            </w:r>
          </w:p>
        </w:tc>
        <w:tc>
          <w:tcPr>
            <w:tcW w:type="dxa" w:w="3523"/>
          </w:tcPr>
          <w:p w14:paraId="61020000">
            <w:pPr>
              <w:rPr>
                <w:color w:val="000000"/>
                <w:sz w:val="24"/>
              </w:rPr>
            </w:pPr>
          </w:p>
        </w:tc>
        <w:tc>
          <w:tcPr>
            <w:tcW w:type="dxa" w:w="2165"/>
          </w:tcPr>
          <w:p w14:paraId="62020000">
            <w:pPr>
              <w:rPr>
                <w:color w:val="000000"/>
                <w:sz w:val="24"/>
              </w:rPr>
            </w:pPr>
          </w:p>
        </w:tc>
      </w:tr>
    </w:tbl>
    <w:p w14:paraId="63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 xml:space="preserve">Далее данные о входящих документах подлежат кодированию. Его цель </w:t>
      </w:r>
      <w:r>
        <w:rPr>
          <w:color w:themeColor="text1" w:val="000000"/>
        </w:rPr>
        <w:t>–</w:t>
      </w:r>
      <w:r>
        <w:rPr>
          <w:color w:themeColor="text1" w:val="000000"/>
        </w:rPr>
        <w:t xml:space="preserve"> однозначно обозначить объекты и обеспечить требуемую достоверность кодируемой информации [23].</w:t>
      </w:r>
    </w:p>
    <w:p w14:paraId="64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Информационное обеспечение приложения формируют справочники (НСИ) о структуре учреждения, сотрудниках, корреспондентах и составе дел.</w:t>
      </w:r>
    </w:p>
    <w:p w14:paraId="65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Для эффективного управления учреждением требуется сформировать единое информационное пространство.</w:t>
      </w:r>
    </w:p>
    <w:p w14:paraId="66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Раздел нормативно-справочной информации включает справочники, необходимые для повседневной работы большинства организаций.</w:t>
      </w:r>
    </w:p>
    <w:p w14:paraId="67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Данные справочники допускают редактирование и наполнение сведениями с учётом конкретного вида деятельности.</w:t>
      </w:r>
    </w:p>
    <w:p w14:paraId="68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Каждый объект обладает определёнными свойствами, по которым его можно однозначно идентифицировать.</w:t>
      </w:r>
    </w:p>
    <w:p w14:paraId="69020000">
      <w:pPr>
        <w:spacing w:after="0"/>
        <w:ind/>
        <w:rPr>
          <w:sz w:val="24"/>
        </w:rPr>
      </w:pPr>
    </w:p>
    <w:p w14:paraId="6A020000">
      <w:bookmarkStart w:id="50" w:name="__RefHeading___42"/>
      <w:bookmarkEnd w:id="50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</w:rPr>
      </w:pPr>
      <w:r>
        <w:rPr>
          <w:b w:val="1"/>
        </w:rPr>
        <w:t>1.4.2 Обоснование проектных решений по программному обеспечению</w:t>
      </w:r>
    </w:p>
    <w:p w14:paraId="6B020000">
      <w:pPr>
        <w:spacing w:after="0"/>
        <w:ind/>
        <w:rPr>
          <w:sz w:val="24"/>
        </w:rPr>
      </w:pPr>
    </w:p>
    <w:p w14:paraId="6C020000">
      <w:pPr>
        <w:pStyle w:val="Style_7"/>
      </w:pPr>
      <w:r>
        <w:t>Программное обеспечение представляет собой совокупность программ обработки информации и сопутствующих программных документов, необходимых для их эксплуатации [12].</w:t>
      </w:r>
    </w:p>
    <w:p w14:paraId="6D020000">
      <w:pPr>
        <w:pStyle w:val="Style_7"/>
      </w:pPr>
      <w:r>
        <w:t>Разрабатываемая система ориентирована на работу под управлением операционной системы Windows. Данная ОС обладает обширным набором утилит и служебных программ для администрирования, управления и диагностики, а также для запуска прикладных приложений.</w:t>
      </w:r>
    </w:p>
    <w:p w14:paraId="6E020000">
      <w:pPr>
        <w:pStyle w:val="Style_7"/>
      </w:pPr>
      <w:r>
        <w:t>Кроме того, Windows предоставляет развитый программный интерфейс для создания собственных приложений, функционирующих в этой среде.</w:t>
      </w:r>
    </w:p>
    <w:p w14:paraId="6F020000">
      <w:pPr>
        <w:pStyle w:val="Style_7"/>
      </w:pPr>
      <w:r>
        <w:t>Для обоснованного выбора средства разработки в таблице 7 проведён сравнительный анализ систем, пригодных для реализации приложения, автоматизирующего поставленные задачи.</w:t>
      </w:r>
    </w:p>
    <w:p w14:paraId="7002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right"/>
        <w:rPr>
          <w:b w:val="1"/>
          <w:color w:val="000000"/>
        </w:rPr>
      </w:pPr>
      <w:r>
        <w:rPr>
          <w:b w:val="1"/>
          <w:color w:val="000000"/>
        </w:rPr>
        <w:t>Таблица 7</w:t>
      </w:r>
    </w:p>
    <w:p w14:paraId="7102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>Обоснование выбора системы разработки приложения для автоматизации поставленных задач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681"/>
        <w:gridCol w:w="1843"/>
        <w:gridCol w:w="2126"/>
        <w:gridCol w:w="1695"/>
      </w:tblGrid>
      <w:tr>
        <w:tc>
          <w:tcPr>
            <w:tcW w:type="dxa" w:w="3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2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2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1С: Предприятие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2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MS Visual Studio</w:t>
            </w:r>
          </w:p>
        </w:tc>
        <w:tc>
          <w:tcPr>
            <w:tcW w:type="dxa" w:w="1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2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PyCharm</w:t>
            </w:r>
          </w:p>
        </w:tc>
      </w:tr>
      <w:tr>
        <w:tc>
          <w:tcPr>
            <w:tcW w:type="dxa" w:w="3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Обеспечение возможности программной реализации поставленных задач автоматизации электронного документооборота для решения задач организационного управления;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  <w:tc>
          <w:tcPr>
            <w:tcW w:type="dxa" w:w="1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</w:tr>
      <w:tr>
        <w:tc>
          <w:tcPr>
            <w:tcW w:type="dxa" w:w="3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Совместимость с программной архитектурой компании;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Частично</w:t>
            </w:r>
          </w:p>
        </w:tc>
        <w:tc>
          <w:tcPr>
            <w:tcW w:type="dxa" w:w="1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</w:tr>
      <w:tr>
        <w:tc>
          <w:tcPr>
            <w:tcW w:type="dxa" w:w="3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Наличие инструментов разграничения доступа;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type="dxa" w:w="1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</w:tr>
      <w:tr>
        <w:tc>
          <w:tcPr>
            <w:tcW w:type="dxa" w:w="3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Наличие инструментов обслуживания базы данных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type="dxa" w:w="1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>
        <w:tc>
          <w:tcPr>
            <w:tcW w:type="dxa" w:w="3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Возможность импорта/экспорта данных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  <w:tc>
          <w:tcPr>
            <w:tcW w:type="dxa" w:w="1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</w:tr>
      <w:tr>
        <w:tc>
          <w:tcPr>
            <w:tcW w:type="dxa" w:w="3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Возможность разработки Web- версии приложения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  <w:tc>
          <w:tcPr>
            <w:tcW w:type="dxa" w:w="1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</w:tr>
      <w:tr>
        <w:tc>
          <w:tcPr>
            <w:tcW w:type="dxa" w:w="3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Наличие инструментов быстрой разработки приложения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  <w:tc>
          <w:tcPr>
            <w:tcW w:type="dxa" w:w="1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20000">
            <w:pPr>
              <w:spacing w:after="0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+</w:t>
            </w:r>
          </w:p>
        </w:tc>
      </w:tr>
    </w:tbl>
    <w:p w14:paraId="92020000">
      <w:pPr>
        <w:pStyle w:val="Style_7"/>
      </w:pPr>
      <w:r>
        <w:t>Как показывает сравнение, по большинству критериев оптимальным средством программной реализации системы является среда разработки 1С.</w:t>
      </w:r>
    </w:p>
    <w:p w14:paraId="93020000">
      <w:pPr>
        <w:pStyle w:val="Style_7"/>
      </w:pPr>
      <w:r>
        <w:t>Соответственно, при определении требований к техническому обеспечению следует опираться на системные требования всего комплекса используемого программного обеспечения.</w:t>
      </w:r>
    </w:p>
    <w:p w14:paraId="94020000">
      <w:pPr>
        <w:pStyle w:val="Style_7"/>
      </w:pPr>
      <w:r>
        <w:t>Средство разработки выбирается с учётом множества факторов: совместимости с архитектурой действующей системы, наличия лицензий на необходимое ПО и максимального соответствия среды разработки специфике прикладной задачи.</w:t>
      </w:r>
    </w:p>
    <w:p w14:paraId="95020000">
      <w:pPr>
        <w:pStyle w:val="Style_7"/>
      </w:pPr>
      <w:r>
        <w:t>В таблице 8 приведён перечень проектных решений по видам программного обеспечения, используемым в работе.</w:t>
      </w:r>
    </w:p>
    <w:p w14:paraId="9602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right"/>
        <w:rPr>
          <w:b w:val="1"/>
          <w:color w:val="000000"/>
        </w:rPr>
      </w:pPr>
      <w:r>
        <w:rPr>
          <w:b w:val="1"/>
          <w:color w:val="000000"/>
        </w:rPr>
        <w:t>Таблица 8</w:t>
      </w:r>
    </w:p>
    <w:p w14:paraId="9702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 xml:space="preserve">Перечень программного обеспечения проекта автоматизации 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47"/>
        <w:gridCol w:w="8"/>
        <w:gridCol w:w="2924"/>
        <w:gridCol w:w="4559"/>
      </w:tblGrid>
      <w:tr>
        <w:tc>
          <w:tcPr>
            <w:tcW w:type="dxa" w:w="21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2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Тип ПО</w:t>
            </w:r>
          </w:p>
        </w:tc>
        <w:tc>
          <w:tcPr>
            <w:tcW w:type="dxa" w:w="29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2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Наименование ПО</w:t>
            </w:r>
          </w:p>
        </w:tc>
        <w:tc>
          <w:tcPr>
            <w:tcW w:type="dxa" w:w="4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2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Назначение ПО</w:t>
            </w:r>
          </w:p>
        </w:tc>
      </w:tr>
      <w:tr>
        <w:tc>
          <w:tcPr>
            <w:tcW w:type="dxa" w:w="21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Системное ПО</w:t>
            </w:r>
          </w:p>
        </w:tc>
        <w:tc>
          <w:tcPr>
            <w:tcW w:type="dxa" w:w="29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Microsoft Windows 2022 Server Standart</w:t>
            </w:r>
          </w:p>
        </w:tc>
        <w:tc>
          <w:tcPr>
            <w:tcW w:type="dxa" w:w="4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Управление ресурсами вычислительной сети администрации, контроль учетных записей, использование административных политик</w:t>
            </w:r>
          </w:p>
        </w:tc>
      </w:tr>
      <w:tr>
        <w:tc>
          <w:tcPr>
            <w:tcW w:type="dxa" w:w="21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Офисное ПО</w:t>
            </w:r>
          </w:p>
        </w:tc>
        <w:tc>
          <w:tcPr>
            <w:tcW w:type="dxa" w:w="29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Libre Office 4.1, Microsoft Office 2019 </w:t>
            </w:r>
            <w:r>
              <w:rPr>
                <w:color w:val="000000"/>
                <w:sz w:val="24"/>
              </w:rPr>
              <w:t>и</w:t>
            </w:r>
            <w:r>
              <w:rPr>
                <w:color w:val="000000"/>
                <w:sz w:val="24"/>
              </w:rPr>
              <w:t xml:space="preserve"> 2022</w:t>
            </w:r>
          </w:p>
        </w:tc>
        <w:tc>
          <w:tcPr>
            <w:tcW w:type="dxa" w:w="4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Работа по подготовке документов, электронных таблиц, отчетности различного типа, вывод данных из внешних приложений</w:t>
            </w:r>
          </w:p>
        </w:tc>
      </w:tr>
      <w:tr>
        <w:tc>
          <w:tcPr>
            <w:tcW w:type="dxa" w:w="21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Инструментальное ПО</w:t>
            </w:r>
          </w:p>
        </w:tc>
        <w:tc>
          <w:tcPr>
            <w:tcW w:type="dxa" w:w="29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pycharm</w:t>
            </w:r>
          </w:p>
        </w:tc>
        <w:tc>
          <w:tcPr>
            <w:tcW w:type="dxa" w:w="4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Разработка приложения для автоматизации технологии работы специалистов</w:t>
            </w:r>
          </w:p>
        </w:tc>
      </w:tr>
      <w:tr>
        <w:tc>
          <w:tcPr>
            <w:tcW w:type="dxa" w:w="21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СУБД</w:t>
            </w:r>
          </w:p>
        </w:tc>
        <w:tc>
          <w:tcPr>
            <w:tcW w:type="dxa" w:w="29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Microsoft SQL Server 2022</w:t>
            </w:r>
          </w:p>
        </w:tc>
        <w:tc>
          <w:tcPr>
            <w:tcW w:type="dxa" w:w="4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Работа с базами данных прикладных программных комплексов</w:t>
            </w:r>
          </w:p>
        </w:tc>
      </w:tr>
      <w:tr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Прикладное ПО</w:t>
            </w:r>
          </w:p>
        </w:tc>
        <w:tc>
          <w:tcPr>
            <w:tcW w:type="dxa" w:w="293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1С: Предприятие 8.3</w:t>
            </w:r>
          </w:p>
        </w:tc>
        <w:tc>
          <w:tcPr>
            <w:tcW w:type="dxa" w:w="4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Работа специалистов по кадрам, бухгалтерскому учету, расчёта заработной платы, ведения кадрового учёта</w:t>
            </w:r>
          </w:p>
        </w:tc>
      </w:tr>
      <w:tr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Программы для защиты информации </w:t>
            </w:r>
          </w:p>
        </w:tc>
        <w:tc>
          <w:tcPr>
            <w:tcW w:type="dxa" w:w="293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Kaspersky End Point Security 11</w:t>
            </w:r>
          </w:p>
        </w:tc>
        <w:tc>
          <w:tcPr>
            <w:tcW w:type="dxa" w:w="4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Обеспечение защиты от вредоносного ПО</w:t>
            </w:r>
          </w:p>
        </w:tc>
      </w:tr>
    </w:tbl>
    <w:p w14:paraId="AD020000">
      <w:pPr>
        <w:spacing w:after="0" w:line="360" w:lineRule="auto"/>
        <w:ind w:firstLine="851" w:left="0"/>
        <w:jc w:val="both"/>
        <w:rPr>
          <w:color w:val="000000"/>
        </w:rPr>
      </w:pPr>
    </w:p>
    <w:p w14:paraId="AE020000">
      <w:pPr>
        <w:pStyle w:val="Style_7"/>
      </w:pPr>
      <w:r>
        <w:t xml:space="preserve">Помимо прочего, инструментарий разработки должен соответствовать актуальным тенденциям развития ИТ, поддерживаться производителем и располагать расширениями для совместимости с программным и аппаратным </w:t>
      </w:r>
      <w:r>
        <w:t>окружением. Желательно использовать язык программирования, напрямую взаимодействующий с сервером.</w:t>
      </w:r>
    </w:p>
    <w:p w14:paraId="AF020000">
      <w:pPr>
        <w:pStyle w:val="Style_7"/>
      </w:pPr>
      <w:r>
        <w:t>Для моделирования диаграмм предметной области и баз данных использовались MS Visio, ERWin Data Modeler и ERWin Process Modeler.</w:t>
      </w:r>
    </w:p>
    <w:p w14:paraId="B0020000">
      <w:pPr>
        <w:spacing w:after="0" w:line="360" w:lineRule="auto"/>
        <w:ind w:firstLine="851" w:left="0"/>
        <w:jc w:val="both"/>
        <w:rPr>
          <w:color w:val="000000"/>
        </w:rPr>
      </w:pPr>
    </w:p>
    <w:p w14:paraId="B1020000">
      <w:bookmarkStart w:id="51" w:name="__RefHeading___43"/>
      <w:bookmarkEnd w:id="51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</w:rPr>
      </w:pPr>
      <w:r>
        <w:rPr>
          <w:b w:val="1"/>
        </w:rPr>
        <w:t>1.4.3 Обоснование проектных решений по техническому обеспечению</w:t>
      </w:r>
    </w:p>
    <w:p w14:paraId="B2020000">
      <w:pPr>
        <w:spacing w:after="0"/>
        <w:ind/>
        <w:rPr>
          <w:sz w:val="24"/>
        </w:rPr>
      </w:pPr>
    </w:p>
    <w:p w14:paraId="B3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Комплекс технических средств включает [14]:</w:t>
      </w:r>
    </w:p>
    <w:p w14:paraId="B4020000">
      <w:pPr>
        <w:spacing w:after="0" w:line="360" w:lineRule="auto"/>
        <w:ind w:hanging="425" w:left="1276"/>
        <w:contextualSpacing w:val="1"/>
      </w:pPr>
      <w:r>
        <w:t>– персональные компьютеры различных моделей;</w:t>
      </w:r>
    </w:p>
    <w:p w14:paraId="B5020000">
      <w:pPr>
        <w:spacing w:after="0" w:line="360" w:lineRule="auto"/>
        <w:ind w:hanging="425" w:left="1276"/>
        <w:contextualSpacing w:val="1"/>
      </w:pPr>
      <w:r>
        <w:t>– средства сбора, анализа, передачи и хранения данных;</w:t>
      </w:r>
    </w:p>
    <w:p w14:paraId="B6020000">
      <w:pPr>
        <w:spacing w:after="0" w:line="360" w:lineRule="auto"/>
        <w:ind w:hanging="425" w:left="1276"/>
        <w:contextualSpacing w:val="1"/>
      </w:pPr>
      <w:r>
        <w:t>– средства передачи данных и линии связи;</w:t>
      </w:r>
    </w:p>
    <w:p w14:paraId="B7020000">
      <w:pPr>
        <w:spacing w:after="0" w:line="360" w:lineRule="auto"/>
        <w:ind w:hanging="425" w:left="1276"/>
        <w:contextualSpacing w:val="1"/>
      </w:pPr>
      <w:r>
        <w:t>– периферию и устройства автоматического ввода данных;</w:t>
      </w:r>
    </w:p>
    <w:p w14:paraId="B8020000">
      <w:pPr>
        <w:spacing w:after="0" w:line="360" w:lineRule="auto"/>
        <w:ind w:hanging="425" w:left="1276"/>
        <w:contextualSpacing w:val="1"/>
      </w:pPr>
      <w:r>
        <w:t>– канцелярские принадлежности.</w:t>
      </w:r>
    </w:p>
    <w:p w14:paraId="B9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Для создаваемой информационной системы требуется следующее оборудование:</w:t>
      </w:r>
    </w:p>
    <w:p w14:paraId="BA020000">
      <w:pPr>
        <w:spacing w:after="0" w:line="360" w:lineRule="auto"/>
        <w:ind w:hanging="425" w:left="1276"/>
        <w:contextualSpacing w:val="1"/>
      </w:pPr>
      <w:r>
        <w:t>– ПК рабочего места сотрудника;</w:t>
      </w:r>
    </w:p>
    <w:p w14:paraId="BB020000">
      <w:pPr>
        <w:spacing w:after="0" w:line="360" w:lineRule="auto"/>
        <w:ind w:hanging="425" w:left="1276"/>
        <w:contextualSpacing w:val="1"/>
      </w:pPr>
      <w:r>
        <w:t>– локальная вычислительная сеть;</w:t>
      </w:r>
    </w:p>
    <w:p w14:paraId="BC020000">
      <w:pPr>
        <w:spacing w:after="0" w:line="360" w:lineRule="auto"/>
        <w:ind w:hanging="425" w:left="1276"/>
        <w:contextualSpacing w:val="1"/>
      </w:pPr>
      <w:r>
        <w:t>– сервер базы данных;</w:t>
      </w:r>
    </w:p>
    <w:p w14:paraId="BD020000">
      <w:pPr>
        <w:spacing w:after="0" w:line="360" w:lineRule="auto"/>
        <w:ind w:hanging="425" w:left="1276"/>
        <w:contextualSpacing w:val="1"/>
      </w:pPr>
      <w:r>
        <w:t>– принтеры (МФУ).</w:t>
      </w:r>
    </w:p>
    <w:p w14:paraId="BE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В настоящее время характеристики установленных ПК соответствуют требованиям системы. Все компьютеры объединены в единую сеть и имеют выход в Интернет, а на каждом рабочем месте установлен лазерный принтер [16].</w:t>
      </w:r>
    </w:p>
    <w:p w14:paraId="BF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Согласно данным таблицы 9, параметры технических средств определяются требованиями программного обеспечения.</w:t>
      </w:r>
    </w:p>
    <w:p w14:paraId="C0020000">
      <w:pPr>
        <w:spacing w:after="0"/>
        <w:ind/>
        <w:jc w:val="right"/>
        <w:rPr>
          <w:b w:val="1"/>
        </w:rPr>
      </w:pPr>
      <w:r>
        <w:rPr>
          <w:b w:val="1"/>
        </w:rPr>
        <w:t>Таблица 9</w:t>
      </w:r>
    </w:p>
    <w:p w14:paraId="C1020000">
      <w:pPr>
        <w:spacing w:after="0"/>
        <w:ind/>
        <w:jc w:val="center"/>
        <w:rPr>
          <w:b w:val="1"/>
        </w:rPr>
      </w:pPr>
      <w:r>
        <w:rPr>
          <w:b w:val="1"/>
        </w:rPr>
        <w:t>Аппаратные требования информационной системы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10"/>
          <w:right w:type="dxa" w:w="10"/>
        </w:tblCellMar>
      </w:tblPr>
      <w:tblGrid>
        <w:gridCol w:w="2758"/>
        <w:gridCol w:w="3665"/>
        <w:gridCol w:w="3215"/>
      </w:tblGrid>
      <w:tr>
        <w:trPr>
          <w:trHeight w:hRule="atLeast" w:val="20"/>
        </w:trPr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2020000">
            <w:pPr>
              <w:spacing w:after="0"/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3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3020000">
            <w:pPr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Сервер</w:t>
            </w:r>
          </w:p>
        </w:tc>
        <w:tc>
          <w:tcPr>
            <w:tcW w:type="dxa" w:w="3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4020000">
            <w:pPr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Клиент</w:t>
            </w:r>
          </w:p>
        </w:tc>
      </w:tr>
      <w:tr>
        <w:trPr>
          <w:trHeight w:hRule="atLeast" w:val="20"/>
        </w:trPr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5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  <w:tc>
          <w:tcPr>
            <w:tcW w:type="dxa" w:w="3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6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2,0 ГГц (с архитектурой x64)</w:t>
            </w:r>
          </w:p>
        </w:tc>
        <w:tc>
          <w:tcPr>
            <w:tcW w:type="dxa" w:w="3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7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1,6 ГГц</w:t>
            </w:r>
          </w:p>
        </w:tc>
      </w:tr>
      <w:tr>
        <w:trPr>
          <w:trHeight w:hRule="atLeast" w:val="20"/>
        </w:trPr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8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ОЗУ</w:t>
            </w:r>
          </w:p>
        </w:tc>
        <w:tc>
          <w:tcPr>
            <w:tcW w:type="dxa" w:w="3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9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2 ГБ</w:t>
            </w:r>
          </w:p>
        </w:tc>
        <w:tc>
          <w:tcPr>
            <w:tcW w:type="dxa" w:w="3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A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512 МБ</w:t>
            </w:r>
          </w:p>
        </w:tc>
      </w:tr>
      <w:tr>
        <w:trPr>
          <w:trHeight w:hRule="atLeast" w:val="20"/>
        </w:trPr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B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Видеокарта и монитор</w:t>
            </w:r>
          </w:p>
        </w:tc>
        <w:tc>
          <w:tcPr>
            <w:tcW w:type="dxa" w:w="688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C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монитор SVGA (с минимальным разрешением 1024х768 точек)</w:t>
            </w:r>
          </w:p>
        </w:tc>
      </w:tr>
      <w:tr>
        <w:trPr>
          <w:trHeight w:hRule="atLeast" w:val="20"/>
        </w:trPr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D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Жесткий диск</w:t>
            </w:r>
          </w:p>
        </w:tc>
        <w:tc>
          <w:tcPr>
            <w:tcW w:type="dxa" w:w="3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E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120 Гб</w:t>
            </w:r>
          </w:p>
        </w:tc>
        <w:tc>
          <w:tcPr>
            <w:tcW w:type="dxa" w:w="3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F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100 МБ</w:t>
            </w:r>
          </w:p>
        </w:tc>
      </w:tr>
      <w:tr>
        <w:trPr>
          <w:trHeight w:hRule="atLeast" w:val="20"/>
        </w:trPr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D0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Оптический привод</w:t>
            </w:r>
          </w:p>
        </w:tc>
        <w:tc>
          <w:tcPr>
            <w:tcW w:type="dxa" w:w="3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D1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DVD-ROM</w:t>
            </w:r>
          </w:p>
        </w:tc>
        <w:tc>
          <w:tcPr>
            <w:tcW w:type="dxa" w:w="3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D2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rPr>
          <w:trHeight w:hRule="atLeast" w:val="20"/>
        </w:trPr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D3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Устройства ввода</w:t>
            </w:r>
          </w:p>
        </w:tc>
        <w:tc>
          <w:tcPr>
            <w:tcW w:type="dxa" w:w="688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D4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клавиатура и мышь</w:t>
            </w:r>
          </w:p>
        </w:tc>
      </w:tr>
      <w:tr>
        <w:trPr>
          <w:trHeight w:hRule="atLeast" w:val="20"/>
        </w:trPr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D5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ЛВС</w:t>
            </w:r>
          </w:p>
        </w:tc>
        <w:tc>
          <w:tcPr>
            <w:tcW w:type="dxa" w:w="688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D6020000">
            <w:pPr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Пропускная способность 100мбит/с.</w:t>
            </w:r>
          </w:p>
        </w:tc>
      </w:tr>
    </w:tbl>
    <w:p w14:paraId="D7020000">
      <w:pPr>
        <w:spacing w:after="0" w:line="360" w:lineRule="auto"/>
        <w:ind w:firstLine="851" w:left="0"/>
        <w:jc w:val="both"/>
        <w:rPr>
          <w:color w:themeColor="text1" w:val="000000"/>
        </w:rPr>
      </w:pPr>
    </w:p>
    <w:p w14:paraId="D8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Обследование компьютерного парка учреждения показало, что имеющееся оборудование по своим характеристикам достаточно для целей проекта и может использоваться без модернизации.</w:t>
      </w:r>
    </w:p>
    <w:p w14:paraId="D9020000">
      <w:pPr>
        <w:spacing w:after="0" w:line="360" w:lineRule="auto"/>
        <w:ind w:firstLine="851" w:left="0"/>
        <w:jc w:val="both"/>
        <w:rPr>
          <w:color w:themeColor="text1" w:val="000000"/>
        </w:rPr>
      </w:pPr>
    </w:p>
    <w:p w14:paraId="DA020000">
      <w:bookmarkStart w:id="52" w:name="__RefHeading___44"/>
      <w:bookmarkEnd w:id="52"/>
      <w:pPr>
        <w:keepNext w:val="1"/>
        <w:keepLines w:val="1"/>
        <w:spacing w:after="0"/>
        <w:ind/>
        <w:jc w:val="center"/>
        <w:outlineLvl w:val="1"/>
        <w:rPr>
          <w:b w:val="1"/>
        </w:rPr>
      </w:pPr>
      <w:r>
        <w:rPr>
          <w:b w:val="1"/>
        </w:rPr>
        <w:t>Выводы по главе 1</w:t>
      </w:r>
    </w:p>
    <w:p w14:paraId="DB020000">
      <w:pPr>
        <w:spacing w:after="0" w:line="360" w:lineRule="auto"/>
        <w:ind w:firstLine="851" w:left="0"/>
        <w:jc w:val="both"/>
        <w:rPr>
          <w:color w:val="000000"/>
        </w:rPr>
      </w:pPr>
    </w:p>
    <w:p w14:paraId="DC02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В ходе изучения системы электронного документооборота были рассмотрены направления деятельности объекта исследования, а также его техническое и программное оснащение.</w:t>
      </w:r>
    </w:p>
    <w:p w14:paraId="DD020000">
      <w:pPr>
        <w:spacing w:after="0" w:line="360" w:lineRule="auto"/>
        <w:ind w:firstLine="851" w:left="0"/>
        <w:jc w:val="both"/>
        <w:rPr>
          <w:color w:themeColor="text1" w:val="000000"/>
        </w:rPr>
      </w:pPr>
      <w:bookmarkStart w:id="53" w:name="_Hlk225073686"/>
      <w:r>
        <w:rPr>
          <w:color w:themeColor="text1" w:val="000000"/>
        </w:rPr>
        <w:t>Осуществлён выбор комплекса задач автоматизации, определено место проектируемой задачи и обоснована необходимость разрабатываемого программного продукта, благодаря чему выявлены ключевые недостатки действующей конфигурации. В частности, установлено, что она не обеспечивает мгновенный доступ к статусам актуальных и просроченных документов и не формирует сводную отчётность о ходе исполнения поручений руководства.</w:t>
      </w:r>
      <w:bookmarkEnd w:id="53"/>
    </w:p>
    <w:p w14:paraId="DE020000"/>
    <w:p w14:paraId="DF020000">
      <w:bookmarkStart w:id="54" w:name="__RefHeading___45"/>
      <w:bookmarkEnd w:id="54"/>
      <w:pPr>
        <w:keepNext w:val="1"/>
        <w:keepLines w:val="1"/>
        <w:pageBreakBefore w:val="1"/>
        <w:widowControl w:val="0"/>
        <w:spacing w:after="0"/>
        <w:ind/>
        <w:jc w:val="center"/>
        <w:outlineLvl w:val="0"/>
        <w:rPr>
          <w:b w:val="1"/>
          <w:sz w:val="32"/>
        </w:rPr>
      </w:pPr>
      <w:r>
        <w:rPr>
          <w:b w:val="1"/>
          <w:sz w:val="32"/>
        </w:rPr>
        <w:t xml:space="preserve">ГЛАВА 2. </w:t>
      </w:r>
      <w:r>
        <w:rPr>
          <w:rFonts w:ascii="Times New Roman Полужирный" w:hAnsi="Times New Roman Полужирный"/>
          <w:b w:val="1"/>
          <w:caps w:val="1"/>
          <w:sz w:val="32"/>
        </w:rPr>
        <w:t>Проектная часть</w:t>
      </w:r>
    </w:p>
    <w:p w14:paraId="E0020000">
      <w:bookmarkStart w:id="55" w:name="__RefHeading___46"/>
      <w:bookmarkEnd w:id="55"/>
      <w:pPr>
        <w:keepNext w:val="1"/>
        <w:keepLines w:val="1"/>
        <w:widowControl w:val="0"/>
        <w:spacing w:after="0"/>
        <w:ind/>
        <w:jc w:val="center"/>
        <w:outlineLvl w:val="1"/>
        <w:rPr>
          <w:b w:val="1"/>
        </w:rPr>
      </w:pPr>
      <w:r>
        <w:rPr>
          <w:b w:val="1"/>
        </w:rPr>
        <w:t>2.1 Разработка проекта автоматизации</w:t>
      </w:r>
    </w:p>
    <w:p w14:paraId="E1020000">
      <w:bookmarkStart w:id="56" w:name="__RefHeading___47"/>
      <w:bookmarkEnd w:id="56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  <w:sz w:val="20"/>
        </w:rPr>
      </w:pPr>
      <w:r>
        <w:rPr>
          <w:b w:val="1"/>
        </w:rPr>
        <w:t>2.1.1 Этапы жизненного цикла проекта автоматизации</w:t>
      </w:r>
    </w:p>
    <w:p w14:paraId="E2020000">
      <w:pPr>
        <w:widowControl w:val="0"/>
        <w:spacing w:after="0" w:line="360" w:lineRule="auto"/>
        <w:ind w:firstLine="851" w:left="0"/>
        <w:jc w:val="both"/>
      </w:pPr>
    </w:p>
    <w:p w14:paraId="E3020000">
      <w:pPr>
        <w:pStyle w:val="Style_7"/>
      </w:pPr>
      <w:bookmarkStart w:id="57" w:name="_Hlk234078749"/>
      <w:r>
        <w:t>Создание любого программного продукта проходит через определённую последовательность этапов, которые в совокупности образуют жизненный цикл информационной системы. Под жизненным циклом понимается отрезок времени от принятия решения о создании системы до её вывода из эксплуатации. Порядок этих работ регламентируется международным стандартом ISO 12207, определяющим состав и очерёдность действий на каждом этапе [1].</w:t>
      </w:r>
    </w:p>
    <w:p w14:paraId="E4020000">
      <w:pPr>
        <w:pStyle w:val="Style_7"/>
      </w:pPr>
      <w:r>
        <w:t xml:space="preserve">При разработке информационных систем применяют три базовые модели жизненного цикла </w:t>
      </w:r>
      <w:r>
        <w:t>–</w:t>
      </w:r>
      <w:r>
        <w:t xml:space="preserve"> каскадную, поэтапную с промежуточным контролем и спиральную. </w:t>
      </w:r>
    </w:p>
    <w:p w14:paraId="E5020000">
      <w:pPr>
        <w:pStyle w:val="Style_7"/>
      </w:pPr>
      <w:r>
        <w:t>Каскадная м</w:t>
      </w:r>
      <w:r>
        <w:t>одель показана на рисунке 15.</w:t>
      </w:r>
    </w:p>
    <w:p w14:paraId="E6020000">
      <w:pPr>
        <w:spacing w:after="0" w:line="360" w:lineRule="auto"/>
        <w:ind/>
        <w:jc w:val="center"/>
        <w:rPr>
          <w:sz w:val="26"/>
        </w:rPr>
      </w:pPr>
      <w:bookmarkStart w:id="58" w:name="keyword-context.4"/>
      <w:bookmarkEnd w:id="58"/>
      <w:bookmarkStart w:id="59" w:name="keyword-context.5"/>
      <w:bookmarkEnd w:id="59"/>
      <w:bookmarkStart w:id="60" w:name="image.2.1"/>
      <w:bookmarkEnd w:id="60"/>
      <w:r>
        <w:drawing>
          <wp:inline>
            <wp:extent cx="4806787" cy="2701636"/>
            <wp:effectExtent b="0" l="0" r="0" t="0"/>
            <wp:docPr hidden="false" id="34" name="Picture 34"/>
            <a:graphic>
              <a:graphicData uri="http://schemas.openxmlformats.org/drawingml/2006/picture">
                <pic:pic>
                  <pic:nvPicPr>
                    <pic:cNvPr hidden="false" id="33" name="Picture 33"/>
                    <pic:cNvPicPr preferRelativeResize="true"/>
                  </pic:nvPicPr>
                  <pic:blipFill>
                    <a:blip r:embed="rId20"/>
                    <a:srcRect b="0" l="0" r="0" t="0"/>
                    <a:stretch/>
                  </pic:blipFill>
                  <pic:spPr>
                    <a:xfrm flipH="false" flipV="false" rot="0">
                      <a:ext cx="4806787" cy="270163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E7020000">
      <w:pPr>
        <w:spacing w:after="0"/>
        <w:ind/>
        <w:contextualSpacing w:val="1"/>
        <w:jc w:val="center"/>
        <w:rPr>
          <w:b w:val="1"/>
          <w:color w:val="000000"/>
        </w:rPr>
      </w:pPr>
      <w:bookmarkStart w:id="61" w:name="_Hlk209729515"/>
      <w:r>
        <w:rPr>
          <w:b w:val="1"/>
          <w:color w:val="000000"/>
        </w:rPr>
        <w:t xml:space="preserve">Рисунок </w:t>
      </w:r>
      <w:bookmarkEnd w:id="61"/>
      <w:r>
        <w:rPr>
          <w:b w:val="1"/>
          <w:color w:val="000000"/>
        </w:rPr>
        <w:t>15. Каскадная модель жизненного цикла ИС</w:t>
      </w:r>
    </w:p>
    <w:p w14:paraId="E8020000">
      <w:pPr>
        <w:spacing w:after="0"/>
        <w:ind/>
        <w:contextualSpacing w:val="1"/>
        <w:jc w:val="center"/>
        <w:rPr>
          <w:b w:val="1"/>
          <w:color w:val="000000"/>
        </w:rPr>
      </w:pPr>
    </w:p>
    <w:p w14:paraId="E9020000">
      <w:pPr>
        <w:spacing w:after="0" w:line="480" w:lineRule="exact"/>
        <w:ind w:firstLine="709" w:left="0"/>
        <w:jc w:val="both"/>
        <w:rPr>
          <w:color w:val="000000"/>
        </w:rPr>
      </w:pPr>
      <w:r>
        <w:rPr>
          <w:color w:val="000000"/>
        </w:rPr>
        <w:t xml:space="preserve">Поэтапная модель с промежуточным контролем опирается на итерационный принцип: между этапами предусмотрены петли обратной связи, позволяющие возвращаться к ранее выполненным работам при изменении требований. Жизнь каждого этапа при этом растягивается на весь период разработки, а межэтапные корректировки уменьшают накопление ошибок. Схема приведена на рисунке 16.возвращаться к ранее выполненным работам при </w:t>
      </w:r>
      <w:r>
        <w:rPr>
          <w:color w:val="000000"/>
        </w:rPr>
        <w:t xml:space="preserve">изменении требований. Время жизни каждого этапа при этом растягивается на весь период разработки, а межэтапные корректировки снижают накапливаемые ошибки. </w:t>
      </w:r>
    </w:p>
    <w:p w14:paraId="EA020000">
      <w:pPr>
        <w:spacing w:after="0"/>
        <w:ind/>
        <w:contextualSpacing w:val="1"/>
        <w:jc w:val="center"/>
        <w:rPr>
          <w:b w:val="1"/>
          <w:color w:val="000000"/>
        </w:rPr>
      </w:pPr>
    </w:p>
    <w:p w14:paraId="EB020000">
      <w:pPr>
        <w:keepNext w:val="1"/>
        <w:spacing w:after="0" w:line="360" w:lineRule="auto"/>
        <w:ind/>
        <w:jc w:val="center"/>
        <w:rPr>
          <w:sz w:val="26"/>
        </w:rPr>
      </w:pPr>
      <w:bookmarkStart w:id="62" w:name="image.2.2"/>
      <w:bookmarkEnd w:id="62"/>
      <w:r>
        <w:rPr>
          <w:sz w:val="26"/>
        </w:rPr>
        <w:drawing>
          <wp:inline>
            <wp:extent cx="3411492" cy="2200939"/>
            <wp:effectExtent b="0" l="0" r="0" t="0"/>
            <wp:docPr hidden="false" id="36" name="Picture 36"/>
            <a:graphic>
              <a:graphicData uri="http://schemas.openxmlformats.org/drawingml/2006/picture">
                <pic:pic>
                  <pic:nvPicPr>
                    <pic:cNvPr hidden="false" id="35" name="Picture 35"/>
                    <pic:cNvPicPr preferRelativeResize="true"/>
                  </pic:nvPicPr>
                  <pic:blipFill>
                    <a:blip r:embed="rId21"/>
                    <a:stretch/>
                  </pic:blipFill>
                  <pic:spPr>
                    <a:xfrm flipH="false" flipV="false" rot="0">
                      <a:ext cx="3411492" cy="220093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EC020000">
      <w:pPr>
        <w:spacing w:after="0"/>
        <w:ind/>
        <w:contextualSpacing w:val="1"/>
        <w:jc w:val="center"/>
        <w:rPr>
          <w:b w:val="1"/>
          <w:color w:val="000000"/>
        </w:rPr>
      </w:pPr>
      <w:r>
        <w:rPr>
          <w:b w:val="1"/>
          <w:color w:val="000000"/>
        </w:rPr>
        <w:t>Рисунок 16. Поэтапная модель с промежуточным контролем</w:t>
      </w:r>
    </w:p>
    <w:p w14:paraId="ED020000">
      <w:pPr>
        <w:spacing w:after="0"/>
        <w:ind/>
        <w:contextualSpacing w:val="1"/>
        <w:jc w:val="center"/>
        <w:rPr>
          <w:b w:val="1"/>
          <w:color w:val="000000"/>
        </w:rPr>
      </w:pPr>
    </w:p>
    <w:p w14:paraId="EE020000">
      <w:pPr>
        <w:pStyle w:val="Style_7"/>
      </w:pPr>
      <w:r>
        <w:t>Спиральная модель ориентирована на сложные системы с высокой степенью неопределённости требований. На каждом витке спирали формируется очередная версия продукта, уточняются требования и оценивается качество результата. На ранних этапах особое значение придаётся прототипированию: технические решения проверяются на макетах ещё до полноценной реализации [1]. Схема представлена на рисунке 17.</w:t>
      </w:r>
    </w:p>
    <w:p w14:paraId="EF020000">
      <w:pPr>
        <w:keepNext w:val="1"/>
        <w:spacing w:after="0" w:line="360" w:lineRule="auto"/>
        <w:ind/>
        <w:jc w:val="center"/>
        <w:rPr>
          <w:sz w:val="26"/>
        </w:rPr>
      </w:pPr>
      <w:bookmarkStart w:id="63" w:name="image.2.3"/>
      <w:bookmarkEnd w:id="63"/>
      <w:r>
        <w:drawing>
          <wp:inline>
            <wp:extent cx="3744571" cy="3147237"/>
            <wp:effectExtent b="0" l="0" r="0" t="0"/>
            <wp:docPr hidden="false" id="38" name="Picture 38"/>
            <a:graphic>
              <a:graphicData uri="http://schemas.openxmlformats.org/drawingml/2006/picture">
                <pic:pic>
                  <pic:nvPicPr>
                    <pic:cNvPr hidden="false" id="37" name="Picture 37"/>
                    <pic:cNvPicPr preferRelativeResize="true"/>
                  </pic:nvPicPr>
                  <pic:blipFill>
                    <a:blip r:embed="rId22"/>
                    <a:srcRect b="0" l="0" r="0" t="0"/>
                    <a:stretch/>
                  </pic:blipFill>
                  <pic:spPr>
                    <a:xfrm flipH="false" flipV="false" rot="0">
                      <a:ext cx="3744571" cy="314723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0020000">
      <w:pPr>
        <w:spacing w:after="0"/>
        <w:ind/>
        <w:contextualSpacing w:val="1"/>
        <w:jc w:val="center"/>
        <w:rPr>
          <w:b w:val="1"/>
          <w:color w:val="000000"/>
        </w:rPr>
      </w:pPr>
      <w:r>
        <w:rPr>
          <w:b w:val="1"/>
          <w:color w:val="000000"/>
        </w:rPr>
        <w:t>Рисунок 17. Спиральная модель ЖЦ ИС</w:t>
      </w:r>
    </w:p>
    <w:p w14:paraId="F1020000">
      <w:pPr>
        <w:pStyle w:val="Style_7"/>
      </w:pPr>
    </w:p>
    <w:p w14:paraId="F2020000">
      <w:pPr>
        <w:pStyle w:val="Style_7"/>
      </w:pPr>
      <w:r>
        <w:t xml:space="preserve">Для проектируемой системы контроля исполнения обращений граждан выбрана каскадная модель. Такой выбор обусловлен рядом причин. Требования к системе определены заранее и вряд ли существенно изменятся в ходе работы: область задачи </w:t>
      </w:r>
      <w:r>
        <w:t>–</w:t>
      </w:r>
      <w:r>
        <w:t xml:space="preserve"> регистрация и отслеживание документов </w:t>
      </w:r>
      <w:r>
        <w:t>–</w:t>
      </w:r>
      <w:r>
        <w:t xml:space="preserve"> узкая и хорошо формализованная. Кроме того, каскадная модель по завершении каждого этапа обеспечивает полный комплект проектной документации, что облегчает планирование сроков и оценку трудозатрат на следующий шаг [2].</w:t>
      </w:r>
    </w:p>
    <w:p w14:paraId="F3020000">
      <w:pPr>
        <w:pStyle w:val="Style_7"/>
      </w:pPr>
      <w:r>
        <w:t>Работы по проекту распределены на последовательные этапы: сбор и анализ требований, проектирование архитектуры и базы данных, написание программного кода, развёртывание и первичное внедрение на рабочих местах и, наконец, передача системы в постоянную эксплуатацию. На заключительном этапе сотрудники Центра самостоятельно ведут учёт обращений через интерфейс системы, а разработчик в повседневной работе уже не участвует [5].</w:t>
      </w:r>
    </w:p>
    <w:p w14:paraId="F4020000">
      <w:pPr>
        <w:pStyle w:val="Style_7"/>
      </w:pPr>
      <w:r>
        <w:t>В качестве стратегии внедрения выбран «пилотный проект»: сначала система вводится в ограниченном режиме на одном-двух рабочих местах, проходит апробацию и доводку, после чего разворачивается на всех АРМ Центра. Это снижает вероятность системных сбоев при массовом запуске и позволяет заранее выявить расхождения между проектными решениями и реальной практикой [8].</w:t>
      </w:r>
    </w:p>
    <w:p w14:paraId="F5020000">
      <w:pPr>
        <w:pStyle w:val="Style_7"/>
      </w:pPr>
    </w:p>
    <w:p w14:paraId="F6020000">
      <w:bookmarkStart w:id="64" w:name="__RefHeading___48"/>
      <w:bookmarkEnd w:id="64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  <w:sz w:val="20"/>
        </w:rPr>
      </w:pPr>
      <w:r>
        <w:rPr>
          <w:b w:val="1"/>
        </w:rPr>
        <w:t>2.1.2 Ожидаемые риски на этапах жизненного цикла и их описание</w:t>
      </w:r>
    </w:p>
    <w:p w14:paraId="F7020000">
      <w:pPr>
        <w:pStyle w:val="Style_7"/>
      </w:pPr>
    </w:p>
    <w:p w14:paraId="F8020000">
      <w:pPr>
        <w:pStyle w:val="Style_7"/>
      </w:pPr>
      <w:r>
        <w:t>Разработка информационной системы, как и любой сложный проект, сопряжена с рисками: техническими сбоями, неточно сформулированными требованиями, нехваткой ресурсов на тестирование, недостаточной готовностью персонала к новому инструменту. Каждый риск характеризуется своей вероятностью и способом смягчения последствий. В таблице 10 наиболее существенные риски сгруппированы по этапам жизненного цикла вместе с мерами реагирования на них.</w:t>
      </w:r>
    </w:p>
    <w:p w14:paraId="F902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right"/>
        <w:rPr>
          <w:b w:val="1"/>
          <w:color w:val="000000"/>
        </w:rPr>
      </w:pPr>
      <w:r>
        <w:rPr>
          <w:b w:val="1"/>
          <w:color w:val="000000"/>
        </w:rPr>
        <w:t>Таблица 10</w:t>
      </w:r>
    </w:p>
    <w:p w14:paraId="FA02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>Основные риски на этапах жизненного цикла информационной системы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40"/>
          <w:right w:type="dxa" w:w="40"/>
        </w:tblCellMar>
      </w:tblPr>
      <w:tblGrid>
        <w:gridCol w:w="4642"/>
        <w:gridCol w:w="15"/>
        <w:gridCol w:w="4981"/>
      </w:tblGrid>
      <w:tr>
        <w:trPr>
          <w:trHeight w:hRule="atLeast" w:val="20"/>
        </w:trPr>
        <w:tc>
          <w:tcPr>
            <w:tcW w:type="dxa" w:w="46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FB02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Риск</w:t>
            </w:r>
          </w:p>
        </w:tc>
        <w:tc>
          <w:tcPr>
            <w:tcW w:type="dxa" w:w="4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FC02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Мероприятия</w:t>
            </w:r>
          </w:p>
        </w:tc>
      </w:tr>
      <w:tr>
        <w:trPr>
          <w:trHeight w:hRule="atLeast" w:val="20"/>
        </w:trPr>
        <w:tc>
          <w:tcPr>
            <w:tcW w:type="dxa" w:w="963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FD02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Этап</w:t>
            </w:r>
            <w:r>
              <w:rPr>
                <w:b w:val="1"/>
                <w:color w:val="000000"/>
                <w:sz w:val="24"/>
              </w:rPr>
              <w:t xml:space="preserve"> заказа</w:t>
            </w:r>
          </w:p>
        </w:tc>
      </w:tr>
      <w:tr>
        <w:trPr>
          <w:trHeight w:hRule="atLeast" w:val="20"/>
        </w:trPr>
        <w:tc>
          <w:tcPr>
            <w:tcW w:type="dxa" w:w="46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FE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Выделенный бюджет не покрывает фактический объём работ</w:t>
            </w:r>
          </w:p>
        </w:tc>
        <w:tc>
          <w:tcPr>
            <w:tcW w:type="dxa" w:w="4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FF02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Провести переговоры об увеличении финансирования или сократить границы проекта до автоматизации приоритетных задач</w:t>
            </w:r>
          </w:p>
        </w:tc>
      </w:tr>
      <w:tr>
        <w:trPr>
          <w:trHeight w:hRule="atLeast" w:val="20"/>
        </w:trPr>
        <w:tc>
          <w:tcPr>
            <w:tcW w:type="dxa" w:w="46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00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Часть бизнес-процессов не поддаётся формализации или стоимость их автоматизации превышает ожидаемый эффект</w:t>
            </w:r>
          </w:p>
        </w:tc>
        <w:tc>
          <w:tcPr>
            <w:tcW w:type="dxa" w:w="4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01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Пересмотреть перечень автоматизируемых задач, исключив нецелесообразные, или изменить схему работы процесса до начала разработки</w:t>
            </w:r>
          </w:p>
        </w:tc>
      </w:tr>
      <w:tr>
        <w:trPr>
          <w:trHeight w:hRule="atLeast" w:val="20"/>
        </w:trPr>
        <w:tc>
          <w:tcPr>
            <w:tcW w:type="dxa" w:w="963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0203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Этап проектирования</w:t>
            </w:r>
          </w:p>
        </w:tc>
      </w:tr>
      <w:tr>
        <w:trPr>
          <w:trHeight w:hRule="atLeast" w:val="20"/>
        </w:trPr>
        <w:tc>
          <w:tcPr>
            <w:tcW w:type="dxa" w:w="46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03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Неверно определены границы и состав функционала системы</w:t>
            </w:r>
          </w:p>
        </w:tc>
        <w:tc>
          <w:tcPr>
            <w:tcW w:type="dxa" w:w="4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04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Зафиксировать границы проекта на старте и удерживать их неизменными до завершения; проводить регулярный мониторинг соответствия проекта первоначальному плану</w:t>
            </w:r>
          </w:p>
        </w:tc>
      </w:tr>
      <w:tr>
        <w:trPr>
          <w:trHeight w:hRule="atLeast" w:val="20"/>
        </w:trPr>
        <w:tc>
          <w:tcPr>
            <w:tcW w:type="dxa" w:w="46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05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Ошибочно спроектированы функции или интерфейсы будущей системы</w:t>
            </w:r>
          </w:p>
        </w:tc>
        <w:tc>
          <w:tcPr>
            <w:tcW w:type="dxa" w:w="4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06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Повысить качество планирования; своевременно выявлять и документировать проектные риски с планом их снижения</w:t>
            </w:r>
          </w:p>
        </w:tc>
      </w:tr>
      <w:tr>
        <w:trPr>
          <w:trHeight w:hRule="atLeast" w:val="20"/>
        </w:trPr>
        <w:tc>
          <w:tcPr>
            <w:tcW w:type="dxa" w:w="46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07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Выбраны неподходящие технологии или методы решения задач</w:t>
            </w:r>
          </w:p>
        </w:tc>
        <w:tc>
          <w:tcPr>
            <w:tcW w:type="dxa" w:w="4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08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Оценить несколько технологических вариантов до начала реализации; при необходимости привлечь экспертную оценку</w:t>
            </w:r>
          </w:p>
        </w:tc>
      </w:tr>
      <w:tr>
        <w:trPr>
          <w:trHeight w:hRule="atLeast" w:val="20"/>
        </w:trPr>
        <w:tc>
          <w:tcPr>
            <w:tcW w:type="dxa" w:w="46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09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Требования заказчика меняются в ходе проектирования</w:t>
            </w:r>
          </w:p>
        </w:tc>
        <w:tc>
          <w:tcPr>
            <w:tcW w:type="dxa" w:w="4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0A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Фиксировать требования в согласованном техническом задании; любые изменения вносить только после официального согласования</w:t>
            </w:r>
          </w:p>
        </w:tc>
      </w:tr>
      <w:tr>
        <w:trPr>
          <w:trHeight w:hRule="atLeast" w:val="20"/>
        </w:trPr>
        <w:tc>
          <w:tcPr>
            <w:tcW w:type="dxa" w:w="963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0B03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Этап разработки</w:t>
            </w:r>
          </w:p>
        </w:tc>
      </w:tr>
      <w:tr>
        <w:trPr>
          <w:trHeight w:hRule="atLeast" w:val="20"/>
        </w:trPr>
        <w:tc>
          <w:tcPr>
            <w:tcW w:type="dxa" w:w="4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0C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Недостаточно ресурсов для проведения полноценного тестирования</w:t>
            </w:r>
          </w:p>
        </w:tc>
        <w:tc>
          <w:tcPr>
            <w:tcW w:type="dxa" w:w="49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0D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При необходимости привлечь специализированную организацию для выполнения нагрузочного и комплексного тестирования</w:t>
            </w:r>
          </w:p>
        </w:tc>
      </w:tr>
      <w:tr>
        <w:trPr>
          <w:trHeight w:hRule="atLeast" w:val="20"/>
        </w:trPr>
        <w:tc>
          <w:tcPr>
            <w:tcW w:type="dxa" w:w="4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0E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Персонал заказчика не готов к самостоятельной работе с системой</w:t>
            </w:r>
          </w:p>
        </w:tc>
        <w:tc>
          <w:tcPr>
            <w:tcW w:type="dxa" w:w="49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0F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Предоставить услуги сопровождающего специалиста на период первичной эксплуатации; провести поэтапное обучение пользователей</w:t>
            </w:r>
          </w:p>
        </w:tc>
      </w:tr>
      <w:tr>
        <w:trPr>
          <w:trHeight w:hRule="atLeast" w:val="20"/>
        </w:trPr>
        <w:tc>
          <w:tcPr>
            <w:tcW w:type="dxa" w:w="963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003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Этап внедрения</w:t>
            </w:r>
          </w:p>
        </w:tc>
      </w:tr>
      <w:tr>
        <w:trPr>
          <w:trHeight w:hRule="atLeast" w:val="20"/>
        </w:trPr>
        <w:tc>
          <w:tcPr>
            <w:tcW w:type="dxa" w:w="4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11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Возросшая нагрузка на сотрудников в переходный период</w:t>
            </w:r>
          </w:p>
        </w:tc>
        <w:tc>
          <w:tcPr>
            <w:tcW w:type="dxa" w:w="49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12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Провести обучение персонала заблаговременно; реализовать пилотный запуск на ограниченном числе рабочих мест</w:t>
            </w:r>
          </w:p>
        </w:tc>
      </w:tr>
      <w:tr>
        <w:trPr>
          <w:trHeight w:hRule="atLeast" w:val="20"/>
        </w:trPr>
        <w:tc>
          <w:tcPr>
            <w:tcW w:type="dxa" w:w="4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13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Несогласованность действий разработчика и специалистов заказчика</w:t>
            </w:r>
          </w:p>
        </w:tc>
        <w:tc>
          <w:tcPr>
            <w:tcW w:type="dxa" w:w="49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40"/>
              <w:right w:type="dxa" w:w="40"/>
            </w:tcMar>
          </w:tcPr>
          <w:p w14:paraId="14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Разработать детальный план внедрения с назначением ответственных со стороны обоих участников</w:t>
            </w:r>
          </w:p>
        </w:tc>
      </w:tr>
    </w:tbl>
    <w:p w14:paraId="15030000">
      <w:pPr>
        <w:spacing w:after="0" w:line="360" w:lineRule="auto"/>
        <w:ind w:firstLine="851" w:left="0"/>
        <w:jc w:val="both"/>
        <w:rPr>
          <w:color w:val="000000"/>
        </w:rPr>
      </w:pPr>
    </w:p>
    <w:p w14:paraId="16030000">
      <w:pPr>
        <w:pStyle w:val="Style_7"/>
      </w:pPr>
      <w:r>
        <w:t xml:space="preserve">Таким образом, при проектировании системы предусмотрены меры реагирования как на технические риски (ошибки проектирования, сбои оборудования), так и на организационные </w:t>
      </w:r>
      <w:r>
        <w:t>–</w:t>
      </w:r>
      <w:r>
        <w:t xml:space="preserve"> недостаточную квалификацию сотрудников и сопротивление изменениям при переходе на новый инструмент.</w:t>
      </w:r>
    </w:p>
    <w:p w14:paraId="17030000">
      <w:bookmarkStart w:id="65" w:name="__RefHeading___49"/>
      <w:bookmarkEnd w:id="65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  <w:sz w:val="20"/>
        </w:rPr>
      </w:pPr>
      <w:r>
        <w:rPr>
          <w:b w:val="1"/>
        </w:rPr>
        <w:t>2.1.3 Организационно-правовые и программно-аппаратные средства обеспечения информационной безопасности и защиты информации</w:t>
      </w:r>
      <w:r>
        <w:rPr>
          <w:b w:val="1"/>
        </w:rPr>
        <w:t xml:space="preserve"> </w:t>
      </w:r>
    </w:p>
    <w:p w14:paraId="18030000">
      <w:pPr>
        <w:widowControl w:val="0"/>
        <w:spacing w:after="0" w:line="360" w:lineRule="auto"/>
        <w:ind w:firstLine="851" w:left="0"/>
        <w:jc w:val="both"/>
      </w:pPr>
    </w:p>
    <w:p w14:paraId="19030000">
      <w:pPr>
        <w:pStyle w:val="Style_7"/>
      </w:pPr>
      <w:r>
        <w:t xml:space="preserve">Контроль исполнения документов связан с обработкой персональных данных </w:t>
      </w:r>
      <w:r>
        <w:t>–</w:t>
      </w:r>
      <w:r>
        <w:t xml:space="preserve"> имён, контактных сведений, содержания обращений. Это предъявляет к системе требования не только функционального, но и правового характера, прежде всего в части соблюдения Федерального закона № 152-ФЗ «О персональных данных». Для их выполнения информационная безопасность выстраивается на нескольких уровнях.</w:t>
      </w:r>
    </w:p>
    <w:p w14:paraId="1A030000">
      <w:pPr>
        <w:pStyle w:val="Style_7"/>
      </w:pPr>
      <w:r>
        <w:t>На организационном уровне доступ к системе разграничен по ролям: сотрудник получает лишь те права, что нужны для его должностных обязанностей. Состав ролей и объём их полномочий приведён в таблице 11. Попытки войти под чужой учётной записью или обратиться к закрытым разделам фиксируются в журнале аудита, который хранится отдельно от рабочих данных [19].или попытка получить доступ к недоступным разделам фиксируются в журнале аудита, который хранится отдельно от рабочих данных [19].</w:t>
      </w:r>
    </w:p>
    <w:p w14:paraId="1B03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right"/>
        <w:rPr>
          <w:b w:val="1"/>
          <w:color w:val="000000"/>
        </w:rPr>
      </w:pPr>
      <w:r>
        <w:rPr>
          <w:b w:val="1"/>
          <w:color w:val="000000"/>
        </w:rPr>
        <w:t>Таблица 11</w:t>
      </w:r>
    </w:p>
    <w:p w14:paraId="1C03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>Разграничение прав пользователей информационной системы</w:t>
      </w:r>
    </w:p>
    <w:tbl>
      <w:tblPr>
        <w:tblStyle w:val="Style_3"/>
        <w:tblLayout w:type="fixed"/>
      </w:tblPr>
      <w:tblGrid>
        <w:gridCol w:w="2407"/>
        <w:gridCol w:w="2407"/>
        <w:gridCol w:w="2407"/>
        <w:gridCol w:w="2407"/>
      </w:tblGrid>
      <w:tr>
        <w:tc>
          <w:tcPr>
            <w:tcW w:type="dxa" w:w="2407"/>
          </w:tcPr>
          <w:p w14:paraId="1D03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Роль пользователя</w:t>
            </w:r>
          </w:p>
        </w:tc>
        <w:tc>
          <w:tcPr>
            <w:tcW w:type="dxa" w:w="2407"/>
          </w:tcPr>
          <w:p w14:paraId="1E03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Нормативно-справочная информация</w:t>
            </w:r>
          </w:p>
        </w:tc>
        <w:tc>
          <w:tcPr>
            <w:tcW w:type="dxa" w:w="2407"/>
          </w:tcPr>
          <w:p w14:paraId="1F03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Ведение документов</w:t>
            </w:r>
          </w:p>
        </w:tc>
        <w:tc>
          <w:tcPr>
            <w:tcW w:type="dxa" w:w="2407"/>
          </w:tcPr>
          <w:p w14:paraId="2003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Аналитическая отчётность</w:t>
            </w:r>
          </w:p>
        </w:tc>
      </w:tr>
      <w:tr>
        <w:tc>
          <w:tcPr>
            <w:tcW w:type="dxa" w:w="2407"/>
          </w:tcPr>
          <w:p w14:paraId="2103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Администратор (делопроизводитель)</w:t>
            </w:r>
          </w:p>
        </w:tc>
        <w:tc>
          <w:tcPr>
            <w:tcW w:type="dxa" w:w="2407"/>
          </w:tcPr>
          <w:p w14:paraId="2203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Чтение / создание / удаление</w:t>
            </w:r>
          </w:p>
        </w:tc>
        <w:tc>
          <w:tcPr>
            <w:tcW w:type="dxa" w:w="2407"/>
          </w:tcPr>
          <w:p w14:paraId="2303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Чтение / создание / удаление</w:t>
            </w:r>
          </w:p>
        </w:tc>
        <w:tc>
          <w:tcPr>
            <w:tcW w:type="dxa" w:w="2407"/>
          </w:tcPr>
          <w:p w14:paraId="2403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Нет доступа</w:t>
            </w:r>
          </w:p>
        </w:tc>
      </w:tr>
      <w:tr>
        <w:tc>
          <w:tcPr>
            <w:tcW w:type="dxa" w:w="2407"/>
          </w:tcPr>
          <w:p w14:paraId="2503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Системный администратор</w:t>
            </w:r>
          </w:p>
        </w:tc>
        <w:tc>
          <w:tcPr>
            <w:tcW w:type="dxa" w:w="2407"/>
          </w:tcPr>
          <w:p w14:paraId="2603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Чтение / создание / удаление</w:t>
            </w:r>
          </w:p>
        </w:tc>
        <w:tc>
          <w:tcPr>
            <w:tcW w:type="dxa" w:w="2407"/>
          </w:tcPr>
          <w:p w14:paraId="2703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Чтение / создание / удаление</w:t>
            </w:r>
          </w:p>
        </w:tc>
        <w:tc>
          <w:tcPr>
            <w:tcW w:type="dxa" w:w="2407"/>
          </w:tcPr>
          <w:p w14:paraId="2803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Чтение / создание / удаление</w:t>
            </w:r>
          </w:p>
        </w:tc>
      </w:tr>
      <w:tr>
        <w:tc>
          <w:tcPr>
            <w:tcW w:type="dxa" w:w="2407"/>
          </w:tcPr>
          <w:p w14:paraId="2903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Руководитель</w:t>
            </w:r>
          </w:p>
        </w:tc>
        <w:tc>
          <w:tcPr>
            <w:tcW w:type="dxa" w:w="2407"/>
          </w:tcPr>
          <w:p w14:paraId="2A03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Чтение</w:t>
            </w:r>
          </w:p>
        </w:tc>
        <w:tc>
          <w:tcPr>
            <w:tcW w:type="dxa" w:w="2407"/>
          </w:tcPr>
          <w:p w14:paraId="2B03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Чтение</w:t>
            </w:r>
          </w:p>
        </w:tc>
        <w:tc>
          <w:tcPr>
            <w:tcW w:type="dxa" w:w="2407"/>
          </w:tcPr>
          <w:p w14:paraId="2C03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Полный доступ</w:t>
            </w:r>
          </w:p>
        </w:tc>
      </w:tr>
    </w:tbl>
    <w:p w14:paraId="2D030000">
      <w:pPr>
        <w:pStyle w:val="Style_7"/>
      </w:pPr>
      <w:bookmarkEnd w:id="57"/>
    </w:p>
    <w:p w14:paraId="2E030000">
      <w:pPr>
        <w:pStyle w:val="Style_7"/>
      </w:pPr>
      <w:r>
        <w:t xml:space="preserve">На программно-аппаратном уровне безопасность обеспечивается тремя взаимодополняющими средствами. Первое </w:t>
      </w:r>
      <w:r>
        <w:t>–</w:t>
      </w:r>
      <w:r>
        <w:t xml:space="preserve"> встроенный межсетевой экран маршрутизатора: он фильтрует входящий и исходящий трафик и блокирует обращения из внешней сети к внутренним ресурсам. Второе </w:t>
      </w:r>
      <w:r>
        <w:t>–</w:t>
      </w:r>
      <w:r>
        <w:t xml:space="preserve"> антивирусный комплекс Kaspersky Endpoint Security на каждом рабочем месте: он обеспечивает защиту от вредоносных программ, фишинга и несанкционированного использования съёмных носителей. Третье </w:t>
      </w:r>
      <w:r>
        <w:t>–</w:t>
      </w:r>
      <w:r>
        <w:t xml:space="preserve"> штатные механизмы </w:t>
      </w:r>
      <w:r>
        <w:t>аутентификации Windows: вход на рабочую станцию только по учётным данным и политика минимальных привилегий для системных учётных записей.</w:t>
      </w:r>
    </w:p>
    <w:p w14:paraId="2F030000">
      <w:pPr>
        <w:pStyle w:val="Style_7"/>
      </w:pPr>
      <w:r>
        <w:t>В совокупности эти меры формируют многоуровневую защиту: внешний периметр закрывается межсетевым экраном, рабочая среда защищается антивирусом и парольной политикой, а доступ к данным внутри системы регулируется ролевой моделью прав. Ни один из уровней сам по себе не является самодостаточным, однако вместе они перекрывают ключевые угрозы, характерные для небольшого учреждения с ограниченным штатом ИТ-службы.</w:t>
      </w:r>
    </w:p>
    <w:p w14:paraId="30030000">
      <w:pPr>
        <w:pStyle w:val="Style_7"/>
      </w:pPr>
      <w:r>
        <w:t>Помимо программных средств применяются и физические меры: серверная часть системы вместе с NAS размещается в закрытом помещении с ограниченным доступом, резервное копирование баз данных выполняется автоматически по расписанию, а сами копии хранятся отдельно от основного хранилища.</w:t>
      </w:r>
      <w:r>
        <w:t xml:space="preserve"> </w:t>
      </w:r>
      <w:r>
        <w:t xml:space="preserve">Чтобы придать электронным документам юридическую значимость и подтвердить их авторство, применяются специализированные средства электронной подписи (ЭП). В ходе изучения рынка были рассмотрены два наиболее распространённых инструмента </w:t>
      </w:r>
      <w:r>
        <w:t>–</w:t>
      </w:r>
      <w:r>
        <w:t xml:space="preserve"> КриптоПро CSP и Плагин КриптоПро ЭЦП.</w:t>
      </w:r>
      <w:r>
        <w:t xml:space="preserve"> </w:t>
      </w:r>
      <w:r>
        <w:t>КриптоПро CSP представляет собой криптографический провайдер, реализующий отечественные алгоритмы шифрования и подписи в соответствии с ГОСТ Р 34.10-2012 (формирование и проверка ЭП) и ГОСТ Р 34.11-2012 (хеширование). Он позволяет создавать и проверять электронные подписи, а также шифровать данные при передаче и хранении. Данный провайдер применяется в составе государственных информационных систем и требуется рядом регуляторов для работы с электронными документами [19].</w:t>
      </w:r>
    </w:p>
    <w:p w14:paraId="31030000">
      <w:pPr>
        <w:pStyle w:val="Style_7"/>
      </w:pPr>
      <w:r>
        <w:t>Плагин КриптоПро ЭЦП встраивает функции электронной подписи непосредственно в браузерный интерфейс веб-приложений, благодаря чему пользователь подписывает документы, не покидая рабочую среду системы. Плагин обеспечивает проверку целостности и подлинности документов на каждом этапе их движения, что особенно важно при подготовке официальных ответов на обращения граждан.</w:t>
      </w:r>
    </w:p>
    <w:p w14:paraId="32030000">
      <w:pPr>
        <w:pStyle w:val="Style_7"/>
      </w:pPr>
      <w:r>
        <w:t xml:space="preserve">Для разрабатываемой системы интеграция с КриптоПро рассматривается как перспективная, но не обязательная на первом этапе: во внутреннем документообороте небольшого учреждения достаточно ролевой аутентификации и журнала аудита действий. Подключение ЭП целесообразно на следующих этапах развития </w:t>
      </w:r>
      <w:r>
        <w:t>–</w:t>
      </w:r>
      <w:r>
        <w:t xml:space="preserve"> при обмене официальными документами с вышестоящими органами через городской ЭДО.</w:t>
      </w:r>
    </w:p>
    <w:p w14:paraId="33030000">
      <w:pPr>
        <w:pStyle w:val="Style_7"/>
      </w:pPr>
    </w:p>
    <w:p w14:paraId="34030000">
      <w:bookmarkStart w:id="66" w:name="__RefHeading___50"/>
      <w:bookmarkEnd w:id="66"/>
      <w:pPr>
        <w:keepNext w:val="1"/>
        <w:keepLines w:val="1"/>
        <w:widowControl w:val="0"/>
        <w:spacing w:after="0"/>
        <w:ind/>
        <w:jc w:val="center"/>
        <w:outlineLvl w:val="1"/>
        <w:rPr>
          <w:b w:val="1"/>
        </w:rPr>
      </w:pPr>
      <w:r>
        <w:rPr>
          <w:b w:val="1"/>
        </w:rPr>
        <w:t>2.2 Информационное обеспечение задачи</w:t>
      </w:r>
    </w:p>
    <w:p w14:paraId="35030000">
      <w:bookmarkStart w:id="67" w:name="__RefHeading___51"/>
      <w:bookmarkEnd w:id="67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</w:rPr>
      </w:pPr>
      <w:r>
        <w:rPr>
          <w:b w:val="1"/>
        </w:rPr>
        <w:t>2.2.1 Информационная модель и её описание</w:t>
      </w:r>
    </w:p>
    <w:p w14:paraId="36030000">
      <w:pPr>
        <w:spacing w:after="0"/>
        <w:ind w:firstLine="851" w:left="0"/>
        <w:jc w:val="both"/>
        <w:rPr>
          <w:color w:val="000000"/>
        </w:rPr>
      </w:pPr>
    </w:p>
    <w:p w14:paraId="37030000">
      <w:pPr>
        <w:widowControl w:val="0"/>
        <w:spacing w:after="0" w:line="360" w:lineRule="auto"/>
        <w:ind w:firstLine="851" w:left="0"/>
        <w:jc w:val="both"/>
      </w:pPr>
      <w:r>
        <w:t xml:space="preserve">Информационная модель </w:t>
      </w:r>
      <w:r>
        <w:t>–</w:t>
      </w:r>
      <w:r>
        <w:t xml:space="preserve"> это представление объекта в виде информации, которая описывает значимые для рассмотрения параметры и переменные, связи между ними, входы и выходы объекта и позволяет, изменяя входные величины, моделировать возможные состояния объекта [18].входы и выходы объекта и позволяющая путём подачи на модель информации об изменениях входных величин моделировать возможные состояния объекта </w:t>
      </w:r>
    </w:p>
    <w:p w14:paraId="38030000">
      <w:pPr>
        <w:widowControl w:val="0"/>
        <w:spacing w:after="0" w:line="360" w:lineRule="auto"/>
        <w:ind w:firstLine="851" w:left="0"/>
        <w:jc w:val="both"/>
      </w:pPr>
      <w:r>
        <w:t>Информационная модель проектируемой системы контроля исполнения документов ЦМД «Савёловский» представлена на рисунке 18.</w:t>
      </w:r>
    </w:p>
    <w:p w14:paraId="39030000">
      <w:pPr>
        <w:sectPr>
          <w:footerReference r:id="rId2" w:type="default"/>
          <w:pgSz w:h="16838" w:orient="portrait" w:w="11906"/>
          <w:pgMar w:bottom="1134" w:footer="709" w:gutter="0" w:header="709" w:left="1701" w:right="567" w:top="1134"/>
        </w:sectPr>
      </w:pPr>
    </w:p>
    <w:p w14:paraId="3A030000">
      <w:pPr>
        <w:widowControl w:val="0"/>
        <w:tabs>
          <w:tab w:leader="none" w:pos="1134" w:val="left"/>
          <w:tab w:leader="none" w:pos="1418" w:val="left"/>
          <w:tab w:leader="none" w:pos="3969" w:val="left"/>
          <w:tab w:leader="none" w:pos="4678" w:val="left"/>
        </w:tabs>
        <w:spacing w:after="0"/>
        <w:ind w:right="3"/>
        <w:jc w:val="center"/>
      </w:pPr>
      <w:r>
        <w:rPr>
          <w:sz w:val="20"/>
        </w:rPr>
        <w:drawing>
          <wp:inline>
            <wp:extent cx="7802880" cy="5326380"/>
            <wp:effectExtent b="0" l="0" r="0" t="0"/>
            <wp:docPr hidden="false" id="40" name="Picture 40"/>
            <a:graphic>
              <a:graphicData uri="http://schemas.openxmlformats.org/drawingml/2006/picture">
                <pic:pic>
                  <pic:nvPicPr>
                    <pic:cNvPr hidden="false" id="39" name="Picture 39"/>
                    <pic:cNvPicPr preferRelativeResize="true"/>
                  </pic:nvPicPr>
                  <pic:blipFill>
                    <a:blip r:embed="rId23"/>
                    <a:srcRect b="0" l="0" r="0" t="0"/>
                    <a:stretch/>
                  </pic:blipFill>
                  <pic:spPr>
                    <a:xfrm flipH="false" flipV="false" rot="0">
                      <a:ext cx="7802880" cy="532638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B030000">
      <w:pPr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</w:rPr>
      </w:pPr>
    </w:p>
    <w:p w14:paraId="3C030000">
      <w:pPr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</w:rPr>
      </w:pPr>
      <w:r>
        <w:rPr>
          <w:b w:val="1"/>
        </w:rPr>
        <w:t>Рисунок 18. Информационная модель</w:t>
      </w:r>
    </w:p>
    <w:p w14:paraId="3D030000">
      <w:pPr>
        <w:sectPr>
          <w:footerReference r:id="rId3" w:type="default"/>
          <w:pgSz w:h="11906" w:orient="landscape" w:w="16838"/>
          <w:pgMar w:bottom="567" w:footer="709" w:gutter="0" w:header="709" w:left="1134" w:right="1134" w:top="1701"/>
        </w:sectPr>
      </w:pPr>
    </w:p>
    <w:p w14:paraId="3E030000">
      <w:pPr>
        <w:pStyle w:val="Style_7"/>
      </w:pPr>
      <w:r>
        <w:t>Информационная модель отображает движение входных, промежуточных и результатных потоков и функций предметной области [19]. Она поясняет, на основе каких входных документов и какой нормативно-справочной информации выполняются функции обработки данных и формируются выходные документы. Модель включает четыре области.</w:t>
      </w:r>
    </w:p>
    <w:p w14:paraId="3F030000">
      <w:pPr>
        <w:pStyle w:val="Style_7"/>
      </w:pPr>
      <w:r>
        <w:t xml:space="preserve">1. Область входящей информации </w:t>
      </w:r>
      <w:r>
        <w:t>–</w:t>
      </w:r>
      <w:r>
        <w:t xml:space="preserve"> здесь указаны документы, сведения из которых используются как входные, а также экранные формы для их ввода.</w:t>
      </w:r>
      <w:r>
        <w:t xml:space="preserve"> </w:t>
      </w:r>
    </w:p>
    <w:p w14:paraId="40030000">
      <w:pPr>
        <w:pStyle w:val="Style_7"/>
      </w:pPr>
      <w:r>
        <w:t xml:space="preserve">2. Область справочников системы </w:t>
      </w:r>
      <w:r>
        <w:t>–</w:t>
      </w:r>
      <w:r>
        <w:t xml:space="preserve"> она показывает состав справочников и таблиц информационной системы.</w:t>
      </w:r>
      <w:r>
        <w:tab/>
      </w:r>
      <w:r>
        <w:t>Область справочников системы, которая иллюстрирует состав справочников и таблиц информационной системы;</w:t>
      </w:r>
    </w:p>
    <w:p w14:paraId="41030000">
      <w:pPr>
        <w:pStyle w:val="Style_7"/>
      </w:pPr>
      <w:r>
        <w:t xml:space="preserve">3. Область обработки информации </w:t>
      </w:r>
      <w:r>
        <w:t>–</w:t>
      </w:r>
      <w:r>
        <w:t xml:space="preserve"> в ней отражено, как входные данные учитываются в системе и в каких таблицах базы данных сохраняются.</w:t>
      </w:r>
    </w:p>
    <w:p w14:paraId="42030000">
      <w:pPr>
        <w:pStyle w:val="Style_7"/>
      </w:pPr>
      <w:r>
        <w:t xml:space="preserve">4. Область формирования результатной информации </w:t>
      </w:r>
      <w:r>
        <w:t>–</w:t>
      </w:r>
      <w:r>
        <w:t xml:space="preserve"> здесь приведены экранные формы и выходные документы.</w:t>
      </w:r>
    </w:p>
    <w:p w14:paraId="43030000">
      <w:pPr>
        <w:pStyle w:val="Style_7"/>
      </w:pPr>
      <w:r>
        <w:t>Вначале пользователь заполняет справочники системы исходными данными, после чего она становится готовой к работе. Опираясь на входные данные, пользователь формирует содержимое таблиц системы.</w:t>
      </w:r>
    </w:p>
    <w:p w14:paraId="44030000">
      <w:pPr>
        <w:pStyle w:val="Style_7"/>
      </w:pPr>
      <w:r>
        <w:t>При обращении к результатной информации через соответствующие экранные формы хранящиеся в системе данные преобразуются в требуемый вид и выдаются в виде результатных документов, которые отображаются на экране и при необходимости выводятся на печать [17].</w:t>
      </w:r>
    </w:p>
    <w:p w14:paraId="45030000">
      <w:pPr>
        <w:widowControl w:val="0"/>
        <w:spacing w:after="0"/>
        <w:ind/>
        <w:rPr>
          <w:sz w:val="20"/>
        </w:rPr>
      </w:pPr>
    </w:p>
    <w:p w14:paraId="46030000">
      <w:bookmarkStart w:id="68" w:name="__RefHeading___52"/>
      <w:bookmarkEnd w:id="68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  <w:sz w:val="20"/>
        </w:rPr>
      </w:pPr>
      <w:r>
        <w:rPr>
          <w:b w:val="1"/>
        </w:rPr>
        <w:t>2.2.2 Характеристика нормативно-справочной, входной и оперативной информации</w:t>
      </w:r>
    </w:p>
    <w:p w14:paraId="47030000">
      <w:pPr>
        <w:widowControl w:val="0"/>
        <w:spacing w:after="0" w:line="360" w:lineRule="auto"/>
        <w:ind w:firstLine="851" w:left="0"/>
        <w:jc w:val="both"/>
      </w:pPr>
    </w:p>
    <w:p w14:paraId="48030000">
      <w:pPr>
        <w:pStyle w:val="Style_7"/>
      </w:pPr>
      <w:r>
        <w:t>Необходимая информация складывается из следующих сведений:</w:t>
      </w:r>
    </w:p>
    <w:p w14:paraId="49030000">
      <w:pPr>
        <w:pStyle w:val="Style_7"/>
      </w:pPr>
      <w:r>
        <w:t>– о субъектах, отправляющих или получающих документы и письма;</w:t>
      </w:r>
    </w:p>
    <w:p w14:paraId="4A030000">
      <w:pPr>
        <w:pStyle w:val="Style_7"/>
      </w:pPr>
      <w:r>
        <w:t>– о реквизитах и шаблонах входящей и исходящей корреспонденции;</w:t>
      </w:r>
    </w:p>
    <w:p w14:paraId="4B030000">
      <w:pPr>
        <w:pStyle w:val="Style_7"/>
      </w:pPr>
      <w:r>
        <w:t>– о составе дел документооборота;</w:t>
      </w:r>
    </w:p>
    <w:p w14:paraId="4C030000">
      <w:pPr>
        <w:pStyle w:val="Style_7"/>
      </w:pPr>
      <w:r>
        <w:t>– о содержании отчётности по движению документов и корреспонденции;</w:t>
      </w:r>
    </w:p>
    <w:p w14:paraId="4D030000">
      <w:pPr>
        <w:pStyle w:val="Style_7"/>
      </w:pPr>
      <w:r>
        <w:t>– о реквизитах внешних адресатов, которым направляются ответные письма;</w:t>
      </w:r>
    </w:p>
    <w:p w14:paraId="4E030000">
      <w:pPr>
        <w:pStyle w:val="Style_7"/>
      </w:pPr>
      <w:r>
        <w:t>– о государственных органах, куда передаётся статистическая, финансовая и налоговая отчётность [9].</w:t>
      </w:r>
    </w:p>
    <w:p w14:paraId="4F030000">
      <w:pPr>
        <w:pStyle w:val="Style_7"/>
      </w:pPr>
      <w:r>
        <w:t>Перечень справочников, используемых при формировании отчётности, приведён в таблице 12.</w:t>
      </w:r>
      <w:bookmarkStart w:id="69" w:name="_Hlk41059679"/>
    </w:p>
    <w:p w14:paraId="5003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right"/>
        <w:rPr>
          <w:b w:val="1"/>
          <w:color w:val="000000"/>
        </w:rPr>
      </w:pPr>
      <w:r>
        <w:rPr>
          <w:b w:val="1"/>
          <w:color w:val="000000"/>
        </w:rPr>
        <w:t xml:space="preserve">Таблица </w:t>
      </w:r>
      <w:bookmarkEnd w:id="69"/>
      <w:r>
        <w:rPr>
          <w:b w:val="1"/>
          <w:color w:val="000000"/>
        </w:rPr>
        <w:t>12</w:t>
      </w:r>
    </w:p>
    <w:p w14:paraId="5103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>Структура нормативно-справочной информации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10"/>
          <w:right w:type="dxa" w:w="10"/>
        </w:tblCellMar>
      </w:tblPr>
      <w:tblGrid>
        <w:gridCol w:w="2219"/>
        <w:gridCol w:w="2318"/>
        <w:gridCol w:w="2141"/>
        <w:gridCol w:w="1416"/>
        <w:gridCol w:w="1543"/>
      </w:tblGrid>
      <w:tr>
        <w:trPr>
          <w:trHeight w:hRule="atLeast" w:val="20"/>
        </w:trPr>
        <w:tc>
          <w:tcPr>
            <w:tcW w:type="dxa" w:w="22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203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Наименование справочника</w:t>
            </w:r>
          </w:p>
        </w:tc>
        <w:tc>
          <w:tcPr>
            <w:tcW w:type="dxa" w:w="2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303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Реквизиты</w:t>
            </w:r>
          </w:p>
        </w:tc>
        <w:tc>
          <w:tcPr>
            <w:tcW w:type="dxa" w:w="21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403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Ответственный за ведение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503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Количество записей</w:t>
            </w:r>
          </w:p>
        </w:tc>
        <w:tc>
          <w:tcPr>
            <w:tcW w:type="dxa" w:w="1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603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Частота актуализации (ед./год)</w:t>
            </w:r>
          </w:p>
        </w:tc>
      </w:tr>
      <w:tr>
        <w:trPr>
          <w:trHeight w:hRule="atLeast" w:val="20"/>
        </w:trPr>
        <w:tc>
          <w:tcPr>
            <w:tcW w:type="dxa" w:w="22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7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Сотрудники</w:t>
            </w:r>
          </w:p>
        </w:tc>
        <w:tc>
          <w:tcPr>
            <w:tcW w:type="dxa" w:w="2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8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ФИО, Номер телефона, должность</w:t>
            </w:r>
          </w:p>
        </w:tc>
        <w:tc>
          <w:tcPr>
            <w:tcW w:type="dxa" w:w="21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9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Специалист по делопроизводству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A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350</w:t>
            </w:r>
          </w:p>
        </w:tc>
        <w:tc>
          <w:tcPr>
            <w:tcW w:type="dxa" w:w="1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B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60</w:t>
            </w:r>
          </w:p>
        </w:tc>
      </w:tr>
      <w:tr>
        <w:trPr>
          <w:trHeight w:hRule="atLeast" w:val="20"/>
        </w:trPr>
        <w:tc>
          <w:tcPr>
            <w:tcW w:type="dxa" w:w="22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C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Корреспонденты</w:t>
            </w:r>
          </w:p>
        </w:tc>
        <w:tc>
          <w:tcPr>
            <w:tcW w:type="dxa" w:w="2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D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Наименование, адрес, телефон</w:t>
            </w:r>
          </w:p>
        </w:tc>
        <w:tc>
          <w:tcPr>
            <w:tcW w:type="dxa" w:w="21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E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Специалист по делопроизводству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F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12000</w:t>
            </w:r>
          </w:p>
        </w:tc>
        <w:tc>
          <w:tcPr>
            <w:tcW w:type="dxa" w:w="1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0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1000</w:t>
            </w:r>
          </w:p>
        </w:tc>
      </w:tr>
      <w:tr>
        <w:trPr>
          <w:trHeight w:hRule="atLeast" w:val="20"/>
        </w:trPr>
        <w:tc>
          <w:tcPr>
            <w:tcW w:type="dxa" w:w="22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1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Статусы отработки</w:t>
            </w:r>
          </w:p>
        </w:tc>
        <w:tc>
          <w:tcPr>
            <w:tcW w:type="dxa" w:w="2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2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Наименование статуса</w:t>
            </w:r>
          </w:p>
        </w:tc>
        <w:tc>
          <w:tcPr>
            <w:tcW w:type="dxa" w:w="21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3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Специалист по делопроизводству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4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100000</w:t>
            </w:r>
          </w:p>
        </w:tc>
        <w:tc>
          <w:tcPr>
            <w:tcW w:type="dxa" w:w="1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5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20000</w:t>
            </w:r>
          </w:p>
        </w:tc>
      </w:tr>
      <w:tr>
        <w:trPr>
          <w:trHeight w:hRule="atLeast" w:val="20"/>
        </w:trPr>
        <w:tc>
          <w:tcPr>
            <w:tcW w:type="dxa" w:w="22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6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Должности</w:t>
            </w:r>
          </w:p>
        </w:tc>
        <w:tc>
          <w:tcPr>
            <w:tcW w:type="dxa" w:w="2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7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Наименование должности</w:t>
            </w:r>
          </w:p>
        </w:tc>
        <w:tc>
          <w:tcPr>
            <w:tcW w:type="dxa" w:w="21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8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Специалист по делопроизводству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9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40</w:t>
            </w:r>
          </w:p>
        </w:tc>
        <w:tc>
          <w:tcPr>
            <w:tcW w:type="dxa" w:w="1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A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</w:tr>
      <w:tr>
        <w:trPr>
          <w:trHeight w:hRule="atLeast" w:val="20"/>
        </w:trPr>
        <w:tc>
          <w:tcPr>
            <w:tcW w:type="dxa" w:w="22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B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Номенклатура дел</w:t>
            </w:r>
          </w:p>
        </w:tc>
        <w:tc>
          <w:tcPr>
            <w:tcW w:type="dxa" w:w="2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C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Номер вида номенклатуры, срок хранения</w:t>
            </w:r>
          </w:p>
        </w:tc>
        <w:tc>
          <w:tcPr>
            <w:tcW w:type="dxa" w:w="21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D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Специалист по делопроизводству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E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</w:t>
            </w:r>
          </w:p>
        </w:tc>
        <w:tc>
          <w:tcPr>
            <w:tcW w:type="dxa" w:w="1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F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</w:tr>
    </w:tbl>
    <w:p w14:paraId="70030000">
      <w:pPr>
        <w:spacing w:after="0" w:line="360" w:lineRule="auto"/>
        <w:ind w:firstLine="851" w:left="0"/>
        <w:jc w:val="both"/>
        <w:rPr>
          <w:color w:val="000000"/>
        </w:rPr>
      </w:pPr>
    </w:p>
    <w:p w14:paraId="71030000">
      <w:pPr>
        <w:spacing w:after="0" w:line="360" w:lineRule="auto"/>
        <w:ind w:firstLine="851" w:left="0"/>
        <w:jc w:val="both"/>
        <w:rPr>
          <w:color w:val="000000"/>
        </w:rPr>
      </w:pPr>
      <w:r>
        <w:rPr>
          <w:color w:val="000000"/>
        </w:rPr>
        <w:t>Структура оперативной информации отражена в таблице 13.</w:t>
      </w:r>
    </w:p>
    <w:p w14:paraId="7203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right"/>
        <w:rPr>
          <w:b w:val="1"/>
          <w:color w:val="000000"/>
        </w:rPr>
      </w:pPr>
      <w:r>
        <w:rPr>
          <w:b w:val="1"/>
          <w:color w:val="000000"/>
        </w:rPr>
        <w:t xml:space="preserve">Таблица </w:t>
      </w:r>
      <w:r>
        <w:rPr>
          <w:b w:val="1"/>
          <w:color w:val="000000"/>
        </w:rPr>
        <w:t>13</w:t>
      </w:r>
    </w:p>
    <w:p w14:paraId="73030000">
      <w:pPr>
        <w:keepNext w:val="1"/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>Структура оперативной информации</w:t>
      </w:r>
    </w:p>
    <w:tbl>
      <w:tblPr>
        <w:tblStyle w:val="Style_2"/>
        <w:tblLayout w:type="fixed"/>
        <w:tblCellMar>
          <w:left w:type="dxa" w:w="10"/>
          <w:right w:type="dxa" w:w="10"/>
        </w:tblCellMar>
      </w:tblPr>
      <w:tblGrid>
        <w:gridCol w:w="2524"/>
        <w:gridCol w:w="2006"/>
        <w:gridCol w:w="2148"/>
        <w:gridCol w:w="1417"/>
        <w:gridCol w:w="1543"/>
      </w:tblGrid>
      <w:tr>
        <w:trPr>
          <w:trHeight w:hRule="atLeast" w:val="20"/>
        </w:trPr>
        <w:tc>
          <w:tcPr>
            <w:tcW w:type="dxa" w:w="252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403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Наименование справочника</w:t>
            </w:r>
          </w:p>
        </w:tc>
        <w:tc>
          <w:tcPr>
            <w:tcW w:type="dxa" w:w="2006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503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Реквизиты</w:t>
            </w:r>
          </w:p>
        </w:tc>
        <w:tc>
          <w:tcPr>
            <w:tcW w:type="dxa" w:w="2148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603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Ответственный за ведение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703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Количество записей</w:t>
            </w:r>
          </w:p>
        </w:tc>
        <w:tc>
          <w:tcPr>
            <w:tcW w:type="dxa" w:w="154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8030000">
            <w:pPr>
              <w:spacing w:after="0"/>
              <w:ind/>
              <w:jc w:val="center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Частота актуализации (ед./год)</w:t>
            </w:r>
          </w:p>
        </w:tc>
      </w:tr>
      <w:tr>
        <w:trPr>
          <w:trHeight w:hRule="atLeast" w:val="20"/>
        </w:trPr>
        <w:tc>
          <w:tcPr>
            <w:tcW w:type="dxa" w:w="252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9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Входящий документ</w:t>
            </w:r>
          </w:p>
        </w:tc>
        <w:tc>
          <w:tcPr>
            <w:tcW w:type="dxa" w:w="2006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A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Дата, Номер, Содержание, Корреспондент, Резолюция, Исполнитель, Контрольная дата, Статус отработки, Номер дела в номенклатуре</w:t>
            </w:r>
          </w:p>
        </w:tc>
        <w:tc>
          <w:tcPr>
            <w:tcW w:type="dxa" w:w="2148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B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Специалист по делопроизводству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C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100000</w:t>
            </w:r>
          </w:p>
        </w:tc>
        <w:tc>
          <w:tcPr>
            <w:tcW w:type="dxa" w:w="154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D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20000</w:t>
            </w:r>
          </w:p>
        </w:tc>
      </w:tr>
      <w:tr>
        <w:trPr>
          <w:trHeight w:hRule="atLeast" w:val="20"/>
        </w:trPr>
        <w:tc>
          <w:tcPr>
            <w:tcW w:type="dxa" w:w="252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E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Исходящий документ</w:t>
            </w:r>
          </w:p>
        </w:tc>
        <w:tc>
          <w:tcPr>
            <w:tcW w:type="dxa" w:w="200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F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Дата, Номер, содержание, корреспондент, исполнитель, контрольная дата</w:t>
            </w:r>
          </w:p>
        </w:tc>
        <w:tc>
          <w:tcPr>
            <w:tcW w:type="dxa" w:w="214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0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Специалист по делопроизводству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1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100000</w:t>
            </w:r>
          </w:p>
        </w:tc>
        <w:tc>
          <w:tcPr>
            <w:tcW w:type="dxa" w:w="1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2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20000</w:t>
            </w:r>
          </w:p>
        </w:tc>
      </w:tr>
    </w:tbl>
    <w:p w14:paraId="83030000">
      <w:pPr>
        <w:spacing w:after="0" w:line="360" w:lineRule="auto"/>
        <w:ind w:firstLine="851" w:left="0"/>
        <w:jc w:val="both"/>
        <w:rPr>
          <w:color w:val="000000"/>
        </w:rPr>
      </w:pPr>
    </w:p>
    <w:p w14:paraId="84030000">
      <w:bookmarkStart w:id="70" w:name="__RefHeading___53"/>
      <w:bookmarkEnd w:id="70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  <w:sz w:val="20"/>
        </w:rPr>
      </w:pPr>
      <w:r>
        <w:rPr>
          <w:b w:val="1"/>
        </w:rPr>
        <w:t>2.2.3 Характеристика результатной информации</w:t>
      </w:r>
    </w:p>
    <w:p w14:paraId="85030000">
      <w:pPr>
        <w:widowControl w:val="0"/>
        <w:spacing w:after="0"/>
        <w:ind/>
        <w:rPr>
          <w:sz w:val="24"/>
        </w:rPr>
      </w:pPr>
    </w:p>
    <w:p w14:paraId="86030000">
      <w:pPr>
        <w:widowControl w:val="0"/>
        <w:spacing w:after="0" w:line="360" w:lineRule="auto"/>
        <w:ind w:firstLine="851" w:left="0"/>
        <w:jc w:val="both"/>
        <w:rPr>
          <w:highlight w:val="white"/>
        </w:rPr>
      </w:pPr>
      <w:r>
        <w:rPr>
          <w:highlight w:val="white"/>
        </w:rPr>
        <w:t>К результатной информации относится отчётная документация, формируемая программой автоматически. При изменении первичных сведений содержание и итоговые показатели отчётов пересчитываются автоматически.</w:t>
      </w:r>
    </w:p>
    <w:p w14:paraId="87030000">
      <w:pPr>
        <w:widowControl w:val="0"/>
        <w:spacing w:after="0" w:line="360" w:lineRule="auto"/>
        <w:ind w:firstLine="851" w:left="0"/>
        <w:jc w:val="both"/>
      </w:pPr>
      <w:r>
        <w:t>Программное обеспечение должно обеспечивать выгрузку отчётных данных во внешние приложения (MS Excel, MS Word, Adobe Reader и др.), что даёт возможность сохранять их и пересылать по электронной почте.</w:t>
      </w:r>
    </w:p>
    <w:p w14:paraId="88030000">
      <w:pPr>
        <w:widowControl w:val="0"/>
        <w:spacing w:after="0" w:line="360" w:lineRule="auto"/>
        <w:ind w:firstLine="851" w:left="0"/>
        <w:jc w:val="both"/>
      </w:pPr>
      <w:r>
        <w:t>Описание форм результатной информации приведено в таблице 14.</w:t>
      </w:r>
    </w:p>
    <w:p w14:paraId="89030000">
      <w:pPr>
        <w:spacing w:after="0"/>
        <w:ind/>
        <w:jc w:val="right"/>
        <w:rPr>
          <w:b w:val="1"/>
        </w:rPr>
      </w:pPr>
      <w:r>
        <w:rPr>
          <w:b w:val="1"/>
        </w:rPr>
        <w:t xml:space="preserve">Таблица </w:t>
      </w:r>
      <w:r>
        <w:rPr>
          <w:b w:val="1"/>
        </w:rPr>
        <w:t>14</w:t>
      </w:r>
    </w:p>
    <w:p w14:paraId="8A030000">
      <w:pPr>
        <w:spacing w:after="0"/>
        <w:ind/>
        <w:jc w:val="center"/>
        <w:rPr>
          <w:b w:val="1"/>
        </w:rPr>
      </w:pPr>
      <w:r>
        <w:rPr>
          <w:b w:val="1"/>
        </w:rPr>
        <w:t>Описание форм результатной информации</w:t>
      </w:r>
    </w:p>
    <w:tbl>
      <w:tblPr>
        <w:tblStyle w:val="Style_2"/>
        <w:tblLayout w:type="fixed"/>
        <w:tblCellMar>
          <w:left w:type="dxa" w:w="10"/>
          <w:right w:type="dxa" w:w="10"/>
        </w:tblCellMar>
      </w:tblPr>
      <w:tblGrid>
        <w:gridCol w:w="2002"/>
        <w:gridCol w:w="2104"/>
        <w:gridCol w:w="1692"/>
        <w:gridCol w:w="2002"/>
        <w:gridCol w:w="1848"/>
      </w:tblGrid>
      <w:tr>
        <w:trPr>
          <w:trHeight w:hRule="atLeast" w:val="20"/>
        </w:trPr>
        <w:tc>
          <w:tcPr>
            <w:tcW w:type="dxa" w:w="2002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B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Выходной доку</w:t>
            </w:r>
            <w:r>
              <w:rPr>
                <w:b w:val="1"/>
                <w:sz w:val="24"/>
              </w:rPr>
              <w:t>мент</w:t>
            </w:r>
          </w:p>
        </w:tc>
        <w:tc>
          <w:tcPr>
            <w:tcW w:type="dxa" w:w="210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C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Реквизиты до</w:t>
            </w:r>
            <w:r>
              <w:rPr>
                <w:b w:val="1"/>
                <w:sz w:val="24"/>
              </w:rPr>
              <w:t>кумента (поля)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D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Частота форми</w:t>
            </w:r>
            <w:r>
              <w:rPr>
                <w:b w:val="1"/>
                <w:sz w:val="24"/>
              </w:rPr>
              <w:t>рования</w:t>
            </w:r>
          </w:p>
        </w:tc>
        <w:tc>
          <w:tcPr>
            <w:tcW w:type="dxa" w:w="2002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E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Источник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F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Способ доставки потребителям</w:t>
            </w:r>
          </w:p>
        </w:tc>
      </w:tr>
      <w:tr>
        <w:trPr>
          <w:trHeight w:hRule="atLeast" w:val="20"/>
        </w:trPr>
        <w:tc>
          <w:tcPr>
            <w:tcW w:type="dxa" w:w="2002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0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Количество до</w:t>
            </w:r>
            <w:r>
              <w:rPr>
                <w:sz w:val="24"/>
              </w:rPr>
              <w:t>кументов по ис</w:t>
            </w:r>
            <w:r>
              <w:rPr>
                <w:sz w:val="24"/>
              </w:rPr>
              <w:t>полнителям</w:t>
            </w:r>
          </w:p>
        </w:tc>
        <w:tc>
          <w:tcPr>
            <w:tcW w:type="dxa" w:w="210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1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ФИО сотруд</w:t>
            </w:r>
            <w:r>
              <w:rPr>
                <w:sz w:val="24"/>
              </w:rPr>
              <w:t>ника, количество документов, дата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2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1000 раз/год</w:t>
            </w:r>
          </w:p>
        </w:tc>
        <w:tc>
          <w:tcPr>
            <w:tcW w:type="dxa" w:w="2002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3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Входящие доку</w:t>
            </w:r>
            <w:r>
              <w:rPr>
                <w:sz w:val="24"/>
              </w:rPr>
              <w:t>менты, исходя</w:t>
            </w:r>
            <w:r>
              <w:rPr>
                <w:sz w:val="24"/>
              </w:rPr>
              <w:t>щие документы, сотрудники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4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Электронно</w:t>
            </w:r>
          </w:p>
        </w:tc>
      </w:tr>
      <w:tr>
        <w:trPr>
          <w:trHeight w:hRule="atLeast" w:val="20"/>
        </w:trPr>
        <w:tc>
          <w:tcPr>
            <w:tcW w:type="dxa" w:w="20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5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Отчет по напол</w:t>
            </w:r>
            <w:r>
              <w:rPr>
                <w:sz w:val="24"/>
              </w:rPr>
              <w:t>няемости номен</w:t>
            </w:r>
            <w:r>
              <w:rPr>
                <w:sz w:val="24"/>
              </w:rPr>
              <w:t>клатуры</w:t>
            </w:r>
          </w:p>
        </w:tc>
        <w:tc>
          <w:tcPr>
            <w:tcW w:type="dxa" w:w="210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6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Наименование номенклатуры дел, количество документов, дата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7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100 раз/год</w:t>
            </w:r>
          </w:p>
        </w:tc>
        <w:tc>
          <w:tcPr>
            <w:tcW w:type="dxa" w:w="20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8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Входящие доку</w:t>
            </w:r>
            <w:r>
              <w:rPr>
                <w:sz w:val="24"/>
              </w:rPr>
              <w:t>менты, исходя</w:t>
            </w:r>
            <w:r>
              <w:rPr>
                <w:sz w:val="24"/>
              </w:rPr>
              <w:t>щие документы, номенклатура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9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Электронно</w:t>
            </w:r>
          </w:p>
        </w:tc>
      </w:tr>
      <w:tr>
        <w:trPr>
          <w:trHeight w:hRule="atLeast" w:val="20"/>
        </w:trPr>
        <w:tc>
          <w:tcPr>
            <w:tcW w:type="dxa" w:w="2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A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Отчет по просро</w:t>
            </w:r>
            <w:r>
              <w:rPr>
                <w:sz w:val="24"/>
              </w:rPr>
              <w:t>ченным доку</w:t>
            </w:r>
            <w:r>
              <w:rPr>
                <w:sz w:val="24"/>
              </w:rPr>
              <w:t>ментам</w:t>
            </w:r>
          </w:p>
        </w:tc>
        <w:tc>
          <w:tcPr>
            <w:tcW w:type="dxa" w:w="2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B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ФИО сотруд</w:t>
            </w:r>
            <w:r>
              <w:rPr>
                <w:sz w:val="24"/>
              </w:rPr>
              <w:t>ника, номер до</w:t>
            </w:r>
            <w:r>
              <w:rPr>
                <w:sz w:val="24"/>
              </w:rPr>
              <w:t>кумента, корре</w:t>
            </w:r>
            <w:r>
              <w:rPr>
                <w:sz w:val="24"/>
              </w:rPr>
              <w:t>спондент, со</w:t>
            </w:r>
            <w:r>
              <w:rPr>
                <w:sz w:val="24"/>
              </w:rPr>
              <w:t>держание дата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C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300 раз/год</w:t>
            </w:r>
          </w:p>
        </w:tc>
        <w:tc>
          <w:tcPr>
            <w:tcW w:type="dxa" w:w="2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D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Входящие доку</w:t>
            </w:r>
            <w:r>
              <w:rPr>
                <w:sz w:val="24"/>
              </w:rPr>
              <w:t>менты, исходя</w:t>
            </w:r>
            <w:r>
              <w:rPr>
                <w:sz w:val="24"/>
              </w:rPr>
              <w:t>щие документы, корреспонденты, специалисты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E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Электронно</w:t>
            </w:r>
          </w:p>
        </w:tc>
      </w:tr>
      <w:tr>
        <w:trPr>
          <w:trHeight w:hRule="atLeast" w:val="20"/>
        </w:trPr>
        <w:tc>
          <w:tcPr>
            <w:tcW w:type="dxa" w:w="20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F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bookmarkStart w:id="71" w:name="bookmark73"/>
            <w:r>
              <w:rPr>
                <w:sz w:val="24"/>
              </w:rPr>
              <w:t>Список докумен</w:t>
            </w:r>
            <w:r>
              <w:rPr>
                <w:sz w:val="24"/>
              </w:rPr>
              <w:t>тов в работе</w:t>
            </w:r>
            <w:bookmarkEnd w:id="71"/>
          </w:p>
        </w:tc>
        <w:tc>
          <w:tcPr>
            <w:tcW w:type="dxa" w:w="210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0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ФИО сотруд</w:t>
            </w:r>
            <w:r>
              <w:rPr>
                <w:sz w:val="24"/>
              </w:rPr>
              <w:t>ника, номер до</w:t>
            </w:r>
            <w:r>
              <w:rPr>
                <w:sz w:val="24"/>
              </w:rPr>
              <w:t>кумента, корре</w:t>
            </w:r>
            <w:r>
              <w:rPr>
                <w:sz w:val="24"/>
              </w:rPr>
              <w:t>спондент, со</w:t>
            </w:r>
            <w:r>
              <w:rPr>
                <w:sz w:val="24"/>
              </w:rPr>
              <w:t>держание дата</w:t>
            </w:r>
          </w:p>
        </w:tc>
        <w:tc>
          <w:tcPr>
            <w:tcW w:type="dxa" w:w="169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1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300 раз/год</w:t>
            </w:r>
          </w:p>
        </w:tc>
        <w:tc>
          <w:tcPr>
            <w:tcW w:type="dxa" w:w="20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2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Входящие доку</w:t>
            </w:r>
            <w:r>
              <w:rPr>
                <w:sz w:val="24"/>
              </w:rPr>
              <w:t>менты, исходя</w:t>
            </w:r>
            <w:r>
              <w:rPr>
                <w:sz w:val="24"/>
              </w:rPr>
              <w:t>щие документы, корреспонденты, специалисты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A3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Электронно</w:t>
            </w:r>
          </w:p>
        </w:tc>
      </w:tr>
    </w:tbl>
    <w:p w14:paraId="A4030000">
      <w:pPr>
        <w:spacing w:after="0"/>
        <w:ind/>
        <w:jc w:val="center"/>
        <w:rPr>
          <w:b w:val="1"/>
        </w:rPr>
      </w:pPr>
    </w:p>
    <w:p w14:paraId="A5030000">
      <w:bookmarkStart w:id="72" w:name="__RefHeading___54"/>
      <w:bookmarkEnd w:id="72"/>
      <w:pPr>
        <w:keepNext w:val="1"/>
        <w:keepLines w:val="1"/>
        <w:widowControl w:val="0"/>
        <w:spacing w:after="0"/>
        <w:ind/>
        <w:jc w:val="center"/>
        <w:outlineLvl w:val="1"/>
        <w:rPr>
          <w:b w:val="1"/>
        </w:rPr>
      </w:pPr>
      <w:r>
        <w:rPr>
          <w:b w:val="1"/>
        </w:rPr>
        <w:t>2.3 Программное обеспечение задачи</w:t>
      </w:r>
    </w:p>
    <w:p w14:paraId="A6030000">
      <w:bookmarkStart w:id="73" w:name="__RefHeading___55"/>
      <w:bookmarkEnd w:id="73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  <w:sz w:val="20"/>
        </w:rPr>
      </w:pPr>
      <w:r>
        <w:rPr>
          <w:b w:val="1"/>
        </w:rPr>
        <w:t>2.3.1 Общие положения (дерево функций и сценарий диалога)</w:t>
      </w:r>
    </w:p>
    <w:p w14:paraId="A7030000">
      <w:pPr>
        <w:spacing w:after="0" w:before="120" w:line="360" w:lineRule="auto"/>
        <w:ind w:firstLine="851" w:left="0"/>
        <w:jc w:val="both"/>
      </w:pPr>
    </w:p>
    <w:p w14:paraId="A8030000">
      <w:pPr>
        <w:pStyle w:val="Style_7"/>
      </w:pPr>
      <w:r>
        <w:t>На рисунке 19 представлена иерархическая система с модульными компонентами, используемыми в рамках рассматриваемой информационно-технической архитектуры [15].</w:t>
      </w:r>
    </w:p>
    <w:p w14:paraId="A9030000">
      <w:pPr>
        <w:pStyle w:val="Style_7"/>
      </w:pPr>
      <w:r>
        <w:t xml:space="preserve">Построение дерева функций, отражающего иерархию и состав элементов системы, вместе со сценарием диалога даёт возможность подробно задать подчинённость, содержание и устройство каждого отдельного окна </w:t>
      </w:r>
      <w:r>
        <w:t xml:space="preserve">взаимодействия [20].детально устанавливать подчиненность, содержимое и конструкцию каждого отдельного интерфейсного окна взаимодействия [20]. </w:t>
      </w:r>
    </w:p>
    <w:p w14:paraId="AA030000">
      <w:pPr>
        <w:keepNext w:val="1"/>
        <w:spacing w:after="0" w:line="360" w:lineRule="auto"/>
        <w:ind/>
        <w:jc w:val="center"/>
        <w:rPr>
          <w:rFonts w:ascii="Verdana" w:hAnsi="Verdana"/>
          <w:b w:val="1"/>
          <w:color w:val="000000"/>
          <w:spacing w:val="-3"/>
        </w:rPr>
      </w:pPr>
      <w:r>
        <w:rPr>
          <w:color w:val="000000"/>
          <w:spacing w:val="-3"/>
        </w:rPr>
        <w:drawing>
          <wp:inline>
            <wp:extent cx="5387340" cy="5981700"/>
            <wp:effectExtent b="0" l="0" r="0" t="0"/>
            <wp:docPr hidden="false" id="42" name="Picture 42"/>
            <a:graphic>
              <a:graphicData uri="http://schemas.openxmlformats.org/drawingml/2006/picture">
                <pic:pic>
                  <pic:nvPicPr>
                    <pic:cNvPr hidden="false" id="41" name="Picture 41"/>
                    <pic:cNvPicPr preferRelativeResize="true"/>
                  </pic:nvPicPr>
                  <pic:blipFill>
                    <a:blip r:embed="rId24"/>
                    <a:srcRect b="0" l="0" r="0" t="0"/>
                    <a:stretch/>
                  </pic:blipFill>
                  <pic:spPr>
                    <a:xfrm flipH="false" flipV="false" rot="0">
                      <a:ext cx="5387340" cy="59817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B030000">
      <w:pPr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>Рисунок 19. Дерево функций</w:t>
      </w:r>
    </w:p>
    <w:p w14:paraId="AC030000">
      <w:pPr>
        <w:spacing w:after="0" w:line="360" w:lineRule="auto"/>
        <w:ind w:firstLine="709" w:left="0"/>
        <w:jc w:val="both"/>
      </w:pPr>
    </w:p>
    <w:p w14:paraId="AD030000">
      <w:pPr>
        <w:pStyle w:val="Style_7"/>
      </w:pPr>
      <w:r>
        <w:t>Сценарий диалога системы приведён на рисунке 20.</w:t>
      </w:r>
    </w:p>
    <w:p w14:paraId="AE030000">
      <w:pPr>
        <w:keepNext w:val="1"/>
        <w:spacing w:after="0" w:line="360" w:lineRule="auto"/>
        <w:ind/>
        <w:jc w:val="center"/>
        <w:rPr>
          <w:color w:val="000000"/>
          <w:spacing w:val="-3"/>
        </w:rPr>
      </w:pPr>
      <w:r>
        <w:rPr>
          <w:color w:val="000000"/>
          <w:spacing w:val="-3"/>
        </w:rPr>
        <w:drawing>
          <wp:inline>
            <wp:extent cx="5029200" cy="7315200"/>
            <wp:effectExtent b="0" l="0" r="0" t="0"/>
            <wp:docPr hidden="false" id="44" name="Picture 44"/>
            <a:graphic>
              <a:graphicData uri="http://schemas.openxmlformats.org/drawingml/2006/picture">
                <pic:pic>
                  <pic:nvPicPr>
                    <pic:cNvPr hidden="false" id="43" name="Picture 43"/>
                    <pic:cNvPicPr preferRelativeResize="true"/>
                  </pic:nvPicPr>
                  <pic:blipFill>
                    <a:blip r:embed="rId25"/>
                    <a:srcRect b="0" l="0" r="0" t="0"/>
                    <a:stretch/>
                  </pic:blipFill>
                  <pic:spPr>
                    <a:xfrm flipH="false" flipV="false" rot="0">
                      <a:ext cx="5029200" cy="73152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F030000">
      <w:pPr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>Рисунок 20. Схема сценария диалога системы</w:t>
      </w:r>
    </w:p>
    <w:p w14:paraId="B0030000">
      <w:pPr>
        <w:pStyle w:val="Style_7"/>
      </w:pPr>
      <w:r>
        <w:t>Из изложенного следует, что средства взаимодействия аппаратной и программной частей должны быть согласованы с имеющейся справочной, оперативной и отчётной информацией [7].</w:t>
      </w:r>
    </w:p>
    <w:p w14:paraId="B1030000"/>
    <w:p w14:paraId="B2030000">
      <w:bookmarkStart w:id="74" w:name="__RefHeading___56"/>
      <w:bookmarkEnd w:id="74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  <w:sz w:val="20"/>
        </w:rPr>
      </w:pPr>
      <w:r>
        <w:rPr>
          <w:b w:val="1"/>
        </w:rPr>
        <w:t>2.3.2 Характеристика базы данных</w:t>
      </w:r>
    </w:p>
    <w:p w14:paraId="B3030000">
      <w:pPr>
        <w:widowControl w:val="0"/>
        <w:spacing w:after="0" w:line="360" w:lineRule="auto"/>
        <w:ind w:firstLine="851" w:left="0"/>
        <w:jc w:val="both"/>
      </w:pPr>
    </w:p>
    <w:p w14:paraId="B4030000">
      <w:pPr>
        <w:widowControl w:val="0"/>
        <w:spacing w:after="0" w:line="360" w:lineRule="auto"/>
        <w:ind w:firstLine="851" w:left="0"/>
        <w:jc w:val="both"/>
      </w:pPr>
      <w:r>
        <w:t>Сущностями проектируемой информационной системы выступают:</w:t>
      </w:r>
    </w:p>
    <w:p w14:paraId="B5030000">
      <w:pPr>
        <w:widowControl w:val="0"/>
        <w:tabs>
          <w:tab w:leader="none" w:pos="851" w:val="left"/>
        </w:tabs>
        <w:spacing w:after="0" w:line="360" w:lineRule="auto"/>
        <w:ind w:firstLine="851" w:left="0"/>
        <w:contextualSpacing w:val="1"/>
        <w:jc w:val="both"/>
      </w:pPr>
      <w:r>
        <w:t>– сотрудники, участвующие в электронном документообороте;</w:t>
      </w:r>
    </w:p>
    <w:p w14:paraId="B6030000">
      <w:pPr>
        <w:widowControl w:val="0"/>
        <w:tabs>
          <w:tab w:leader="none" w:pos="851" w:val="left"/>
        </w:tabs>
        <w:spacing w:after="0" w:line="360" w:lineRule="auto"/>
        <w:ind w:firstLine="851" w:left="0"/>
        <w:contextualSpacing w:val="1"/>
        <w:jc w:val="both"/>
      </w:pPr>
      <w:r>
        <w:t>– корреспонденты;</w:t>
      </w:r>
    </w:p>
    <w:p w14:paraId="B7030000">
      <w:pPr>
        <w:widowControl w:val="0"/>
        <w:tabs>
          <w:tab w:leader="none" w:pos="851" w:val="left"/>
        </w:tabs>
        <w:spacing w:after="0" w:line="360" w:lineRule="auto"/>
        <w:ind w:firstLine="851" w:left="0"/>
        <w:contextualSpacing w:val="1"/>
        <w:jc w:val="both"/>
      </w:pPr>
      <w:r>
        <w:t>– входящие документы;</w:t>
      </w:r>
    </w:p>
    <w:p w14:paraId="B8030000">
      <w:pPr>
        <w:widowControl w:val="0"/>
        <w:tabs>
          <w:tab w:leader="none" w:pos="851" w:val="left"/>
        </w:tabs>
        <w:spacing w:after="0" w:line="360" w:lineRule="auto"/>
        <w:ind w:firstLine="851" w:left="0"/>
        <w:contextualSpacing w:val="1"/>
        <w:jc w:val="both"/>
      </w:pPr>
      <w:r>
        <w:t>– исходящие документы;</w:t>
      </w:r>
    </w:p>
    <w:p w14:paraId="B9030000">
      <w:pPr>
        <w:widowControl w:val="0"/>
        <w:tabs>
          <w:tab w:leader="none" w:pos="851" w:val="left"/>
        </w:tabs>
        <w:spacing w:after="0" w:line="360" w:lineRule="auto"/>
        <w:ind w:firstLine="851" w:left="0"/>
        <w:contextualSpacing w:val="1"/>
        <w:jc w:val="both"/>
      </w:pPr>
      <w:r>
        <w:t>– номенклатура;</w:t>
      </w:r>
    </w:p>
    <w:p w14:paraId="BA030000">
      <w:pPr>
        <w:widowControl w:val="0"/>
        <w:tabs>
          <w:tab w:leader="none" w:pos="851" w:val="left"/>
        </w:tabs>
        <w:spacing w:after="0" w:line="360" w:lineRule="auto"/>
        <w:ind w:firstLine="851" w:left="0"/>
        <w:contextualSpacing w:val="1"/>
        <w:jc w:val="both"/>
      </w:pPr>
      <w:r>
        <w:t>– статусы отработки;</w:t>
      </w:r>
    </w:p>
    <w:p w14:paraId="BB030000">
      <w:pPr>
        <w:widowControl w:val="0"/>
        <w:tabs>
          <w:tab w:leader="none" w:pos="851" w:val="left"/>
        </w:tabs>
        <w:spacing w:after="0" w:line="360" w:lineRule="auto"/>
        <w:ind w:firstLine="851" w:left="0"/>
        <w:contextualSpacing w:val="1"/>
        <w:jc w:val="both"/>
      </w:pPr>
      <w:r>
        <w:t>– должности.</w:t>
      </w:r>
    </w:p>
    <w:p w14:paraId="BC030000">
      <w:pPr>
        <w:widowControl w:val="0"/>
        <w:spacing w:after="0" w:line="360" w:lineRule="auto"/>
        <w:ind w:firstLine="851" w:left="0"/>
        <w:jc w:val="both"/>
      </w:pPr>
      <w:r>
        <w:t>Даталогическая модель базы данных показана на рисунке 21.</w:t>
      </w:r>
    </w:p>
    <w:p w14:paraId="BD030000">
      <w:pPr>
        <w:spacing w:after="60" w:before="60"/>
        <w:ind/>
        <w:jc w:val="center"/>
        <w:rPr>
          <w:rFonts w:ascii="Verdana" w:hAnsi="Verdana"/>
          <w:b w:val="1"/>
          <w:color w:val="000000"/>
          <w:sz w:val="24"/>
        </w:rPr>
      </w:pPr>
      <w:r>
        <w:rPr>
          <w:rFonts w:ascii="Verdana" w:hAnsi="Verdana"/>
          <w:b w:val="1"/>
          <w:color w:val="000000"/>
          <w:sz w:val="24"/>
        </w:rPr>
        <w:drawing>
          <wp:inline>
            <wp:extent cx="5897765" cy="4731488"/>
            <wp:effectExtent b="0" l="0" r="0" t="0"/>
            <wp:docPr hidden="false" id="46" name="Picture 46"/>
            <a:graphic>
              <a:graphicData uri="http://schemas.openxmlformats.org/drawingml/2006/picture">
                <pic:pic>
                  <pic:nvPicPr>
                    <pic:cNvPr hidden="false" id="45" name="Picture 45"/>
                    <pic:cNvPicPr preferRelativeResize="true"/>
                  </pic:nvPicPr>
                  <pic:blipFill>
                    <a:blip r:embed="rId26"/>
                    <a:srcRect b="0" l="0" r="0" t="0"/>
                    <a:stretch/>
                  </pic:blipFill>
                  <pic:spPr>
                    <a:xfrm flipH="false" flipV="false" rot="0">
                      <a:ext cx="5897765" cy="473148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E030000">
      <w:pPr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</w:rPr>
      </w:pPr>
      <w:r>
        <w:rPr>
          <w:b w:val="1"/>
        </w:rPr>
        <w:t>Рисунок 21</w:t>
      </w:r>
      <w:r>
        <w:rPr>
          <w:b w:val="1"/>
        </w:rPr>
        <w:t>.</w:t>
      </w:r>
      <w:r>
        <w:rPr>
          <w:b w:val="1"/>
        </w:rPr>
        <w:t xml:space="preserve"> Даталогическая модель</w:t>
      </w:r>
    </w:p>
    <w:p w14:paraId="BF030000">
      <w:pPr>
        <w:spacing w:after="0" w:line="360" w:lineRule="auto"/>
        <w:ind w:firstLine="851" w:left="0"/>
        <w:jc w:val="both"/>
        <w:rPr>
          <w:color w:val="000000"/>
        </w:rPr>
      </w:pPr>
    </w:p>
    <w:p w14:paraId="C0030000">
      <w:pPr>
        <w:widowControl w:val="0"/>
        <w:spacing w:after="0" w:line="360" w:lineRule="auto"/>
        <w:ind w:firstLine="851" w:left="0"/>
        <w:jc w:val="both"/>
      </w:pPr>
      <w:r>
        <w:t>Опираясь на приведённую модель, построим структуру базы данных (таблицы 15–21).</w:t>
      </w:r>
    </w:p>
    <w:p w14:paraId="C1030000">
      <w:pPr>
        <w:spacing w:after="0"/>
        <w:ind w:firstLine="709" w:left="0"/>
        <w:jc w:val="right"/>
        <w:rPr>
          <w:b w:val="1"/>
        </w:rPr>
      </w:pPr>
      <w:r>
        <w:rPr>
          <w:b w:val="1"/>
        </w:rPr>
        <w:t>Таблица 15</w:t>
      </w:r>
    </w:p>
    <w:p w14:paraId="C2030000">
      <w:pPr>
        <w:spacing w:after="0"/>
        <w:ind/>
        <w:jc w:val="center"/>
        <w:rPr>
          <w:b w:val="1"/>
        </w:rPr>
      </w:pPr>
      <w:r>
        <w:rPr>
          <w:b w:val="1"/>
        </w:rPr>
        <w:t>Структура справочника должностей</w:t>
      </w:r>
    </w:p>
    <w:tbl>
      <w:tblPr>
        <w:tblStyle w:val="Style_2"/>
        <w:tblLayout w:type="fixed"/>
        <w:tblCellMar>
          <w:left w:type="dxa" w:w="10"/>
          <w:right w:type="dxa" w:w="10"/>
        </w:tblCellMar>
      </w:tblPr>
      <w:tblGrid>
        <w:gridCol w:w="2689"/>
        <w:gridCol w:w="2106"/>
        <w:gridCol w:w="2390"/>
        <w:gridCol w:w="2405"/>
      </w:tblGrid>
      <w:tr>
        <w:trPr>
          <w:trHeight w:hRule="exact" w:val="259"/>
        </w:trPr>
        <w:tc>
          <w:tcPr>
            <w:tcW w:type="dxa" w:w="2689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C3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Наименование поля</w:t>
            </w:r>
          </w:p>
        </w:tc>
        <w:tc>
          <w:tcPr>
            <w:tcW w:type="dxa" w:w="2106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C4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Тип данных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C5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Примечание</w:t>
            </w: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C6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Обязательность</w:t>
            </w:r>
          </w:p>
        </w:tc>
      </w:tr>
      <w:tr>
        <w:trPr>
          <w:trHeight w:hRule="atLeast" w:val="20"/>
        </w:trPr>
        <w:tc>
          <w:tcPr>
            <w:tcW w:type="dxa" w:w="2689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7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Код должности</w:t>
            </w:r>
          </w:p>
        </w:tc>
        <w:tc>
          <w:tcPr>
            <w:tcW w:type="dxa" w:w="2106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8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Целое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9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Ключевое поле</w:t>
            </w: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A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268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B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Наименование долж</w:t>
            </w:r>
            <w:r>
              <w:rPr>
                <w:sz w:val="24"/>
              </w:rPr>
              <w:t>ности</w:t>
            </w:r>
          </w:p>
        </w:tc>
        <w:tc>
          <w:tcPr>
            <w:tcW w:type="dxa" w:w="210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C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Текст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D030000">
            <w:pPr>
              <w:widowControl w:val="0"/>
              <w:spacing w:after="0"/>
              <w:ind/>
              <w:jc w:val="both"/>
              <w:rPr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CE03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</w:tbl>
    <w:p w14:paraId="CF030000">
      <w:pPr>
        <w:spacing w:after="0"/>
        <w:ind/>
        <w:jc w:val="center"/>
        <w:rPr>
          <w:b w:val="1"/>
        </w:rPr>
      </w:pPr>
    </w:p>
    <w:p w14:paraId="D0030000">
      <w:pPr>
        <w:spacing w:after="0"/>
        <w:ind/>
        <w:jc w:val="center"/>
        <w:rPr>
          <w:b w:val="1"/>
        </w:rPr>
      </w:pPr>
    </w:p>
    <w:p w14:paraId="D1030000">
      <w:pPr>
        <w:spacing w:after="0"/>
        <w:ind w:firstLine="709" w:left="0"/>
        <w:jc w:val="right"/>
        <w:rPr>
          <w:b w:val="1"/>
        </w:rPr>
      </w:pPr>
      <w:r>
        <w:rPr>
          <w:b w:val="1"/>
        </w:rPr>
        <w:t>Таблица 16</w:t>
      </w:r>
    </w:p>
    <w:p w14:paraId="D2030000">
      <w:pPr>
        <w:spacing w:after="0"/>
        <w:ind/>
        <w:jc w:val="center"/>
        <w:rPr>
          <w:b w:val="1"/>
        </w:rPr>
      </w:pPr>
      <w:r>
        <w:rPr>
          <w:b w:val="1"/>
        </w:rPr>
        <w:t xml:space="preserve">Структура справочника сотрудников </w:t>
      </w:r>
    </w:p>
    <w:tbl>
      <w:tblPr>
        <w:tblStyle w:val="Style_2"/>
        <w:tblLayout w:type="fixed"/>
        <w:tblCellMar>
          <w:left w:type="dxa" w:w="10"/>
          <w:right w:type="dxa" w:w="10"/>
        </w:tblCellMar>
      </w:tblPr>
      <w:tblGrid>
        <w:gridCol w:w="2400"/>
        <w:gridCol w:w="2395"/>
        <w:gridCol w:w="2390"/>
        <w:gridCol w:w="2405"/>
      </w:tblGrid>
      <w:tr>
        <w:trPr>
          <w:trHeight w:hRule="exact" w:val="269"/>
          <w:tblHeader/>
        </w:trPr>
        <w:tc>
          <w:tcPr>
            <w:tcW w:type="dxa" w:w="240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D3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Наименование поля</w:t>
            </w:r>
          </w:p>
        </w:tc>
        <w:tc>
          <w:tcPr>
            <w:tcW w:type="dxa" w:w="2395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D4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Тип данных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D5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Примечание</w:t>
            </w: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D6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Обязательность</w:t>
            </w:r>
          </w:p>
        </w:tc>
      </w:tr>
      <w:tr>
        <w:trPr>
          <w:trHeight w:hRule="exact" w:val="293"/>
        </w:trPr>
        <w:tc>
          <w:tcPr>
            <w:tcW w:type="dxa" w:w="240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D7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Код сотрудника</w:t>
            </w:r>
          </w:p>
        </w:tc>
        <w:tc>
          <w:tcPr>
            <w:tcW w:type="dxa" w:w="2395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D8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Целое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D9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Ключевое поле</w:t>
            </w: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DA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exact" w:val="283"/>
        </w:trPr>
        <w:tc>
          <w:tcPr>
            <w:tcW w:type="dxa" w:w="240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DB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Код должности</w:t>
            </w:r>
          </w:p>
        </w:tc>
        <w:tc>
          <w:tcPr>
            <w:tcW w:type="dxa" w:w="2395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DC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Целое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DD030000">
            <w:pPr>
              <w:widowControl w:val="0"/>
              <w:spacing w:after="0"/>
              <w:ind w:firstLine="61" w:left="0"/>
              <w:jc w:val="both"/>
              <w:rPr>
                <w:rFonts w:ascii="Arial Unicode MS" w:hAnsi="Arial Unicode MS"/>
                <w:color w:val="000000"/>
                <w:sz w:val="10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DE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exact" w:val="288"/>
        </w:trPr>
        <w:tc>
          <w:tcPr>
            <w:tcW w:type="dxa" w:w="240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DF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ФИО</w:t>
            </w:r>
          </w:p>
        </w:tc>
        <w:tc>
          <w:tcPr>
            <w:tcW w:type="dxa" w:w="2395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E0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Текст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E1030000">
            <w:pPr>
              <w:widowControl w:val="0"/>
              <w:spacing w:after="0"/>
              <w:ind w:firstLine="61" w:left="0"/>
              <w:jc w:val="both"/>
              <w:rPr>
                <w:rFonts w:ascii="Arial Unicode MS" w:hAnsi="Arial Unicode MS"/>
                <w:color w:val="000000"/>
                <w:sz w:val="10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E2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exact" w:val="288"/>
        </w:trPr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E3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Номер телефона</w:t>
            </w:r>
          </w:p>
        </w:tc>
        <w:tc>
          <w:tcPr>
            <w:tcW w:type="dxa" w:w="239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E4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Текст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E5030000">
            <w:pPr>
              <w:widowControl w:val="0"/>
              <w:spacing w:after="0"/>
              <w:ind w:firstLine="61" w:left="0"/>
              <w:jc w:val="both"/>
              <w:rPr>
                <w:rFonts w:ascii="Arial Unicode MS" w:hAnsi="Arial Unicode MS"/>
                <w:color w:val="000000"/>
                <w:sz w:val="10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E6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</w:tbl>
    <w:p w14:paraId="E7030000">
      <w:pPr>
        <w:spacing w:after="0"/>
        <w:ind/>
        <w:jc w:val="center"/>
        <w:rPr>
          <w:b w:val="1"/>
        </w:rPr>
      </w:pPr>
    </w:p>
    <w:p w14:paraId="E8030000">
      <w:pPr>
        <w:spacing w:after="0"/>
        <w:ind w:firstLine="709" w:left="0"/>
        <w:jc w:val="right"/>
        <w:rPr>
          <w:b w:val="1"/>
        </w:rPr>
      </w:pPr>
    </w:p>
    <w:p w14:paraId="E9030000">
      <w:pPr>
        <w:spacing w:after="0"/>
        <w:ind w:firstLine="709" w:left="0"/>
        <w:jc w:val="right"/>
        <w:rPr>
          <w:b w:val="1"/>
        </w:rPr>
      </w:pPr>
      <w:r>
        <w:rPr>
          <w:b w:val="1"/>
        </w:rPr>
        <w:t>Таблица 17</w:t>
      </w:r>
    </w:p>
    <w:p w14:paraId="EA030000">
      <w:pPr>
        <w:spacing w:after="0"/>
        <w:ind/>
        <w:jc w:val="center"/>
        <w:rPr>
          <w:b w:val="1"/>
        </w:rPr>
      </w:pPr>
      <w:r>
        <w:rPr>
          <w:b w:val="1"/>
        </w:rPr>
        <w:t xml:space="preserve">Структура справочника статусов отработки документа </w:t>
      </w:r>
    </w:p>
    <w:tbl>
      <w:tblPr>
        <w:tblStyle w:val="Style_2"/>
        <w:tblLayout w:type="fixed"/>
        <w:tblCellMar>
          <w:left w:type="dxa" w:w="10"/>
          <w:right w:type="dxa" w:w="10"/>
        </w:tblCellMar>
      </w:tblPr>
      <w:tblGrid>
        <w:gridCol w:w="2410"/>
        <w:gridCol w:w="2386"/>
        <w:gridCol w:w="2390"/>
        <w:gridCol w:w="2405"/>
      </w:tblGrid>
      <w:tr>
        <w:trPr>
          <w:trHeight w:hRule="exact" w:val="259"/>
        </w:trPr>
        <w:tc>
          <w:tcPr>
            <w:tcW w:type="dxa" w:w="241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EB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Наименование поля</w:t>
            </w:r>
          </w:p>
        </w:tc>
        <w:tc>
          <w:tcPr>
            <w:tcW w:type="dxa" w:w="2386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EC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Тип данных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ED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Примечание</w:t>
            </w: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  <w:vAlign w:val="bottom"/>
          </w:tcPr>
          <w:p w14:paraId="EE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Обязательность</w:t>
            </w:r>
          </w:p>
        </w:tc>
      </w:tr>
      <w:tr>
        <w:trPr>
          <w:trHeight w:hRule="atLeast" w:val="20"/>
        </w:trPr>
        <w:tc>
          <w:tcPr>
            <w:tcW w:type="dxa" w:w="241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EF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Код статуса</w:t>
            </w:r>
          </w:p>
        </w:tc>
        <w:tc>
          <w:tcPr>
            <w:tcW w:type="dxa" w:w="2386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F0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Целое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F1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Ключевое поле</w:t>
            </w: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F2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F3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Наименование статуса</w:t>
            </w:r>
          </w:p>
        </w:tc>
        <w:tc>
          <w:tcPr>
            <w:tcW w:type="dxa" w:w="23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F4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Текст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F5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F6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</w:tbl>
    <w:p w14:paraId="F7030000">
      <w:pPr>
        <w:spacing w:after="0"/>
        <w:ind w:firstLine="709" w:left="0"/>
        <w:jc w:val="right"/>
        <w:rPr>
          <w:b w:val="1"/>
        </w:rPr>
      </w:pPr>
    </w:p>
    <w:p w14:paraId="F8030000">
      <w:pPr>
        <w:spacing w:after="0"/>
        <w:ind w:firstLine="709" w:left="0"/>
        <w:jc w:val="right"/>
        <w:rPr>
          <w:b w:val="1"/>
        </w:rPr>
      </w:pPr>
      <w:r>
        <w:rPr>
          <w:b w:val="1"/>
        </w:rPr>
        <w:t>Таблица 18</w:t>
      </w:r>
    </w:p>
    <w:p w14:paraId="F9030000">
      <w:pPr>
        <w:spacing w:after="0"/>
        <w:ind/>
        <w:jc w:val="center"/>
        <w:rPr>
          <w:b w:val="1"/>
        </w:rPr>
      </w:pPr>
      <w:r>
        <w:rPr>
          <w:b w:val="1"/>
        </w:rPr>
        <w:t>Структура справочника корреспондентов</w:t>
      </w:r>
    </w:p>
    <w:tbl>
      <w:tblPr>
        <w:tblStyle w:val="Style_2"/>
        <w:tblLayout w:type="fixed"/>
        <w:tblCellMar>
          <w:left w:type="dxa" w:w="10"/>
          <w:right w:type="dxa" w:w="10"/>
        </w:tblCellMar>
      </w:tblPr>
      <w:tblGrid>
        <w:gridCol w:w="2400"/>
        <w:gridCol w:w="2395"/>
        <w:gridCol w:w="2390"/>
        <w:gridCol w:w="2405"/>
      </w:tblGrid>
      <w:tr>
        <w:trPr>
          <w:trHeight w:hRule="atLeast" w:val="20"/>
        </w:trPr>
        <w:tc>
          <w:tcPr>
            <w:tcW w:type="dxa" w:w="240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FA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Наименование поля</w:t>
            </w:r>
          </w:p>
        </w:tc>
        <w:tc>
          <w:tcPr>
            <w:tcW w:type="dxa" w:w="2395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FB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Тип данных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FC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Примечание</w:t>
            </w: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FD03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Обязательность</w:t>
            </w:r>
          </w:p>
        </w:tc>
      </w:tr>
      <w:tr>
        <w:trPr>
          <w:trHeight w:hRule="atLeast" w:val="20"/>
        </w:trPr>
        <w:tc>
          <w:tcPr>
            <w:tcW w:type="dxa" w:w="240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FE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Код корреспондента</w:t>
            </w:r>
          </w:p>
        </w:tc>
        <w:tc>
          <w:tcPr>
            <w:tcW w:type="dxa" w:w="2395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FF03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Целое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00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Ключевое поле</w:t>
            </w: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01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240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02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ФИО</w:t>
            </w:r>
          </w:p>
        </w:tc>
        <w:tc>
          <w:tcPr>
            <w:tcW w:type="dxa" w:w="2395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03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Текст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04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05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240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06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Адрес</w:t>
            </w:r>
          </w:p>
        </w:tc>
        <w:tc>
          <w:tcPr>
            <w:tcW w:type="dxa" w:w="2395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07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Текст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08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09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0A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Телефон</w:t>
            </w:r>
          </w:p>
        </w:tc>
        <w:tc>
          <w:tcPr>
            <w:tcW w:type="dxa" w:w="239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0B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Текст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0C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0D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Нет</w:t>
            </w:r>
          </w:p>
        </w:tc>
      </w:tr>
    </w:tbl>
    <w:p w14:paraId="0E040000">
      <w:pPr>
        <w:spacing w:after="0" w:line="360" w:lineRule="auto"/>
        <w:ind w:firstLine="709" w:left="0"/>
      </w:pPr>
    </w:p>
    <w:p w14:paraId="0F040000">
      <w:pPr>
        <w:spacing w:after="0"/>
        <w:ind w:firstLine="709" w:left="0"/>
        <w:jc w:val="right"/>
        <w:rPr>
          <w:b w:val="1"/>
        </w:rPr>
      </w:pPr>
      <w:r>
        <w:rPr>
          <w:b w:val="1"/>
        </w:rPr>
        <w:t>Таблица 19</w:t>
      </w:r>
    </w:p>
    <w:p w14:paraId="10040000">
      <w:pPr>
        <w:spacing w:after="0"/>
        <w:ind/>
        <w:jc w:val="center"/>
        <w:rPr>
          <w:b w:val="1"/>
        </w:rPr>
      </w:pPr>
      <w:r>
        <w:rPr>
          <w:b w:val="1"/>
        </w:rPr>
        <w:t xml:space="preserve">Структура журнала входящих документов  </w:t>
      </w:r>
    </w:p>
    <w:tbl>
      <w:tblPr>
        <w:tblStyle w:val="Style_2"/>
        <w:tblLayout w:type="fixed"/>
        <w:tblCellMar>
          <w:left w:type="dxa" w:w="10"/>
          <w:right w:type="dxa" w:w="10"/>
        </w:tblCellMar>
      </w:tblPr>
      <w:tblGrid>
        <w:gridCol w:w="3403"/>
        <w:gridCol w:w="1704"/>
        <w:gridCol w:w="2078"/>
        <w:gridCol w:w="2405"/>
      </w:tblGrid>
      <w:tr>
        <w:trPr>
          <w:trHeight w:hRule="atLeast" w:val="20"/>
        </w:trPr>
        <w:tc>
          <w:tcPr>
            <w:tcW w:type="dxa" w:w="3403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1104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Наименование поля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1204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Тип данных</w:t>
            </w:r>
          </w:p>
        </w:tc>
        <w:tc>
          <w:tcPr>
            <w:tcW w:type="dxa" w:w="2078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1304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Примечание</w:t>
            </w: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1404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Обязательность</w:t>
            </w:r>
          </w:p>
        </w:tc>
      </w:tr>
      <w:tr>
        <w:trPr>
          <w:trHeight w:hRule="atLeast" w:val="20"/>
        </w:trPr>
        <w:tc>
          <w:tcPr>
            <w:tcW w:type="dxa" w:w="3403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15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Код входящего документа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16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Целое</w:t>
            </w:r>
          </w:p>
        </w:tc>
        <w:tc>
          <w:tcPr>
            <w:tcW w:type="dxa" w:w="2078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17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Ключевое поле</w:t>
            </w: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18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3403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19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Код корреспондента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1A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Целое</w:t>
            </w:r>
          </w:p>
        </w:tc>
        <w:tc>
          <w:tcPr>
            <w:tcW w:type="dxa" w:w="2078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1B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1C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3403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1D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Код статуса отработки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1E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Целое</w:t>
            </w:r>
          </w:p>
        </w:tc>
        <w:tc>
          <w:tcPr>
            <w:tcW w:type="dxa" w:w="2078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1F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20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3403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21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Код номенклатуры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22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Целое</w:t>
            </w:r>
          </w:p>
        </w:tc>
        <w:tc>
          <w:tcPr>
            <w:tcW w:type="dxa" w:w="2078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23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24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3403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25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Содержание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26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Текст</w:t>
            </w:r>
          </w:p>
        </w:tc>
        <w:tc>
          <w:tcPr>
            <w:tcW w:type="dxa" w:w="2078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27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28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3403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29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Дата регистрации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2A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Дата</w:t>
            </w:r>
          </w:p>
        </w:tc>
        <w:tc>
          <w:tcPr>
            <w:tcW w:type="dxa" w:w="2078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2B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2C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3403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2D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Контрольная дата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2E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Дата</w:t>
            </w:r>
          </w:p>
        </w:tc>
        <w:tc>
          <w:tcPr>
            <w:tcW w:type="dxa" w:w="2078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2F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30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3403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31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Резолюция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32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Текст</w:t>
            </w:r>
          </w:p>
        </w:tc>
        <w:tc>
          <w:tcPr>
            <w:tcW w:type="dxa" w:w="2078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33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34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340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35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Код сотрудника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36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Целое</w:t>
            </w:r>
          </w:p>
        </w:tc>
        <w:tc>
          <w:tcPr>
            <w:tcW w:type="dxa" w:w="207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37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38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</w:tbl>
    <w:p w14:paraId="39040000">
      <w:pPr>
        <w:spacing w:after="0"/>
        <w:ind/>
        <w:jc w:val="center"/>
      </w:pPr>
    </w:p>
    <w:p w14:paraId="3A040000">
      <w:pPr>
        <w:spacing w:after="0"/>
        <w:ind w:firstLine="709" w:left="0"/>
        <w:jc w:val="right"/>
        <w:rPr>
          <w:b w:val="1"/>
        </w:rPr>
      </w:pPr>
    </w:p>
    <w:p w14:paraId="3B040000">
      <w:pPr>
        <w:spacing w:after="0"/>
        <w:ind w:firstLine="709" w:left="0"/>
        <w:jc w:val="right"/>
        <w:rPr>
          <w:b w:val="1"/>
        </w:rPr>
      </w:pPr>
    </w:p>
    <w:p w14:paraId="3C040000">
      <w:pPr>
        <w:spacing w:after="0"/>
        <w:ind w:firstLine="709" w:left="0"/>
        <w:jc w:val="right"/>
        <w:rPr>
          <w:b w:val="1"/>
        </w:rPr>
      </w:pPr>
    </w:p>
    <w:p w14:paraId="3D040000">
      <w:pPr>
        <w:spacing w:after="0"/>
        <w:ind w:firstLine="709" w:left="0"/>
        <w:jc w:val="right"/>
        <w:rPr>
          <w:b w:val="1"/>
        </w:rPr>
      </w:pPr>
    </w:p>
    <w:p w14:paraId="3E040000">
      <w:pPr>
        <w:spacing w:after="0"/>
        <w:ind w:firstLine="709" w:left="0"/>
        <w:jc w:val="right"/>
        <w:rPr>
          <w:b w:val="1"/>
        </w:rPr>
      </w:pPr>
      <w:r>
        <w:rPr>
          <w:b w:val="1"/>
        </w:rPr>
        <w:t>Таблица 20</w:t>
      </w:r>
    </w:p>
    <w:p w14:paraId="3F040000">
      <w:pPr>
        <w:spacing w:after="0"/>
        <w:ind/>
        <w:jc w:val="center"/>
        <w:rPr>
          <w:b w:val="1"/>
        </w:rPr>
      </w:pPr>
      <w:r>
        <w:rPr>
          <w:b w:val="1"/>
        </w:rPr>
        <w:t xml:space="preserve">Структура журнала исходящих документов  </w:t>
      </w:r>
    </w:p>
    <w:tbl>
      <w:tblPr>
        <w:tblStyle w:val="Style_2"/>
        <w:tblLayout w:type="fixed"/>
        <w:tblCellMar>
          <w:left w:type="dxa" w:w="10"/>
          <w:right w:type="dxa" w:w="10"/>
        </w:tblCellMar>
      </w:tblPr>
      <w:tblGrid>
        <w:gridCol w:w="2414"/>
        <w:gridCol w:w="2381"/>
        <w:gridCol w:w="2390"/>
        <w:gridCol w:w="2405"/>
      </w:tblGrid>
      <w:tr>
        <w:trPr>
          <w:trHeight w:hRule="atLeast" w:val="20"/>
        </w:trPr>
        <w:tc>
          <w:tcPr>
            <w:tcW w:type="dxa" w:w="241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4004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Наименование поля</w:t>
            </w:r>
          </w:p>
        </w:tc>
        <w:tc>
          <w:tcPr>
            <w:tcW w:type="dxa" w:w="2381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4104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Тип данных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4204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Примечание</w:t>
            </w: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4304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Обязательность</w:t>
            </w:r>
          </w:p>
        </w:tc>
      </w:tr>
      <w:tr>
        <w:trPr>
          <w:trHeight w:hRule="atLeast" w:val="20"/>
        </w:trPr>
        <w:tc>
          <w:tcPr>
            <w:tcW w:type="dxa" w:w="241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44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Код входящего доку</w:t>
            </w:r>
            <w:r>
              <w:rPr>
                <w:color w:val="000000"/>
                <w:sz w:val="24"/>
              </w:rPr>
              <w:t>мента</w:t>
            </w:r>
          </w:p>
        </w:tc>
        <w:tc>
          <w:tcPr>
            <w:tcW w:type="dxa" w:w="2381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45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Целое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46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Ключевое поле</w:t>
            </w: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47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241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48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Код корреспондента</w:t>
            </w:r>
          </w:p>
        </w:tc>
        <w:tc>
          <w:tcPr>
            <w:tcW w:type="dxa" w:w="2381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49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Целое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4A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4B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241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4C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Содержание</w:t>
            </w:r>
          </w:p>
        </w:tc>
        <w:tc>
          <w:tcPr>
            <w:tcW w:type="dxa" w:w="2381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4D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Текст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4E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4F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2414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0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Дата регистрации</w:t>
            </w:r>
          </w:p>
        </w:tc>
        <w:tc>
          <w:tcPr>
            <w:tcW w:type="dxa" w:w="2381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1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Дата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2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3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241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4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Код сотрудника</w:t>
            </w:r>
          </w:p>
        </w:tc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5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Целое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6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7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</w:tbl>
    <w:p w14:paraId="58040000">
      <w:pPr>
        <w:spacing w:after="0" w:line="360" w:lineRule="auto"/>
        <w:ind w:firstLine="709" w:left="0"/>
        <w:jc w:val="both"/>
      </w:pPr>
    </w:p>
    <w:p w14:paraId="59040000">
      <w:pPr>
        <w:spacing w:after="0"/>
        <w:ind w:firstLine="709" w:left="0"/>
        <w:jc w:val="right"/>
        <w:rPr>
          <w:b w:val="1"/>
        </w:rPr>
      </w:pPr>
      <w:r>
        <w:rPr>
          <w:b w:val="1"/>
        </w:rPr>
        <w:t>Таблица 21</w:t>
      </w:r>
    </w:p>
    <w:p w14:paraId="5A040000">
      <w:pPr>
        <w:spacing w:after="0"/>
        <w:ind/>
        <w:jc w:val="center"/>
        <w:rPr>
          <w:b w:val="1"/>
        </w:rPr>
      </w:pPr>
      <w:r>
        <w:rPr>
          <w:b w:val="1"/>
        </w:rPr>
        <w:t>Структура справочника номенклатуры дел</w:t>
      </w:r>
    </w:p>
    <w:p w14:paraId="5B040000">
      <w:pPr>
        <w:spacing w:after="0"/>
        <w:ind/>
        <w:jc w:val="center"/>
        <w:rPr>
          <w:b w:val="1"/>
        </w:rPr>
      </w:pPr>
      <w:r>
        <w:rPr>
          <w:b w:val="1"/>
        </w:rPr>
        <w:t xml:space="preserve"> </w:t>
      </w:r>
    </w:p>
    <w:tbl>
      <w:tblPr>
        <w:tblStyle w:val="Style_2"/>
        <w:tblLayout w:type="fixed"/>
        <w:tblCellMar>
          <w:left w:type="dxa" w:w="10"/>
          <w:right w:type="dxa" w:w="10"/>
        </w:tblCellMar>
      </w:tblPr>
      <w:tblGrid>
        <w:gridCol w:w="2400"/>
        <w:gridCol w:w="2395"/>
        <w:gridCol w:w="2390"/>
        <w:gridCol w:w="2405"/>
      </w:tblGrid>
      <w:tr>
        <w:trPr>
          <w:trHeight w:hRule="atLeast" w:val="20"/>
        </w:trPr>
        <w:tc>
          <w:tcPr>
            <w:tcW w:type="dxa" w:w="240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C04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Наименование поля</w:t>
            </w:r>
          </w:p>
        </w:tc>
        <w:tc>
          <w:tcPr>
            <w:tcW w:type="dxa" w:w="2395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D04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Тип данных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E04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Примечание</w:t>
            </w: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5F04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Обязательность</w:t>
            </w:r>
          </w:p>
        </w:tc>
      </w:tr>
      <w:tr>
        <w:trPr>
          <w:trHeight w:hRule="atLeast" w:val="20"/>
        </w:trPr>
        <w:tc>
          <w:tcPr>
            <w:tcW w:type="dxa" w:w="240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0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Код номенклатуры</w:t>
            </w:r>
          </w:p>
        </w:tc>
        <w:tc>
          <w:tcPr>
            <w:tcW w:type="dxa" w:w="2395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1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Целое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2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Ключевое поле</w:t>
            </w: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3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240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4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Наименование номенклатуры</w:t>
            </w:r>
          </w:p>
        </w:tc>
        <w:tc>
          <w:tcPr>
            <w:tcW w:type="dxa" w:w="2395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5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Текст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6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7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  <w:tr>
        <w:trPr>
          <w:trHeight w:hRule="atLeast" w:val="20"/>
        </w:trPr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8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Срок хранения</w:t>
            </w:r>
          </w:p>
        </w:tc>
        <w:tc>
          <w:tcPr>
            <w:tcW w:type="dxa" w:w="239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9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Целое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A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</w:p>
        </w:tc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6B040000">
            <w:pPr>
              <w:widowControl w:val="0"/>
              <w:spacing w:after="0"/>
              <w:ind w:firstLine="61" w:left="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</w:tbl>
    <w:p w14:paraId="6C040000">
      <w:pPr>
        <w:widowControl w:val="0"/>
        <w:spacing w:after="0" w:line="360" w:lineRule="auto"/>
        <w:ind w:firstLine="851" w:left="0"/>
        <w:jc w:val="both"/>
      </w:pPr>
    </w:p>
    <w:p w14:paraId="6D040000">
      <w:pPr>
        <w:widowControl w:val="0"/>
        <w:spacing w:after="0" w:line="360" w:lineRule="auto"/>
        <w:ind w:firstLine="851" w:left="0"/>
        <w:jc w:val="both"/>
      </w:pPr>
      <w:r>
        <w:t>Разработанные таблицы устанавливают связи между сущностями благодаря нормализации данных.</w:t>
      </w:r>
    </w:p>
    <w:p w14:paraId="6E040000">
      <w:pPr>
        <w:widowControl w:val="0"/>
        <w:spacing w:after="0"/>
        <w:ind/>
        <w:rPr>
          <w:sz w:val="20"/>
        </w:rPr>
      </w:pPr>
    </w:p>
    <w:p w14:paraId="6F040000">
      <w:bookmarkStart w:id="75" w:name="__RefHeading___57"/>
      <w:bookmarkEnd w:id="75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  <w:sz w:val="20"/>
        </w:rPr>
      </w:pPr>
      <w:r>
        <w:rPr>
          <w:b w:val="1"/>
        </w:rPr>
        <w:t>2.3.3 Структурная схема пакета (дерево вызова программных модулей)</w:t>
      </w:r>
    </w:p>
    <w:p w14:paraId="70040000">
      <w:pPr>
        <w:spacing w:after="0" w:line="360" w:lineRule="auto"/>
        <w:ind w:firstLine="851" w:left="0"/>
        <w:jc w:val="both"/>
      </w:pPr>
    </w:p>
    <w:p w14:paraId="71040000">
      <w:pPr>
        <w:spacing w:after="0" w:before="120" w:line="360" w:lineRule="auto"/>
        <w:ind w:firstLine="709" w:left="0"/>
        <w:jc w:val="both"/>
        <w:rPr>
          <w:color w:val="000000"/>
        </w:rPr>
      </w:pPr>
      <w:r>
        <w:rPr>
          <w:color w:val="000000"/>
        </w:rPr>
        <w:t>Дерево вызова программных модулей показано на рисунке 22.</w:t>
      </w:r>
    </w:p>
    <w:p w14:paraId="72040000">
      <w:pPr>
        <w:spacing w:after="60" w:before="60"/>
        <w:ind/>
        <w:jc w:val="center"/>
        <w:rPr>
          <w:rFonts w:ascii="Verdana" w:hAnsi="Verdana"/>
          <w:b w:val="1"/>
          <w:color w:val="000000"/>
          <w:sz w:val="24"/>
        </w:rPr>
      </w:pPr>
      <w:r>
        <w:rPr>
          <w:rFonts w:ascii="Verdana" w:hAnsi="Verdana"/>
          <w:b w:val="1"/>
          <w:color w:val="000000"/>
          <w:sz w:val="24"/>
        </w:rPr>
        <w:drawing>
          <wp:inline>
            <wp:extent cx="5971980" cy="3825765"/>
            <wp:effectExtent b="0" l="0" r="0" t="0"/>
            <wp:docPr hidden="false" id="48" name="Picture 48"/>
            <a:graphic>
              <a:graphicData uri="http://schemas.openxmlformats.org/drawingml/2006/picture">
                <pic:pic>
                  <pic:nvPicPr>
                    <pic:cNvPr hidden="false" id="47" name="Picture 47"/>
                    <pic:cNvPicPr preferRelativeResize="true"/>
                  </pic:nvPicPr>
                  <pic:blipFill>
                    <a:blip r:embed="rId27"/>
                    <a:stretch/>
                  </pic:blipFill>
                  <pic:spPr>
                    <a:xfrm flipH="false" flipV="false" rot="0">
                      <a:ext cx="5971980" cy="382576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3040000">
      <w:pPr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</w:rPr>
      </w:pPr>
      <w:r>
        <w:rPr>
          <w:b w:val="1"/>
        </w:rPr>
        <w:t>Рисунок 22. Дерево вызова программных модулей</w:t>
      </w:r>
    </w:p>
    <w:p w14:paraId="74040000">
      <w:pPr>
        <w:spacing w:after="120"/>
        <w:ind/>
        <w:rPr>
          <w:sz w:val="24"/>
        </w:rPr>
      </w:pPr>
    </w:p>
    <w:p w14:paraId="75040000">
      <w:pPr>
        <w:spacing w:after="0" w:line="360" w:lineRule="auto"/>
        <w:ind w:firstLine="709" w:left="0"/>
        <w:jc w:val="both"/>
        <w:rPr>
          <w:b w:val="1"/>
          <w:color w:val="000000"/>
        </w:rPr>
      </w:pPr>
      <w:r>
        <w:rPr>
          <w:color w:val="000000"/>
        </w:rPr>
        <w:t>Описание функций подсистем приведено в таблице 22.</w:t>
      </w:r>
    </w:p>
    <w:p w14:paraId="76040000">
      <w:pPr>
        <w:tabs>
          <w:tab w:leader="none" w:pos="1134" w:val="left"/>
          <w:tab w:leader="none" w:pos="3828" w:val="left"/>
        </w:tabs>
        <w:spacing w:after="0"/>
        <w:ind w:firstLine="851" w:left="0"/>
        <w:jc w:val="right"/>
        <w:rPr>
          <w:b w:val="1"/>
        </w:rPr>
      </w:pPr>
      <w:r>
        <w:rPr>
          <w:b w:val="1"/>
        </w:rPr>
        <w:t>Таблица 22</w:t>
      </w:r>
    </w:p>
    <w:p w14:paraId="77040000">
      <w:pPr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</w:rPr>
      </w:pPr>
      <w:r>
        <w:rPr>
          <w:b w:val="1"/>
        </w:rPr>
        <w:t>Описание функций подсистем</w:t>
      </w:r>
    </w:p>
    <w:tbl>
      <w:tblPr>
        <w:tblStyle w:val="Style_2"/>
        <w:tblLayout w:type="fixed"/>
        <w:tblCellMar>
          <w:left w:type="dxa" w:w="10"/>
          <w:right w:type="dxa" w:w="10"/>
        </w:tblCellMar>
      </w:tblPr>
      <w:tblGrid>
        <w:gridCol w:w="730"/>
        <w:gridCol w:w="3389"/>
        <w:gridCol w:w="5414"/>
      </w:tblGrid>
      <w:tr>
        <w:trPr>
          <w:trHeight w:hRule="atLeast" w:val="20"/>
        </w:trPr>
        <w:tc>
          <w:tcPr>
            <w:tcW w:type="dxa" w:w="73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804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 п/п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904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Наименование подсистемы</w:t>
            </w:r>
          </w:p>
        </w:tc>
        <w:tc>
          <w:tcPr>
            <w:tcW w:type="dxa" w:w="541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A040000">
            <w:pPr>
              <w:tabs>
                <w:tab w:leader="none" w:pos="1134" w:val="left"/>
                <w:tab w:leader="none" w:pos="3828" w:val="left"/>
              </w:tabs>
              <w:spacing w:after="0"/>
              <w:ind w:hanging="41" w:left="4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Функции подсистемы</w:t>
            </w:r>
          </w:p>
        </w:tc>
      </w:tr>
      <w:tr>
        <w:trPr>
          <w:trHeight w:hRule="atLeast" w:val="20"/>
        </w:trPr>
        <w:tc>
          <w:tcPr>
            <w:tcW w:type="dxa" w:w="73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B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C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Подсистема безопасности</w:t>
            </w:r>
          </w:p>
        </w:tc>
        <w:tc>
          <w:tcPr>
            <w:tcW w:type="dxa" w:w="541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D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Анализ полномочий пользователя</w:t>
            </w:r>
          </w:p>
        </w:tc>
      </w:tr>
      <w:tr>
        <w:trPr>
          <w:trHeight w:hRule="atLeast" w:val="20"/>
        </w:trPr>
        <w:tc>
          <w:tcPr>
            <w:tcW w:type="dxa" w:w="73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E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7F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Подсистема инициализации интерфейса программы</w:t>
            </w:r>
          </w:p>
        </w:tc>
        <w:tc>
          <w:tcPr>
            <w:tcW w:type="dxa" w:w="541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0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После успешного входа в систему, запускает про</w:t>
            </w:r>
            <w:r>
              <w:rPr>
                <w:sz w:val="24"/>
              </w:rPr>
              <w:t>грамму, используя настройки прав доступа</w:t>
            </w:r>
          </w:p>
        </w:tc>
      </w:tr>
      <w:tr>
        <w:trPr>
          <w:trHeight w:hRule="atLeast" w:val="20"/>
        </w:trPr>
        <w:tc>
          <w:tcPr>
            <w:tcW w:type="dxa" w:w="73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1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2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Подсистема управления дере</w:t>
            </w:r>
            <w:r>
              <w:rPr>
                <w:sz w:val="24"/>
              </w:rPr>
              <w:t>вом объектов</w:t>
            </w:r>
          </w:p>
        </w:tc>
        <w:tc>
          <w:tcPr>
            <w:tcW w:type="dxa" w:w="541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3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Управление пунктов меню</w:t>
            </w:r>
          </w:p>
        </w:tc>
      </w:tr>
      <w:tr>
        <w:trPr>
          <w:trHeight w:hRule="atLeast" w:val="20"/>
        </w:trPr>
        <w:tc>
          <w:tcPr>
            <w:tcW w:type="dxa" w:w="73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4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5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Подсистема взаимодействия с базой данных</w:t>
            </w:r>
          </w:p>
        </w:tc>
        <w:tc>
          <w:tcPr>
            <w:tcW w:type="dxa" w:w="541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6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Взаимодействие с базой данных</w:t>
            </w:r>
          </w:p>
        </w:tc>
      </w:tr>
      <w:tr>
        <w:trPr>
          <w:trHeight w:hRule="atLeast" w:val="20"/>
        </w:trPr>
        <w:tc>
          <w:tcPr>
            <w:tcW w:type="dxa" w:w="73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7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8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Подсистема справочной си</w:t>
            </w:r>
            <w:r>
              <w:rPr>
                <w:sz w:val="24"/>
              </w:rPr>
              <w:t>стемы</w:t>
            </w:r>
          </w:p>
        </w:tc>
        <w:tc>
          <w:tcPr>
            <w:tcW w:type="dxa" w:w="541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9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Справка по работе с системой</w:t>
            </w:r>
          </w:p>
        </w:tc>
      </w:tr>
      <w:tr>
        <w:trPr>
          <w:trHeight w:hRule="atLeast" w:val="20"/>
        </w:trPr>
        <w:tc>
          <w:tcPr>
            <w:tcW w:type="dxa" w:w="73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A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B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Подсистема «Справочники»</w:t>
            </w:r>
          </w:p>
        </w:tc>
        <w:tc>
          <w:tcPr>
            <w:tcW w:type="dxa" w:w="541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C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Работа со справочниками клиентов, видов неис</w:t>
            </w:r>
            <w:r>
              <w:rPr>
                <w:sz w:val="24"/>
              </w:rPr>
              <w:t>правностей</w:t>
            </w:r>
          </w:p>
        </w:tc>
      </w:tr>
      <w:tr>
        <w:trPr>
          <w:trHeight w:hRule="atLeast" w:val="20"/>
        </w:trPr>
        <w:tc>
          <w:tcPr>
            <w:tcW w:type="dxa" w:w="730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D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E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Подсистема ввода оператив</w:t>
            </w:r>
            <w:r>
              <w:rPr>
                <w:sz w:val="24"/>
              </w:rPr>
              <w:t>ной информации</w:t>
            </w:r>
          </w:p>
        </w:tc>
        <w:tc>
          <w:tcPr>
            <w:tcW w:type="dxa" w:w="541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8F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Ввод документов, передача в работу исполнителям</w:t>
            </w:r>
          </w:p>
        </w:tc>
      </w:tr>
      <w:tr>
        <w:trPr>
          <w:trHeight w:hRule="atLeast" w:val="20"/>
        </w:trPr>
        <w:tc>
          <w:tcPr>
            <w:tcW w:type="dxa" w:w="73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0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1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Подсистема «Отчеты»</w:t>
            </w:r>
          </w:p>
        </w:tc>
        <w:tc>
          <w:tcPr>
            <w:tcW w:type="dxa" w:w="5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10"/>
              <w:right w:type="dxa" w:w="10"/>
            </w:tcMar>
          </w:tcPr>
          <w:p w14:paraId="92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отчетности о состоянии отработки документов</w:t>
            </w:r>
          </w:p>
        </w:tc>
      </w:tr>
    </w:tbl>
    <w:p w14:paraId="93040000">
      <w:pPr>
        <w:widowControl w:val="0"/>
        <w:spacing w:after="0" w:line="360" w:lineRule="auto"/>
        <w:ind w:firstLine="851" w:left="0"/>
        <w:jc w:val="both"/>
        <w:rPr>
          <w:sz w:val="20"/>
        </w:rPr>
      </w:pPr>
    </w:p>
    <w:p w14:paraId="94040000">
      <w:bookmarkStart w:id="76" w:name="__RefHeading___58"/>
      <w:bookmarkEnd w:id="76"/>
      <w:pPr>
        <w:keepNext w:val="1"/>
        <w:keepLines w:val="1"/>
        <w:widowControl w:val="0"/>
        <w:spacing w:after="0"/>
        <w:ind/>
        <w:jc w:val="center"/>
        <w:outlineLvl w:val="2"/>
        <w:rPr>
          <w:b w:val="1"/>
          <w:sz w:val="20"/>
        </w:rPr>
      </w:pPr>
      <w:r>
        <w:rPr>
          <w:b w:val="1"/>
        </w:rPr>
        <w:t>2.3.4 Описание программных модулей</w:t>
      </w:r>
    </w:p>
    <w:p w14:paraId="95040000">
      <w:pPr>
        <w:widowControl w:val="0"/>
        <w:spacing w:after="0" w:line="360" w:lineRule="auto"/>
        <w:ind w:firstLine="851" w:left="0"/>
        <w:jc w:val="both"/>
      </w:pPr>
    </w:p>
    <w:p w14:paraId="96040000">
      <w:pPr>
        <w:widowControl w:val="0"/>
        <w:spacing w:after="0" w:line="360" w:lineRule="auto"/>
        <w:ind w:firstLine="851" w:left="0"/>
        <w:jc w:val="both"/>
      </w:pPr>
      <w:r>
        <w:t xml:space="preserve">Одним из ключевых модулей созданной системы является модуль контроля исполнения документов. Его основное назначение </w:t>
      </w:r>
      <w:r>
        <w:t>–</w:t>
      </w:r>
      <w:r>
        <w:t xml:space="preserve"> ввод и учёт данных </w:t>
      </w:r>
      <w:r>
        <w:t xml:space="preserve">о статусах документов.Основной функцией данного модуля является ввод и учет данных о статусах документов. </w:t>
      </w:r>
    </w:p>
    <w:p w14:paraId="97040000">
      <w:pPr>
        <w:widowControl w:val="0"/>
        <w:spacing w:after="0" w:line="360" w:lineRule="auto"/>
        <w:ind w:firstLine="851" w:left="0"/>
        <w:jc w:val="both"/>
      </w:pPr>
      <w:r>
        <w:t>Описание функций подсистем приведено в таблице 23.</w:t>
      </w:r>
    </w:p>
    <w:p w14:paraId="98040000">
      <w:pPr>
        <w:tabs>
          <w:tab w:leader="none" w:pos="1134" w:val="left"/>
          <w:tab w:leader="none" w:pos="3828" w:val="left"/>
        </w:tabs>
        <w:spacing w:after="0"/>
        <w:ind w:firstLine="851" w:left="0"/>
        <w:jc w:val="right"/>
        <w:rPr>
          <w:b w:val="1"/>
        </w:rPr>
      </w:pPr>
      <w:r>
        <w:rPr>
          <w:b w:val="1"/>
        </w:rPr>
        <w:t>Таблица 23</w:t>
      </w:r>
    </w:p>
    <w:p w14:paraId="99040000">
      <w:pPr>
        <w:tabs>
          <w:tab w:leader="none" w:pos="1134" w:val="left"/>
          <w:tab w:leader="none" w:pos="3828" w:val="left"/>
        </w:tabs>
        <w:spacing w:after="0"/>
        <w:ind/>
        <w:jc w:val="center"/>
        <w:rPr>
          <w:b w:val="1"/>
        </w:rPr>
      </w:pPr>
      <w:r>
        <w:rPr>
          <w:b w:val="1"/>
        </w:rPr>
        <w:t>Описание функций подсистем</w:t>
      </w:r>
    </w:p>
    <w:tbl>
      <w:tblPr>
        <w:tblStyle w:val="Style_2"/>
        <w:tblInd w:type="dxa" w:w="108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720"/>
        <w:gridCol w:w="3391"/>
        <w:gridCol w:w="5400"/>
      </w:tblGrid>
      <w:tr>
        <w:trPr>
          <w:tblHeader/>
        </w:trPr>
        <w:tc>
          <w:tcPr>
            <w:tcW w:type="dxa" w:w="7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A040000">
            <w:pPr>
              <w:tabs>
                <w:tab w:leader="none" w:pos="1134" w:val="left"/>
                <w:tab w:leader="none" w:pos="3828" w:val="left"/>
              </w:tabs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 п/п</w:t>
            </w:r>
          </w:p>
        </w:tc>
        <w:tc>
          <w:tcPr>
            <w:tcW w:type="dxa" w:w="33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B040000">
            <w:pPr>
              <w:tabs>
                <w:tab w:leader="none" w:pos="1134" w:val="left"/>
                <w:tab w:leader="none" w:pos="3828" w:val="left"/>
              </w:tabs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Наименование подсистемы</w:t>
            </w:r>
          </w:p>
        </w:tc>
        <w:tc>
          <w:tcPr>
            <w:tcW w:type="dxa" w:w="54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C040000">
            <w:pPr>
              <w:tabs>
                <w:tab w:leader="none" w:pos="1134" w:val="left"/>
                <w:tab w:leader="none" w:pos="3828" w:val="left"/>
              </w:tabs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Функции подсистемы</w:t>
            </w:r>
          </w:p>
        </w:tc>
      </w:tr>
      <w:tr>
        <w:tc>
          <w:tcPr>
            <w:tcW w:type="dxa" w:w="7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D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3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E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Подсистема безопасности</w:t>
            </w:r>
          </w:p>
        </w:tc>
        <w:tc>
          <w:tcPr>
            <w:tcW w:type="dxa" w:w="54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F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Анализ полномочий пользователя</w:t>
            </w:r>
          </w:p>
        </w:tc>
      </w:tr>
      <w:tr>
        <w:tc>
          <w:tcPr>
            <w:tcW w:type="dxa" w:w="7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0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33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1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Подсистема инициализации интерфейса программы</w:t>
            </w:r>
          </w:p>
        </w:tc>
        <w:tc>
          <w:tcPr>
            <w:tcW w:type="dxa" w:w="54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2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После успешного входа в систему, запускает программу, используя настройки прав доступа </w:t>
            </w:r>
          </w:p>
        </w:tc>
      </w:tr>
      <w:tr>
        <w:tc>
          <w:tcPr>
            <w:tcW w:type="dxa" w:w="7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3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33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4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Подсистема управления деревом объектов</w:t>
            </w:r>
          </w:p>
        </w:tc>
        <w:tc>
          <w:tcPr>
            <w:tcW w:type="dxa" w:w="54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5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Управление пунктов меню</w:t>
            </w:r>
          </w:p>
        </w:tc>
      </w:tr>
      <w:tr>
        <w:tc>
          <w:tcPr>
            <w:tcW w:type="dxa" w:w="7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6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33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7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Подсистема взаимодействия с базой данных</w:t>
            </w:r>
          </w:p>
        </w:tc>
        <w:tc>
          <w:tcPr>
            <w:tcW w:type="dxa" w:w="54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8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Взаимодействие с базой данных</w:t>
            </w:r>
          </w:p>
        </w:tc>
      </w:tr>
      <w:tr>
        <w:tc>
          <w:tcPr>
            <w:tcW w:type="dxa" w:w="7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9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33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A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Подсистема справочной системы</w:t>
            </w:r>
          </w:p>
        </w:tc>
        <w:tc>
          <w:tcPr>
            <w:tcW w:type="dxa" w:w="54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B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Справка по работе с системой</w:t>
            </w:r>
          </w:p>
        </w:tc>
      </w:tr>
      <w:tr>
        <w:tc>
          <w:tcPr>
            <w:tcW w:type="dxa" w:w="7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C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3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D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Подсистема «Справочники» </w:t>
            </w:r>
          </w:p>
        </w:tc>
        <w:tc>
          <w:tcPr>
            <w:tcW w:type="dxa" w:w="54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E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Работа со справочниками клиентов, видов неисправностей</w:t>
            </w:r>
          </w:p>
        </w:tc>
      </w:tr>
      <w:tr>
        <w:tc>
          <w:tcPr>
            <w:tcW w:type="dxa" w:w="7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F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3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0040000">
            <w:pPr>
              <w:widowControl w:val="0"/>
              <w:spacing w:after="0"/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Подсистема ввода оперативной информации</w:t>
            </w:r>
          </w:p>
        </w:tc>
        <w:tc>
          <w:tcPr>
            <w:tcW w:type="dxa" w:w="54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1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Ввод документов, передача в работу исполнителям</w:t>
            </w:r>
          </w:p>
        </w:tc>
      </w:tr>
      <w:tr>
        <w:tc>
          <w:tcPr>
            <w:tcW w:type="dxa" w:w="7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2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3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3040000">
            <w:pPr>
              <w:widowControl w:val="0"/>
              <w:spacing w:after="0"/>
              <w:ind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Подсистема «Отчеты»</w:t>
            </w:r>
          </w:p>
        </w:tc>
        <w:tc>
          <w:tcPr>
            <w:tcW w:type="dxa" w:w="54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4040000">
            <w:pPr>
              <w:widowControl w:val="0"/>
              <w:spacing w:after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отчетности о состоянии отработки документов</w:t>
            </w:r>
          </w:p>
        </w:tc>
      </w:tr>
    </w:tbl>
    <w:p w14:paraId="B5040000">
      <w:pPr>
        <w:widowControl w:val="0"/>
        <w:spacing w:after="0" w:line="360" w:lineRule="auto"/>
        <w:ind w:firstLine="851" w:left="0"/>
        <w:jc w:val="both"/>
      </w:pPr>
    </w:p>
    <w:p w14:paraId="B6040000">
      <w:pPr>
        <w:widowControl w:val="0"/>
        <w:spacing w:after="0" w:line="360" w:lineRule="auto"/>
        <w:ind w:firstLine="851" w:left="0"/>
        <w:jc w:val="both"/>
      </w:pPr>
      <w:r>
        <w:t>Следовательно, интерфейс разрабатываемого продукта должен учитывать функциональность модулей и включать перечисленные основные и служебные функции.</w:t>
      </w:r>
    </w:p>
    <w:p w14:paraId="B7040000">
      <w:pPr>
        <w:pStyle w:val="Style_7"/>
      </w:pPr>
      <w:r>
        <w:t>Программные модули представляют собой набор вызываемых функций на встроенном языке платформы. В качестве примера рассмотрим модуль «Ввод первичной документации», представленный на рисунке 23.</w:t>
      </w:r>
    </w:p>
    <w:p w14:paraId="B8040000">
      <w:pPr>
        <w:keepNext w:val="1"/>
        <w:spacing w:after="0" w:line="360" w:lineRule="auto"/>
        <w:ind/>
        <w:jc w:val="center"/>
        <w:rPr>
          <w:color w:val="000000"/>
          <w:spacing w:val="-3"/>
        </w:rPr>
      </w:pPr>
      <w:r>
        <w:rPr>
          <w:color w:val="000000"/>
          <w:spacing w:val="-3"/>
        </w:rPr>
        <w:drawing>
          <wp:inline>
            <wp:extent cx="2392680" cy="5173980"/>
            <wp:effectExtent b="0" l="0" r="0" t="0"/>
            <wp:docPr hidden="false" id="50" name="Picture 50"/>
            <a:graphic>
              <a:graphicData uri="http://schemas.openxmlformats.org/drawingml/2006/picture">
                <pic:pic>
                  <pic:nvPicPr>
                    <pic:cNvPr hidden="false" id="49" name="Picture 49"/>
                    <pic:cNvPicPr preferRelativeResize="true"/>
                  </pic:nvPicPr>
                  <pic:blipFill>
                    <a:blip r:embed="rId28"/>
                    <a:srcRect b="0" l="0" r="0" t="0"/>
                    <a:stretch/>
                  </pic:blipFill>
                  <pic:spPr>
                    <a:xfrm flipH="false" flipV="false" rot="0">
                      <a:ext cx="2392680" cy="517398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9040000">
      <w:pPr>
        <w:ind/>
        <w:jc w:val="center"/>
        <w:rPr>
          <w:b w:val="1"/>
          <w:color w:val="000000"/>
          <w:spacing w:val="-3"/>
        </w:rPr>
      </w:pPr>
      <w:bookmarkStart w:id="77" w:name="_Hlk187832546"/>
      <w:r>
        <w:rPr>
          <w:b w:val="1"/>
          <w:color w:val="000000"/>
          <w:spacing w:val="-3"/>
        </w:rPr>
        <w:t xml:space="preserve">Рисунок 23. </w:t>
      </w:r>
      <w:bookmarkEnd w:id="77"/>
      <w:r>
        <w:rPr>
          <w:b w:val="1"/>
          <w:color w:val="000000"/>
          <w:spacing w:val="-3"/>
        </w:rPr>
        <w:t>Блок-схема работы модуля «Ввод первичной документации» - «Входящий документ»</w:t>
      </w:r>
    </w:p>
    <w:p w14:paraId="BA040000">
      <w:pPr>
        <w:pStyle w:val="Style_7"/>
      </w:pPr>
    </w:p>
    <w:p w14:paraId="BB040000">
      <w:bookmarkStart w:id="78" w:name="__RefHeading___59"/>
      <w:bookmarkEnd w:id="78"/>
      <w:pPr>
        <w:keepNext w:val="1"/>
        <w:keepLines w:val="1"/>
        <w:spacing w:after="0"/>
        <w:ind/>
        <w:jc w:val="center"/>
        <w:outlineLvl w:val="1"/>
        <w:rPr>
          <w:b w:val="1"/>
        </w:rPr>
      </w:pPr>
      <w:r>
        <w:rPr>
          <w:b w:val="1"/>
        </w:rPr>
        <w:t>2.4 Контрольный пример реализации проекта и его описание</w:t>
      </w:r>
    </w:p>
    <w:p w14:paraId="BC040000">
      <w:pPr>
        <w:widowControl w:val="0"/>
        <w:tabs>
          <w:tab w:leader="none" w:pos="1134" w:val="left"/>
        </w:tabs>
        <w:spacing w:after="0" w:line="360" w:lineRule="auto"/>
        <w:ind w:firstLine="0" w:left="709"/>
        <w:jc w:val="center"/>
        <w:rPr>
          <w:b w:val="1"/>
          <w:sz w:val="24"/>
        </w:rPr>
      </w:pPr>
    </w:p>
    <w:p w14:paraId="BD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Основой любой информационной системы служат справочники: их сведения автоматически переносятся в документы и отчёты, формируемые в процессе текущей работы.</w:t>
      </w:r>
    </w:p>
    <w:p w14:paraId="BE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После загрузки конфигурации и запуска приложения первой открывается главная страница (рисунок 24).</w:t>
      </w:r>
    </w:p>
    <w:p w14:paraId="BF040000">
      <w:pPr>
        <w:spacing w:after="0" w:line="360" w:lineRule="auto"/>
        <w:ind/>
        <w:jc w:val="center"/>
        <w:rPr>
          <w:color w:val="000000"/>
        </w:rPr>
      </w:pPr>
      <w:r>
        <w:rPr>
          <w:color w:val="000000"/>
        </w:rPr>
        <w:drawing>
          <wp:inline>
            <wp:extent cx="5742709" cy="1852467"/>
            <wp:effectExtent b="0" l="0" r="0" t="0"/>
            <wp:docPr hidden="false" id="52" name="Picture 52"/>
            <a:graphic>
              <a:graphicData uri="http://schemas.openxmlformats.org/drawingml/2006/picture">
                <pic:pic>
                  <pic:nvPicPr>
                    <pic:cNvPr hidden="false" id="51" name="Picture 51"/>
                    <pic:cNvPicPr preferRelativeResize="true"/>
                  </pic:nvPicPr>
                  <pic:blipFill>
                    <a:blip r:embed="rId29"/>
                    <a:stretch/>
                  </pic:blipFill>
                  <pic:spPr>
                    <a:xfrm flipH="false" flipV="false" rot="0">
                      <a:ext cx="5742709" cy="185246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C0040000">
      <w:pPr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>Рисунок 24. Главная страница</w:t>
      </w:r>
    </w:p>
    <w:p w14:paraId="C1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Одной из наиболее трудоёмких обязанностей делопроизводителя остаётся учёт: регистрация и отчётность по внутренним документам.</w:t>
      </w:r>
    </w:p>
    <w:p w14:paraId="C2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В связи с этим при работе с программой обязательны справочники «Организация», «Подразделения» и «Сотрудники». Для систематизации сведений о персонале предназначен справочник «Сотрудники» (рисунки 25 и 26).</w:t>
      </w:r>
    </w:p>
    <w:p w14:paraId="C3040000">
      <w:pPr>
        <w:keepNext w:val="1"/>
        <w:spacing w:after="0" w:line="360" w:lineRule="auto"/>
        <w:ind/>
        <w:jc w:val="center"/>
        <w:rPr>
          <w:color w:val="000000"/>
          <w:spacing w:val="-3"/>
        </w:rPr>
      </w:pPr>
      <w:r>
        <w:rPr>
          <w:color w:val="000000"/>
          <w:spacing w:val="-3"/>
        </w:rPr>
        <w:drawing>
          <wp:inline>
            <wp:extent cx="1479590" cy="2101690"/>
            <wp:effectExtent b="0" l="0" r="0" t="0"/>
            <wp:docPr hidden="false" id="54" name="Picture 54"/>
            <a:graphic>
              <a:graphicData uri="http://schemas.openxmlformats.org/drawingml/2006/picture">
                <pic:pic>
                  <pic:nvPicPr>
                    <pic:cNvPr hidden="false" id="53" name="Picture 53"/>
                    <pic:cNvPicPr preferRelativeResize="true"/>
                  </pic:nvPicPr>
                  <pic:blipFill>
                    <a:blip r:embed="rId30"/>
                    <a:stretch/>
                  </pic:blipFill>
                  <pic:spPr>
                    <a:xfrm flipH="false" flipV="false" rot="0">
                      <a:ext cx="1479590" cy="21016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C4040000">
      <w:pPr>
        <w:ind/>
        <w:jc w:val="center"/>
        <w:rPr>
          <w:b w:val="1"/>
          <w:color w:val="000000"/>
          <w:spacing w:val="-3"/>
        </w:rPr>
      </w:pPr>
      <w:bookmarkStart w:id="79" w:name="OLE_LINK50"/>
      <w:bookmarkStart w:id="80" w:name="OLE_LINK51"/>
      <w:bookmarkStart w:id="81" w:name="OLE_LINK52"/>
      <w:r>
        <w:rPr>
          <w:b w:val="1"/>
          <w:color w:val="000000"/>
          <w:spacing w:val="-3"/>
        </w:rPr>
        <w:t>Рисунок 25. Структура справочника «Сотрудники»</w:t>
      </w:r>
    </w:p>
    <w:p w14:paraId="C5040000">
      <w:pPr>
        <w:spacing w:after="0" w:line="360" w:lineRule="auto"/>
        <w:ind w:firstLine="851" w:left="0"/>
        <w:jc w:val="both"/>
        <w:rPr>
          <w:color w:val="000000"/>
        </w:rPr>
      </w:pPr>
    </w:p>
    <w:p w14:paraId="C6040000">
      <w:pPr>
        <w:keepNext w:val="1"/>
        <w:spacing w:after="0" w:line="360" w:lineRule="auto"/>
        <w:ind/>
        <w:jc w:val="center"/>
        <w:rPr>
          <w:color w:val="000000"/>
          <w:spacing w:val="-3"/>
        </w:rPr>
      </w:pPr>
      <w:r>
        <w:rPr>
          <w:color w:val="000000"/>
          <w:spacing w:val="-3"/>
        </w:rPr>
        <w:drawing>
          <wp:inline>
            <wp:extent cx="6120130" cy="2543175"/>
            <wp:effectExtent b="0" l="0" r="0" t="0"/>
            <wp:docPr hidden="false" id="56" name="Picture 56"/>
            <a:graphic>
              <a:graphicData uri="http://schemas.openxmlformats.org/drawingml/2006/picture">
                <pic:pic>
                  <pic:nvPicPr>
                    <pic:cNvPr hidden="false" id="55" name="Picture 55"/>
                    <pic:cNvPicPr preferRelativeResize="true"/>
                  </pic:nvPicPr>
                  <pic:blipFill>
                    <a:blip r:embed="rId31"/>
                    <a:stretch/>
                  </pic:blipFill>
                  <pic:spPr>
                    <a:xfrm flipH="false" flipV="false" rot="0">
                      <a:ext cx="6120130" cy="2543175"/>
                    </a:xfrm>
                    <a:prstGeom prst="rect"/>
                  </pic:spPr>
                </pic:pic>
              </a:graphicData>
            </a:graphic>
          </wp:inline>
        </w:drawing>
      </w:r>
      <w:bookmarkEnd w:id="79"/>
      <w:bookmarkEnd w:id="80"/>
      <w:bookmarkEnd w:id="81"/>
    </w:p>
    <w:p w14:paraId="C7040000">
      <w:pPr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>Рисунок 26. Форма элемента справочника «Сотрудники»</w:t>
      </w:r>
    </w:p>
    <w:p w14:paraId="C8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Организован справочник «Подразделения» (рисунок 27), предназначенный для хранения сведений о структурных отделах и их руководителях.</w:t>
      </w:r>
    </w:p>
    <w:p w14:paraId="C9040000">
      <w:pPr>
        <w:keepNext w:val="1"/>
        <w:spacing w:after="0" w:line="360" w:lineRule="auto"/>
        <w:ind/>
        <w:jc w:val="center"/>
        <w:rPr>
          <w:color w:val="000000"/>
          <w:spacing w:val="-3"/>
        </w:rPr>
      </w:pPr>
      <w:r>
        <w:rPr>
          <w:color w:val="000000"/>
          <w:spacing w:val="-3"/>
        </w:rPr>
        <w:drawing>
          <wp:inline>
            <wp:extent cx="1496538" cy="1458410"/>
            <wp:effectExtent b="0" l="0" r="0" t="0"/>
            <wp:docPr hidden="false" id="58" name="Picture 58"/>
            <a:graphic>
              <a:graphicData uri="http://schemas.openxmlformats.org/drawingml/2006/picture">
                <pic:pic>
                  <pic:nvPicPr>
                    <pic:cNvPr hidden="false" id="57" name="Picture 57"/>
                    <pic:cNvPicPr preferRelativeResize="true"/>
                  </pic:nvPicPr>
                  <pic:blipFill>
                    <a:blip r:embed="rId32"/>
                    <a:stretch/>
                  </pic:blipFill>
                  <pic:spPr>
                    <a:xfrm flipH="false" flipV="false" rot="0">
                      <a:ext cx="1496538" cy="145841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CA040000">
      <w:pPr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>Рисунок 27. Структура справочника «Подразделения»</w:t>
      </w:r>
    </w:p>
    <w:p w14:paraId="CB040000">
      <w:pPr>
        <w:spacing w:after="0" w:line="360" w:lineRule="auto"/>
        <w:ind w:firstLine="851" w:left="0"/>
        <w:jc w:val="both"/>
        <w:rPr>
          <w:color w:val="000000"/>
        </w:rPr>
      </w:pPr>
    </w:p>
    <w:p w14:paraId="CC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Данный справочник обладает иерархической структурой, наглядно отражающей отношения подчинённости между подразделениями (рисунок 28).</w:t>
      </w:r>
    </w:p>
    <w:p w14:paraId="CD040000">
      <w:pPr>
        <w:keepNext w:val="1"/>
        <w:spacing w:after="0" w:line="360" w:lineRule="auto"/>
        <w:ind/>
        <w:jc w:val="center"/>
        <w:rPr>
          <w:color w:val="000000"/>
          <w:spacing w:val="-3"/>
        </w:rPr>
      </w:pPr>
      <w:r>
        <w:rPr>
          <w:color w:val="000000"/>
          <w:spacing w:val="-3"/>
        </w:rPr>
        <w:drawing>
          <wp:inline>
            <wp:extent cx="5939790" cy="1852929"/>
            <wp:effectExtent b="0" l="0" r="0" t="0"/>
            <wp:docPr hidden="false" id="60" name="Picture 60"/>
            <a:graphic>
              <a:graphicData uri="http://schemas.openxmlformats.org/drawingml/2006/picture">
                <pic:pic>
                  <pic:nvPicPr>
                    <pic:cNvPr hidden="false" id="59" name="Picture 59"/>
                    <pic:cNvPicPr preferRelativeResize="true"/>
                  </pic:nvPicPr>
                  <pic:blipFill>
                    <a:blip r:embed="rId33"/>
                    <a:stretch/>
                  </pic:blipFill>
                  <pic:spPr>
                    <a:xfrm flipH="false" flipV="false" rot="0">
                      <a:ext cx="5939790" cy="185292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CE040000">
      <w:pPr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>Рисунок 28. Форма списка справочника «Подразделения»</w:t>
      </w:r>
    </w:p>
    <w:p w14:paraId="CF040000">
      <w:pPr>
        <w:spacing w:after="0" w:line="360" w:lineRule="auto"/>
        <w:ind w:firstLine="851" w:left="0"/>
        <w:jc w:val="both"/>
        <w:rPr>
          <w:color w:val="000000"/>
        </w:rPr>
      </w:pPr>
    </w:p>
    <w:p w14:paraId="D0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Отдельный справочник «Должности» служит для учёта ролей и связанных с ними тарифных показателей. Его представления показаны на рисунках 29 и 30.</w:t>
      </w:r>
    </w:p>
    <w:p w14:paraId="D1040000">
      <w:pPr>
        <w:keepNext w:val="1"/>
        <w:spacing w:after="0" w:line="360" w:lineRule="auto"/>
        <w:ind/>
        <w:jc w:val="center"/>
        <w:rPr>
          <w:color w:val="000000"/>
          <w:spacing w:val="-3"/>
        </w:rPr>
      </w:pPr>
      <w:r>
        <w:rPr>
          <w:color w:val="000000"/>
          <w:spacing w:val="-3"/>
        </w:rPr>
        <w:drawing>
          <wp:inline>
            <wp:extent cx="1676400" cy="1438275"/>
            <wp:effectExtent b="0" l="0" r="0" t="0"/>
            <wp:docPr hidden="false" id="62" name="Picture 62"/>
            <a:graphic>
              <a:graphicData uri="http://schemas.openxmlformats.org/drawingml/2006/picture">
                <pic:pic>
                  <pic:nvPicPr>
                    <pic:cNvPr hidden="false" id="61" name="Picture 61"/>
                    <pic:cNvPicPr preferRelativeResize="true"/>
                  </pic:nvPicPr>
                  <pic:blipFill>
                    <a:blip r:embed="rId34"/>
                    <a:stretch/>
                  </pic:blipFill>
                  <pic:spPr>
                    <a:xfrm flipH="false" flipV="false" rot="0">
                      <a:ext cx="1676400" cy="14382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2040000">
      <w:pPr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>Рисунок 29. Структура справочника «Должности»</w:t>
      </w:r>
    </w:p>
    <w:p w14:paraId="D3040000">
      <w:pPr>
        <w:spacing w:after="0" w:line="360" w:lineRule="auto"/>
        <w:ind w:firstLine="851" w:left="0"/>
        <w:jc w:val="both"/>
        <w:rPr>
          <w:color w:val="000000"/>
        </w:rPr>
      </w:pPr>
    </w:p>
    <w:p w14:paraId="D4040000">
      <w:pPr>
        <w:keepNext w:val="1"/>
        <w:spacing w:after="0" w:line="360" w:lineRule="auto"/>
        <w:ind/>
        <w:jc w:val="center"/>
        <w:rPr>
          <w:color w:val="000000"/>
          <w:spacing w:val="-3"/>
        </w:rPr>
      </w:pPr>
      <w:r>
        <w:rPr>
          <w:color w:val="000000"/>
          <w:spacing w:val="-3"/>
        </w:rPr>
        <w:drawing>
          <wp:inline>
            <wp:extent cx="6120130" cy="2160270"/>
            <wp:effectExtent b="0" l="0" r="0" t="0"/>
            <wp:docPr hidden="false" id="64" name="Picture 64"/>
            <a:graphic>
              <a:graphicData uri="http://schemas.openxmlformats.org/drawingml/2006/picture">
                <pic:pic>
                  <pic:nvPicPr>
                    <pic:cNvPr hidden="false" id="63" name="Picture 63"/>
                    <pic:cNvPicPr preferRelativeResize="true"/>
                  </pic:nvPicPr>
                  <pic:blipFill>
                    <a:blip r:embed="rId35"/>
                    <a:stretch/>
                  </pic:blipFill>
                  <pic:spPr>
                    <a:xfrm flipH="false" flipV="false" rot="0">
                      <a:ext cx="6120130" cy="216027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5040000">
      <w:pPr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>Рисунок 30. Форма списка справочника «Должности»</w:t>
      </w:r>
    </w:p>
    <w:p w14:paraId="D6040000">
      <w:pPr>
        <w:spacing w:after="0" w:line="360" w:lineRule="auto"/>
        <w:ind w:firstLine="851" w:left="0"/>
        <w:jc w:val="both"/>
        <w:rPr>
          <w:color w:val="000000"/>
        </w:rPr>
      </w:pPr>
    </w:p>
    <w:p w14:paraId="D7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При оформлении документации необходимо вводить сведения о специалистах, работающих по штатному расписанию и договорам гражданско-правового характера.</w:t>
      </w:r>
    </w:p>
    <w:p w14:paraId="D8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По каждому сотруднику указывается его специальность согласно штатному расписанию или временному договору. Тарифная ставка, вид оплаты и данные делопроизводителя, оформляющего документы, подставляются автоматически из штатного расписания (рисунок 31).</w:t>
      </w:r>
    </w:p>
    <w:p w14:paraId="D9040000">
      <w:pPr>
        <w:spacing w:after="0" w:line="360" w:lineRule="auto"/>
        <w:ind w:firstLine="851" w:left="0"/>
        <w:jc w:val="both"/>
        <w:rPr>
          <w:color w:val="000000"/>
        </w:rPr>
      </w:pPr>
    </w:p>
    <w:p w14:paraId="DA040000">
      <w:pPr>
        <w:keepNext w:val="1"/>
        <w:spacing w:after="0" w:line="360" w:lineRule="auto"/>
        <w:ind/>
        <w:jc w:val="center"/>
        <w:rPr>
          <w:color w:val="000000"/>
          <w:spacing w:val="-3"/>
        </w:rPr>
      </w:pPr>
      <w:r>
        <w:rPr>
          <w:color w:val="000000"/>
          <w:spacing w:val="-3"/>
        </w:rPr>
        <w:drawing>
          <wp:inline>
            <wp:extent cx="6120130" cy="2091054"/>
            <wp:effectExtent b="0" l="0" r="0" t="0"/>
            <wp:docPr hidden="false" id="66" name="Picture 66"/>
            <a:graphic>
              <a:graphicData uri="http://schemas.openxmlformats.org/drawingml/2006/picture">
                <pic:pic>
                  <pic:nvPicPr>
                    <pic:cNvPr hidden="false" id="65" name="Picture 65"/>
                    <pic:cNvPicPr preferRelativeResize="true"/>
                  </pic:nvPicPr>
                  <pic:blipFill>
                    <a:blip r:embed="rId36"/>
                    <a:stretch/>
                  </pic:blipFill>
                  <pic:spPr>
                    <a:xfrm flipH="false" flipV="false" rot="0">
                      <a:ext cx="6120130" cy="209105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B040000">
      <w:pPr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>Рисунок 31. Форма документа «Приём на работу»</w:t>
      </w:r>
    </w:p>
    <w:p w14:paraId="DC040000">
      <w:pPr>
        <w:spacing w:after="0" w:line="360" w:lineRule="auto"/>
        <w:ind w:firstLine="851" w:left="0"/>
        <w:jc w:val="both"/>
        <w:rPr>
          <w:color w:val="000000"/>
        </w:rPr>
      </w:pPr>
    </w:p>
    <w:p w14:paraId="DD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Макет, представленный на рисунке 32, разработан для формирования готовой версии документа, регламентирующего приём сотрудника на работу.</w:t>
      </w:r>
    </w:p>
    <w:p w14:paraId="DE040000">
      <w:pPr>
        <w:keepNext w:val="1"/>
        <w:spacing w:after="0" w:line="360" w:lineRule="auto"/>
        <w:ind/>
        <w:jc w:val="center"/>
        <w:rPr>
          <w:color w:val="000000"/>
          <w:spacing w:val="-3"/>
        </w:rPr>
      </w:pPr>
      <w:r>
        <w:rPr>
          <w:color w:val="000000"/>
          <w:spacing w:val="-3"/>
        </w:rPr>
        <w:drawing>
          <wp:inline>
            <wp:extent cx="4904230" cy="4433454"/>
            <wp:effectExtent b="0" l="0" r="0" t="0"/>
            <wp:docPr hidden="false" id="68" name="Picture 68"/>
            <a:graphic>
              <a:graphicData uri="http://schemas.openxmlformats.org/drawingml/2006/picture">
                <pic:pic>
                  <pic:nvPicPr>
                    <pic:cNvPr hidden="false" id="67" name="Picture 67"/>
                    <pic:cNvPicPr preferRelativeResize="true"/>
                  </pic:nvPicPr>
                  <pic:blipFill>
                    <a:blip r:embed="rId37"/>
                    <a:stretch/>
                  </pic:blipFill>
                  <pic:spPr>
                    <a:xfrm flipH="false" flipV="false" rot="0">
                      <a:ext cx="4904230" cy="443345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F040000">
      <w:pPr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>Рисунок 32. Макет документа «Приём на работу»</w:t>
      </w:r>
    </w:p>
    <w:p w14:paraId="E0040000">
      <w:pPr>
        <w:spacing w:after="0" w:line="360" w:lineRule="auto"/>
        <w:ind w:firstLine="851" w:left="0"/>
        <w:jc w:val="both"/>
        <w:rPr>
          <w:color w:val="000000"/>
        </w:rPr>
      </w:pPr>
    </w:p>
    <w:p w14:paraId="E1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 xml:space="preserve">Для получения распечатанной копии документа о приёме на работу используется команда «Печать приказа». Данная функция доступна в </w:t>
      </w:r>
      <w:r>
        <w:rPr>
          <w:color w:themeColor="text1" w:val="000000"/>
        </w:rPr>
        <w:t>интерфейсе в разделе работы с соответствующим документом «Приём на работу». Её графическое отображение приведено на рисунке 33.</w:t>
      </w:r>
    </w:p>
    <w:p w14:paraId="E2040000">
      <w:pPr>
        <w:spacing w:after="0" w:line="360" w:lineRule="auto"/>
        <w:ind/>
        <w:jc w:val="center"/>
      </w:pPr>
      <w:r>
        <w:drawing>
          <wp:inline>
            <wp:extent cx="5939790" cy="1613647"/>
            <wp:effectExtent b="0" l="0" r="0" t="0"/>
            <wp:docPr hidden="false" id="70" name="Picture 70"/>
            <a:graphic>
              <a:graphicData uri="http://schemas.openxmlformats.org/drawingml/2006/picture">
                <pic:pic>
                  <pic:nvPicPr>
                    <pic:cNvPr hidden="false" id="69" name="Picture 69"/>
                    <pic:cNvPicPr preferRelativeResize="true"/>
                  </pic:nvPicPr>
                  <pic:blipFill>
                    <a:blip r:embed="rId38"/>
                    <a:stretch/>
                  </pic:blipFill>
                  <pic:spPr>
                    <a:xfrm flipH="false" flipV="false" rot="0">
                      <a:ext cx="5939790" cy="161364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E3040000">
      <w:pPr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>Рисунок 33. Кадровое перемещение</w:t>
      </w:r>
    </w:p>
    <w:p w14:paraId="E4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В программе предусмотрено формирование отчётов по работающим сотрудникам (рисунок 34).</w:t>
      </w:r>
    </w:p>
    <w:p w14:paraId="E5040000"/>
    <w:p w14:paraId="E6040000">
      <w:r>
        <w:drawing>
          <wp:inline>
            <wp:extent cx="6119389" cy="3359727"/>
            <wp:effectExtent b="0" l="0" r="0" t="0"/>
            <wp:docPr hidden="false" id="72" name="Picture 72"/>
            <a:graphic>
              <a:graphicData uri="http://schemas.openxmlformats.org/drawingml/2006/picture">
                <pic:pic>
                  <pic:nvPicPr>
                    <pic:cNvPr hidden="false" id="71" name="Picture 71"/>
                    <pic:cNvPicPr preferRelativeResize="true"/>
                  </pic:nvPicPr>
                  <pic:blipFill>
                    <a:blip r:embed="rId39"/>
                    <a:stretch/>
                  </pic:blipFill>
                  <pic:spPr>
                    <a:xfrm flipH="false" flipV="false" rot="0">
                      <a:ext cx="6119389" cy="335972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E7040000">
      <w:pPr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>Рисунок 34. Отчет по работающим сотрудникам</w:t>
      </w:r>
    </w:p>
    <w:p w14:paraId="E8040000"/>
    <w:p w14:paraId="E9040000">
      <w:bookmarkStart w:id="82" w:name="__RefHeading___60"/>
      <w:bookmarkEnd w:id="82"/>
      <w:pPr>
        <w:keepNext w:val="1"/>
        <w:spacing w:after="0"/>
        <w:ind/>
        <w:jc w:val="center"/>
        <w:outlineLvl w:val="1"/>
        <w:rPr>
          <w:b w:val="1"/>
          <w:color w:val="000000"/>
        </w:rPr>
      </w:pPr>
      <w:r>
        <w:rPr>
          <w:b w:val="1"/>
          <w:color w:val="000000"/>
        </w:rPr>
        <w:t>Выводы по главе 2</w:t>
      </w:r>
    </w:p>
    <w:p w14:paraId="EA040000">
      <w:pPr>
        <w:spacing w:after="0" w:line="360" w:lineRule="auto"/>
        <w:ind w:firstLine="0" w:left="851"/>
        <w:jc w:val="both"/>
        <w:rPr>
          <w:sz w:val="24"/>
        </w:rPr>
      </w:pPr>
    </w:p>
    <w:p w14:paraId="EB040000">
      <w:pPr>
        <w:spacing w:after="0" w:line="360" w:lineRule="auto"/>
        <w:ind w:firstLine="851" w:left="0"/>
        <w:jc w:val="both"/>
        <w:rPr>
          <w:color w:themeColor="text1" w:val="000000"/>
        </w:rPr>
      </w:pPr>
      <w:bookmarkStart w:id="83" w:name="_Hlk225073819"/>
      <w:r>
        <w:rPr>
          <w:color w:themeColor="text1" w:val="000000"/>
        </w:rPr>
        <w:t>В данной главе обоснованы проектные решения по программному, техническому, технологическому и информационному обеспечению.</w:t>
      </w:r>
    </w:p>
    <w:p w14:paraId="EC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В качестве платформы для системы выбрана 1С.</w:t>
      </w:r>
    </w:p>
    <w:p w14:paraId="ED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Описана информационная модель проекта, рассмотрены база данных и структура системы. Далее построены дерево функций и сценарий диалога, на основе которых сформировано дерево вызова процедур и программ. Приведены краткие характеристики системы и скриншоты её работы, позволяющие наглядно оценить функциональность.</w:t>
      </w:r>
      <w:bookmarkEnd w:id="83"/>
    </w:p>
    <w:p w14:paraId="EE040000">
      <w:pPr>
        <w:spacing w:after="0" w:line="360" w:lineRule="auto"/>
        <w:ind w:firstLine="851" w:left="0"/>
        <w:jc w:val="both"/>
        <w:rPr>
          <w:color w:val="000000"/>
        </w:rPr>
      </w:pPr>
    </w:p>
    <w:p w14:paraId="EF040000">
      <w:bookmarkStart w:id="84" w:name="__RefHeading___61"/>
      <w:bookmarkEnd w:id="84"/>
      <w:pPr>
        <w:keepNext w:val="1"/>
        <w:keepLines w:val="1"/>
        <w:pageBreakBefore w:val="1"/>
        <w:spacing w:after="0"/>
        <w:ind/>
        <w:jc w:val="center"/>
        <w:outlineLvl w:val="0"/>
        <w:rPr>
          <w:rFonts w:ascii="Times New Roman Полужирный" w:hAnsi="Times New Roman Полужирный"/>
          <w:b w:val="1"/>
          <w:caps w:val="1"/>
          <w:sz w:val="32"/>
        </w:rPr>
      </w:pPr>
      <w:r>
        <w:rPr>
          <w:rFonts w:ascii="Times New Roman Полужирный" w:hAnsi="Times New Roman Полужирный"/>
          <w:b w:val="1"/>
          <w:caps w:val="1"/>
          <w:sz w:val="32"/>
        </w:rPr>
        <w:t>ГЛАВА 3. ОБОСНОВАНИЕ ЭКОНОМИЧЕСКОЙ ЭФФЕКТИВНОСТИ ПРОЕКТА</w:t>
      </w:r>
    </w:p>
    <w:p w14:paraId="F0040000">
      <w:bookmarkStart w:id="85" w:name="__RefHeading___62"/>
      <w:bookmarkEnd w:id="85"/>
      <w:pPr>
        <w:keepNext w:val="1"/>
        <w:keepLines w:val="1"/>
        <w:spacing w:after="0"/>
        <w:ind/>
        <w:jc w:val="center"/>
        <w:outlineLvl w:val="1"/>
        <w:rPr>
          <w:b w:val="1"/>
        </w:rPr>
      </w:pPr>
      <w:r>
        <w:rPr>
          <w:b w:val="1"/>
        </w:rPr>
        <w:t>3.1 Выбор и обоснование методики расчёта экономической эффективности</w:t>
      </w:r>
    </w:p>
    <w:p w14:paraId="F1040000">
      <w:pPr>
        <w:widowControl w:val="0"/>
        <w:spacing w:after="0" w:line="360" w:lineRule="auto"/>
        <w:ind w:firstLine="0" w:left="709"/>
        <w:jc w:val="both"/>
        <w:rPr>
          <w:sz w:val="24"/>
        </w:rPr>
      </w:pPr>
    </w:p>
    <w:p w14:paraId="F2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 xml:space="preserve">Экономическая эффективность внедрения системы автоматизации делопроизводства оценивается методом сравнительного анализа трудозатрат на операции документооборота до и после автоматизации. </w:t>
      </w:r>
    </w:p>
    <w:p w14:paraId="F3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В его основе лежит расчёт прямого экономического эффекта, проявляющегося в снижении трудоёмкости и, соответственно, стоимости обработки документов.</w:t>
      </w:r>
    </w:p>
    <w:p w14:paraId="F4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Основными источниками экономии при внедрении системы электронного документооборота являются:</w:t>
      </w:r>
    </w:p>
    <w:p w14:paraId="F5040000">
      <w:pPr>
        <w:spacing w:after="0" w:line="360" w:lineRule="auto"/>
        <w:ind w:hanging="425" w:left="1276"/>
        <w:contextualSpacing w:val="1"/>
      </w:pPr>
      <w:r>
        <w:t>– снижение трудоёмкости регистрации и обработки документов;</w:t>
      </w:r>
    </w:p>
    <w:p w14:paraId="F6040000">
      <w:pPr>
        <w:spacing w:after="0" w:line="360" w:lineRule="auto"/>
        <w:ind w:hanging="425" w:left="1276"/>
        <w:contextualSpacing w:val="1"/>
      </w:pPr>
      <w:r>
        <w:t>– сокращение времени на поиск документов;</w:t>
      </w:r>
    </w:p>
    <w:p w14:paraId="F7040000">
      <w:pPr>
        <w:spacing w:after="0" w:line="360" w:lineRule="auto"/>
        <w:ind w:hanging="425" w:left="1276"/>
        <w:contextualSpacing w:val="1"/>
      </w:pPr>
      <w:r>
        <w:t>– уменьшение расходов на материалы (бумагу, картриджи);</w:t>
      </w:r>
    </w:p>
    <w:p w14:paraId="F8040000">
      <w:pPr>
        <w:spacing w:after="0" w:line="360" w:lineRule="auto"/>
        <w:ind w:hanging="425" w:left="1276"/>
        <w:contextualSpacing w:val="1"/>
      </w:pPr>
      <w:r>
        <w:t>– ускорение согласования документов;</w:t>
      </w:r>
    </w:p>
    <w:p w14:paraId="F9040000">
      <w:pPr>
        <w:spacing w:after="0" w:line="360" w:lineRule="auto"/>
        <w:ind w:hanging="425" w:left="1276"/>
        <w:contextualSpacing w:val="1"/>
      </w:pPr>
      <w:r>
        <w:t>– снижение риска потери документов.</w:t>
      </w:r>
    </w:p>
    <w:p w14:paraId="FA04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В расчётах используются следующие показатели:</w:t>
      </w:r>
    </w:p>
    <w:p w14:paraId="FB040000">
      <w:pPr>
        <w:spacing w:after="0" w:line="360" w:lineRule="auto"/>
        <w:ind w:hanging="425" w:left="1276"/>
        <w:contextualSpacing w:val="1"/>
      </w:pPr>
      <w:r>
        <w:t>– трудоёмкость обработки информации до внедрения (Т₀) и после (Т₁);</w:t>
      </w:r>
    </w:p>
    <w:p w14:paraId="FC040000">
      <w:pPr>
        <w:spacing w:after="0" w:line="360" w:lineRule="auto"/>
        <w:ind w:hanging="425" w:left="1276"/>
        <w:contextualSpacing w:val="1"/>
      </w:pPr>
      <w:r>
        <w:t>– стоимость одного часа работы специалиста (S);</w:t>
      </w:r>
    </w:p>
    <w:p w14:paraId="FD040000">
      <w:pPr>
        <w:spacing w:after="0" w:line="360" w:lineRule="auto"/>
        <w:ind w:hanging="425" w:left="1276"/>
        <w:contextualSpacing w:val="1"/>
      </w:pPr>
      <w:r>
        <w:t>– годовая экономия на трудозатратах (ΔС);</w:t>
      </w:r>
    </w:p>
    <w:p w14:paraId="FE040000">
      <w:pPr>
        <w:spacing w:after="0" w:line="360" w:lineRule="auto"/>
        <w:ind w:hanging="425" w:left="1276"/>
        <w:contextualSpacing w:val="1"/>
      </w:pPr>
      <w:r>
        <w:t>– единовременные затраты на разработку и внедрение системы (K);</w:t>
      </w:r>
    </w:p>
    <w:p w14:paraId="FF040000">
      <w:pPr>
        <w:spacing w:after="0" w:line="360" w:lineRule="auto"/>
        <w:ind w:hanging="425" w:left="1276"/>
        <w:contextualSpacing w:val="1"/>
      </w:pPr>
      <w:r>
        <w:t>– срок окупаемости (Ток);</w:t>
      </w:r>
    </w:p>
    <w:p w14:paraId="00050000">
      <w:pPr>
        <w:spacing w:after="0" w:line="360" w:lineRule="auto"/>
        <w:ind w:hanging="425" w:left="1276"/>
        <w:contextualSpacing w:val="1"/>
      </w:pPr>
      <w:r>
        <w:t>– годовой экономический эффект (Э).</w:t>
      </w:r>
    </w:p>
    <w:p w14:paraId="01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Годовая экономия определяется по формуле: ΔС = (Т₀ − Т₁) × S</w:t>
      </w:r>
    </w:p>
    <w:p w14:paraId="02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Годовой экономический эффект вычисляется как: Э = ΔС − К × Ен,</w:t>
      </w:r>
    </w:p>
    <w:p w14:paraId="03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 xml:space="preserve">где Ен </w:t>
      </w:r>
      <w:r>
        <w:rPr>
          <w:color w:themeColor="text1" w:val="000000"/>
        </w:rPr>
        <w:t>–</w:t>
      </w:r>
      <w:r>
        <w:rPr>
          <w:color w:themeColor="text1" w:val="000000"/>
        </w:rPr>
        <w:t xml:space="preserve"> нормативный коэффициент экономической эффективности капитальных вложений, принимаемый равным 0,15.</w:t>
      </w:r>
    </w:p>
    <w:p w14:paraId="04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Срок окупаемости находится по формуле: Ток = К / ΔС</w:t>
      </w:r>
    </w:p>
    <w:p w14:paraId="05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Исходные данные для расчёта представлены в таблице 24.</w:t>
      </w:r>
    </w:p>
    <w:p w14:paraId="06050000">
      <w:pPr>
        <w:spacing w:after="0"/>
        <w:ind/>
        <w:jc w:val="right"/>
        <w:rPr>
          <w:b w:val="1"/>
        </w:rPr>
      </w:pPr>
    </w:p>
    <w:p w14:paraId="07050000">
      <w:pPr>
        <w:spacing w:after="0"/>
        <w:ind/>
        <w:jc w:val="right"/>
        <w:rPr>
          <w:b w:val="1"/>
        </w:rPr>
      </w:pPr>
      <w:r>
        <w:rPr>
          <w:b w:val="1"/>
        </w:rPr>
        <w:t>Таблица 24</w:t>
      </w:r>
    </w:p>
    <w:p w14:paraId="08050000">
      <w:pPr>
        <w:spacing w:after="0"/>
        <w:ind/>
        <w:jc w:val="center"/>
        <w:rPr>
          <w:b w:val="1"/>
        </w:rPr>
      </w:pPr>
      <w:r>
        <w:rPr>
          <w:b w:val="1"/>
        </w:rPr>
        <w:t>Исходные данные для расчёта экономической эффективности</w:t>
      </w:r>
    </w:p>
    <w:tbl>
      <w:tblPr>
        <w:tblStyle w:val="Style_14"/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 w14:paraId="09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Показатель</w:t>
            </w:r>
          </w:p>
        </w:tc>
        <w:tc>
          <w:tcPr>
            <w:tcW w:type="dxa" w:w="4819"/>
          </w:tcPr>
          <w:p w14:paraId="0A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Значение</w:t>
            </w:r>
          </w:p>
        </w:tc>
      </w:tr>
      <w:tr>
        <w:tc>
          <w:tcPr>
            <w:tcW w:type="dxa" w:w="4819"/>
          </w:tcPr>
          <w:p w14:paraId="0B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Количество сотрудников, работающих с документами</w:t>
            </w:r>
          </w:p>
        </w:tc>
        <w:tc>
          <w:tcPr>
            <w:tcW w:type="dxa" w:w="4819"/>
          </w:tcPr>
          <w:p w14:paraId="0C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8 чел.</w:t>
            </w:r>
          </w:p>
        </w:tc>
      </w:tr>
      <w:tr>
        <w:tc>
          <w:tcPr>
            <w:tcW w:type="dxa" w:w="4819"/>
          </w:tcPr>
          <w:p w14:paraId="0D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Средняя заработная плата делопроизводителя (с отчислениями)</w:t>
            </w:r>
          </w:p>
        </w:tc>
        <w:tc>
          <w:tcPr>
            <w:tcW w:type="dxa" w:w="4819"/>
          </w:tcPr>
          <w:p w14:paraId="0E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45 000 руб./мес.</w:t>
            </w:r>
          </w:p>
        </w:tc>
      </w:tr>
      <w:tr>
        <w:tc>
          <w:tcPr>
            <w:tcW w:type="dxa" w:w="4819"/>
          </w:tcPr>
          <w:p w14:paraId="0F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Стоимость 1 часа работы специалиста (</w:t>
            </w:r>
            <w:r>
              <w:rPr>
                <w:sz w:val="24"/>
              </w:rPr>
              <w:t>S</w:t>
            </w:r>
            <w:r>
              <w:rPr>
                <w:sz w:val="24"/>
              </w:rPr>
              <w:t>)</w:t>
            </w:r>
          </w:p>
        </w:tc>
        <w:tc>
          <w:tcPr>
            <w:tcW w:type="dxa" w:w="4819"/>
          </w:tcPr>
          <w:p w14:paraId="10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272,73 руб.</w:t>
            </w:r>
          </w:p>
        </w:tc>
      </w:tr>
      <w:tr>
        <w:tc>
          <w:tcPr>
            <w:tcW w:type="dxa" w:w="4819"/>
          </w:tcPr>
          <w:p w14:paraId="11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Среднемесячное количество обрабатываемых документов</w:t>
            </w:r>
          </w:p>
        </w:tc>
        <w:tc>
          <w:tcPr>
            <w:tcW w:type="dxa" w:w="4819"/>
          </w:tcPr>
          <w:p w14:paraId="12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120 шт.</w:t>
            </w:r>
          </w:p>
        </w:tc>
      </w:tr>
      <w:tr>
        <w:tc>
          <w:tcPr>
            <w:tcW w:type="dxa" w:w="4819"/>
          </w:tcPr>
          <w:p w14:paraId="13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Среднегодовое количество обрабатываемых документов</w:t>
            </w:r>
          </w:p>
        </w:tc>
        <w:tc>
          <w:tcPr>
            <w:tcW w:type="dxa" w:w="4819"/>
          </w:tcPr>
          <w:p w14:paraId="14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1 440 шт.</w:t>
            </w:r>
          </w:p>
        </w:tc>
      </w:tr>
      <w:tr>
        <w:tc>
          <w:tcPr>
            <w:tcW w:type="dxa" w:w="4819"/>
          </w:tcPr>
          <w:p w14:paraId="15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Рабочих часов в месяце</w:t>
            </w:r>
          </w:p>
        </w:tc>
        <w:tc>
          <w:tcPr>
            <w:tcW w:type="dxa" w:w="4819"/>
          </w:tcPr>
          <w:p w14:paraId="16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165 ч.</w:t>
            </w:r>
          </w:p>
        </w:tc>
      </w:tr>
    </w:tbl>
    <w:p w14:paraId="17050000">
      <w:pPr>
        <w:widowControl w:val="0"/>
        <w:spacing w:after="0" w:line="360" w:lineRule="auto"/>
        <w:ind w:firstLine="0" w:left="709"/>
        <w:jc w:val="both"/>
        <w:rPr>
          <w:sz w:val="24"/>
        </w:rPr>
      </w:pPr>
    </w:p>
    <w:p w14:paraId="18050000">
      <w:bookmarkStart w:id="86" w:name="__RefHeading___63"/>
      <w:bookmarkEnd w:id="86"/>
      <w:pPr>
        <w:keepNext w:val="1"/>
        <w:keepLines w:val="1"/>
        <w:spacing w:after="0"/>
        <w:ind/>
        <w:jc w:val="center"/>
        <w:outlineLvl w:val="1"/>
        <w:rPr>
          <w:b w:val="1"/>
        </w:rPr>
      </w:pPr>
      <w:r>
        <w:rPr>
          <w:b w:val="1"/>
        </w:rPr>
        <w:t>3.2 Расчёт показателей экономической эффективности проекта</w:t>
      </w:r>
    </w:p>
    <w:p w14:paraId="19050000">
      <w:pPr>
        <w:spacing w:after="0" w:line="360" w:lineRule="auto"/>
        <w:ind w:firstLine="851" w:left="0"/>
        <w:jc w:val="both"/>
        <w:rPr>
          <w:color w:themeColor="text1" w:val="000000"/>
        </w:rPr>
      </w:pPr>
    </w:p>
    <w:p w14:paraId="1A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Расчёт трудозатрат до автоматизации.</w:t>
      </w:r>
    </w:p>
    <w:p w14:paraId="1B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Хронометраж работы сотрудников позволил определить среднее время выполнения основных операций документооборота вручную. Результаты приведены в таблице 25.</w:t>
      </w:r>
    </w:p>
    <w:p w14:paraId="1C050000">
      <w:pPr>
        <w:spacing w:after="0"/>
        <w:ind/>
        <w:jc w:val="right"/>
        <w:rPr>
          <w:b w:val="1"/>
        </w:rPr>
      </w:pPr>
      <w:r>
        <w:rPr>
          <w:b w:val="1"/>
        </w:rPr>
        <w:t>Таблица 25</w:t>
      </w:r>
    </w:p>
    <w:p w14:paraId="1D050000">
      <w:pPr>
        <w:spacing w:after="0"/>
        <w:ind/>
        <w:jc w:val="center"/>
        <w:rPr>
          <w:b w:val="1"/>
        </w:rPr>
      </w:pPr>
      <w:r>
        <w:rPr>
          <w:b w:val="1"/>
        </w:rPr>
        <w:t>Трудозатраты на операции документооборота до автоматизации (за год)</w:t>
      </w:r>
    </w:p>
    <w:tbl>
      <w:tblPr>
        <w:tblStyle w:val="Style_15"/>
        <w:tblLayout w:type="fixed"/>
      </w:tblPr>
      <w:tblGrid>
        <w:gridCol w:w="2410"/>
        <w:gridCol w:w="2410"/>
        <w:gridCol w:w="2410"/>
        <w:gridCol w:w="2410"/>
      </w:tblGrid>
      <w:tr>
        <w:tc>
          <w:tcPr>
            <w:tcW w:type="dxa" w:w="2410"/>
          </w:tcPr>
          <w:p w14:paraId="1E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Операция</w:t>
            </w:r>
          </w:p>
        </w:tc>
        <w:tc>
          <w:tcPr>
            <w:tcW w:type="dxa" w:w="2410"/>
          </w:tcPr>
          <w:p w14:paraId="1F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Ср. время, мин.</w:t>
            </w:r>
          </w:p>
        </w:tc>
        <w:tc>
          <w:tcPr>
            <w:tcW w:type="dxa" w:w="2410"/>
          </w:tcPr>
          <w:p w14:paraId="20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Кол-во док./год</w:t>
            </w:r>
          </w:p>
        </w:tc>
        <w:tc>
          <w:tcPr>
            <w:tcW w:type="dxa" w:w="2410"/>
          </w:tcPr>
          <w:p w14:paraId="21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Трудозатраты, час.</w:t>
            </w:r>
          </w:p>
        </w:tc>
      </w:tr>
      <w:tr>
        <w:tc>
          <w:tcPr>
            <w:tcW w:type="dxa" w:w="2410"/>
          </w:tcPr>
          <w:p w14:paraId="22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Регистрация входящего документа</w:t>
            </w:r>
          </w:p>
        </w:tc>
        <w:tc>
          <w:tcPr>
            <w:tcW w:type="dxa" w:w="2410"/>
          </w:tcPr>
          <w:p w14:paraId="23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type="dxa" w:w="2410"/>
          </w:tcPr>
          <w:p w14:paraId="24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type="dxa" w:w="2410"/>
          </w:tcPr>
          <w:p w14:paraId="25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120,0</w:t>
            </w:r>
          </w:p>
        </w:tc>
      </w:tr>
      <w:tr>
        <w:tc>
          <w:tcPr>
            <w:tcW w:type="dxa" w:w="2410"/>
          </w:tcPr>
          <w:p w14:paraId="26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Регистрация исходящего документа</w:t>
            </w:r>
          </w:p>
        </w:tc>
        <w:tc>
          <w:tcPr>
            <w:tcW w:type="dxa" w:w="2410"/>
          </w:tcPr>
          <w:p w14:paraId="27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type="dxa" w:w="2410"/>
          </w:tcPr>
          <w:p w14:paraId="28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288</w:t>
            </w:r>
          </w:p>
        </w:tc>
        <w:tc>
          <w:tcPr>
            <w:tcW w:type="dxa" w:w="2410"/>
          </w:tcPr>
          <w:p w14:paraId="29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57,6</w:t>
            </w:r>
          </w:p>
        </w:tc>
      </w:tr>
      <w:tr>
        <w:tc>
          <w:tcPr>
            <w:tcW w:type="dxa" w:w="2410"/>
          </w:tcPr>
          <w:p w14:paraId="2A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Оформление приказа</w:t>
            </w:r>
          </w:p>
        </w:tc>
        <w:tc>
          <w:tcPr>
            <w:tcW w:type="dxa" w:w="2410"/>
          </w:tcPr>
          <w:p w14:paraId="2B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type="dxa" w:w="2410"/>
          </w:tcPr>
          <w:p w14:paraId="2C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360</w:t>
            </w:r>
          </w:p>
        </w:tc>
        <w:tc>
          <w:tcPr>
            <w:tcW w:type="dxa" w:w="2410"/>
          </w:tcPr>
          <w:p w14:paraId="2D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150,0</w:t>
            </w:r>
          </w:p>
        </w:tc>
      </w:tr>
      <w:tr>
        <w:tc>
          <w:tcPr>
            <w:tcW w:type="dxa" w:w="2410"/>
          </w:tcPr>
          <w:p w14:paraId="2E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Регистрация договора</w:t>
            </w:r>
          </w:p>
        </w:tc>
        <w:tc>
          <w:tcPr>
            <w:tcW w:type="dxa" w:w="2410"/>
          </w:tcPr>
          <w:p w14:paraId="2F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2410"/>
          </w:tcPr>
          <w:p w14:paraId="30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312</w:t>
            </w:r>
          </w:p>
        </w:tc>
        <w:tc>
          <w:tcPr>
            <w:tcW w:type="dxa" w:w="2410"/>
          </w:tcPr>
          <w:p w14:paraId="31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104,0</w:t>
            </w:r>
          </w:p>
        </w:tc>
      </w:tr>
      <w:tr>
        <w:tc>
          <w:tcPr>
            <w:tcW w:type="dxa" w:w="2410"/>
          </w:tcPr>
          <w:p w14:paraId="32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Поиск документа в архиве</w:t>
            </w:r>
          </w:p>
        </w:tc>
        <w:tc>
          <w:tcPr>
            <w:tcW w:type="dxa" w:w="2410"/>
          </w:tcPr>
          <w:p w14:paraId="33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type="dxa" w:w="2410"/>
          </w:tcPr>
          <w:p w14:paraId="34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960</w:t>
            </w:r>
          </w:p>
        </w:tc>
        <w:tc>
          <w:tcPr>
            <w:tcW w:type="dxa" w:w="2410"/>
          </w:tcPr>
          <w:p w14:paraId="35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288,0</w:t>
            </w:r>
          </w:p>
        </w:tc>
      </w:tr>
      <w:tr>
        <w:tc>
          <w:tcPr>
            <w:tcW w:type="dxa" w:w="2410"/>
          </w:tcPr>
          <w:p w14:paraId="36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Согласование документа</w:t>
            </w:r>
          </w:p>
        </w:tc>
        <w:tc>
          <w:tcPr>
            <w:tcW w:type="dxa" w:w="2410"/>
          </w:tcPr>
          <w:p w14:paraId="37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type="dxa" w:w="2410"/>
          </w:tcPr>
          <w:p w14:paraId="38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type="dxa" w:w="2410"/>
          </w:tcPr>
          <w:p w14:paraId="39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240,0</w:t>
            </w:r>
          </w:p>
        </w:tc>
      </w:tr>
      <w:tr>
        <w:tc>
          <w:tcPr>
            <w:tcW w:type="dxa" w:w="2410"/>
          </w:tcPr>
          <w:p w14:paraId="3A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отчёта</w:t>
            </w:r>
          </w:p>
        </w:tc>
        <w:tc>
          <w:tcPr>
            <w:tcW w:type="dxa" w:w="2410"/>
          </w:tcPr>
          <w:p w14:paraId="3B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type="dxa" w:w="2410"/>
          </w:tcPr>
          <w:p w14:paraId="3C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type="dxa" w:w="2410"/>
          </w:tcPr>
          <w:p w14:paraId="3D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36,0</w:t>
            </w:r>
          </w:p>
        </w:tc>
      </w:tr>
      <w:tr>
        <w:tc>
          <w:tcPr>
            <w:tcW w:type="dxa" w:w="2410"/>
          </w:tcPr>
          <w:p w14:paraId="3E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Контроль исполнения</w:t>
            </w:r>
          </w:p>
        </w:tc>
        <w:tc>
          <w:tcPr>
            <w:tcW w:type="dxa" w:w="2410"/>
          </w:tcPr>
          <w:p w14:paraId="3F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2410"/>
          </w:tcPr>
          <w:p w14:paraId="40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type="dxa" w:w="2410"/>
          </w:tcPr>
          <w:p w14:paraId="41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160,0</w:t>
            </w:r>
          </w:p>
        </w:tc>
      </w:tr>
      <w:tr>
        <w:tc>
          <w:tcPr>
            <w:tcW w:type="dxa" w:w="2410"/>
          </w:tcPr>
          <w:p w14:paraId="42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type="dxa" w:w="2410"/>
          </w:tcPr>
          <w:p w14:paraId="43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2410"/>
          </w:tcPr>
          <w:p w14:paraId="44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2410"/>
          </w:tcPr>
          <w:p w14:paraId="45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1 155,6</w:t>
            </w:r>
          </w:p>
        </w:tc>
      </w:tr>
    </w:tbl>
    <w:p w14:paraId="46050000">
      <w:pPr>
        <w:spacing w:after="0" w:line="360" w:lineRule="auto"/>
        <w:ind w:firstLine="851" w:left="0"/>
        <w:jc w:val="both"/>
        <w:rPr>
          <w:color w:themeColor="text1" w:val="000000"/>
        </w:rPr>
      </w:pPr>
    </w:p>
    <w:p w14:paraId="47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Расчёт трудозатрат после автоматизации.</w:t>
      </w:r>
    </w:p>
    <w:p w14:paraId="48050000">
      <w:pPr>
        <w:spacing w:after="200" w:line="360" w:lineRule="auto"/>
        <w:ind w:firstLine="709" w:left="0"/>
        <w:jc w:val="both"/>
      </w:pPr>
      <w:r>
        <w:t>После внедрения системы электронного документооборота основные операции выполняются автоматически. Ожидаемое время их выполнения приведено в таблице 26.</w:t>
      </w:r>
    </w:p>
    <w:p w14:paraId="49050000">
      <w:pPr>
        <w:spacing w:after="0"/>
        <w:ind/>
        <w:jc w:val="right"/>
        <w:rPr>
          <w:b w:val="1"/>
        </w:rPr>
      </w:pPr>
      <w:r>
        <w:rPr>
          <w:b w:val="1"/>
        </w:rPr>
        <w:t>Таблица 26</w:t>
      </w:r>
    </w:p>
    <w:p w14:paraId="4A050000">
      <w:pPr>
        <w:spacing w:after="0"/>
        <w:ind/>
        <w:jc w:val="center"/>
        <w:rPr>
          <w:b w:val="1"/>
        </w:rPr>
      </w:pPr>
      <w:r>
        <w:rPr>
          <w:b w:val="1"/>
        </w:rPr>
        <w:t>Трудозатраты на операции документооборота после автоматизации (за год)</w:t>
      </w:r>
    </w:p>
    <w:tbl>
      <w:tblPr>
        <w:tblStyle w:val="Style_15"/>
        <w:tblLayout w:type="fixed"/>
      </w:tblPr>
      <w:tblGrid>
        <w:gridCol w:w="873"/>
        <w:gridCol w:w="2955"/>
        <w:gridCol w:w="1901"/>
        <w:gridCol w:w="1901"/>
        <w:gridCol w:w="2008"/>
      </w:tblGrid>
      <w:tr>
        <w:tc>
          <w:tcPr>
            <w:tcW w:type="dxa" w:w="873"/>
          </w:tcPr>
          <w:p w14:paraId="4B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</w:tc>
        <w:tc>
          <w:tcPr>
            <w:tcW w:type="dxa" w:w="2955"/>
          </w:tcPr>
          <w:p w14:paraId="4C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Операция</w:t>
            </w:r>
          </w:p>
        </w:tc>
        <w:tc>
          <w:tcPr>
            <w:tcW w:type="dxa" w:w="1901"/>
          </w:tcPr>
          <w:p w14:paraId="4D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Ср. время, мин.</w:t>
            </w:r>
          </w:p>
        </w:tc>
        <w:tc>
          <w:tcPr>
            <w:tcW w:type="dxa" w:w="1901"/>
          </w:tcPr>
          <w:p w14:paraId="4E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Кол-во док./год</w:t>
            </w:r>
          </w:p>
        </w:tc>
        <w:tc>
          <w:tcPr>
            <w:tcW w:type="dxa" w:w="2008"/>
          </w:tcPr>
          <w:p w14:paraId="4F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Трудозатраты, час.</w:t>
            </w:r>
          </w:p>
        </w:tc>
      </w:tr>
      <w:tr>
        <w:tc>
          <w:tcPr>
            <w:tcW w:type="dxa" w:w="873"/>
          </w:tcPr>
          <w:p w14:paraId="50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2955"/>
          </w:tcPr>
          <w:p w14:paraId="51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Регистрация входящего документа</w:t>
            </w:r>
          </w:p>
        </w:tc>
        <w:tc>
          <w:tcPr>
            <w:tcW w:type="dxa" w:w="1901"/>
          </w:tcPr>
          <w:p w14:paraId="52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1901"/>
          </w:tcPr>
          <w:p w14:paraId="53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type="dxa" w:w="2008"/>
          </w:tcPr>
          <w:p w14:paraId="54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40,0</w:t>
            </w:r>
          </w:p>
        </w:tc>
      </w:tr>
      <w:tr>
        <w:tc>
          <w:tcPr>
            <w:tcW w:type="dxa" w:w="873"/>
          </w:tcPr>
          <w:p w14:paraId="55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2955"/>
          </w:tcPr>
          <w:p w14:paraId="56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Регистрация исходящего документа</w:t>
            </w:r>
          </w:p>
        </w:tc>
        <w:tc>
          <w:tcPr>
            <w:tcW w:type="dxa" w:w="1901"/>
          </w:tcPr>
          <w:p w14:paraId="57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901"/>
          </w:tcPr>
          <w:p w14:paraId="58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288</w:t>
            </w:r>
          </w:p>
        </w:tc>
        <w:tc>
          <w:tcPr>
            <w:tcW w:type="dxa" w:w="2008"/>
          </w:tcPr>
          <w:p w14:paraId="59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19,2</w:t>
            </w:r>
          </w:p>
        </w:tc>
      </w:tr>
      <w:tr>
        <w:tc>
          <w:tcPr>
            <w:tcW w:type="dxa" w:w="873"/>
          </w:tcPr>
          <w:p w14:paraId="5A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2955"/>
          </w:tcPr>
          <w:p w14:paraId="5B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Оформление приказа</w:t>
            </w:r>
          </w:p>
        </w:tc>
        <w:tc>
          <w:tcPr>
            <w:tcW w:type="dxa" w:w="1901"/>
          </w:tcPr>
          <w:p w14:paraId="5C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1901"/>
          </w:tcPr>
          <w:p w14:paraId="5D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360</w:t>
            </w:r>
          </w:p>
        </w:tc>
        <w:tc>
          <w:tcPr>
            <w:tcW w:type="dxa" w:w="2008"/>
          </w:tcPr>
          <w:p w14:paraId="5E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48,0</w:t>
            </w:r>
          </w:p>
        </w:tc>
      </w:tr>
      <w:tr>
        <w:tc>
          <w:tcPr>
            <w:tcW w:type="dxa" w:w="873"/>
          </w:tcPr>
          <w:p w14:paraId="5F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2955"/>
          </w:tcPr>
          <w:p w14:paraId="60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Регистрация договора</w:t>
            </w:r>
          </w:p>
        </w:tc>
        <w:tc>
          <w:tcPr>
            <w:tcW w:type="dxa" w:w="1901"/>
          </w:tcPr>
          <w:p w14:paraId="61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1901"/>
          </w:tcPr>
          <w:p w14:paraId="62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312</w:t>
            </w:r>
          </w:p>
        </w:tc>
        <w:tc>
          <w:tcPr>
            <w:tcW w:type="dxa" w:w="2008"/>
          </w:tcPr>
          <w:p w14:paraId="63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36,4</w:t>
            </w:r>
          </w:p>
        </w:tc>
      </w:tr>
      <w:tr>
        <w:tc>
          <w:tcPr>
            <w:tcW w:type="dxa" w:w="873"/>
          </w:tcPr>
          <w:p w14:paraId="64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2955"/>
          </w:tcPr>
          <w:p w14:paraId="65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Поиск документа</w:t>
            </w:r>
          </w:p>
        </w:tc>
        <w:tc>
          <w:tcPr>
            <w:tcW w:type="dxa" w:w="1901"/>
          </w:tcPr>
          <w:p w14:paraId="66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901"/>
          </w:tcPr>
          <w:p w14:paraId="67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960</w:t>
            </w:r>
          </w:p>
        </w:tc>
        <w:tc>
          <w:tcPr>
            <w:tcW w:type="dxa" w:w="2008"/>
          </w:tcPr>
          <w:p w14:paraId="68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32,0</w:t>
            </w:r>
          </w:p>
        </w:tc>
      </w:tr>
      <w:tr>
        <w:tc>
          <w:tcPr>
            <w:tcW w:type="dxa" w:w="873"/>
          </w:tcPr>
          <w:p w14:paraId="69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2955"/>
          </w:tcPr>
          <w:p w14:paraId="6A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Согласование документа</w:t>
            </w:r>
          </w:p>
        </w:tc>
        <w:tc>
          <w:tcPr>
            <w:tcW w:type="dxa" w:w="1901"/>
          </w:tcPr>
          <w:p w14:paraId="6B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1901"/>
          </w:tcPr>
          <w:p w14:paraId="6C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type="dxa" w:w="2008"/>
          </w:tcPr>
          <w:p w14:paraId="6D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80,0</w:t>
            </w:r>
          </w:p>
        </w:tc>
      </w:tr>
      <w:tr>
        <w:tc>
          <w:tcPr>
            <w:tcW w:type="dxa" w:w="873"/>
          </w:tcPr>
          <w:p w14:paraId="6E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2955"/>
          </w:tcPr>
          <w:p w14:paraId="6F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отчёта</w:t>
            </w:r>
          </w:p>
        </w:tc>
        <w:tc>
          <w:tcPr>
            <w:tcW w:type="dxa" w:w="1901"/>
          </w:tcPr>
          <w:p w14:paraId="70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1901"/>
          </w:tcPr>
          <w:p w14:paraId="71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type="dxa" w:w="2008"/>
          </w:tcPr>
          <w:p w14:paraId="72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4,0</w:t>
            </w:r>
          </w:p>
        </w:tc>
      </w:tr>
      <w:tr>
        <w:tc>
          <w:tcPr>
            <w:tcW w:type="dxa" w:w="873"/>
          </w:tcPr>
          <w:p w14:paraId="73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2955"/>
          </w:tcPr>
          <w:p w14:paraId="74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Контроль исполнения</w:t>
            </w:r>
          </w:p>
        </w:tc>
        <w:tc>
          <w:tcPr>
            <w:tcW w:type="dxa" w:w="1901"/>
          </w:tcPr>
          <w:p w14:paraId="75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1901"/>
          </w:tcPr>
          <w:p w14:paraId="76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type="dxa" w:w="2008"/>
          </w:tcPr>
          <w:p w14:paraId="77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40,0</w:t>
            </w:r>
          </w:p>
        </w:tc>
      </w:tr>
      <w:tr>
        <w:tc>
          <w:tcPr>
            <w:tcW w:type="dxa" w:w="873"/>
          </w:tcPr>
          <w:p w14:paraId="78050000">
            <w:pPr>
              <w:ind/>
              <w:jc w:val="both"/>
              <w:rPr>
                <w:sz w:val="24"/>
              </w:rPr>
            </w:pPr>
          </w:p>
        </w:tc>
        <w:tc>
          <w:tcPr>
            <w:tcW w:type="dxa" w:w="2955"/>
          </w:tcPr>
          <w:p w14:paraId="79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type="dxa" w:w="1901"/>
          </w:tcPr>
          <w:p w14:paraId="7A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901"/>
          </w:tcPr>
          <w:p w14:paraId="7B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2008"/>
          </w:tcPr>
          <w:p w14:paraId="7C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299,6</w:t>
            </w:r>
          </w:p>
        </w:tc>
      </w:tr>
    </w:tbl>
    <w:p w14:paraId="7D050000">
      <w:pPr>
        <w:spacing w:after="200" w:line="360" w:lineRule="auto"/>
        <w:ind w:firstLine="709" w:left="0"/>
        <w:jc w:val="both"/>
        <w:rPr>
          <w:b w:val="1"/>
        </w:rPr>
      </w:pPr>
    </w:p>
    <w:p w14:paraId="7E050000">
      <w:pPr>
        <w:spacing w:after="200" w:line="360" w:lineRule="auto"/>
        <w:ind/>
        <w:jc w:val="center"/>
        <w:rPr>
          <w:b w:val="1"/>
        </w:rPr>
      </w:pPr>
      <w:r>
        <w:rPr>
          <w:b w:val="1"/>
        </w:rPr>
        <w:drawing>
          <wp:inline>
            <wp:extent cx="5922820" cy="3948545"/>
            <wp:effectExtent b="0" l="0" r="0" t="0"/>
            <wp:docPr hidden="false" id="74" name="Picture 74"/>
            <a:graphic>
              <a:graphicData uri="http://schemas.openxmlformats.org/drawingml/2006/picture">
                <pic:pic>
                  <pic:nvPicPr>
                    <pic:cNvPr hidden="false" id="73" name="Picture 73"/>
                    <pic:cNvPicPr preferRelativeResize="true"/>
                  </pic:nvPicPr>
                  <pic:blipFill>
                    <a:blip r:embed="rId40"/>
                    <a:stretch/>
                  </pic:blipFill>
                  <pic:spPr>
                    <a:xfrm flipH="false" flipV="false" rot="0">
                      <a:ext cx="5922820" cy="394854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F050000">
      <w:pPr>
        <w:spacing w:after="0"/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 xml:space="preserve">Рисунок 35. Сравнение годовых трудозатрат на операции документооборота до и после автоматизации </w:t>
      </w:r>
    </w:p>
    <w:p w14:paraId="80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Как видно, наиболее существенное сокращение трудозатрат наблюдается по операциям «Поиск документа» (с 288 до 32 час., то есть в 9 раз) и «Согласование документа» (с 240 до 80 час., в 3 раза).</w:t>
      </w:r>
    </w:p>
    <w:p w14:paraId="81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Расчёт экономии трудозатрат.</w:t>
      </w:r>
    </w:p>
    <w:p w14:paraId="82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Годовая экономия трудозатрат составляет:</w:t>
      </w:r>
    </w:p>
    <w:p w14:paraId="83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Δ</w:t>
      </w:r>
      <w:r>
        <w:rPr>
          <w:color w:themeColor="text1" w:val="000000"/>
        </w:rPr>
        <w:t>Т</w:t>
      </w:r>
      <w:r>
        <w:rPr>
          <w:color w:themeColor="text1" w:val="000000"/>
        </w:rPr>
        <w:t xml:space="preserve"> = </w:t>
      </w:r>
      <w:r>
        <w:rPr>
          <w:color w:themeColor="text1" w:val="000000"/>
        </w:rPr>
        <w:t>Т</w:t>
      </w:r>
      <w:r>
        <w:rPr>
          <w:color w:themeColor="text1" w:val="000000"/>
        </w:rPr>
        <w:t xml:space="preserve">₀ − </w:t>
      </w:r>
      <w:r>
        <w:rPr>
          <w:color w:themeColor="text1" w:val="000000"/>
        </w:rPr>
        <w:t>Т</w:t>
      </w:r>
      <w:r>
        <w:rPr>
          <w:color w:themeColor="text1" w:val="000000"/>
        </w:rPr>
        <w:t>₁ = 1 155,6 − 299,6 = 856,0 часов</w:t>
      </w:r>
    </w:p>
    <w:p w14:paraId="84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Экономия в стоимостном выражении:</w:t>
      </w:r>
    </w:p>
    <w:p w14:paraId="85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Δ</w:t>
      </w:r>
      <w:r>
        <w:rPr>
          <w:color w:themeColor="text1" w:val="000000"/>
        </w:rPr>
        <w:t>С</w:t>
      </w:r>
      <w:r>
        <w:rPr>
          <w:color w:themeColor="text1" w:val="000000"/>
        </w:rPr>
        <w:t xml:space="preserve"> = 856,0 × 272,73 = 233 456,88 руб.</w:t>
      </w:r>
    </w:p>
    <w:p w14:paraId="86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Расчёт единовременных затрат на разработку и внедрение.</w:t>
      </w:r>
    </w:p>
    <w:p w14:paraId="87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Единовременные затраты на создание и внедрение системы приведены в таблице 27.</w:t>
      </w:r>
    </w:p>
    <w:p w14:paraId="88050000">
      <w:pPr>
        <w:spacing w:after="0"/>
        <w:ind/>
        <w:jc w:val="right"/>
        <w:rPr>
          <w:b w:val="1"/>
        </w:rPr>
      </w:pPr>
      <w:r>
        <w:rPr>
          <w:b w:val="1"/>
        </w:rPr>
        <w:t>Таблица 27</w:t>
      </w:r>
    </w:p>
    <w:p w14:paraId="89050000">
      <w:pPr>
        <w:spacing w:after="0"/>
        <w:ind/>
        <w:jc w:val="center"/>
        <w:rPr>
          <w:b w:val="1"/>
        </w:rPr>
      </w:pPr>
      <w:r>
        <w:rPr>
          <w:b w:val="1"/>
        </w:rPr>
        <w:t>Единовременные затраты на разработку и внедрение СЭД</w:t>
      </w:r>
    </w:p>
    <w:tbl>
      <w:tblPr>
        <w:tblStyle w:val="Style_15"/>
        <w:tblLayout w:type="fixed"/>
      </w:tblPr>
      <w:tblGrid>
        <w:gridCol w:w="873"/>
        <w:gridCol w:w="5556"/>
        <w:gridCol w:w="3209"/>
      </w:tblGrid>
      <w:tr>
        <w:tc>
          <w:tcPr>
            <w:tcW w:type="dxa" w:w="873"/>
          </w:tcPr>
          <w:p w14:paraId="8A050000">
            <w:pPr>
              <w:ind/>
              <w:jc w:val="center"/>
            </w:pPr>
            <w:r>
              <w:rPr>
                <w:b w:val="1"/>
                <w:sz w:val="22"/>
              </w:rPr>
              <w:t>№</w:t>
            </w:r>
          </w:p>
        </w:tc>
        <w:tc>
          <w:tcPr>
            <w:tcW w:type="dxa" w:w="5556"/>
          </w:tcPr>
          <w:p w14:paraId="8B050000">
            <w:pPr>
              <w:ind/>
              <w:jc w:val="center"/>
            </w:pPr>
            <w:r>
              <w:rPr>
                <w:b w:val="1"/>
                <w:sz w:val="22"/>
              </w:rPr>
              <w:t>Статья затрат</w:t>
            </w:r>
          </w:p>
        </w:tc>
        <w:tc>
          <w:tcPr>
            <w:tcW w:type="dxa" w:w="3209"/>
          </w:tcPr>
          <w:p w14:paraId="8C050000">
            <w:pPr>
              <w:ind/>
              <w:jc w:val="center"/>
            </w:pPr>
            <w:r>
              <w:rPr>
                <w:b w:val="1"/>
                <w:sz w:val="22"/>
              </w:rPr>
              <w:t>Сумма, руб.</w:t>
            </w:r>
          </w:p>
        </w:tc>
      </w:tr>
      <w:tr>
        <w:tc>
          <w:tcPr>
            <w:tcW w:type="dxa" w:w="873"/>
          </w:tcPr>
          <w:p w14:paraId="8D050000">
            <w:r>
              <w:rPr>
                <w:sz w:val="22"/>
              </w:rPr>
              <w:t>1</w:t>
            </w:r>
          </w:p>
        </w:tc>
        <w:tc>
          <w:tcPr>
            <w:tcW w:type="dxa" w:w="5556"/>
          </w:tcPr>
          <w:p w14:paraId="8E050000">
            <w:r>
              <w:rPr>
                <w:sz w:val="22"/>
              </w:rPr>
              <w:t>Заработная плата разработчика (2 мес. × 70 000 руб.)</w:t>
            </w:r>
          </w:p>
        </w:tc>
        <w:tc>
          <w:tcPr>
            <w:tcW w:type="dxa" w:w="3209"/>
          </w:tcPr>
          <w:p w14:paraId="8F050000">
            <w:r>
              <w:rPr>
                <w:sz w:val="22"/>
              </w:rPr>
              <w:t>140 000</w:t>
            </w:r>
          </w:p>
        </w:tc>
      </w:tr>
      <w:tr>
        <w:tc>
          <w:tcPr>
            <w:tcW w:type="dxa" w:w="873"/>
          </w:tcPr>
          <w:p w14:paraId="90050000">
            <w:r>
              <w:rPr>
                <w:sz w:val="22"/>
              </w:rPr>
              <w:t>2</w:t>
            </w:r>
          </w:p>
        </w:tc>
        <w:tc>
          <w:tcPr>
            <w:tcW w:type="dxa" w:w="5556"/>
          </w:tcPr>
          <w:p w14:paraId="91050000">
            <w:r>
              <w:rPr>
                <w:sz w:val="22"/>
              </w:rPr>
              <w:t xml:space="preserve">Отчисления в социальный фонд </w:t>
            </w:r>
          </w:p>
        </w:tc>
        <w:tc>
          <w:tcPr>
            <w:tcW w:type="dxa" w:w="3209"/>
          </w:tcPr>
          <w:p w14:paraId="92050000">
            <w:r>
              <w:rPr>
                <w:sz w:val="22"/>
              </w:rPr>
              <w:t>42 280</w:t>
            </w:r>
          </w:p>
        </w:tc>
      </w:tr>
      <w:tr>
        <w:tc>
          <w:tcPr>
            <w:tcW w:type="dxa" w:w="873"/>
          </w:tcPr>
          <w:p w14:paraId="93050000">
            <w:r>
              <w:rPr>
                <w:sz w:val="22"/>
              </w:rPr>
              <w:t>3</w:t>
            </w:r>
          </w:p>
        </w:tc>
        <w:tc>
          <w:tcPr>
            <w:tcW w:type="dxa" w:w="5556"/>
          </w:tcPr>
          <w:p w14:paraId="94050000">
            <w:r>
              <w:rPr>
                <w:sz w:val="22"/>
              </w:rPr>
              <w:t>Затраты на использование ЭВМ (электроэнергия, амортизация)</w:t>
            </w:r>
          </w:p>
        </w:tc>
        <w:tc>
          <w:tcPr>
            <w:tcW w:type="dxa" w:w="3209"/>
          </w:tcPr>
          <w:p w14:paraId="95050000">
            <w:r>
              <w:rPr>
                <w:sz w:val="22"/>
              </w:rPr>
              <w:t>8 500</w:t>
            </w:r>
          </w:p>
        </w:tc>
      </w:tr>
      <w:tr>
        <w:tc>
          <w:tcPr>
            <w:tcW w:type="dxa" w:w="873"/>
          </w:tcPr>
          <w:p w14:paraId="96050000">
            <w:r>
              <w:t>4</w:t>
            </w:r>
          </w:p>
        </w:tc>
        <w:tc>
          <w:tcPr>
            <w:tcW w:type="dxa" w:w="5556"/>
          </w:tcPr>
          <w:p w14:paraId="97050000">
            <w:r>
              <w:rPr>
                <w:sz w:val="22"/>
              </w:rPr>
              <w:t>Приобретение сервера</w:t>
            </w:r>
          </w:p>
        </w:tc>
        <w:tc>
          <w:tcPr>
            <w:tcW w:type="dxa" w:w="3209"/>
          </w:tcPr>
          <w:p w14:paraId="98050000">
            <w:r>
              <w:rPr>
                <w:sz w:val="22"/>
              </w:rPr>
              <w:t>65 000</w:t>
            </w:r>
          </w:p>
        </w:tc>
      </w:tr>
      <w:tr>
        <w:tc>
          <w:tcPr>
            <w:tcW w:type="dxa" w:w="873"/>
          </w:tcPr>
          <w:p w14:paraId="99050000">
            <w:r>
              <w:t>5</w:t>
            </w:r>
          </w:p>
        </w:tc>
        <w:tc>
          <w:tcPr>
            <w:tcW w:type="dxa" w:w="5556"/>
          </w:tcPr>
          <w:p w14:paraId="9A050000">
            <w:r>
              <w:rPr>
                <w:sz w:val="22"/>
              </w:rPr>
              <w:t>Обучение персонала (8 чел. × 2 500 руб.)</w:t>
            </w:r>
          </w:p>
        </w:tc>
        <w:tc>
          <w:tcPr>
            <w:tcW w:type="dxa" w:w="3209"/>
          </w:tcPr>
          <w:p w14:paraId="9B050000">
            <w:r>
              <w:rPr>
                <w:sz w:val="22"/>
              </w:rPr>
              <w:t>20 000</w:t>
            </w:r>
          </w:p>
        </w:tc>
      </w:tr>
      <w:tr>
        <w:tc>
          <w:tcPr>
            <w:tcW w:type="dxa" w:w="873"/>
          </w:tcPr>
          <w:p w14:paraId="9C050000">
            <w:r>
              <w:t>6</w:t>
            </w:r>
          </w:p>
        </w:tc>
        <w:tc>
          <w:tcPr>
            <w:tcW w:type="dxa" w:w="5556"/>
          </w:tcPr>
          <w:p w14:paraId="9D050000">
            <w:r>
              <w:rPr>
                <w:sz w:val="22"/>
              </w:rPr>
              <w:t>Накладные расходы (10% от п.1)</w:t>
            </w:r>
          </w:p>
        </w:tc>
        <w:tc>
          <w:tcPr>
            <w:tcW w:type="dxa" w:w="3209"/>
          </w:tcPr>
          <w:p w14:paraId="9E050000">
            <w:r>
              <w:rPr>
                <w:sz w:val="22"/>
              </w:rPr>
              <w:t>14 000</w:t>
            </w:r>
          </w:p>
        </w:tc>
      </w:tr>
      <w:tr>
        <w:tc>
          <w:tcPr>
            <w:tcW w:type="dxa" w:w="873"/>
          </w:tcPr>
          <w:p/>
        </w:tc>
        <w:tc>
          <w:tcPr>
            <w:tcW w:type="dxa" w:w="5556"/>
          </w:tcPr>
          <w:p w14:paraId="9F050000">
            <w:r>
              <w:rPr>
                <w:sz w:val="22"/>
              </w:rPr>
              <w:t xml:space="preserve">ИТОГО </w:t>
            </w:r>
          </w:p>
        </w:tc>
        <w:tc>
          <w:tcPr>
            <w:tcW w:type="dxa" w:w="3209"/>
          </w:tcPr>
          <w:p w14:paraId="A0050000">
            <w:r>
              <w:rPr>
                <w:sz w:val="22"/>
              </w:rPr>
              <w:t>289 780</w:t>
            </w:r>
          </w:p>
        </w:tc>
      </w:tr>
    </w:tbl>
    <w:p w14:paraId="A1050000">
      <w:pPr>
        <w:spacing w:after="0"/>
        <w:ind w:firstLine="851" w:left="0"/>
        <w:jc w:val="both"/>
        <w:rPr>
          <w:color w:themeColor="text1" w:val="000000"/>
        </w:rPr>
      </w:pPr>
    </w:p>
    <w:p w14:paraId="A2050000">
      <w:pPr>
        <w:spacing w:after="200" w:line="360" w:lineRule="auto"/>
        <w:ind/>
        <w:jc w:val="center"/>
        <w:rPr>
          <w:b w:val="1"/>
        </w:rPr>
      </w:pPr>
      <w:r>
        <w:rPr>
          <w:b w:val="1"/>
        </w:rPr>
        <w:drawing>
          <wp:inline>
            <wp:extent cx="4536060" cy="2867891"/>
            <wp:effectExtent b="0" l="0" r="0" t="0"/>
            <wp:docPr hidden="false" id="76" name="Picture 76"/>
            <a:graphic>
              <a:graphicData uri="http://schemas.openxmlformats.org/drawingml/2006/picture">
                <pic:pic>
                  <pic:nvPicPr>
                    <pic:cNvPr hidden="false" id="75" name="Picture 75"/>
                    <pic:cNvPicPr preferRelativeResize="true"/>
                  </pic:nvPicPr>
                  <pic:blipFill>
                    <a:blip r:embed="rId41"/>
                    <a:stretch/>
                  </pic:blipFill>
                  <pic:spPr>
                    <a:xfrm flipH="false" flipV="false" rot="0">
                      <a:ext cx="4536060" cy="286789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3050000">
      <w:pPr>
        <w:spacing w:after="0"/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 xml:space="preserve">Рисунок 36. Структура единовременных затрат на разработку и внедрение СЭД </w:t>
      </w:r>
    </w:p>
    <w:p w14:paraId="A4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Наибольшую долю затрат (48,3 %) составляет заработная плата разработчика, ещё 22,4 % приходится на приобретение сервера. Расходы на лицензии отсутствуют благодаря использованию свободного ПО (Django, PostgreSQL, Ubuntu).</w:t>
      </w:r>
    </w:p>
    <w:p w14:paraId="A5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Расчёт годового экономического эффекта.</w:t>
      </w:r>
    </w:p>
    <w:p w14:paraId="A6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 xml:space="preserve">Э = </w:t>
      </w:r>
      <w:r>
        <w:rPr>
          <w:color w:themeColor="text1" w:val="000000"/>
        </w:rPr>
        <w:t>Δ</w:t>
      </w:r>
      <w:r>
        <w:rPr>
          <w:color w:themeColor="text1" w:val="000000"/>
        </w:rPr>
        <w:t>С</w:t>
      </w:r>
      <w:r>
        <w:rPr>
          <w:color w:themeColor="text1" w:val="000000"/>
        </w:rPr>
        <w:t xml:space="preserve"> − </w:t>
      </w:r>
      <w:r>
        <w:rPr>
          <w:color w:themeColor="text1" w:val="000000"/>
        </w:rPr>
        <w:t>К</w:t>
      </w:r>
      <w:r>
        <w:rPr>
          <w:color w:themeColor="text1" w:val="000000"/>
        </w:rPr>
        <w:t xml:space="preserve"> × </w:t>
      </w:r>
      <w:r>
        <w:rPr>
          <w:color w:themeColor="text1" w:val="000000"/>
        </w:rPr>
        <w:t>Е</w:t>
      </w:r>
      <w:r>
        <w:rPr>
          <w:color w:themeColor="text1" w:val="000000"/>
        </w:rPr>
        <w:t>н = 233 456,88 − 289 780 × 0,15 = 233 456,88 − 43 467,00 = 189 989,88 руб.</w:t>
      </w:r>
    </w:p>
    <w:p w14:paraId="A7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Расчёт срока окупаемости.</w:t>
      </w:r>
    </w:p>
    <w:p w14:paraId="A8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Т</w:t>
      </w:r>
      <w:r>
        <w:rPr>
          <w:color w:themeColor="text1" w:val="000000"/>
        </w:rPr>
        <w:t xml:space="preserve">ок = </w:t>
      </w:r>
      <w:r>
        <w:rPr>
          <w:color w:themeColor="text1" w:val="000000"/>
        </w:rPr>
        <w:t>К</w:t>
      </w:r>
      <w:r>
        <w:rPr>
          <w:color w:themeColor="text1" w:val="000000"/>
        </w:rPr>
        <w:t xml:space="preserve"> / </w:t>
      </w:r>
      <w:r>
        <w:rPr>
          <w:color w:themeColor="text1" w:val="000000"/>
        </w:rPr>
        <w:t>Δ</w:t>
      </w:r>
      <w:r>
        <w:rPr>
          <w:color w:themeColor="text1" w:val="000000"/>
        </w:rPr>
        <w:t>С</w:t>
      </w:r>
      <w:r>
        <w:rPr>
          <w:color w:themeColor="text1" w:val="000000"/>
        </w:rPr>
        <w:t xml:space="preserve"> = 289 780 / 233 456,88 = 1,24 года ≈ 1 год 3 месяца</w:t>
      </w:r>
    </w:p>
    <w:p w14:paraId="A9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Расчёт коэффициента экономической эффективности.</w:t>
      </w:r>
    </w:p>
    <w:p w14:paraId="AA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 xml:space="preserve">Е = </w:t>
      </w:r>
      <w:r>
        <w:rPr>
          <w:color w:themeColor="text1" w:val="000000"/>
        </w:rPr>
        <w:t>Δ</w:t>
      </w:r>
      <w:r>
        <w:rPr>
          <w:color w:themeColor="text1" w:val="000000"/>
        </w:rPr>
        <w:t>С</w:t>
      </w:r>
      <w:r>
        <w:rPr>
          <w:color w:themeColor="text1" w:val="000000"/>
        </w:rPr>
        <w:t xml:space="preserve"> / </w:t>
      </w:r>
      <w:r>
        <w:rPr>
          <w:color w:themeColor="text1" w:val="000000"/>
        </w:rPr>
        <w:t>К</w:t>
      </w:r>
      <w:r>
        <w:rPr>
          <w:color w:themeColor="text1" w:val="000000"/>
        </w:rPr>
        <w:t xml:space="preserve"> = 233 456,88 / 289 780 = 0,81</w:t>
      </w:r>
    </w:p>
    <w:p w14:paraId="AB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Поскольку Е = 0,81 превышает Ен = 0,15, проект признаётся экономически эффективным.</w:t>
      </w:r>
    </w:p>
    <w:p w14:paraId="AC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Дополнительная экономия на расходных материалах.</w:t>
      </w:r>
    </w:p>
    <w:p w14:paraId="AD050000">
      <w:pPr>
        <w:spacing w:after="0"/>
        <w:ind/>
        <w:jc w:val="right"/>
        <w:rPr>
          <w:b w:val="1"/>
        </w:rPr>
      </w:pPr>
      <w:r>
        <w:rPr>
          <w:b w:val="1"/>
        </w:rPr>
        <w:t>Таблица</w:t>
      </w:r>
      <w:r>
        <w:rPr>
          <w:b w:val="1"/>
        </w:rPr>
        <w:t xml:space="preserve"> </w:t>
      </w:r>
      <w:r>
        <w:rPr>
          <w:b w:val="1"/>
        </w:rPr>
        <w:t>28</w:t>
      </w:r>
    </w:p>
    <w:p w14:paraId="AE050000">
      <w:pPr>
        <w:spacing w:after="0"/>
        <w:ind/>
        <w:jc w:val="center"/>
        <w:rPr>
          <w:b w:val="1"/>
        </w:rPr>
      </w:pPr>
      <w:r>
        <w:rPr>
          <w:b w:val="1"/>
        </w:rPr>
        <w:t>Экономия на расходных материалах</w:t>
      </w:r>
    </w:p>
    <w:tbl>
      <w:tblPr>
        <w:tblStyle w:val="Style_15"/>
        <w:tblLayout w:type="fixed"/>
      </w:tblPr>
      <w:tblGrid>
        <w:gridCol w:w="872"/>
        <w:gridCol w:w="2982"/>
        <w:gridCol w:w="1928"/>
        <w:gridCol w:w="1928"/>
        <w:gridCol w:w="1928"/>
      </w:tblGrid>
      <w:tr>
        <w:tc>
          <w:tcPr>
            <w:tcW w:type="dxa" w:w="872"/>
          </w:tcPr>
          <w:p w14:paraId="AF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</w:tc>
        <w:tc>
          <w:tcPr>
            <w:tcW w:type="dxa" w:w="2982"/>
          </w:tcPr>
          <w:p w14:paraId="B0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Статья расходов</w:t>
            </w:r>
          </w:p>
        </w:tc>
        <w:tc>
          <w:tcPr>
            <w:tcW w:type="dxa" w:w="1928"/>
          </w:tcPr>
          <w:p w14:paraId="B1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До внедрения, руб./год</w:t>
            </w:r>
          </w:p>
        </w:tc>
        <w:tc>
          <w:tcPr>
            <w:tcW w:type="dxa" w:w="1928"/>
          </w:tcPr>
          <w:p w14:paraId="B2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После внедрения, руб./год</w:t>
            </w:r>
          </w:p>
        </w:tc>
        <w:tc>
          <w:tcPr>
            <w:tcW w:type="dxa" w:w="1928"/>
          </w:tcPr>
          <w:p w14:paraId="B3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Экономия, руб./год</w:t>
            </w:r>
          </w:p>
        </w:tc>
      </w:tr>
      <w:tr>
        <w:tc>
          <w:tcPr>
            <w:tcW w:type="dxa" w:w="872"/>
          </w:tcPr>
          <w:p w14:paraId="B4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2982"/>
          </w:tcPr>
          <w:p w14:paraId="B5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Бумага (формат А4)</w:t>
            </w:r>
          </w:p>
        </w:tc>
        <w:tc>
          <w:tcPr>
            <w:tcW w:type="dxa" w:w="1928"/>
          </w:tcPr>
          <w:p w14:paraId="B6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18 000</w:t>
            </w:r>
          </w:p>
        </w:tc>
        <w:tc>
          <w:tcPr>
            <w:tcW w:type="dxa" w:w="1928"/>
          </w:tcPr>
          <w:p w14:paraId="B7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5 400</w:t>
            </w:r>
          </w:p>
        </w:tc>
        <w:tc>
          <w:tcPr>
            <w:tcW w:type="dxa" w:w="1928"/>
          </w:tcPr>
          <w:p w14:paraId="B8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12 600</w:t>
            </w:r>
          </w:p>
        </w:tc>
      </w:tr>
      <w:tr>
        <w:tc>
          <w:tcPr>
            <w:tcW w:type="dxa" w:w="872"/>
          </w:tcPr>
          <w:p w14:paraId="B9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2982"/>
          </w:tcPr>
          <w:p w14:paraId="BA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Картриджи для принтера</w:t>
            </w:r>
          </w:p>
        </w:tc>
        <w:tc>
          <w:tcPr>
            <w:tcW w:type="dxa" w:w="1928"/>
          </w:tcPr>
          <w:p w14:paraId="BB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24 000</w:t>
            </w:r>
          </w:p>
        </w:tc>
        <w:tc>
          <w:tcPr>
            <w:tcW w:type="dxa" w:w="1928"/>
          </w:tcPr>
          <w:p w14:paraId="BC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9 600</w:t>
            </w:r>
          </w:p>
        </w:tc>
        <w:tc>
          <w:tcPr>
            <w:tcW w:type="dxa" w:w="1928"/>
          </w:tcPr>
          <w:p w14:paraId="BD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14 400</w:t>
            </w:r>
          </w:p>
        </w:tc>
      </w:tr>
      <w:tr>
        <w:tc>
          <w:tcPr>
            <w:tcW w:type="dxa" w:w="872"/>
          </w:tcPr>
          <w:p w14:paraId="BE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2982"/>
          </w:tcPr>
          <w:p w14:paraId="BF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Почтовые расходы</w:t>
            </w:r>
          </w:p>
        </w:tc>
        <w:tc>
          <w:tcPr>
            <w:tcW w:type="dxa" w:w="1928"/>
          </w:tcPr>
          <w:p w14:paraId="C0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8 400</w:t>
            </w:r>
          </w:p>
        </w:tc>
        <w:tc>
          <w:tcPr>
            <w:tcW w:type="dxa" w:w="1928"/>
          </w:tcPr>
          <w:p w14:paraId="C1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2 100</w:t>
            </w:r>
          </w:p>
        </w:tc>
        <w:tc>
          <w:tcPr>
            <w:tcW w:type="dxa" w:w="1928"/>
          </w:tcPr>
          <w:p w14:paraId="C2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6 300</w:t>
            </w:r>
          </w:p>
        </w:tc>
      </w:tr>
      <w:tr>
        <w:tc>
          <w:tcPr>
            <w:tcW w:type="dxa" w:w="872"/>
          </w:tcPr>
          <w:p w14:paraId="C3050000">
            <w:pPr>
              <w:ind/>
              <w:jc w:val="both"/>
              <w:rPr>
                <w:sz w:val="24"/>
              </w:rPr>
            </w:pPr>
          </w:p>
        </w:tc>
        <w:tc>
          <w:tcPr>
            <w:tcW w:type="dxa" w:w="2982"/>
          </w:tcPr>
          <w:p w14:paraId="C4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type="dxa" w:w="1928"/>
          </w:tcPr>
          <w:p w14:paraId="C5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50 400</w:t>
            </w:r>
          </w:p>
        </w:tc>
        <w:tc>
          <w:tcPr>
            <w:tcW w:type="dxa" w:w="1928"/>
          </w:tcPr>
          <w:p w14:paraId="C6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17 100</w:t>
            </w:r>
          </w:p>
        </w:tc>
        <w:tc>
          <w:tcPr>
            <w:tcW w:type="dxa" w:w="1928"/>
          </w:tcPr>
          <w:p w14:paraId="C7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33 300</w:t>
            </w:r>
          </w:p>
        </w:tc>
      </w:tr>
    </w:tbl>
    <w:p w14:paraId="C8050000">
      <w:pPr>
        <w:spacing w:after="0" w:line="360" w:lineRule="auto"/>
        <w:ind w:firstLine="851" w:left="0"/>
        <w:jc w:val="both"/>
        <w:rPr>
          <w:color w:themeColor="text1" w:val="000000"/>
        </w:rPr>
      </w:pPr>
    </w:p>
    <w:p w14:paraId="C9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Экономия на расходных материалах наглядно отражена на диаграмме 35.</w:t>
      </w:r>
    </w:p>
    <w:p w14:paraId="CA050000">
      <w:pPr>
        <w:spacing w:after="200" w:line="360" w:lineRule="auto"/>
        <w:ind/>
        <w:jc w:val="center"/>
      </w:pPr>
      <w:r>
        <w:drawing>
          <wp:inline>
            <wp:extent cx="4672734" cy="2833255"/>
            <wp:effectExtent b="0" l="0" r="0" t="0"/>
            <wp:docPr hidden="false" id="78" name="Picture 78"/>
            <a:graphic>
              <a:graphicData uri="http://schemas.openxmlformats.org/drawingml/2006/picture">
                <pic:pic>
                  <pic:nvPicPr>
                    <pic:cNvPr hidden="false" id="77" name="Picture 77"/>
                    <pic:cNvPicPr preferRelativeResize="true"/>
                  </pic:nvPicPr>
                  <pic:blipFill>
                    <a:blip r:embed="rId42"/>
                    <a:stretch/>
                  </pic:blipFill>
                  <pic:spPr>
                    <a:xfrm flipH="false" flipV="false" rot="0">
                      <a:ext cx="4672734" cy="283325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CB050000">
      <w:pPr>
        <w:spacing w:after="0"/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 xml:space="preserve">Рисунок 35. Сравнение расходов на материалы до и после внедрения СЭД </w:t>
      </w:r>
    </w:p>
    <w:p w14:paraId="CC050000">
      <w:pPr>
        <w:spacing w:after="0" w:line="360" w:lineRule="auto"/>
        <w:ind w:firstLine="851" w:left="0"/>
        <w:jc w:val="both"/>
        <w:rPr>
          <w:color w:themeColor="text1" w:val="000000"/>
        </w:rPr>
      </w:pPr>
    </w:p>
    <w:p w14:paraId="CD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Суммарная экономия на бумаге, картриджах и почтовых расходах достигает 33 300 руб./год и дополняет экономию на трудозатратах.</w:t>
      </w:r>
    </w:p>
    <w:p w14:paraId="CE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С учётом экономии на расходных материалах совокупная годовая экономия составит:</w:t>
      </w:r>
    </w:p>
    <w:p w14:paraId="CF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Δ</w:t>
      </w:r>
      <w:r>
        <w:rPr>
          <w:color w:themeColor="text1" w:val="000000"/>
        </w:rPr>
        <w:t>С</w:t>
      </w:r>
      <w:r>
        <w:rPr>
          <w:color w:themeColor="text1" w:val="000000"/>
        </w:rPr>
        <w:t>общ = 233 456,88 + 33 300 = 266 756,88 руб.</w:t>
      </w:r>
    </w:p>
    <w:p w14:paraId="D0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Уточнённый срок окупаемости: Ток = 289 780 / 266 756,88 = 1,09 года ≈ 1 год 1 месяц.</w:t>
      </w:r>
    </w:p>
    <w:p w14:paraId="D1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Сводные показатели экономической эффективности приведены в таблице 29.</w:t>
      </w:r>
    </w:p>
    <w:p w14:paraId="D2050000">
      <w:pPr>
        <w:spacing w:after="0"/>
        <w:ind/>
        <w:jc w:val="right"/>
        <w:rPr>
          <w:b w:val="1"/>
        </w:rPr>
      </w:pPr>
      <w:r>
        <w:rPr>
          <w:b w:val="1"/>
        </w:rPr>
        <w:t>Таблица 29</w:t>
      </w:r>
    </w:p>
    <w:p w14:paraId="D3050000">
      <w:pPr>
        <w:spacing w:after="0"/>
        <w:ind/>
        <w:jc w:val="center"/>
        <w:rPr>
          <w:b w:val="1"/>
        </w:rPr>
      </w:pPr>
      <w:r>
        <w:rPr>
          <w:b w:val="1"/>
        </w:rPr>
        <w:t>Сводные показатели экономической эффективности проекта</w:t>
      </w:r>
    </w:p>
    <w:tbl>
      <w:tblPr>
        <w:tblStyle w:val="Style_15"/>
        <w:tblLayout w:type="fixed"/>
      </w:tblPr>
      <w:tblGrid>
        <w:gridCol w:w="945"/>
        <w:gridCol w:w="5482"/>
        <w:gridCol w:w="3211"/>
      </w:tblGrid>
      <w:tr>
        <w:tc>
          <w:tcPr>
            <w:tcW w:type="dxa" w:w="945"/>
          </w:tcPr>
          <w:p w14:paraId="D4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</w:tc>
        <w:tc>
          <w:tcPr>
            <w:tcW w:type="dxa" w:w="5482"/>
          </w:tcPr>
          <w:p w14:paraId="D5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Показатель</w:t>
            </w:r>
          </w:p>
        </w:tc>
        <w:tc>
          <w:tcPr>
            <w:tcW w:type="dxa" w:w="3211"/>
          </w:tcPr>
          <w:p w14:paraId="D605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Значение</w:t>
            </w:r>
          </w:p>
        </w:tc>
      </w:tr>
      <w:tr>
        <w:tc>
          <w:tcPr>
            <w:tcW w:type="dxa" w:w="945"/>
          </w:tcPr>
          <w:p w14:paraId="D7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5482"/>
          </w:tcPr>
          <w:p w14:paraId="D8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Годовые трудозатраты до автоматизации</w:t>
            </w:r>
          </w:p>
        </w:tc>
        <w:tc>
          <w:tcPr>
            <w:tcW w:type="dxa" w:w="3211"/>
          </w:tcPr>
          <w:p w14:paraId="D9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1 155,6 час.</w:t>
            </w:r>
          </w:p>
        </w:tc>
      </w:tr>
      <w:tr>
        <w:tc>
          <w:tcPr>
            <w:tcW w:type="dxa" w:w="945"/>
          </w:tcPr>
          <w:p w14:paraId="DA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5482"/>
          </w:tcPr>
          <w:p w14:paraId="DB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Годовые трудозатраты после автоматизации</w:t>
            </w:r>
          </w:p>
        </w:tc>
        <w:tc>
          <w:tcPr>
            <w:tcW w:type="dxa" w:w="3211"/>
          </w:tcPr>
          <w:p w14:paraId="DC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299,6 час.</w:t>
            </w:r>
          </w:p>
        </w:tc>
      </w:tr>
      <w:tr>
        <w:tc>
          <w:tcPr>
            <w:tcW w:type="dxa" w:w="945"/>
          </w:tcPr>
          <w:p w14:paraId="DD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5482"/>
          </w:tcPr>
          <w:p w14:paraId="DE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Экономия трудозатрат</w:t>
            </w:r>
          </w:p>
        </w:tc>
        <w:tc>
          <w:tcPr>
            <w:tcW w:type="dxa" w:w="3211"/>
          </w:tcPr>
          <w:p w14:paraId="DF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856,0 час. (74,1%)</w:t>
            </w:r>
          </w:p>
        </w:tc>
      </w:tr>
      <w:tr>
        <w:tc>
          <w:tcPr>
            <w:tcW w:type="dxa" w:w="945"/>
          </w:tcPr>
          <w:p w14:paraId="E0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5482"/>
          </w:tcPr>
          <w:p w14:paraId="E1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Годовая экономия на трудозатратах</w:t>
            </w:r>
          </w:p>
        </w:tc>
        <w:tc>
          <w:tcPr>
            <w:tcW w:type="dxa" w:w="3211"/>
          </w:tcPr>
          <w:p w14:paraId="E2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233 456,88 руб.</w:t>
            </w:r>
          </w:p>
        </w:tc>
      </w:tr>
      <w:tr>
        <w:tc>
          <w:tcPr>
            <w:tcW w:type="dxa" w:w="945"/>
          </w:tcPr>
          <w:p w14:paraId="E3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5482"/>
          </w:tcPr>
          <w:p w14:paraId="E4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Годовая экономия на расходных материалах</w:t>
            </w:r>
          </w:p>
        </w:tc>
        <w:tc>
          <w:tcPr>
            <w:tcW w:type="dxa" w:w="3211"/>
          </w:tcPr>
          <w:p w14:paraId="E5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33 300,00 руб.</w:t>
            </w:r>
          </w:p>
        </w:tc>
      </w:tr>
      <w:tr>
        <w:tc>
          <w:tcPr>
            <w:tcW w:type="dxa" w:w="945"/>
          </w:tcPr>
          <w:p w14:paraId="E6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5482"/>
          </w:tcPr>
          <w:p w14:paraId="E7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Совокупная годовая экономия</w:t>
            </w:r>
          </w:p>
        </w:tc>
        <w:tc>
          <w:tcPr>
            <w:tcW w:type="dxa" w:w="3211"/>
          </w:tcPr>
          <w:p w14:paraId="E8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266 756,88 руб.</w:t>
            </w:r>
          </w:p>
        </w:tc>
      </w:tr>
      <w:tr>
        <w:tc>
          <w:tcPr>
            <w:tcW w:type="dxa" w:w="945"/>
          </w:tcPr>
          <w:p w14:paraId="E9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5482"/>
          </w:tcPr>
          <w:p w14:paraId="EA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Единовременные затраты</w:t>
            </w:r>
          </w:p>
        </w:tc>
        <w:tc>
          <w:tcPr>
            <w:tcW w:type="dxa" w:w="3211"/>
          </w:tcPr>
          <w:p w14:paraId="EB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289 780,00 руб.</w:t>
            </w:r>
          </w:p>
        </w:tc>
      </w:tr>
      <w:tr>
        <w:tc>
          <w:tcPr>
            <w:tcW w:type="dxa" w:w="945"/>
          </w:tcPr>
          <w:p w14:paraId="EC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5482"/>
          </w:tcPr>
          <w:p w14:paraId="ED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Годовой экономический эффект</w:t>
            </w:r>
          </w:p>
        </w:tc>
        <w:tc>
          <w:tcPr>
            <w:tcW w:type="dxa" w:w="3211"/>
          </w:tcPr>
          <w:p w14:paraId="EE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189 989,88 руб.</w:t>
            </w:r>
          </w:p>
        </w:tc>
      </w:tr>
      <w:tr>
        <w:tc>
          <w:tcPr>
            <w:tcW w:type="dxa" w:w="945"/>
          </w:tcPr>
          <w:p w14:paraId="EF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type="dxa" w:w="5482"/>
          </w:tcPr>
          <w:p w14:paraId="F0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Коэффициент эффективности (Е)</w:t>
            </w:r>
          </w:p>
        </w:tc>
        <w:tc>
          <w:tcPr>
            <w:tcW w:type="dxa" w:w="3211"/>
          </w:tcPr>
          <w:p w14:paraId="F1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0,81</w:t>
            </w:r>
          </w:p>
        </w:tc>
      </w:tr>
      <w:tr>
        <w:tc>
          <w:tcPr>
            <w:tcW w:type="dxa" w:w="945"/>
          </w:tcPr>
          <w:p w14:paraId="F2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5482"/>
          </w:tcPr>
          <w:p w14:paraId="F3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Срок окупаемости</w:t>
            </w:r>
          </w:p>
        </w:tc>
        <w:tc>
          <w:tcPr>
            <w:tcW w:type="dxa" w:w="3211"/>
          </w:tcPr>
          <w:p w14:paraId="F405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1,09 года</w:t>
            </w:r>
          </w:p>
        </w:tc>
      </w:tr>
    </w:tbl>
    <w:p w14:paraId="F5050000">
      <w:pPr>
        <w:spacing w:after="200" w:line="360" w:lineRule="auto"/>
        <w:ind w:firstLine="709" w:left="0"/>
        <w:jc w:val="both"/>
      </w:pPr>
    </w:p>
    <w:p w14:paraId="F6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Динамика окупаемости проекта показана на графике 36.</w:t>
      </w:r>
    </w:p>
    <w:p w14:paraId="F7050000">
      <w:pPr>
        <w:spacing w:after="200" w:line="360" w:lineRule="auto"/>
        <w:ind/>
        <w:jc w:val="center"/>
      </w:pPr>
      <w:r>
        <w:drawing>
          <wp:inline>
            <wp:extent cx="4472940" cy="2438400"/>
            <wp:effectExtent b="0" l="0" r="0" t="0"/>
            <wp:docPr hidden="false" id="80" name="Picture 80"/>
            <a:graphic>
              <a:graphicData uri="http://schemas.openxmlformats.org/drawingml/2006/picture">
                <pic:pic>
                  <pic:nvPicPr>
                    <pic:cNvPr hidden="false" id="79" name="Picture 79"/>
                    <pic:cNvPicPr preferRelativeResize="true"/>
                  </pic:nvPicPr>
                  <pic:blipFill>
                    <a:blip r:embed="rId43"/>
                    <a:stretch/>
                  </pic:blipFill>
                  <pic:spPr>
                    <a:xfrm flipH="false" flipV="false" rot="0">
                      <a:ext cx="4472940" cy="24384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8050000">
      <w:pPr>
        <w:spacing w:after="0"/>
        <w:ind/>
        <w:jc w:val="center"/>
        <w:rPr>
          <w:b w:val="1"/>
          <w:color w:val="000000"/>
          <w:spacing w:val="-3"/>
        </w:rPr>
      </w:pPr>
      <w:r>
        <w:rPr>
          <w:b w:val="1"/>
          <w:color w:val="000000"/>
          <w:spacing w:val="-3"/>
        </w:rPr>
        <w:t xml:space="preserve">Рисунок 36. Динамика окупаемости проекта внедрения </w:t>
      </w:r>
    </w:p>
    <w:p w14:paraId="F9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Накопленная экономия превышает единовременные затраты (289 780 руб.) уже на 13-м месяце, что соответствует расчётному сроку окупаемости 1 год 1 месяц.</w:t>
      </w:r>
    </w:p>
    <w:p w14:paraId="FA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Таким образом, внедрение системы автоматизации экономически оправдано. Она обеспечивает сокращение трудозатрат на обработку документов на 74,1 %, даёт годовую экономию в размере 266 756,88 руб. и окупается за 1 год 1 месяц. Коэффициент экономической эффективности (0,81) заметно превышает нормативное значение (0,15), что подтверждает целесообразность реализации проекта.</w:t>
      </w:r>
    </w:p>
    <w:p w14:paraId="FB050000">
      <w:pPr>
        <w:spacing w:after="0" w:line="360" w:lineRule="auto"/>
        <w:ind w:firstLine="851" w:left="0"/>
        <w:jc w:val="both"/>
        <w:rPr>
          <w:color w:themeColor="text1" w:val="000000"/>
        </w:rPr>
      </w:pPr>
    </w:p>
    <w:p w14:paraId="FC050000">
      <w:bookmarkStart w:id="87" w:name="__RefHeading___64"/>
      <w:bookmarkEnd w:id="87"/>
      <w:pPr>
        <w:keepNext w:val="1"/>
        <w:keepLines w:val="1"/>
        <w:spacing w:after="0"/>
        <w:ind/>
        <w:jc w:val="center"/>
        <w:outlineLvl w:val="1"/>
        <w:rPr>
          <w:b w:val="1"/>
        </w:rPr>
      </w:pPr>
      <w:r>
        <w:rPr>
          <w:b w:val="1"/>
        </w:rPr>
        <w:t>Выводы по главе 3</w:t>
      </w:r>
    </w:p>
    <w:p w14:paraId="FD050000">
      <w:pPr>
        <w:spacing w:after="0" w:line="360" w:lineRule="auto"/>
        <w:ind w:firstLine="851" w:left="0"/>
        <w:jc w:val="both"/>
        <w:rPr>
          <w:color w:val="000000"/>
        </w:rPr>
      </w:pPr>
    </w:p>
    <w:p w14:paraId="FE050000">
      <w:pPr>
        <w:spacing w:after="0" w:line="360" w:lineRule="auto"/>
        <w:ind w:firstLine="851" w:left="0"/>
        <w:jc w:val="both"/>
        <w:rPr>
          <w:color w:themeColor="text1" w:val="000000"/>
        </w:rPr>
      </w:pPr>
      <w:bookmarkStart w:id="88" w:name="_Hlk225073884"/>
      <w:r>
        <w:rPr>
          <w:color w:themeColor="text1" w:val="000000"/>
        </w:rPr>
        <w:t>В заключительной главе проведён анализ экономической целесообразности создания программного обеспечения.</w:t>
      </w:r>
    </w:p>
    <w:p w14:paraId="FF05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Оценка финансовых потоков и возможных выгод представляет собой важнейший инструмент анализа ИТ-проектов как объекта инвестиций, позволяющий определить их действительную ценность. Расчёт показателей финансовой эффективности показал, что проект окупается чуть более чем за год, что свидетельствует о его высокой эффективности.</w:t>
      </w:r>
      <w:bookmarkEnd w:id="88"/>
    </w:p>
    <w:p w14:paraId="00060000">
      <w:bookmarkStart w:id="89" w:name="__RefHeading___65"/>
      <w:bookmarkEnd w:id="89"/>
      <w:pPr>
        <w:keepNext w:val="1"/>
        <w:keepLines w:val="1"/>
        <w:pageBreakBefore w:val="1"/>
        <w:spacing w:after="0"/>
        <w:ind/>
        <w:jc w:val="center"/>
        <w:outlineLvl w:val="0"/>
        <w:rPr>
          <w:rFonts w:ascii="Times New Roman Полужирный" w:hAnsi="Times New Roman Полужирный"/>
          <w:b w:val="1"/>
          <w:caps w:val="1"/>
          <w:sz w:val="32"/>
        </w:rPr>
      </w:pPr>
      <w:r>
        <w:rPr>
          <w:rFonts w:ascii="Times New Roman Полужирный" w:hAnsi="Times New Roman Полужирный"/>
          <w:b w:val="1"/>
          <w:caps w:val="1"/>
          <w:sz w:val="32"/>
        </w:rPr>
        <w:t>ЗАКЛЮЧЕНИЕ</w:t>
      </w:r>
    </w:p>
    <w:p w14:paraId="01060000">
      <w:pPr>
        <w:spacing w:after="0" w:line="360" w:lineRule="auto"/>
        <w:ind w:firstLine="851" w:left="0"/>
        <w:jc w:val="both"/>
        <w:rPr>
          <w:color w:val="000000"/>
        </w:rPr>
      </w:pPr>
    </w:p>
    <w:p w14:paraId="0206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Обращение к автоматизации делопроизводства для рассматриваемого учреждения не случайно: оно обусловлено характером его работы в социальной сфере и значительным объёмом обрабатываемой документации.</w:t>
      </w:r>
    </w:p>
    <w:p w14:paraId="0306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t xml:space="preserve">ЦМД «Савёловский» активно работает над обеспечением достойных условий жизни для социально незащищённой категории граждан </w:t>
      </w:r>
      <w:r>
        <w:t>–</w:t>
      </w:r>
      <w:r>
        <w:t xml:space="preserve"> людей старшего возраста, </w:t>
      </w:r>
      <w:r>
        <w:t>–</w:t>
      </w:r>
      <w:r>
        <w:t xml:space="preserve"> в связи с чем здесь наблюдается заметное движение документов: входящих, исходящих и внутренних, фиксирующих и упорядочивающих совершаемые юридические действия.</w:t>
      </w:r>
    </w:p>
    <w:p w14:paraId="04060000">
      <w:pPr>
        <w:spacing w:after="0" w:line="360" w:lineRule="auto"/>
        <w:ind w:firstLine="851" w:left="0"/>
        <w:jc w:val="both"/>
        <w:rPr>
          <w:color w:themeColor="text1" w:val="000000"/>
        </w:rPr>
      </w:pPr>
      <w:bookmarkStart w:id="90" w:name="_Hlk217396701"/>
      <w:r>
        <w:rPr>
          <w:color w:themeColor="text1" w:val="000000"/>
        </w:rPr>
        <w:t>Одним из ключевых направлений совершенствования и оптимизации деятельности является информатизация. Развёртывание нового информационного ресурса, встраивающего информационные технологии в повседневные процедуры, упорядочивает работу с документооборотом.</w:t>
      </w:r>
    </w:p>
    <w:p w14:paraId="0506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Освобождая делопроизводителя от рутинных операций, система даёт возможность выполнять должностные обязанности качественнее и с большей инициативой. Экономия временных, материальных и финансовых ресурсов, в свою очередь, повышает общую эффективность работы учреждения.</w:t>
      </w:r>
    </w:p>
    <w:p w14:paraId="0606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 xml:space="preserve">Информационный ресурс упорядочивает организационный и административно-учётный контроль, обеспечивает оперативное получение отчётности </w:t>
      </w:r>
      <w:r>
        <w:rPr>
          <w:color w:themeColor="text1" w:val="000000"/>
        </w:rPr>
        <w:t>–</w:t>
      </w:r>
      <w:r>
        <w:rPr>
          <w:color w:themeColor="text1" w:val="000000"/>
        </w:rPr>
        <w:t xml:space="preserve"> как общей, так и по отдельным направлениям </w:t>
      </w:r>
      <w:r>
        <w:rPr>
          <w:color w:themeColor="text1" w:val="000000"/>
        </w:rPr>
        <w:t>–</w:t>
      </w:r>
      <w:r>
        <w:rPr>
          <w:color w:themeColor="text1" w:val="000000"/>
        </w:rPr>
        <w:t xml:space="preserve"> и должен стать неотъемлемой частью тактического и стратегического планирования, поддерживая постоянный рост операционной эффективности.</w:t>
      </w:r>
    </w:p>
    <w:p w14:paraId="0706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Устранение существующих недостатков достигается за счёт автоматизации операций создания, хранения, поиска, изменения, пересылки, обработки и согласования документов.</w:t>
      </w:r>
    </w:p>
    <w:p w14:paraId="0806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Таким образом, в работе разработана автоматизированная информационная система контроля исполнения документов ЦМД «Савёловский».</w:t>
      </w:r>
      <w:bookmarkEnd w:id="90"/>
    </w:p>
    <w:p w14:paraId="0906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В ходе проекта изучена деятельность ЦМД «Савёловский» и его подразделений, а также выделены бизнес-процессы, требующие первоочередной автоматизации.</w:t>
      </w:r>
    </w:p>
    <w:p w14:paraId="0A06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В соответствии с поставленной целью решены задачи, обозначенные во введении:</w:t>
      </w:r>
    </w:p>
    <w:p w14:paraId="0B060000">
      <w:pPr>
        <w:numPr>
          <w:ilvl w:val="0"/>
          <w:numId w:val="9"/>
        </w:numPr>
        <w:spacing w:after="0" w:line="360" w:lineRule="auto"/>
        <w:ind w:hanging="283" w:left="1134"/>
        <w:contextualSpacing w:val="1"/>
      </w:pPr>
      <w:r>
        <w:t>– проанализированы особенности работы учреждения;</w:t>
      </w:r>
    </w:p>
    <w:p w14:paraId="0C060000">
      <w:pPr>
        <w:numPr>
          <w:ilvl w:val="0"/>
          <w:numId w:val="9"/>
        </w:numPr>
        <w:spacing w:after="0" w:line="360" w:lineRule="auto"/>
        <w:ind w:hanging="283" w:left="1134"/>
        <w:contextualSpacing w:val="1"/>
      </w:pPr>
      <w:r>
        <w:t>– обоснована необходимость разработки проекта автоматизации;</w:t>
      </w:r>
    </w:p>
    <w:p w14:paraId="0D060000">
      <w:pPr>
        <w:numPr>
          <w:ilvl w:val="0"/>
          <w:numId w:val="9"/>
        </w:numPr>
        <w:spacing w:after="0" w:line="360" w:lineRule="auto"/>
        <w:ind w:hanging="283" w:left="1134"/>
        <w:contextualSpacing w:val="1"/>
      </w:pPr>
      <w:r>
        <w:t>– выполнено проектирование информационной системы;</w:t>
      </w:r>
    </w:p>
    <w:p w14:paraId="0E060000">
      <w:pPr>
        <w:numPr>
          <w:ilvl w:val="0"/>
          <w:numId w:val="9"/>
        </w:numPr>
        <w:spacing w:after="0" w:line="360" w:lineRule="auto"/>
        <w:ind w:hanging="283" w:left="1134"/>
        <w:contextualSpacing w:val="1"/>
      </w:pPr>
      <w:r>
        <w:t>– рассмотрена реализация проекта;</w:t>
      </w:r>
    </w:p>
    <w:p w14:paraId="0F060000">
      <w:pPr>
        <w:numPr>
          <w:ilvl w:val="0"/>
          <w:numId w:val="9"/>
        </w:numPr>
        <w:spacing w:after="0" w:line="360" w:lineRule="auto"/>
        <w:ind w:hanging="283" w:left="1134"/>
        <w:contextualSpacing w:val="1"/>
      </w:pPr>
      <w:r>
        <w:t>– проведены расчёты, подтверждающие эффективность нового информационного ресурса.</w:t>
      </w:r>
    </w:p>
    <w:p w14:paraId="1006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В последней главе выбрана методика расчёта экономической эффективности и обоснована сама эффективность, в результате чего рассчитан ожидаемый эффект от внедрения системы управления документооборотом.</w:t>
      </w:r>
    </w:p>
    <w:p w14:paraId="1106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Следует подчеркнуть, что информатизация остаётся одним из главных рычагов оптимизации деятельности: интеграция информационных технологий в рабочие процессы делает документооборот более упорядоченным и прозрачным.</w:t>
      </w:r>
    </w:p>
    <w:p w14:paraId="1206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Избавление специалиста от однообразных операций высвобождает время для более содержательной и творческой работы, а сокращение затрат ресурсов положительно сказывается на результативности учреждения в целом.</w:t>
      </w:r>
    </w:p>
    <w:p w14:paraId="1306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Наконец, информационный ресурс усиливает организационный и учётный контроль, ускоряет подготовку отчётности по различным направлениям и служит опорой для тактического и стратегического планирования, обеспечивая устойчивый рост операционной эффективности.</w:t>
      </w:r>
    </w:p>
    <w:p w14:paraId="14060000">
      <w:pPr>
        <w:spacing w:after="0" w:line="360" w:lineRule="auto"/>
        <w:ind w:firstLine="851" w:left="0"/>
        <w:jc w:val="both"/>
        <w:rPr>
          <w:color w:themeColor="text1" w:val="000000"/>
        </w:rPr>
      </w:pPr>
      <w:r>
        <w:rPr>
          <w:color w:themeColor="text1" w:val="000000"/>
        </w:rPr>
        <w:t>Тем самым обозначенные недостатки устраняются за счёт автоматизации создания, хранения, поиска, изменения, пересылки, обработки и согласования документов.</w:t>
      </w:r>
    </w:p>
    <w:p w14:paraId="15060000">
      <w:pPr>
        <w:spacing w:after="0" w:line="360" w:lineRule="auto"/>
        <w:ind w:firstLine="851" w:left="0"/>
        <w:jc w:val="both"/>
        <w:rPr>
          <w:b w:val="1"/>
          <w:color w:themeColor="text1" w:val="000000"/>
          <w:sz w:val="24"/>
        </w:rPr>
      </w:pPr>
    </w:p>
    <w:p w14:paraId="16060000">
      <w:bookmarkStart w:id="91" w:name="__RefHeading___66"/>
      <w:bookmarkEnd w:id="91"/>
      <w:pPr>
        <w:keepNext w:val="1"/>
        <w:keepLines w:val="1"/>
        <w:pageBreakBefore w:val="1"/>
        <w:spacing w:after="0"/>
        <w:ind/>
        <w:jc w:val="center"/>
        <w:outlineLvl w:val="0"/>
        <w:rPr>
          <w:rFonts w:asciiTheme="minorAscii" w:hAnsiTheme="minorHAnsi"/>
          <w:b w:val="1"/>
          <w:caps w:val="1"/>
          <w:sz w:val="32"/>
        </w:rPr>
      </w:pPr>
      <w:r>
        <w:rPr>
          <w:rFonts w:ascii="Times New Roman Полужирный" w:hAnsi="Times New Roman Полужирный"/>
          <w:b w:val="1"/>
          <w:caps w:val="1"/>
          <w:sz w:val="32"/>
        </w:rPr>
        <w:t>СПИСОК ИСПОЛЬЗОВАННОЙ ЛИТЕРАТУРЫ</w:t>
      </w:r>
    </w:p>
    <w:p w14:paraId="17060000"/>
    <w:p w14:paraId="18060000">
      <w:pPr>
        <w:widowControl w:val="0"/>
        <w:numPr>
          <w:ilvl w:val="0"/>
          <w:numId w:val="10"/>
        </w:numPr>
        <w:tabs>
          <w:tab w:leader="none" w:pos="426" w:val="left"/>
          <w:tab w:leader="none" w:pos="1918" w:val="left"/>
          <w:tab w:leader="none" w:pos="8789" w:val="left"/>
        </w:tabs>
        <w:spacing w:after="0" w:line="360" w:lineRule="auto"/>
        <w:ind w:hanging="709" w:left="709"/>
        <w:contextualSpacing w:val="1"/>
        <w:jc w:val="both"/>
      </w:pPr>
      <w:bookmarkStart w:id="92" w:name="_Hlk188896645"/>
      <w:r>
        <w:t xml:space="preserve">Российская Федерация. </w:t>
      </w:r>
      <w:bookmarkEnd w:id="92"/>
      <w:r>
        <w:t xml:space="preserve">Федеральный закон Об информации, информационных технологиях и о защите информации: от 27 июля 2021 г. N 149-ФЗ </w:t>
      </w:r>
      <w:bookmarkStart w:id="93" w:name="_Hlk188896722"/>
      <w:r>
        <w:t>[Электронный ресурс] // Правовая справочно-информационная система «Консультант Плюс».</w:t>
      </w:r>
      <w:bookmarkEnd w:id="93"/>
    </w:p>
    <w:p w14:paraId="19060000">
      <w:pPr>
        <w:widowControl w:val="0"/>
        <w:numPr>
          <w:ilvl w:val="0"/>
          <w:numId w:val="10"/>
        </w:numPr>
        <w:tabs>
          <w:tab w:leader="none" w:pos="426" w:val="left"/>
          <w:tab w:leader="none" w:pos="1918" w:val="left"/>
          <w:tab w:leader="none" w:pos="8789" w:val="left"/>
        </w:tabs>
        <w:spacing w:after="0" w:line="360" w:lineRule="auto"/>
        <w:ind w:hanging="709" w:left="709"/>
        <w:contextualSpacing w:val="1"/>
        <w:jc w:val="both"/>
      </w:pPr>
      <w:r>
        <w:t>Российская Федерация. Федеральный закон РФ О персональных данных: от 27 июля 2018 года № 152-ФЗ [Электронный ресурс] // Правовая справочно-информационная система «Консультант Плюс».</w:t>
      </w:r>
    </w:p>
    <w:p w14:paraId="1A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>ГОСТ Р ИСО/МЭК 15408-1-2002. Информационная технология. Методы и средства обеспечения. Критерии оценки безопасности информационных технологий. Ч.1. Введение и общая модель. – М.: Госстандарт России, 2023.</w:t>
      </w:r>
    </w:p>
    <w:p w14:paraId="1B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>Басыня, Е. А. Системное администрирование и информационная безопасность : учебное пособие : [16+] / Е. А. Басыня. – Новосибирск : Новосибирский государственный технический университет, 2022. – 79 с.</w:t>
      </w:r>
    </w:p>
    <w:p w14:paraId="1C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>Бузов Г.Г. Защита информации ограниченного доступа от утечки по техническим каналам. - М.: Горячая Линия – Телеком, 2023. – 594 с. – ISBN 5-16-002009-8</w:t>
      </w:r>
    </w:p>
    <w:p w14:paraId="1D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>Внуков, А. А.  Защита информации в банковских системах : учебное пособие для вузов / А. А. Внуков. – 2-е изд., испр. и доп. – М.: Юрайт, 2025. – 246 с. – ISBN 978-5-534-01679-6</w:t>
      </w:r>
    </w:p>
    <w:p w14:paraId="1E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>Горелов, С. В. Основы научных исследований : учебное пособие / С. В. Горелов, В. П. Горелов, Е. А. Григорьев ; под ред. В. П. Горелова. – М.: Директ-Медиа, 2023. – 534 с. – ISBN 978-5-4475-8350-7</w:t>
      </w:r>
    </w:p>
    <w:p w14:paraId="1F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>Денисова А.А. Основы криптографии. – М.: Юрайт, 2024. – 289 с. – ISBN 978-5-534-09309-4</w:t>
      </w:r>
    </w:p>
    <w:p w14:paraId="20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>Емельянова Н.А., Партыка Т.В., Попов И.А. Защита информации в персональном компьютере. Учебное пособие. - М.: Форум, Инфра-М, 2024. – 368 с. – ISBN 978-5-534-09308-2</w:t>
      </w:r>
    </w:p>
    <w:p w14:paraId="21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>Информационные системы управления производственной компанией : учебник и практикум для вузов / под редакцией Н. Н. Лычкиной. – М.: Издательство Юрайт, 2025. – 249 с. – ISBN 978-5-534-00764-0</w:t>
      </w:r>
    </w:p>
    <w:p w14:paraId="22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  <w:rPr>
          <w:rFonts w:ascii="Calibri" w:hAnsi="Calibri"/>
          <w:sz w:val="22"/>
        </w:rPr>
      </w:pPr>
      <w:r>
        <w:t>Информационные технологии в менеджменте (управлении) : учебник и практикум для среднего профессионального образования / Ю. Д. Романова [и др.] ; под редакцией Ю. Д. Романовой. – 2-е изд., перераб. и доп. – М.: Издательство Юрайт, 2025. – 411 с. – ISBN 978-5-534-13801-6</w:t>
      </w:r>
    </w:p>
    <w:p w14:paraId="23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 xml:space="preserve">Ипатова, Э. Р. Методологии и технологии системного проектирования информационных систем: учебник / Э. Р. Ипатова, Ю. В. Ипатов. – 3-е изд., стер. – Москва : ФЛИНТА, 2023. – 256 с. : табл., схем. – (Информационные технологии). – Режим доступа: по подписке. – URL: https://biblioclub.ru/index.php?page=book&amp;id=79551 (дата обращения: 05.12.2025). – Библиогр.: с. 95-96. – ISBN 978-5-89349-978-0. – Текст : электронный. </w:t>
      </w:r>
    </w:p>
    <w:p w14:paraId="24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 xml:space="preserve">Казарин, О. В.  Надежность и безопасность программного обеспечения: учебное пособие для вузов / О. В. Казарин, И. Б. Шубинский. – Москва : Издательство Юрайт, 2025. – 342 с. – (Высшее образование). – ISBN 978-5-534-05142-1. – Текст: электронный // Образовательная платформа Юрайт [сайт]. – URL: </w:t>
      </w:r>
      <w:r>
        <w:fldChar w:fldCharType="begin"/>
      </w:r>
      <w:r>
        <w:instrText>HYPERLINK "https://urait.ru/bcode/473348"</w:instrText>
      </w:r>
      <w:r>
        <w:fldChar w:fldCharType="separate"/>
      </w:r>
      <w:r>
        <w:t>https://urait.ru/bcode/473348</w:t>
      </w:r>
      <w:r>
        <w:fldChar w:fldCharType="end"/>
      </w:r>
      <w:r>
        <w:t xml:space="preserve"> (дата обращения: 05.09.2025).</w:t>
      </w:r>
    </w:p>
    <w:p w14:paraId="25060000">
      <w:pPr>
        <w:widowControl w:val="0"/>
        <w:numPr>
          <w:ilvl w:val="0"/>
          <w:numId w:val="10"/>
        </w:numPr>
        <w:tabs>
          <w:tab w:leader="none" w:pos="65" w:val="left"/>
          <w:tab w:leader="none" w:pos="426" w:val="left"/>
        </w:tabs>
        <w:spacing w:after="0" w:line="360" w:lineRule="auto"/>
        <w:ind w:hanging="709" w:left="709"/>
        <w:contextualSpacing w:val="1"/>
        <w:jc w:val="both"/>
        <w:rPr>
          <w:sz w:val="22"/>
        </w:rPr>
      </w:pPr>
      <w:r>
        <w:t xml:space="preserve">Куняев Н.Н., Демушкин А.А., Кондрашова Т.В. Конфиденциальное делопроизводство и защищенный электронный документооборот. Учебник. - М.: Логос, 2024. – 500 с. – </w:t>
      </w:r>
      <w:r>
        <w:rPr>
          <w:sz w:val="22"/>
        </w:rPr>
        <w:t xml:space="preserve"> </w:t>
      </w:r>
      <w:r>
        <w:t>ISBN 978-5-534-09308-2</w:t>
      </w:r>
    </w:p>
    <w:p w14:paraId="26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>Мендель, А. В. Модели принятия решений : учебное пособие / А. В. Мендель. – М.: Юнити, 2024. – 463 с. – ISBN 978-5-238-01894-2</w:t>
      </w:r>
    </w:p>
    <w:p w14:paraId="27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>Герасимчук В. А. Автоматизация процессов предприятия // Молодой ученый. 2024 - №5. – С. 654-657.</w:t>
      </w:r>
    </w:p>
    <w:p w14:paraId="28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>Герасимчук В. А. Автоматизация процессов предприятия // Молодой ученый. 2025 - №11. – С. 324-512.</w:t>
      </w:r>
    </w:p>
    <w:p w14:paraId="29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 xml:space="preserve">Милехина, О. В. Информационные системы: теоретические предпосылки к построению: учебное пособие / О. В. Милехина, Е. Я. Захарова, В. А. </w:t>
      </w:r>
      <w:r>
        <w:t>Титова; Новосибирский государственный технический университет. – 2-е изд. – Новосибирск: Новосибирский государственный технический университет, 2023. – 283 с.: схем., табл. – Режим доступа: по подписке. – URL</w:t>
      </w:r>
      <w:r>
        <w:t xml:space="preserve">: </w:t>
      </w:r>
      <w:r>
        <w:fldChar w:fldCharType="begin"/>
      </w:r>
      <w:r>
        <w:instrText>HYPERLINK "https://biblioclub.ru/index.php?page"</w:instrText>
      </w:r>
      <w:r>
        <w:fldChar w:fldCharType="separate"/>
      </w:r>
      <w:r>
        <w:t>https://biblioclub.ru/index.php?page</w:t>
      </w:r>
      <w:r>
        <w:fldChar w:fldCharType="end"/>
      </w:r>
      <w:r>
        <w:t xml:space="preserve"> (дата обращения: 30.12.2025). – Библиогр.: с. 192-194. – ISBN 978-5-7782- 2405-6. –</w:t>
      </w:r>
      <w:r>
        <w:t xml:space="preserve"> Текст: электронный. </w:t>
      </w:r>
    </w:p>
    <w:p w14:paraId="2A060000">
      <w:pPr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>Мишель М. Управление информационными рисками// Финансовый директор − 2025 − № 9, С.64-68.</w:t>
      </w:r>
    </w:p>
    <w:p w14:paraId="2B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  <w:rPr>
          <w:rFonts w:ascii="Calibri" w:hAnsi="Calibri"/>
          <w:sz w:val="22"/>
        </w:rPr>
      </w:pPr>
      <w:r>
        <w:t>Назаров, С. В. Современные операционные системы : учебное пособие / С. В. Назаров, А. И. Широков. – Москва : Интернет-Университет Информационных Технологий (ИНТУИТ) : Бином. Лаборатория знаний, 2024. – 280 с. – ISBN 978-5-9963-0416-5</w:t>
      </w:r>
    </w:p>
    <w:p w14:paraId="2C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  <w:rPr>
          <w:sz w:val="22"/>
        </w:rPr>
      </w:pPr>
      <w:r>
        <w:t>Организационное и правовое обеспечение информационной безопасности : учебник и практикум для вузов / под редакцией А. А. Стрельцова. – М.: Издательство Юрайт, 2025. – 325 с. – (Высшее образование). – ISBN 978-5-534-03600-8.</w:t>
      </w:r>
    </w:p>
    <w:p w14:paraId="2D060000">
      <w:pPr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 xml:space="preserve">Филимонова Е.В. Информационные технологии в профессиональной деятельности. – КноРус, 2023. – 483 с. </w:t>
      </w:r>
    </w:p>
    <w:p w14:paraId="2E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bookmarkStart w:id="94" w:name="17._Классификатор._[электронный_ресурс]."/>
      <w:bookmarkEnd w:id="94"/>
      <w:r>
        <w:t>Филиппов, Б. И. Информационная безопасность. Основы надежности средств связи : учебник : [16+] / Б. И. Филиппов, О. Г. Шерстнева. – М.: Берлин : Директ-Медиа, 2023. – ISBN 978-5-4475-9823-5</w:t>
      </w:r>
    </w:p>
    <w:p w14:paraId="2F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r>
        <w:t xml:space="preserve">Нетёсова, О. Ю.  Информационные системы и технологии в экономике: учебное пособие для вузов / О. Ю. Нетёсова. – 3-е изд., испр. и доп. – Москва: Издательство Юрайт, 2025. – 178 с. – (Высшее образование). – ISBN 978-5-534-08223-4. – Текст: электронный // Образовательная платформа Юрайт [сайт]. – URL: </w:t>
      </w:r>
      <w:r>
        <w:fldChar w:fldCharType="begin"/>
      </w:r>
      <w:r>
        <w:instrText>HYPERLINK "https://urait.ru/bcode/471403"</w:instrText>
      </w:r>
      <w:r>
        <w:fldChar w:fldCharType="separate"/>
      </w:r>
      <w:r>
        <w:t>https://urait.ru/bcode/471403</w:t>
      </w:r>
      <w:r>
        <w:fldChar w:fldCharType="end"/>
      </w:r>
      <w:r>
        <w:t xml:space="preserve"> (дата обращения: 30.12.2025).</w:t>
      </w:r>
    </w:p>
    <w:p w14:paraId="30060000">
      <w:pPr>
        <w:numPr>
          <w:ilvl w:val="0"/>
          <w:numId w:val="10"/>
        </w:numPr>
        <w:spacing w:after="0" w:line="360" w:lineRule="auto"/>
        <w:ind w:hanging="709" w:left="709"/>
        <w:contextualSpacing w:val="1"/>
        <w:jc w:val="both"/>
        <w:rPr>
          <w:color w:val="000000"/>
        </w:rPr>
      </w:pPr>
      <w:r>
        <w:rPr>
          <w:color w:val="000000"/>
        </w:rPr>
        <w:t>Нагаева, И.А. Алгоритмизация и программирование. Практикум: учебное пособие / И.А. Нагаева, И.А. Кузнецов. – Москва; Берлин: Директ-Медиа, 2023. – 168 с. - режим доступа http:// biblioclub.ru</w:t>
      </w:r>
    </w:p>
    <w:p w14:paraId="31060000">
      <w:pPr>
        <w:widowControl w:val="0"/>
        <w:numPr>
          <w:ilvl w:val="0"/>
          <w:numId w:val="10"/>
        </w:numPr>
        <w:tabs>
          <w:tab w:leader="none" w:pos="426" w:val="left"/>
        </w:tabs>
        <w:spacing w:after="0" w:line="360" w:lineRule="auto"/>
        <w:ind w:hanging="709" w:left="709"/>
        <w:contextualSpacing w:val="1"/>
        <w:jc w:val="both"/>
      </w:pPr>
      <w:bookmarkStart w:id="95" w:name="18._Мишель_М._Управление_информационными"/>
      <w:bookmarkEnd w:id="95"/>
      <w:bookmarkStart w:id="96" w:name="19._Официальный_сайт_Monitorul_Oficial_["/>
      <w:bookmarkEnd w:id="96"/>
      <w:bookmarkStart w:id="97" w:name="20._Официальный_сайт_компании___.Soft-Fi"/>
      <w:bookmarkEnd w:id="97"/>
      <w:bookmarkStart w:id="98" w:name="_Hlk169435105"/>
      <w:r>
        <w:t xml:space="preserve">https://v8.1c.ru/doc8/ </w:t>
      </w:r>
      <w:bookmarkEnd w:id="98"/>
    </w:p>
    <w:p w14:paraId="32060000">
      <w:bookmarkStart w:id="99" w:name="__RefHeading___67"/>
      <w:bookmarkEnd w:id="99"/>
      <w:pPr>
        <w:keepNext w:val="1"/>
        <w:keepLines w:val="1"/>
        <w:pageBreakBefore w:val="1"/>
        <w:spacing w:after="0"/>
        <w:ind/>
        <w:jc w:val="center"/>
        <w:outlineLvl w:val="0"/>
        <w:rPr>
          <w:rFonts w:ascii="Times New Roman Полужирный" w:hAnsi="Times New Roman Полужирный"/>
          <w:b w:val="1"/>
          <w:caps w:val="1"/>
          <w:sz w:val="32"/>
        </w:rPr>
      </w:pPr>
      <w:r>
        <w:rPr>
          <w:rFonts w:ascii="Times New Roman Полужирный" w:hAnsi="Times New Roman Полужирный"/>
          <w:b w:val="1"/>
          <w:caps w:val="1"/>
          <w:sz w:val="32"/>
        </w:rPr>
        <w:t>ПРИЛОЖЕНИЕ</w:t>
      </w:r>
    </w:p>
    <w:p w14:paraId="33060000">
      <w:pPr>
        <w:spacing w:after="0"/>
        <w:ind w:firstLine="709" w:left="0"/>
        <w:jc w:val="both"/>
      </w:pPr>
    </w:p>
    <w:p w14:paraId="34060000">
      <w:pPr>
        <w:spacing w:after="0" w:line="360" w:lineRule="auto"/>
        <w:ind/>
        <w:jc w:val="center"/>
        <w:rPr>
          <w:b w:val="1"/>
        </w:rPr>
      </w:pPr>
      <w:r>
        <w:rPr>
          <w:b w:val="1"/>
        </w:rPr>
        <w:t>Программный код</w:t>
      </w:r>
    </w:p>
    <w:p w14:paraId="35060000">
      <w:pPr>
        <w:spacing w:after="0" w:line="360" w:lineRule="auto"/>
        <w:ind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drawing>
          <wp:inline>
            <wp:extent cx="4454770" cy="8464990"/>
            <wp:effectExtent b="0" l="0" r="0" t="0"/>
            <wp:docPr hidden="false" id="82" name="Picture 82"/>
            <a:graphic>
              <a:graphicData uri="http://schemas.openxmlformats.org/drawingml/2006/picture">
                <pic:pic>
                  <pic:nvPicPr>
                    <pic:cNvPr hidden="false" id="81" name="Picture 81"/>
                    <pic:cNvPicPr preferRelativeResize="true"/>
                  </pic:nvPicPr>
                  <pic:blipFill>
                    <a:blip r:embed="rId44"/>
                    <a:stretch/>
                  </pic:blipFill>
                  <pic:spPr>
                    <a:xfrm flipH="false" flipV="false" rot="0">
                      <a:ext cx="4454770" cy="84649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6060000">
      <w:pPr>
        <w:spacing w:after="0" w:line="360" w:lineRule="auto"/>
        <w:ind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drawing>
          <wp:inline>
            <wp:extent cx="5953956" cy="8830907"/>
            <wp:effectExtent b="0" l="0" r="0" t="0"/>
            <wp:docPr hidden="false" id="84" name="Picture 84"/>
            <a:graphic>
              <a:graphicData uri="http://schemas.openxmlformats.org/drawingml/2006/picture">
                <pic:pic>
                  <pic:nvPicPr>
                    <pic:cNvPr hidden="false" id="83" name="Picture 83"/>
                    <pic:cNvPicPr preferRelativeResize="true"/>
                  </pic:nvPicPr>
                  <pic:blipFill>
                    <a:blip r:embed="rId45"/>
                    <a:stretch/>
                  </pic:blipFill>
                  <pic:spPr>
                    <a:xfrm flipH="false" flipV="false" rot="0">
                      <a:ext cx="5953956" cy="883090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7060000">
      <w:pPr>
        <w:spacing w:after="0" w:line="360" w:lineRule="auto"/>
        <w:ind/>
        <w:rPr>
          <w:rFonts w:ascii="Courier New" w:hAnsi="Courier New"/>
          <w:sz w:val="22"/>
        </w:rPr>
      </w:pPr>
    </w:p>
    <w:p w14:paraId="38060000">
      <w:pPr>
        <w:spacing w:after="0" w:line="360" w:lineRule="auto"/>
        <w:ind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drawing>
          <wp:inline>
            <wp:extent cx="5582429" cy="8840434"/>
            <wp:effectExtent b="0" l="0" r="0" t="0"/>
            <wp:docPr hidden="false" id="86" name="Picture 86"/>
            <a:graphic>
              <a:graphicData uri="http://schemas.openxmlformats.org/drawingml/2006/picture">
                <pic:pic>
                  <pic:nvPicPr>
                    <pic:cNvPr hidden="false" id="85" name="Picture 85"/>
                    <pic:cNvPicPr preferRelativeResize="true"/>
                  </pic:nvPicPr>
                  <pic:blipFill>
                    <a:blip r:embed="rId46"/>
                    <a:stretch/>
                  </pic:blipFill>
                  <pic:spPr>
                    <a:xfrm flipH="false" flipV="false" rot="0">
                      <a:ext cx="5582429" cy="884043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9060000">
      <w:pPr>
        <w:spacing w:after="0" w:line="360" w:lineRule="auto"/>
        <w:ind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ab/>
      </w:r>
    </w:p>
    <w:p w14:paraId="3A060000">
      <w:pPr>
        <w:spacing w:after="0" w:line="360" w:lineRule="auto"/>
        <w:ind/>
        <w:rPr>
          <w:rFonts w:ascii="Courier New" w:hAnsi="Courier New"/>
          <w:sz w:val="22"/>
        </w:rPr>
      </w:pPr>
    </w:p>
    <w:p w14:paraId="3B060000">
      <w:pPr>
        <w:spacing w:after="0" w:line="360" w:lineRule="auto"/>
        <w:ind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drawing>
          <wp:inline>
            <wp:extent cx="6120130" cy="8406765"/>
            <wp:effectExtent b="0" l="0" r="0" t="0"/>
            <wp:docPr hidden="false" id="88" name="Picture 88"/>
            <a:graphic>
              <a:graphicData uri="http://schemas.openxmlformats.org/drawingml/2006/picture">
                <pic:pic>
                  <pic:nvPicPr>
                    <pic:cNvPr hidden="false" id="87" name="Picture 87"/>
                    <pic:cNvPicPr preferRelativeResize="true"/>
                  </pic:nvPicPr>
                  <pic:blipFill>
                    <a:blip r:embed="rId47"/>
                    <a:stretch/>
                  </pic:blipFill>
                  <pic:spPr>
                    <a:xfrm flipH="false" flipV="false" rot="0">
                      <a:ext cx="6120130" cy="840676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C060000">
      <w:pPr>
        <w:spacing w:after="0" w:line="360" w:lineRule="auto"/>
        <w:ind w:firstLine="851" w:left="0"/>
        <w:jc w:val="both"/>
        <w:rPr>
          <w:rFonts w:ascii="Courier New" w:hAnsi="Courier New"/>
          <w:sz w:val="24"/>
        </w:rPr>
      </w:pPr>
    </w:p>
    <w:p w14:paraId="3D060000">
      <w:pPr>
        <w:spacing w:after="0" w:line="360" w:lineRule="auto"/>
        <w:ind w:firstLine="851" w:left="0"/>
        <w:jc w:val="both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Функция ПолучитьТаблицуКоманд()</w:t>
      </w:r>
    </w:p>
    <w:p w14:paraId="3E060000">
      <w:pPr>
        <w:spacing w:after="0" w:line="360" w:lineRule="auto"/>
        <w:ind w:firstLine="851" w:left="0"/>
        <w:jc w:val="both"/>
        <w:rPr>
          <w:rFonts w:ascii="Courier New" w:hAnsi="Courier New"/>
          <w:sz w:val="22"/>
        </w:rPr>
      </w:pPr>
    </w:p>
    <w:p w14:paraId="3F060000">
      <w:pPr>
        <w:spacing w:after="0" w:line="360" w:lineRule="auto"/>
        <w:ind w:firstLine="851" w:left="0"/>
        <w:jc w:val="both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>лТипСтрока = Новый ОписаниеТипов("Строка");</w:t>
      </w:r>
    </w:p>
    <w:p w14:paraId="40060000">
      <w:pPr>
        <w:spacing w:after="0" w:line="360" w:lineRule="auto"/>
        <w:ind w:firstLine="851" w:left="0"/>
        <w:jc w:val="both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>лТипБулево = Новый ОписаниеТипов("Булево");</w:t>
      </w:r>
    </w:p>
    <w:p w14:paraId="41060000">
      <w:pPr>
        <w:spacing w:after="0" w:line="360" w:lineRule="auto"/>
        <w:ind w:firstLine="851" w:left="0"/>
        <w:jc w:val="both"/>
        <w:rPr>
          <w:rFonts w:ascii="Courier New" w:hAnsi="Courier New"/>
          <w:sz w:val="22"/>
        </w:rPr>
      </w:pPr>
    </w:p>
    <w:p w14:paraId="42060000">
      <w:pPr>
        <w:spacing w:after="0" w:line="360" w:lineRule="auto"/>
        <w:ind w:firstLine="851" w:left="0"/>
        <w:jc w:val="both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>лКоманды = Новый ТаблицаЗначений;</w:t>
      </w:r>
    </w:p>
    <w:p w14:paraId="43060000">
      <w:pPr>
        <w:spacing w:after="0" w:line="360" w:lineRule="auto"/>
        <w:ind w:firstLine="851" w:left="0"/>
        <w:jc w:val="both"/>
        <w:rPr>
          <w:rFonts w:ascii="Courier New" w:hAnsi="Courier New"/>
          <w:sz w:val="22"/>
        </w:rPr>
      </w:pPr>
    </w:p>
    <w:p w14:paraId="44060000">
      <w:pPr>
        <w:spacing w:after="0" w:line="360" w:lineRule="auto"/>
        <w:ind w:firstLine="851" w:left="0"/>
        <w:jc w:val="both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>лКоманды.Колонки.Добавить("Представление"</w:t>
      </w: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>, лТипСтрока);</w:t>
      </w:r>
    </w:p>
    <w:p w14:paraId="45060000">
      <w:pPr>
        <w:spacing w:after="0" w:line="360" w:lineRule="auto"/>
        <w:ind w:firstLine="851" w:left="0"/>
        <w:jc w:val="both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>лКоманды.Колонки.Добавить("Идентификатор"</w:t>
      </w: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>, лТипСтрока);</w:t>
      </w:r>
    </w:p>
    <w:p w14:paraId="46060000">
      <w:pPr>
        <w:spacing w:after="0" w:line="360" w:lineRule="auto"/>
        <w:ind w:firstLine="851" w:left="0"/>
        <w:jc w:val="both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>лКоманды.Колонки.Добавить("Использование"</w:t>
      </w: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>, лТипСтрока);</w:t>
      </w:r>
    </w:p>
    <w:p w14:paraId="47060000">
      <w:pPr>
        <w:spacing w:after="0" w:line="360" w:lineRule="auto"/>
        <w:ind w:firstLine="851" w:left="0"/>
        <w:jc w:val="both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>лКоманды.Колонки.Добавить("ПоказыватьОповещение", лТипБулево);</w:t>
      </w:r>
    </w:p>
    <w:p w14:paraId="48060000">
      <w:pPr>
        <w:spacing w:after="0" w:line="360" w:lineRule="auto"/>
        <w:ind w:firstLine="851" w:left="0"/>
        <w:jc w:val="both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>лКоманды.Колонки.Добавить("Модификатор"</w:t>
      </w: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>, лТипСтрока);</w:t>
      </w:r>
    </w:p>
    <w:p w14:paraId="49060000">
      <w:pPr>
        <w:spacing w:after="0" w:line="360" w:lineRule="auto"/>
        <w:ind w:firstLine="851" w:left="0"/>
        <w:jc w:val="both"/>
        <w:rPr>
          <w:rFonts w:ascii="Courier New" w:hAnsi="Courier New"/>
          <w:sz w:val="22"/>
        </w:rPr>
      </w:pPr>
    </w:p>
    <w:p w14:paraId="4A060000">
      <w:pPr>
        <w:spacing w:after="0" w:line="360" w:lineRule="auto"/>
        <w:ind w:firstLine="851" w:left="0"/>
        <w:jc w:val="both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ab/>
      </w:r>
      <w:r>
        <w:rPr>
          <w:rFonts w:ascii="Courier New" w:hAnsi="Courier New"/>
          <w:sz w:val="22"/>
        </w:rPr>
        <w:t>Возврат лКоманды;</w:t>
      </w:r>
    </w:p>
    <w:p w14:paraId="4B060000">
      <w:pPr>
        <w:spacing w:after="0" w:line="360" w:lineRule="auto"/>
        <w:ind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КонецФункции  </w:t>
      </w:r>
    </w:p>
    <w:p w14:paraId="4C060000">
      <w:pPr>
        <w:spacing w:after="0" w:line="360" w:lineRule="auto"/>
        <w:ind w:firstLine="851" w:left="0"/>
        <w:jc w:val="both"/>
        <w:rPr>
          <w:sz w:val="24"/>
        </w:rPr>
      </w:pPr>
    </w:p>
    <w:p w14:paraId="4D060000">
      <w:pPr>
        <w:spacing w:after="0" w:line="360" w:lineRule="auto"/>
        <w:ind w:firstLine="851" w:left="0"/>
        <w:jc w:val="both"/>
        <w:rPr>
          <w:sz w:val="24"/>
        </w:rPr>
      </w:pPr>
    </w:p>
    <w:p w14:paraId="4E060000">
      <w:pPr>
        <w:spacing w:after="0"/>
        <w:ind w:firstLine="709" w:left="0"/>
        <w:jc w:val="both"/>
      </w:pPr>
    </w:p>
    <w:p w14:paraId="4F060000">
      <w:pPr>
        <w:spacing w:after="0"/>
        <w:ind w:firstLine="709" w:left="0"/>
        <w:jc w:val="both"/>
      </w:pPr>
    </w:p>
    <w:sectPr>
      <w:footerReference r:id="rId1" w:type="default"/>
      <w:pgSz w:h="16838" w:orient="portrait" w:w="11906"/>
      <w:pgMar w:bottom="1134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ind/>
      <w:jc w:val="center"/>
    </w:pPr>
  </w:p>
  <w:p w14:paraId="04000000">
    <w:pPr>
      <w:pStyle w:val="Style_1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5000000">
    <w:pPr>
      <w:pStyle w:val="Style_1"/>
      <w:ind/>
      <w:jc w:val="center"/>
    </w:pPr>
  </w:p>
  <w:p w14:paraId="06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360" w:val="left"/>
        </w:tabs>
        <w:ind w:hanging="360" w:left="360"/>
      </w:pPr>
    </w:lvl>
    <w:lvl w:ilvl="1">
      <w:start w:val="1"/>
      <w:numFmt w:val="decimal"/>
      <w:lvlText w:val="%1.%2."/>
      <w:lvlJc w:val="left"/>
      <w:pPr>
        <w:tabs>
          <w:tab w:leader="none" w:pos="792" w:val="left"/>
        </w:tabs>
        <w:ind w:hanging="432" w:left="792"/>
      </w:pPr>
    </w:lvl>
    <w:lvl w:ilvl="2">
      <w:start w:val="1"/>
      <w:numFmt w:val="decimal"/>
      <w:lvlText w:val="%1.%2.%3."/>
      <w:lvlJc w:val="left"/>
      <w:pPr>
        <w:tabs>
          <w:tab w:leader="none" w:pos="1440" w:val="left"/>
        </w:tabs>
        <w:ind w:hanging="504" w:left="1224"/>
      </w:pPr>
    </w:lvl>
    <w:lvl w:ilvl="3">
      <w:start w:val="1"/>
      <w:numFmt w:val="decimal"/>
      <w:lvlText w:val="%1.%2.%3.%4."/>
      <w:lvlJc w:val="left"/>
      <w:pPr>
        <w:tabs>
          <w:tab w:leader="none" w:pos="1800" w:val="left"/>
        </w:tabs>
        <w:ind w:hanging="648" w:left="1728"/>
      </w:pPr>
    </w:lvl>
    <w:lvl w:ilvl="4">
      <w:start w:val="1"/>
      <w:numFmt w:val="decimal"/>
      <w:lvlText w:val="%1.%2.%3.%4.%5."/>
      <w:lvlJc w:val="left"/>
      <w:pPr>
        <w:tabs>
          <w:tab w:leader="none" w:pos="2520" w:val="left"/>
        </w:tabs>
        <w:ind w:hanging="792" w:left="2232"/>
      </w:pPr>
    </w:lvl>
    <w:lvl w:ilvl="5">
      <w:start w:val="1"/>
      <w:numFmt w:val="decimal"/>
      <w:lvlText w:val="%1.%2.%3.%4.%5.%6."/>
      <w:lvlJc w:val="left"/>
      <w:pPr>
        <w:tabs>
          <w:tab w:leader="none" w:pos="2880" w:val="left"/>
        </w:tabs>
        <w:ind w:hanging="936" w:left="2736"/>
      </w:pPr>
    </w:lvl>
    <w:lvl w:ilvl="6">
      <w:start w:val="1"/>
      <w:numFmt w:val="decimal"/>
      <w:lvlText w:val="%1.%2.%3.%4.%5.%6.%7."/>
      <w:lvlJc w:val="left"/>
      <w:pPr>
        <w:tabs>
          <w:tab w:leader="none" w:pos="3600" w:val="left"/>
        </w:tabs>
        <w:ind w:hanging="1080" w:left="3240"/>
      </w:pPr>
    </w:lvl>
    <w:lvl w:ilvl="7">
      <w:start w:val="1"/>
      <w:numFmt w:val="decimal"/>
      <w:lvlText w:val="%1.%2.%3.%4.%5.%6.%7.%8."/>
      <w:lvlJc w:val="left"/>
      <w:pPr>
        <w:tabs>
          <w:tab w:leader="none" w:pos="3960" w:val="left"/>
        </w:tabs>
        <w:ind w:hanging="1224" w:left="3744"/>
      </w:pPr>
    </w:lvl>
    <w:lvl w:ilvl="8">
      <w:start w:val="1"/>
      <w:numFmt w:val="decimal"/>
      <w:lvlText w:val="%1.%2.%3.%4.%5.%6.%7.%8.%9."/>
      <w:lvlJc w:val="left"/>
      <w:pPr>
        <w:tabs>
          <w:tab w:leader="none" w:pos="4680" w:val="left"/>
        </w:tabs>
        <w:ind w:hanging="1440" w:left="4320"/>
      </w:pPr>
    </w:lvl>
  </w:abstractNum>
  <w:abstractNum w:abstractNumId="1">
    <w:lvl w:ilvl="0">
      <w:start w:val="2"/>
      <w:numFmt w:val="decimal"/>
      <w:lvlText w:val="%1."/>
      <w:lvlJc w:val="left"/>
      <w:pPr>
        <w:tabs>
          <w:tab w:leader="none" w:pos="360" w:val="left"/>
        </w:tabs>
        <w:ind w:hanging="360" w:left="360"/>
      </w:pPr>
    </w:lvl>
    <w:lvl w:ilvl="1">
      <w:start w:val="1"/>
      <w:numFmt w:val="decimal"/>
      <w:lvlText w:val="%1.%2."/>
      <w:lvlJc w:val="left"/>
      <w:pPr>
        <w:tabs>
          <w:tab w:leader="none" w:pos="792" w:val="left"/>
        </w:tabs>
        <w:ind w:hanging="432" w:left="792"/>
      </w:pPr>
    </w:lvl>
    <w:lvl w:ilvl="2">
      <w:start w:val="1"/>
      <w:numFmt w:val="decimal"/>
      <w:lvlText w:val="%1.%2.%3."/>
      <w:lvlJc w:val="left"/>
      <w:pPr>
        <w:tabs>
          <w:tab w:leader="none" w:pos="1440" w:val="left"/>
        </w:tabs>
        <w:ind w:hanging="504" w:left="1224"/>
      </w:pPr>
    </w:lvl>
    <w:lvl w:ilvl="3">
      <w:start w:val="1"/>
      <w:numFmt w:val="decimal"/>
      <w:lvlText w:val="%1.%2.%3.%4."/>
      <w:lvlJc w:val="left"/>
      <w:pPr>
        <w:tabs>
          <w:tab w:leader="none" w:pos="1800" w:val="left"/>
        </w:tabs>
        <w:ind w:hanging="648" w:left="1728"/>
      </w:pPr>
    </w:lvl>
    <w:lvl w:ilvl="4">
      <w:start w:val="1"/>
      <w:numFmt w:val="decimal"/>
      <w:lvlText w:val="%1.%2.%3.%4.%5."/>
      <w:lvlJc w:val="left"/>
      <w:pPr>
        <w:tabs>
          <w:tab w:leader="none" w:pos="2520" w:val="left"/>
        </w:tabs>
        <w:ind w:hanging="792" w:left="2232"/>
      </w:pPr>
    </w:lvl>
    <w:lvl w:ilvl="5">
      <w:start w:val="1"/>
      <w:numFmt w:val="decimal"/>
      <w:lvlText w:val="%1.%2.%3.%4.%5.%6."/>
      <w:lvlJc w:val="left"/>
      <w:pPr>
        <w:tabs>
          <w:tab w:leader="none" w:pos="2880" w:val="left"/>
        </w:tabs>
        <w:ind w:hanging="936" w:left="2736"/>
      </w:pPr>
    </w:lvl>
    <w:lvl w:ilvl="6">
      <w:start w:val="1"/>
      <w:numFmt w:val="decimal"/>
      <w:lvlText w:val="%1.%2.%3.%4.%5.%6.%7."/>
      <w:lvlJc w:val="left"/>
      <w:pPr>
        <w:tabs>
          <w:tab w:leader="none" w:pos="3600" w:val="left"/>
        </w:tabs>
        <w:ind w:hanging="1080" w:left="3240"/>
      </w:pPr>
    </w:lvl>
    <w:lvl w:ilvl="7">
      <w:start w:val="1"/>
      <w:numFmt w:val="decimal"/>
      <w:lvlText w:val="%1.%2.%3.%4.%5.%6.%7.%8."/>
      <w:lvlJc w:val="left"/>
      <w:pPr>
        <w:tabs>
          <w:tab w:leader="none" w:pos="3960" w:val="left"/>
        </w:tabs>
        <w:ind w:hanging="1224" w:left="3744"/>
      </w:pPr>
    </w:lvl>
    <w:lvl w:ilvl="8">
      <w:start w:val="1"/>
      <w:numFmt w:val="decimal"/>
      <w:lvlText w:val="%1.%2.%3.%4.%5.%6.%7.%8.%9."/>
      <w:lvlJc w:val="left"/>
      <w:pPr>
        <w:tabs>
          <w:tab w:leader="none" w:pos="4680" w:val="left"/>
        </w:tabs>
        <w:ind w:hanging="1440" w:left="4320"/>
      </w:pPr>
    </w:lvl>
  </w:abstractNum>
  <w:abstractNum w:abstractNumId="2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4">
    <w:lvl w:ilvl="0">
      <w:start w:val="1"/>
      <w:numFmt w:val="bullet"/>
      <w:lvlText w:val=""/>
      <w:lvlJc w:val="left"/>
      <w:pPr>
        <w:ind w:hanging="360" w:left="128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00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727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447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167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887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607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327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047"/>
      </w:pPr>
      <w:rPr>
        <w:rFonts w:ascii="Wingdings" w:hAnsi="Wingdings"/>
      </w:rPr>
    </w:lvl>
  </w:abstractNum>
  <w:abstractNum w:abstractNumId="5">
    <w:lvl w:ilvl="0">
      <w:start w:val="1"/>
      <w:numFmt w:val="decimal"/>
      <w:lvlText w:val="%1."/>
      <w:lvlJc w:val="left"/>
      <w:pPr>
        <w:ind w:hanging="360" w:left="1069"/>
      </w:pPr>
    </w:lvl>
    <w:lvl w:ilvl="1">
      <w:start w:val="1"/>
      <w:numFmt w:val="lowerLetter"/>
      <w:lvlText w:val="%2."/>
      <w:lvlJc w:val="left"/>
      <w:pPr>
        <w:ind w:hanging="360" w:left="1789"/>
      </w:pPr>
    </w:lvl>
    <w:lvl w:ilvl="2">
      <w:start w:val="1"/>
      <w:numFmt w:val="lowerRoman"/>
      <w:lvlText w:val="%3."/>
      <w:lvlJc w:val="right"/>
      <w:pPr>
        <w:ind w:hanging="180" w:left="2509"/>
      </w:pPr>
    </w:lvl>
    <w:lvl w:ilvl="3">
      <w:start w:val="1"/>
      <w:numFmt w:val="decimal"/>
      <w:lvlText w:val="%4."/>
      <w:lvlJc w:val="left"/>
      <w:pPr>
        <w:ind w:hanging="360" w:left="3229"/>
      </w:pPr>
    </w:lvl>
    <w:lvl w:ilvl="4">
      <w:start w:val="1"/>
      <w:numFmt w:val="lowerLetter"/>
      <w:lvlText w:val="%5."/>
      <w:lvlJc w:val="left"/>
      <w:pPr>
        <w:ind w:hanging="360" w:left="3949"/>
      </w:pPr>
    </w:lvl>
    <w:lvl w:ilvl="5">
      <w:start w:val="1"/>
      <w:numFmt w:val="lowerRoman"/>
      <w:lvlText w:val="%6."/>
      <w:lvlJc w:val="right"/>
      <w:pPr>
        <w:ind w:hanging="180" w:left="4669"/>
      </w:pPr>
    </w:lvl>
    <w:lvl w:ilvl="6">
      <w:start w:val="1"/>
      <w:numFmt w:val="decimal"/>
      <w:lvlText w:val="%7."/>
      <w:lvlJc w:val="left"/>
      <w:pPr>
        <w:ind w:hanging="360" w:left="5389"/>
      </w:pPr>
    </w:lvl>
    <w:lvl w:ilvl="7">
      <w:start w:val="1"/>
      <w:numFmt w:val="lowerLetter"/>
      <w:lvlText w:val="%8."/>
      <w:lvlJc w:val="left"/>
      <w:pPr>
        <w:ind w:hanging="360" w:left="6109"/>
      </w:pPr>
    </w:lvl>
    <w:lvl w:ilvl="8">
      <w:start w:val="1"/>
      <w:numFmt w:val="lowerRoman"/>
      <w:lvlText w:val="%9."/>
      <w:lvlJc w:val="right"/>
      <w:pPr>
        <w:ind w:hanging="180" w:left="6829"/>
      </w:pPr>
    </w:lvl>
  </w:abstractNum>
  <w:abstractNum w:abstractNumId="6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7">
    <w:lvl w:ilvl="0">
      <w:start w:val="1"/>
      <w:numFmt w:val="bullet"/>
      <w:lvlText w:val=""/>
      <w:lvlJc w:val="left"/>
      <w:pPr>
        <w:ind w:hanging="360" w:left="1571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291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3011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731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451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171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891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611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331"/>
      </w:pPr>
      <w:rPr>
        <w:rFonts w:ascii="Wingdings" w:hAnsi="Wingdings"/>
      </w:rPr>
    </w:lvl>
  </w:abstractNum>
  <w:abstractNum w:abstractNumId="8">
    <w:lvl w:ilvl="0">
      <w:start w:val="1"/>
      <w:numFmt w:val="bullet"/>
      <w:lvlText w:val=""/>
      <w:lvlJc w:val="left"/>
      <w:pPr>
        <w:ind w:hanging="360" w:left="1571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291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3011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731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451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171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891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611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331"/>
      </w:pPr>
      <w:rPr>
        <w:rFonts w:ascii="Wingdings" w:hAnsi="Wingdings"/>
      </w:rPr>
    </w:lvl>
  </w:abstractNum>
  <w:abstractNum w:abstractNumId="9">
    <w:lvl w:ilvl="0">
      <w:start w:val="1"/>
      <w:numFmt w:val="decimal"/>
      <w:lvlText w:val="%1."/>
      <w:lvlJc w:val="left"/>
      <w:pPr>
        <w:ind w:hanging="360" w:left="1429"/>
      </w:pPr>
    </w:lvl>
    <w:lvl w:ilvl="1">
      <w:start w:val="1"/>
      <w:numFmt w:val="lowerLetter"/>
      <w:lvlText w:val="%2."/>
      <w:lvlJc w:val="left"/>
      <w:pPr>
        <w:ind w:hanging="360" w:left="2149"/>
      </w:pPr>
    </w:lvl>
    <w:lvl w:ilvl="2">
      <w:start w:val="1"/>
      <w:numFmt w:val="lowerRoman"/>
      <w:lvlText w:val="%3."/>
      <w:lvlJc w:val="right"/>
      <w:pPr>
        <w:ind w:hanging="180" w:left="2869"/>
      </w:pPr>
    </w:lvl>
    <w:lvl w:ilvl="3">
      <w:start w:val="1"/>
      <w:numFmt w:val="decimal"/>
      <w:lvlText w:val="%4."/>
      <w:lvlJc w:val="left"/>
      <w:pPr>
        <w:ind w:hanging="360" w:left="3589"/>
      </w:pPr>
    </w:lvl>
    <w:lvl w:ilvl="4">
      <w:start w:val="1"/>
      <w:numFmt w:val="lowerLetter"/>
      <w:lvlText w:val="%5."/>
      <w:lvlJc w:val="left"/>
      <w:pPr>
        <w:ind w:hanging="360" w:left="4309"/>
      </w:pPr>
    </w:lvl>
    <w:lvl w:ilvl="5">
      <w:start w:val="1"/>
      <w:numFmt w:val="lowerRoman"/>
      <w:lvlText w:val="%6."/>
      <w:lvlJc w:val="right"/>
      <w:pPr>
        <w:ind w:hanging="180" w:left="5029"/>
      </w:pPr>
    </w:lvl>
    <w:lvl w:ilvl="6">
      <w:start w:val="1"/>
      <w:numFmt w:val="decimal"/>
      <w:lvlText w:val="%7."/>
      <w:lvlJc w:val="left"/>
      <w:pPr>
        <w:ind w:hanging="360" w:left="5749"/>
      </w:pPr>
    </w:lvl>
    <w:lvl w:ilvl="7">
      <w:start w:val="1"/>
      <w:numFmt w:val="lowerLetter"/>
      <w:lvlText w:val="%8."/>
      <w:lvlJc w:val="left"/>
      <w:pPr>
        <w:ind w:hanging="360" w:left="6469"/>
      </w:pPr>
    </w:lvl>
    <w:lvl w:ilvl="8">
      <w:start w:val="1"/>
      <w:numFmt w:val="lowerRoman"/>
      <w:lvlText w:val="%9."/>
      <w:lvlJc w:val="right"/>
      <w:pPr>
        <w:ind w:hanging="180" w:left="7189"/>
      </w:pPr>
    </w:lvl>
  </w:abstractNum>
  <w:abstractNum w:abstractNumId="10">
    <w:lvl w:ilvl="0">
      <w:start w:val="1"/>
      <w:numFmt w:val="bullet"/>
      <w:pStyle w:val="Style_12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  <w:pPr>
      <w:spacing w:line="240" w:lineRule="auto"/>
      <w:ind/>
    </w:pPr>
    <w:rPr>
      <w:rFonts w:ascii="Times New Roman" w:hAnsi="Times New Roman"/>
      <w:sz w:val="28"/>
    </w:rPr>
  </w:style>
  <w:style w:default="1" w:styleId="Style_16_ch" w:type="character">
    <w:name w:val="Normal"/>
    <w:link w:val="Style_16"/>
    <w:rPr>
      <w:rFonts w:ascii="Times New Roman" w:hAnsi="Times New Roman"/>
      <w:sz w:val="28"/>
    </w:rPr>
  </w:style>
  <w:style w:styleId="Style_5" w:type="paragraph">
    <w:name w:val="toc 2"/>
    <w:basedOn w:val="Style_16"/>
    <w:next w:val="Style_16"/>
    <w:link w:val="Style_5_ch"/>
    <w:uiPriority w:val="39"/>
    <w:pPr>
      <w:widowControl w:val="0"/>
      <w:spacing w:after="100"/>
      <w:ind w:firstLine="0" w:left="200"/>
    </w:pPr>
    <w:rPr>
      <w:sz w:val="20"/>
    </w:rPr>
  </w:style>
  <w:style w:styleId="Style_5_ch" w:type="character">
    <w:name w:val="toc 2"/>
    <w:basedOn w:val="Style_16_ch"/>
    <w:link w:val="Style_5"/>
    <w:rPr>
      <w:sz w:val="20"/>
    </w:rPr>
  </w:style>
  <w:style w:styleId="Style_17" w:type="paragraph">
    <w:name w:val="toc 4"/>
    <w:next w:val="Style_16"/>
    <w:link w:val="Style_1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7_ch" w:type="character">
    <w:name w:val="toc 4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6"/>
    <w:next w:val="Style_16"/>
    <w:link w:val="Style_1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9_ch" w:type="character">
    <w:name w:val="toc 6"/>
    <w:link w:val="Style_19"/>
    <w:rPr>
      <w:rFonts w:ascii="XO Thames" w:hAnsi="XO Thames"/>
      <w:sz w:val="28"/>
    </w:rPr>
  </w:style>
  <w:style w:styleId="Style_20" w:type="paragraph">
    <w:name w:val="toc 7"/>
    <w:next w:val="Style_16"/>
    <w:link w:val="Style_2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0_ch" w:type="character">
    <w:name w:val="toc 7"/>
    <w:link w:val="Style_20"/>
    <w:rPr>
      <w:rFonts w:ascii="XO Thames" w:hAnsi="XO Thames"/>
      <w:sz w:val="28"/>
    </w:rPr>
  </w:style>
  <w:style w:styleId="Style_21" w:type="paragraph">
    <w:name w:val="header"/>
    <w:basedOn w:val="Style_16"/>
    <w:link w:val="Style_21_ch"/>
    <w:pPr>
      <w:widowControl w:val="0"/>
      <w:tabs>
        <w:tab w:leader="none" w:pos="4677" w:val="center"/>
        <w:tab w:leader="none" w:pos="9355" w:val="right"/>
      </w:tabs>
      <w:spacing w:after="0"/>
      <w:ind/>
    </w:pPr>
    <w:rPr>
      <w:sz w:val="20"/>
    </w:rPr>
  </w:style>
  <w:style w:styleId="Style_21_ch" w:type="character">
    <w:name w:val="header"/>
    <w:basedOn w:val="Style_16_ch"/>
    <w:link w:val="Style_21"/>
    <w:rPr>
      <w:sz w:val="20"/>
    </w:rPr>
  </w:style>
  <w:style w:styleId="Style_22" w:type="paragraph">
    <w:name w:val="_Табкол"/>
    <w:basedOn w:val="Style_16"/>
    <w:link w:val="Style_22_ch"/>
    <w:pPr>
      <w:widowControl w:val="0"/>
      <w:spacing w:after="0"/>
      <w:ind/>
      <w:jc w:val="both"/>
    </w:pPr>
    <w:rPr>
      <w:sz w:val="24"/>
    </w:rPr>
  </w:style>
  <w:style w:styleId="Style_22_ch" w:type="character">
    <w:name w:val="_Табкол"/>
    <w:basedOn w:val="Style_16_ch"/>
    <w:link w:val="Style_22"/>
    <w:rPr>
      <w:sz w:val="24"/>
    </w:rPr>
  </w:style>
  <w:style w:styleId="Style_23" w:type="paragraph">
    <w:name w:val="heading 3"/>
    <w:basedOn w:val="Style_16"/>
    <w:next w:val="Style_16"/>
    <w:link w:val="Style_23_ch"/>
    <w:uiPriority w:val="9"/>
    <w:qFormat/>
    <w:pPr>
      <w:keepNext w:val="1"/>
      <w:keepLines w:val="1"/>
      <w:spacing w:after="0" w:before="40"/>
      <w:ind/>
      <w:outlineLvl w:val="2"/>
    </w:pPr>
    <w:rPr>
      <w:b w:val="1"/>
    </w:rPr>
  </w:style>
  <w:style w:styleId="Style_23_ch" w:type="character">
    <w:name w:val="heading 3"/>
    <w:basedOn w:val="Style_16_ch"/>
    <w:link w:val="Style_23"/>
    <w:rPr>
      <w:b w:val="1"/>
    </w:rPr>
  </w:style>
  <w:style w:styleId="Style_24" w:type="paragraph">
    <w:name w:val="Заголовок 31"/>
    <w:basedOn w:val="Style_16"/>
    <w:next w:val="Style_16"/>
    <w:link w:val="Style_24_ch"/>
    <w:pPr>
      <w:keepNext w:val="1"/>
      <w:keepLines w:val="1"/>
      <w:widowControl w:val="0"/>
      <w:spacing w:after="0"/>
      <w:ind/>
      <w:jc w:val="center"/>
      <w:outlineLvl w:val="2"/>
    </w:pPr>
    <w:rPr>
      <w:b w:val="1"/>
    </w:rPr>
  </w:style>
  <w:style w:styleId="Style_24_ch" w:type="character">
    <w:name w:val="Заголовок 31"/>
    <w:basedOn w:val="Style_16_ch"/>
    <w:link w:val="Style_24"/>
    <w:rPr>
      <w:b w:val="1"/>
    </w:rPr>
  </w:style>
  <w:style w:styleId="Style_11" w:type="paragraph">
    <w:name w:val="_РИС"/>
    <w:basedOn w:val="Style_16"/>
    <w:link w:val="Style_11_ch"/>
    <w:pPr>
      <w:tabs>
        <w:tab w:leader="none" w:pos="1134" w:val="left"/>
        <w:tab w:leader="none" w:pos="3828" w:val="left"/>
      </w:tabs>
      <w:spacing w:after="0"/>
      <w:ind/>
      <w:jc w:val="center"/>
    </w:pPr>
    <w:rPr>
      <w:b w:val="1"/>
    </w:rPr>
  </w:style>
  <w:style w:styleId="Style_11_ch" w:type="character">
    <w:name w:val="_РИС"/>
    <w:basedOn w:val="Style_16_ch"/>
    <w:link w:val="Style_11"/>
    <w:rPr>
      <w:b w:val="1"/>
    </w:rPr>
  </w:style>
  <w:style w:styleId="Style_9" w:type="paragraph">
    <w:name w:val="_ТабЗаг"/>
    <w:basedOn w:val="Style_16"/>
    <w:link w:val="Style_9_ch"/>
    <w:pPr>
      <w:tabs>
        <w:tab w:leader="none" w:pos="1134" w:val="left"/>
        <w:tab w:leader="none" w:pos="3828" w:val="left"/>
      </w:tabs>
      <w:spacing w:after="0"/>
      <w:ind/>
      <w:jc w:val="center"/>
    </w:pPr>
    <w:rPr>
      <w:b w:val="1"/>
    </w:rPr>
  </w:style>
  <w:style w:styleId="Style_9_ch" w:type="character">
    <w:name w:val="_ТабЗаг"/>
    <w:basedOn w:val="Style_16_ch"/>
    <w:link w:val="Style_9"/>
    <w:rPr>
      <w:b w:val="1"/>
    </w:rPr>
  </w:style>
  <w:style w:styleId="Style_1" w:type="paragraph">
    <w:name w:val="footer"/>
    <w:basedOn w:val="Style_16"/>
    <w:link w:val="Style_1_ch"/>
    <w:pPr>
      <w:widowControl w:val="0"/>
      <w:tabs>
        <w:tab w:leader="none" w:pos="4677" w:val="center"/>
        <w:tab w:leader="none" w:pos="9355" w:val="right"/>
      </w:tabs>
      <w:spacing w:after="0"/>
      <w:ind/>
    </w:pPr>
    <w:rPr>
      <w:sz w:val="20"/>
    </w:rPr>
  </w:style>
  <w:style w:styleId="Style_1_ch" w:type="character">
    <w:name w:val="footer"/>
    <w:basedOn w:val="Style_16_ch"/>
    <w:link w:val="Style_1"/>
    <w:rPr>
      <w:sz w:val="20"/>
    </w:rPr>
  </w:style>
  <w:style w:styleId="Style_25" w:type="paragraph">
    <w:name w:val="Заголовок 11"/>
    <w:basedOn w:val="Style_16"/>
    <w:next w:val="Style_16"/>
    <w:link w:val="Style_25_ch"/>
    <w:pPr>
      <w:keepNext w:val="1"/>
      <w:keepLines w:val="1"/>
      <w:pageBreakBefore w:val="1"/>
      <w:widowControl w:val="0"/>
      <w:spacing w:after="0"/>
      <w:ind/>
      <w:jc w:val="center"/>
      <w:outlineLvl w:val="0"/>
    </w:pPr>
    <w:rPr>
      <w:b w:val="1"/>
      <w:sz w:val="32"/>
    </w:rPr>
  </w:style>
  <w:style w:styleId="Style_25_ch" w:type="character">
    <w:name w:val="Заголовок 11"/>
    <w:basedOn w:val="Style_16_ch"/>
    <w:link w:val="Style_25"/>
    <w:rPr>
      <w:b w:val="1"/>
      <w:sz w:val="32"/>
    </w:rPr>
  </w:style>
  <w:style w:styleId="Style_26" w:type="paragraph">
    <w:name w:val="_ТабШ"/>
    <w:basedOn w:val="Style_16"/>
    <w:link w:val="Style_26_ch"/>
    <w:pPr>
      <w:tabs>
        <w:tab w:leader="none" w:pos="1134" w:val="left"/>
        <w:tab w:leader="none" w:pos="3828" w:val="left"/>
      </w:tabs>
      <w:spacing w:after="0"/>
      <w:ind/>
      <w:jc w:val="center"/>
    </w:pPr>
    <w:rPr>
      <w:b w:val="1"/>
      <w:sz w:val="24"/>
    </w:rPr>
  </w:style>
  <w:style w:styleId="Style_26_ch" w:type="character">
    <w:name w:val="_ТабШ"/>
    <w:basedOn w:val="Style_16_ch"/>
    <w:link w:val="Style_26"/>
    <w:rPr>
      <w:b w:val="1"/>
      <w:sz w:val="24"/>
    </w:rPr>
  </w:style>
  <w:style w:styleId="Style_27" w:type="paragraph">
    <w:name w:val="Заголовок 3 Знак1"/>
    <w:basedOn w:val="Style_18"/>
    <w:link w:val="Style_27_ch"/>
    <w:rPr>
      <w:rFonts w:asciiTheme="majorAscii" w:hAnsiTheme="majorHAnsi"/>
      <w:color w:themeColor="accent1" w:themeShade="7F" w:val="203864"/>
      <w:sz w:val="24"/>
    </w:rPr>
  </w:style>
  <w:style w:styleId="Style_27_ch" w:type="character">
    <w:name w:val="Заголовок 3 Знак1"/>
    <w:basedOn w:val="Style_18_ch"/>
    <w:link w:val="Style_27"/>
    <w:rPr>
      <w:rFonts w:asciiTheme="majorAscii" w:hAnsiTheme="majorHAnsi"/>
      <w:color w:themeColor="accent1" w:themeShade="7F" w:val="203864"/>
      <w:sz w:val="24"/>
    </w:rPr>
  </w:style>
  <w:style w:styleId="Style_28" w:type="paragraph">
    <w:name w:val="_Абзац"/>
    <w:basedOn w:val="Style_16"/>
    <w:link w:val="Style_28_ch"/>
    <w:pPr>
      <w:widowControl w:val="0"/>
      <w:spacing w:after="0" w:line="360" w:lineRule="auto"/>
      <w:ind w:firstLine="851" w:left="0"/>
      <w:jc w:val="both"/>
    </w:pPr>
  </w:style>
  <w:style w:styleId="Style_28_ch" w:type="character">
    <w:name w:val="_Абзац"/>
    <w:basedOn w:val="Style_16_ch"/>
    <w:link w:val="Style_28"/>
  </w:style>
  <w:style w:styleId="Style_6" w:type="paragraph">
    <w:name w:val="toc 3"/>
    <w:basedOn w:val="Style_16"/>
    <w:next w:val="Style_16"/>
    <w:link w:val="Style_6_ch"/>
    <w:uiPriority w:val="39"/>
    <w:pPr>
      <w:widowControl w:val="0"/>
      <w:spacing w:after="100"/>
      <w:ind w:firstLine="0" w:left="400"/>
    </w:pPr>
    <w:rPr>
      <w:sz w:val="20"/>
    </w:rPr>
  </w:style>
  <w:style w:styleId="Style_6_ch" w:type="character">
    <w:name w:val="toc 3"/>
    <w:basedOn w:val="Style_16_ch"/>
    <w:link w:val="Style_6"/>
    <w:rPr>
      <w:sz w:val="20"/>
    </w:rPr>
  </w:style>
  <w:style w:styleId="Style_29" w:type="paragraph">
    <w:name w:val="Заголовок 1 Знак1"/>
    <w:basedOn w:val="Style_18"/>
    <w:link w:val="Style_29_ch"/>
    <w:rPr>
      <w:rFonts w:asciiTheme="majorAscii" w:hAnsiTheme="majorHAnsi"/>
      <w:color w:themeColor="accent1" w:themeShade="BF" w:val="2F5496"/>
      <w:sz w:val="32"/>
    </w:rPr>
  </w:style>
  <w:style w:styleId="Style_29_ch" w:type="character">
    <w:name w:val="Заголовок 1 Знак1"/>
    <w:basedOn w:val="Style_18_ch"/>
    <w:link w:val="Style_29"/>
    <w:rPr>
      <w:rFonts w:asciiTheme="majorAscii" w:hAnsiTheme="majorHAnsi"/>
      <w:color w:themeColor="accent1" w:themeShade="BF" w:val="2F5496"/>
      <w:sz w:val="32"/>
    </w:rPr>
  </w:style>
  <w:style w:styleId="Style_30" w:type="paragraph">
    <w:name w:val="heading 5"/>
    <w:next w:val="Style_16"/>
    <w:link w:val="Style_3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0_ch" w:type="character">
    <w:name w:val="heading 5"/>
    <w:link w:val="Style_30"/>
    <w:rPr>
      <w:rFonts w:ascii="XO Thames" w:hAnsi="XO Thames"/>
      <w:b w:val="1"/>
      <w:sz w:val="22"/>
    </w:rPr>
  </w:style>
  <w:style w:styleId="Style_31" w:type="paragraph">
    <w:name w:val="heading 1"/>
    <w:basedOn w:val="Style_16"/>
    <w:next w:val="Style_16"/>
    <w:link w:val="Style_31_ch"/>
    <w:uiPriority w:val="9"/>
    <w:qFormat/>
    <w:pPr>
      <w:keepNext w:val="1"/>
      <w:keepLines w:val="1"/>
      <w:spacing w:after="0" w:before="240"/>
      <w:ind/>
      <w:outlineLvl w:val="0"/>
    </w:pPr>
    <w:rPr>
      <w:b w:val="1"/>
      <w:sz w:val="32"/>
    </w:rPr>
  </w:style>
  <w:style w:styleId="Style_31_ch" w:type="character">
    <w:name w:val="heading 1"/>
    <w:basedOn w:val="Style_16_ch"/>
    <w:link w:val="Style_31"/>
    <w:rPr>
      <w:b w:val="1"/>
      <w:sz w:val="32"/>
    </w:rPr>
  </w:style>
  <w:style w:styleId="Style_32" w:type="paragraph">
    <w:name w:val="Hyperlink"/>
    <w:link w:val="Style_32_ch"/>
    <w:rPr>
      <w:color w:val="000080"/>
      <w:u w:val="single"/>
    </w:rPr>
  </w:style>
  <w:style w:styleId="Style_32_ch" w:type="character">
    <w:name w:val="Hyperlink"/>
    <w:link w:val="Style_32"/>
    <w:rPr>
      <w:color w:val="000080"/>
      <w:u w:val="single"/>
    </w:rPr>
  </w:style>
  <w:style w:styleId="Style_33" w:type="paragraph">
    <w:name w:val="Footnote"/>
    <w:link w:val="Style_33_ch"/>
    <w:pPr>
      <w:ind w:firstLine="851" w:left="0"/>
      <w:jc w:val="both"/>
    </w:pPr>
    <w:rPr>
      <w:rFonts w:ascii="XO Thames" w:hAnsi="XO Thames"/>
      <w:sz w:val="22"/>
    </w:rPr>
  </w:style>
  <w:style w:styleId="Style_33_ch" w:type="character">
    <w:name w:val="Footnote"/>
    <w:link w:val="Style_33"/>
    <w:rPr>
      <w:rFonts w:ascii="XO Thames" w:hAnsi="XO Thames"/>
      <w:sz w:val="22"/>
    </w:rPr>
  </w:style>
  <w:style w:styleId="Style_4" w:type="paragraph">
    <w:name w:val="toc 1"/>
    <w:basedOn w:val="Style_16"/>
    <w:next w:val="Style_16"/>
    <w:link w:val="Style_4_ch"/>
    <w:uiPriority w:val="39"/>
    <w:pPr>
      <w:widowControl w:val="0"/>
      <w:tabs>
        <w:tab w:leader="dot" w:pos="9638" w:val="right"/>
      </w:tabs>
      <w:spacing w:after="0" w:line="360" w:lineRule="auto"/>
      <w:ind/>
    </w:pPr>
    <w:rPr>
      <w:caps w:val="1"/>
    </w:rPr>
  </w:style>
  <w:style w:styleId="Style_4_ch" w:type="character">
    <w:name w:val="toc 1"/>
    <w:basedOn w:val="Style_16_ch"/>
    <w:link w:val="Style_4"/>
    <w:rPr>
      <w:caps w:val="1"/>
    </w:rPr>
  </w:style>
  <w:style w:styleId="Style_34" w:type="paragraph">
    <w:name w:val="Header and Footer"/>
    <w:link w:val="Style_34_ch"/>
    <w:pPr>
      <w:spacing w:line="240" w:lineRule="auto"/>
      <w:ind/>
      <w:jc w:val="both"/>
    </w:pPr>
    <w:rPr>
      <w:rFonts w:ascii="XO Thames" w:hAnsi="XO Thames"/>
      <w:sz w:val="20"/>
    </w:rPr>
  </w:style>
  <w:style w:styleId="Style_34_ch" w:type="character">
    <w:name w:val="Header and Footer"/>
    <w:link w:val="Style_34"/>
    <w:rPr>
      <w:rFonts w:ascii="XO Thames" w:hAnsi="XO Thames"/>
      <w:sz w:val="20"/>
    </w:rPr>
  </w:style>
  <w:style w:styleId="Style_8" w:type="paragraph">
    <w:name w:val="_ТабНом"/>
    <w:basedOn w:val="Style_16"/>
    <w:link w:val="Style_8_ch"/>
    <w:pPr>
      <w:tabs>
        <w:tab w:leader="none" w:pos="1134" w:val="left"/>
        <w:tab w:leader="none" w:pos="3828" w:val="left"/>
      </w:tabs>
      <w:spacing w:after="0"/>
      <w:ind w:firstLine="851" w:left="0"/>
      <w:jc w:val="right"/>
    </w:pPr>
    <w:rPr>
      <w:b w:val="1"/>
    </w:rPr>
  </w:style>
  <w:style w:styleId="Style_8_ch" w:type="character">
    <w:name w:val="_ТабНом"/>
    <w:basedOn w:val="Style_16_ch"/>
    <w:link w:val="Style_8"/>
    <w:rPr>
      <w:b w:val="1"/>
    </w:rPr>
  </w:style>
  <w:style w:styleId="Style_35" w:type="paragraph">
    <w:name w:val="toc 9"/>
    <w:next w:val="Style_16"/>
    <w:link w:val="Style_3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5_ch" w:type="character">
    <w:name w:val="toc 9"/>
    <w:link w:val="Style_35"/>
    <w:rPr>
      <w:rFonts w:ascii="XO Thames" w:hAnsi="XO Thames"/>
      <w:sz w:val="28"/>
    </w:rPr>
  </w:style>
  <w:style w:styleId="Style_36" w:type="paragraph">
    <w:name w:val="toc 8"/>
    <w:next w:val="Style_16"/>
    <w:link w:val="Style_3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6_ch" w:type="character">
    <w:name w:val="toc 8"/>
    <w:link w:val="Style_36"/>
    <w:rPr>
      <w:rFonts w:ascii="XO Thames" w:hAnsi="XO Thames"/>
      <w:sz w:val="28"/>
    </w:rPr>
  </w:style>
  <w:style w:styleId="Style_7" w:type="paragraph">
    <w:name w:val="_АБЗАЦ"/>
    <w:link w:val="Style_7_ch"/>
    <w:pPr>
      <w:spacing w:after="0" w:line="360" w:lineRule="auto"/>
      <w:ind w:firstLine="851" w:left="0"/>
      <w:jc w:val="both"/>
    </w:pPr>
    <w:rPr>
      <w:rFonts w:ascii="Times New Roman" w:hAnsi="Times New Roman"/>
      <w:color w:themeColor="text1" w:val="000000"/>
      <w:sz w:val="28"/>
    </w:rPr>
  </w:style>
  <w:style w:styleId="Style_7_ch" w:type="character">
    <w:name w:val="_АБЗАЦ"/>
    <w:link w:val="Style_7"/>
    <w:rPr>
      <w:rFonts w:ascii="Times New Roman" w:hAnsi="Times New Roman"/>
      <w:color w:themeColor="text1" w:val="000000"/>
      <w:sz w:val="28"/>
    </w:rPr>
  </w:style>
  <w:style w:styleId="Style_37" w:type="paragraph">
    <w:name w:val="Strong"/>
    <w:basedOn w:val="Style_18"/>
    <w:link w:val="Style_37_ch"/>
    <w:rPr>
      <w:b w:val="1"/>
    </w:rPr>
  </w:style>
  <w:style w:styleId="Style_37_ch" w:type="character">
    <w:name w:val="Strong"/>
    <w:basedOn w:val="Style_18_ch"/>
    <w:link w:val="Style_37"/>
    <w:rPr>
      <w:b w:val="1"/>
    </w:rPr>
  </w:style>
  <w:style w:styleId="Style_38" w:type="paragraph">
    <w:name w:val="Заголовок 21"/>
    <w:basedOn w:val="Style_16"/>
    <w:next w:val="Style_16"/>
    <w:link w:val="Style_38_ch"/>
    <w:pPr>
      <w:keepNext w:val="1"/>
      <w:keepLines w:val="1"/>
      <w:widowControl w:val="0"/>
      <w:spacing w:after="0"/>
      <w:ind/>
      <w:jc w:val="center"/>
      <w:outlineLvl w:val="1"/>
    </w:pPr>
    <w:rPr>
      <w:b w:val="1"/>
    </w:rPr>
  </w:style>
  <w:style w:styleId="Style_38_ch" w:type="character">
    <w:name w:val="Заголовок 21"/>
    <w:basedOn w:val="Style_16_ch"/>
    <w:link w:val="Style_38"/>
    <w:rPr>
      <w:b w:val="1"/>
    </w:rPr>
  </w:style>
  <w:style w:styleId="Style_39" w:type="paragraph">
    <w:name w:val="toc 5"/>
    <w:next w:val="Style_16"/>
    <w:link w:val="Style_3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9_ch" w:type="character">
    <w:name w:val="toc 5"/>
    <w:link w:val="Style_39"/>
    <w:rPr>
      <w:rFonts w:ascii="XO Thames" w:hAnsi="XO Thames"/>
      <w:sz w:val="28"/>
    </w:rPr>
  </w:style>
  <w:style w:styleId="Style_40" w:type="paragraph">
    <w:name w:val="Заголовок оглавления1"/>
    <w:basedOn w:val="Style_31"/>
    <w:next w:val="Style_16"/>
    <w:link w:val="Style_40_ch"/>
  </w:style>
  <w:style w:styleId="Style_40_ch" w:type="character">
    <w:name w:val="Заголовок оглавления1"/>
    <w:basedOn w:val="Style_31_ch"/>
    <w:link w:val="Style_40"/>
  </w:style>
  <w:style w:styleId="Style_41" w:type="paragraph">
    <w:name w:val="Заголовок 2 Знак1"/>
    <w:basedOn w:val="Style_18"/>
    <w:link w:val="Style_41_ch"/>
    <w:rPr>
      <w:rFonts w:asciiTheme="majorAscii" w:hAnsiTheme="majorHAnsi"/>
      <w:color w:themeColor="accent1" w:themeShade="BF" w:val="2F5496"/>
      <w:sz w:val="26"/>
    </w:rPr>
  </w:style>
  <w:style w:styleId="Style_41_ch" w:type="character">
    <w:name w:val="Заголовок 2 Знак1"/>
    <w:basedOn w:val="Style_18_ch"/>
    <w:link w:val="Style_41"/>
    <w:rPr>
      <w:rFonts w:asciiTheme="majorAscii" w:hAnsiTheme="majorHAnsi"/>
      <w:color w:themeColor="accent1" w:themeShade="BF" w:val="2F5496"/>
      <w:sz w:val="26"/>
    </w:rPr>
  </w:style>
  <w:style w:styleId="Style_12" w:type="paragraph">
    <w:name w:val="List Paragraph"/>
    <w:basedOn w:val="Style_16"/>
    <w:link w:val="Style_12_ch"/>
    <w:pPr>
      <w:widowControl w:val="0"/>
      <w:numPr>
        <w:numId w:val="11"/>
      </w:numPr>
      <w:tabs>
        <w:tab w:leader="none" w:pos="851" w:val="left"/>
      </w:tabs>
      <w:spacing w:after="0" w:line="360" w:lineRule="auto"/>
      <w:ind w:firstLine="851" w:left="0"/>
      <w:contextualSpacing w:val="1"/>
      <w:jc w:val="both"/>
    </w:pPr>
  </w:style>
  <w:style w:styleId="Style_12_ch" w:type="character">
    <w:name w:val="List Paragraph"/>
    <w:basedOn w:val="Style_16_ch"/>
    <w:link w:val="Style_12"/>
  </w:style>
  <w:style w:styleId="Style_42" w:type="paragraph">
    <w:name w:val="Subtitle"/>
    <w:next w:val="Style_16"/>
    <w:link w:val="Style_4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2_ch" w:type="character">
    <w:name w:val="Subtitle"/>
    <w:link w:val="Style_42"/>
    <w:rPr>
      <w:rFonts w:ascii="XO Thames" w:hAnsi="XO Thames"/>
      <w:i w:val="1"/>
      <w:sz w:val="24"/>
    </w:rPr>
  </w:style>
  <w:style w:styleId="Style_43" w:type="paragraph">
    <w:name w:val="Title"/>
    <w:next w:val="Style_16"/>
    <w:link w:val="Style_4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3_ch" w:type="character">
    <w:name w:val="Title"/>
    <w:link w:val="Style_43"/>
    <w:rPr>
      <w:rFonts w:ascii="XO Thames" w:hAnsi="XO Thames"/>
      <w:b w:val="1"/>
      <w:caps w:val="1"/>
      <w:sz w:val="40"/>
    </w:rPr>
  </w:style>
  <w:style w:styleId="Style_44" w:type="paragraph">
    <w:name w:val="heading 4"/>
    <w:next w:val="Style_16"/>
    <w:link w:val="Style_4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4_ch" w:type="character">
    <w:name w:val="heading 4"/>
    <w:link w:val="Style_44"/>
    <w:rPr>
      <w:rFonts w:ascii="XO Thames" w:hAnsi="XO Thames"/>
      <w:b w:val="1"/>
      <w:sz w:val="24"/>
    </w:rPr>
  </w:style>
  <w:style w:styleId="Style_45" w:type="paragraph">
    <w:name w:val="Balloon Text"/>
    <w:basedOn w:val="Style_16"/>
    <w:link w:val="Style_45_ch"/>
    <w:pPr>
      <w:widowControl w:val="0"/>
      <w:spacing w:after="0"/>
      <w:ind/>
    </w:pPr>
    <w:rPr>
      <w:rFonts w:ascii="Segoe UI" w:hAnsi="Segoe UI"/>
      <w:sz w:val="18"/>
    </w:rPr>
  </w:style>
  <w:style w:styleId="Style_45_ch" w:type="character">
    <w:name w:val="Balloon Text"/>
    <w:basedOn w:val="Style_16_ch"/>
    <w:link w:val="Style_45"/>
    <w:rPr>
      <w:rFonts w:ascii="Segoe UI" w:hAnsi="Segoe UI"/>
      <w:sz w:val="18"/>
    </w:rPr>
  </w:style>
  <w:style w:styleId="Style_46" w:type="paragraph">
    <w:name w:val="_АбзацВКР"/>
    <w:basedOn w:val="Style_16"/>
    <w:link w:val="Style_46_ch"/>
    <w:pPr>
      <w:spacing w:after="0" w:line="360" w:lineRule="auto"/>
      <w:ind w:firstLine="709" w:left="0"/>
      <w:jc w:val="both"/>
    </w:pPr>
    <w:rPr>
      <w:color w:val="000000"/>
    </w:rPr>
  </w:style>
  <w:style w:styleId="Style_46_ch" w:type="character">
    <w:name w:val="_АбзацВКР"/>
    <w:basedOn w:val="Style_16_ch"/>
    <w:link w:val="Style_46"/>
    <w:rPr>
      <w:color w:val="000000"/>
    </w:rPr>
  </w:style>
  <w:style w:styleId="Style_47" w:type="paragraph">
    <w:name w:val="heading 2"/>
    <w:basedOn w:val="Style_16"/>
    <w:next w:val="Style_16"/>
    <w:link w:val="Style_47_ch"/>
    <w:uiPriority w:val="9"/>
    <w:qFormat/>
    <w:pPr>
      <w:keepNext w:val="1"/>
      <w:keepLines w:val="1"/>
      <w:spacing w:after="0" w:before="40"/>
      <w:ind/>
      <w:outlineLvl w:val="1"/>
    </w:pPr>
    <w:rPr>
      <w:b w:val="1"/>
    </w:rPr>
  </w:style>
  <w:style w:styleId="Style_47_ch" w:type="character">
    <w:name w:val="heading 2"/>
    <w:basedOn w:val="Style_16_ch"/>
    <w:link w:val="Style_47"/>
    <w:rPr>
      <w:b w:val="1"/>
    </w:rPr>
  </w:style>
  <w:style w:styleId="Style_10" w:type="table">
    <w:name w:val="Сетка таблицы11"/>
    <w:basedOn w:val="Style_2"/>
    <w:pPr>
      <w:spacing w:after="0" w:line="240" w:lineRule="auto"/>
      <w:ind/>
    </w:pPr>
    <w:rPr>
      <w:rFonts w:ascii="Constantia" w:hAnsi="Constantia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8" w:type="table">
    <w:name w:val="Table1"/>
    <w:basedOn w:val="Style_2"/>
    <w:pPr>
      <w:spacing w:after="0" w:line="360" w:lineRule="auto"/>
      <w:ind w:firstLine="709" w:left="0"/>
      <w:jc w:val="both"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" w:type="table">
    <w:name w:val="Table Grid"/>
    <w:basedOn w:val="Style_2"/>
    <w:pPr>
      <w:spacing w:after="0" w:line="240" w:lineRule="auto"/>
      <w:ind/>
    </w:pPr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" w:type="table">
    <w:name w:val="Сетка таблицы21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9" w:type="table">
    <w:name w:val="Table Normal12"/>
    <w:pPr>
      <w:widowControl w:val="0"/>
      <w:spacing w:after="0" w:line="240" w:lineRule="auto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5" w:type="table">
    <w:name w:val="Сетка таблицы5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4" w:type="table">
    <w:name w:val="Сетка таблицы4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0" w:type="table">
    <w:name w:val="Сетка таблицы1"/>
    <w:basedOn w:val="Style_2"/>
    <w:pPr>
      <w:spacing w:after="0" w:line="240" w:lineRule="auto"/>
      <w:ind/>
    </w:pPr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1" w:type="table">
    <w:name w:val="Сетка таблицы12"/>
    <w:basedOn w:val="Style_2"/>
    <w:pPr>
      <w:spacing w:after="0" w:line="240" w:lineRule="auto"/>
      <w:ind/>
    </w:pPr>
    <w:rPr>
      <w:rFonts w:ascii="Constantia" w:hAnsi="Constantia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2" w:type="table">
    <w:name w:val="Сетка таблицы2"/>
    <w:basedOn w:val="Style_2"/>
    <w:pPr>
      <w:spacing w:after="0" w:line="240" w:lineRule="auto"/>
      <w:ind/>
    </w:pPr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51" Target="stylesWithEffects.xml" Type="http://schemas.microsoft.com/office/2007/relationships/stylesWithEffects"/>
  <Relationship Id="rId48" Target="fontTable.xml" Type="http://schemas.openxmlformats.org/officeDocument/2006/relationships/fontTable"/>
  <Relationship Id="rId47" Target="media/44.png" Type="http://schemas.openxmlformats.org/officeDocument/2006/relationships/image"/>
  <Relationship Id="rId45" Target="media/42.png" Type="http://schemas.openxmlformats.org/officeDocument/2006/relationships/image"/>
  <Relationship Id="rId44" Target="media/41.png" Type="http://schemas.openxmlformats.org/officeDocument/2006/relationships/image"/>
  <Relationship Id="rId49" Target="settings.xml" Type="http://schemas.openxmlformats.org/officeDocument/2006/relationships/settings"/>
  <Relationship Id="rId43" Target="media/40.png" Type="http://schemas.openxmlformats.org/officeDocument/2006/relationships/image"/>
  <Relationship Id="rId42" Target="media/39.png" Type="http://schemas.openxmlformats.org/officeDocument/2006/relationships/image"/>
  <Relationship Id="rId40" Target="media/37.png" Type="http://schemas.openxmlformats.org/officeDocument/2006/relationships/image"/>
  <Relationship Id="rId39" Target="media/36.png" Type="http://schemas.openxmlformats.org/officeDocument/2006/relationships/image"/>
  <Relationship Id="rId54" Target="numbering.xml" Type="http://schemas.openxmlformats.org/officeDocument/2006/relationships/numbering"/>
  <Relationship Id="rId38" Target="media/35.png" Type="http://schemas.openxmlformats.org/officeDocument/2006/relationships/image"/>
  <Relationship Id="rId41" Target="media/38.png" Type="http://schemas.openxmlformats.org/officeDocument/2006/relationships/image"/>
  <Relationship Id="rId36" Target="media/33.png" Type="http://schemas.openxmlformats.org/officeDocument/2006/relationships/image"/>
  <Relationship Id="rId35" Target="media/32.png" Type="http://schemas.openxmlformats.org/officeDocument/2006/relationships/image"/>
  <Relationship Id="rId34" Target="media/31.png" Type="http://schemas.openxmlformats.org/officeDocument/2006/relationships/image"/>
  <Relationship Id="rId33" Target="media/30.png" Type="http://schemas.openxmlformats.org/officeDocument/2006/relationships/image"/>
  <Relationship Id="rId29" Target="media/26.png" Type="http://schemas.openxmlformats.org/officeDocument/2006/relationships/image"/>
  <Relationship Id="rId28" Target="media/25.emf" Type="http://schemas.openxmlformats.org/officeDocument/2006/relationships/image"/>
  <Relationship Id="rId27" Target="media/24.jpeg" Type="http://schemas.openxmlformats.org/officeDocument/2006/relationships/image"/>
  <Relationship Id="rId52" Target="webSettings.xml" Type="http://schemas.openxmlformats.org/officeDocument/2006/relationships/webSettings"/>
  <Relationship Id="rId23" Target="media/20.emf" Type="http://schemas.openxmlformats.org/officeDocument/2006/relationships/image"/>
  <Relationship Id="rId22" Target="media/19.jpeg" Type="http://schemas.openxmlformats.org/officeDocument/2006/relationships/image"/>
  <Relationship Id="rId21" Target="media/18.png" Type="http://schemas.openxmlformats.org/officeDocument/2006/relationships/image"/>
  <Relationship Id="rId25" Target="media/22.emf" Type="http://schemas.openxmlformats.org/officeDocument/2006/relationships/image"/>
  <Relationship Id="rId13" Target="media/10.jpeg" Type="http://schemas.openxmlformats.org/officeDocument/2006/relationships/image"/>
  <Relationship Id="rId50" Target="styles.xml" Type="http://schemas.openxmlformats.org/officeDocument/2006/relationships/styles"/>
  <Relationship Id="rId11" Target="media/8.jpeg" Type="http://schemas.openxmlformats.org/officeDocument/2006/relationships/image"/>
  <Relationship Id="rId24" Target="media/21.emf" Type="http://schemas.openxmlformats.org/officeDocument/2006/relationships/image"/>
  <Relationship Id="rId10" Target="media/7.jpeg" Type="http://schemas.openxmlformats.org/officeDocument/2006/relationships/image"/>
  <Relationship Id="rId17" Target="media/14.jpeg" Type="http://schemas.openxmlformats.org/officeDocument/2006/relationships/image"/>
  <Relationship Id="rId18" Target="media/15.png" Type="http://schemas.openxmlformats.org/officeDocument/2006/relationships/image"/>
  <Relationship Id="rId26" Target="media/23.emf" Type="http://schemas.openxmlformats.org/officeDocument/2006/relationships/image"/>
  <Relationship Id="rId53" Target="theme/theme1.xml" Type="http://schemas.openxmlformats.org/officeDocument/2006/relationships/theme"/>
  <Relationship Id="rId15" Target="media/12.jpeg" Type="http://schemas.openxmlformats.org/officeDocument/2006/relationships/image"/>
  <Relationship Id="rId9" Target="media/6.png" Type="http://schemas.openxmlformats.org/officeDocument/2006/relationships/image"/>
  <Relationship Id="rId8" Target="media/5.png" Type="http://schemas.openxmlformats.org/officeDocument/2006/relationships/image"/>
  <Relationship Id="rId20" Target="media/17.png" Type="http://schemas.openxmlformats.org/officeDocument/2006/relationships/image"/>
  <Relationship Id="rId31" Target="media/28.png" Type="http://schemas.openxmlformats.org/officeDocument/2006/relationships/image"/>
  <Relationship Id="rId37" Target="media/34.png" Type="http://schemas.openxmlformats.org/officeDocument/2006/relationships/image"/>
  <Relationship Id="rId19" Target="media/16.png" Type="http://schemas.openxmlformats.org/officeDocument/2006/relationships/image"/>
  <Relationship Id="rId46" Target="media/43.png" Type="http://schemas.openxmlformats.org/officeDocument/2006/relationships/image"/>
  <Relationship Id="rId7" Target="media/4.png" Type="http://schemas.openxmlformats.org/officeDocument/2006/relationships/image"/>
  <Relationship Id="rId14" Target="media/11.jpeg" Type="http://schemas.openxmlformats.org/officeDocument/2006/relationships/image"/>
  <Relationship Id="rId6" Target="media/3.png" Type="http://schemas.openxmlformats.org/officeDocument/2006/relationships/image"/>
  <Relationship Id="rId5" Target="media/2.png" Type="http://schemas.openxmlformats.org/officeDocument/2006/relationships/image"/>
  <Relationship Id="rId16" Target="media/13.emf" Type="http://schemas.openxmlformats.org/officeDocument/2006/relationships/image"/>
  <Relationship Id="rId4" Target="media/1.jpeg" Type="http://schemas.openxmlformats.org/officeDocument/2006/relationships/image"/>
  <Relationship Id="rId12" Target="media/9.jpeg" Type="http://schemas.openxmlformats.org/officeDocument/2006/relationships/image"/>
  <Relationship Id="rId32" Target="media/29.png" Type="http://schemas.openxmlformats.org/officeDocument/2006/relationships/image"/>
  <Relationship Id="rId3" Target="footer3.xml" Type="http://schemas.openxmlformats.org/officeDocument/2006/relationships/footer"/>
  <Relationship Id="rId30" Target="media/27.png" Type="http://schemas.openxmlformats.org/officeDocument/2006/relationships/image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2026-09-01T08:02:13Z</dcterms:modified>
</cp:coreProperties>
</file>