
<file path=[Content_Types].xml><?xml version="1.0" encoding="utf-8"?>
<Types xmlns="http://schemas.openxmlformats.org/package/2006/content-types">
  <Default ContentType="image/png" Extension="png"/>
  <Default ContentType="image/svg+xml" Extension="sv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B000000">
      <w:pPr>
        <w:spacing w:line="240" w:lineRule="auto"/>
        <w:ind w:hanging="142" w:left="-567"/>
        <w:jc w:val="center"/>
        <w:rPr>
          <w:b w:val="1"/>
          <w:color w:val="000000"/>
          <w:spacing w:val="30"/>
          <w:sz w:val="26"/>
        </w:rPr>
      </w:pPr>
      <w:r>
        <w:rPr>
          <w:b w:val="1"/>
          <w:color w:val="000000"/>
          <w:spacing w:val="30"/>
          <w:sz w:val="26"/>
        </w:rPr>
        <w:t>Образовательная автономная некоммерческая организация</w:t>
      </w:r>
    </w:p>
    <w:p w14:paraId="0C000000">
      <w:pPr>
        <w:spacing w:line="240" w:lineRule="auto"/>
        <w:ind w:hanging="142" w:left="142"/>
        <w:jc w:val="center"/>
        <w:rPr>
          <w:b w:val="1"/>
          <w:color w:val="000000"/>
          <w:spacing w:val="40"/>
          <w:sz w:val="26"/>
        </w:rPr>
      </w:pPr>
      <w:r>
        <w:rPr>
          <w:b w:val="1"/>
          <w:color w:val="000000"/>
          <w:spacing w:val="40"/>
          <w:sz w:val="26"/>
        </w:rPr>
        <w:t>высшего образования</w:t>
      </w:r>
    </w:p>
    <w:p w14:paraId="0D000000">
      <w:pPr>
        <w:spacing w:line="240" w:lineRule="auto"/>
        <w:ind w:hanging="142" w:left="142"/>
        <w:jc w:val="center"/>
        <w:rPr>
          <w:b w:val="1"/>
          <w:color w:val="000000"/>
          <w:spacing w:val="40"/>
          <w:sz w:val="20"/>
        </w:rPr>
      </w:pPr>
    </w:p>
    <w:p w14:paraId="0E000000">
      <w:pPr>
        <w:spacing w:after="120" w:line="240" w:lineRule="auto"/>
        <w:ind w:hanging="142" w:left="-426"/>
        <w:jc w:val="center"/>
        <w:rPr>
          <w:b w:val="1"/>
          <w:color w:val="000000"/>
          <w:spacing w:val="40"/>
          <w:sz w:val="32"/>
        </w:rPr>
      </w:pPr>
      <w:r>
        <w:rPr>
          <w:b w:val="1"/>
          <w:color w:val="000000"/>
          <w:spacing w:val="40"/>
          <w:sz w:val="32"/>
        </w:rPr>
        <w:t>«МОСКОВСКИЙ ТЕХНОЛОГИЧЕСКИЙ ИНСТИТУТ»</w:t>
      </w:r>
    </w:p>
    <w:tbl>
      <w:tblPr>
        <w:tblStyle w:val="Style_3"/>
        <w:tblInd w:type="dxa" w:w="-426"/>
        <w:tblBorders>
          <w:top w:color="000000" w:sz="4" w:val="double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</w:tblPr>
      <w:tblGrid>
        <w:gridCol w:w="5035"/>
        <w:gridCol w:w="4605"/>
      </w:tblGrid>
      <w:tr>
        <w:tc>
          <w:tcPr>
            <w:tcW w:type="dxa" w:w="5035"/>
            <w:tcBorders>
              <w:top w:color="000000" w:sz="4" w:val="double"/>
              <w:left w:sz="4" w:val="nil"/>
              <w:bottom w:sz="4" w:val="nil"/>
              <w:right w:sz="4" w:val="nil"/>
            </w:tcBorders>
          </w:tcPr>
          <w:p w14:paraId="0F000000">
            <w:pPr>
              <w:spacing w:line="240" w:lineRule="auto"/>
              <w:ind w:firstLine="142" w:left="-389"/>
              <w:jc w:val="left"/>
              <w:rPr>
                <w:rFonts w:ascii="Calibri" w:hAnsi="Calibri"/>
                <w:b w:val="1"/>
                <w:color w:val="000000"/>
                <w:sz w:val="16"/>
              </w:rPr>
            </w:pPr>
          </w:p>
          <w:p w14:paraId="10000000">
            <w:pPr>
              <w:spacing w:line="240" w:lineRule="auto"/>
              <w:ind w:firstLine="142" w:left="-389"/>
              <w:jc w:val="left"/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4605"/>
            <w:tcBorders>
              <w:top w:color="000000" w:sz="4" w:val="double"/>
              <w:left w:sz="4" w:val="nil"/>
              <w:bottom w:sz="4" w:val="nil"/>
              <w:right w:sz="4" w:val="nil"/>
            </w:tcBorders>
          </w:tcPr>
          <w:p w14:paraId="11000000">
            <w:pPr>
              <w:spacing w:line="240" w:lineRule="auto"/>
              <w:ind w:firstLine="0" w:left="0"/>
              <w:jc w:val="right"/>
              <w:rPr>
                <w:b w:val="1"/>
                <w:color w:val="000000"/>
                <w:sz w:val="16"/>
              </w:rPr>
            </w:pPr>
          </w:p>
          <w:p w14:paraId="12000000">
            <w:pPr>
              <w:spacing w:line="240" w:lineRule="auto"/>
              <w:ind w:firstLine="0" w:left="0"/>
              <w:jc w:val="right"/>
              <w:rPr>
                <w:color w:val="000000"/>
                <w:sz w:val="16"/>
              </w:rPr>
            </w:pPr>
          </w:p>
        </w:tc>
      </w:tr>
    </w:tbl>
    <w:p w14:paraId="13000000">
      <w:pPr>
        <w:spacing w:line="240" w:lineRule="exact"/>
        <w:ind w:firstLine="0" w:left="0"/>
        <w:jc w:val="center"/>
        <w:rPr>
          <w:color w:val="000000"/>
          <w:sz w:val="20"/>
        </w:rPr>
      </w:pPr>
    </w:p>
    <w:p w14:paraId="14000000">
      <w:pPr>
        <w:spacing w:line="240" w:lineRule="exact"/>
        <w:ind w:firstLine="0" w:left="0"/>
        <w:jc w:val="center"/>
        <w:rPr>
          <w:color w:val="000000"/>
          <w:sz w:val="20"/>
        </w:rPr>
      </w:pPr>
    </w:p>
    <w:p w14:paraId="15000000">
      <w:pPr>
        <w:spacing w:line="240" w:lineRule="exact"/>
        <w:ind w:firstLine="0" w:left="0"/>
        <w:jc w:val="center"/>
        <w:rPr>
          <w:color w:val="000000"/>
          <w:sz w:val="20"/>
        </w:rPr>
      </w:pPr>
    </w:p>
    <w:p w14:paraId="16000000">
      <w:pPr>
        <w:spacing w:line="276" w:lineRule="auto"/>
        <w:ind w:firstLine="0" w:left="0"/>
        <w:jc w:val="center"/>
        <w:rPr>
          <w:color w:val="000000"/>
          <w:sz w:val="24"/>
        </w:rPr>
      </w:pPr>
    </w:p>
    <w:p w14:paraId="17000000">
      <w:pPr>
        <w:spacing w:line="276" w:lineRule="auto"/>
        <w:ind w:firstLine="0" w:left="0"/>
        <w:jc w:val="center"/>
        <w:rPr>
          <w:color w:val="000000"/>
          <w:sz w:val="24"/>
        </w:rPr>
      </w:pPr>
    </w:p>
    <w:tbl>
      <w:tblPr>
        <w:tblStyle w:val="Style_4"/>
        <w:tblLayout w:type="fixed"/>
      </w:tblPr>
      <w:tblGrid>
        <w:gridCol w:w="1762"/>
        <w:gridCol w:w="986"/>
        <w:gridCol w:w="1672"/>
        <w:gridCol w:w="4935"/>
      </w:tblGrid>
      <w:tr>
        <w:trPr>
          <w:trHeight w:hRule="atLeast" w:val="338"/>
        </w:trPr>
        <w:tc>
          <w:tcPr>
            <w:tcW w:type="dxa" w:w="1762"/>
            <w:shd w:fill="auto" w:val="clear"/>
          </w:tcPr>
          <w:p w14:paraId="18000000">
            <w:pPr>
              <w:spacing w:line="240" w:lineRule="auto"/>
              <w:ind w:firstLine="0" w:left="0"/>
              <w:jc w:val="left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Специальность</w:t>
            </w:r>
          </w:p>
        </w:tc>
        <w:tc>
          <w:tcPr>
            <w:tcW w:type="dxa" w:w="986"/>
            <w:tcBorders>
              <w:bottom w:color="000000" w:sz="4" w:val="single"/>
            </w:tcBorders>
            <w:shd w:fill="auto" w:val="clear"/>
          </w:tcPr>
          <w:p w14:paraId="19000000">
            <w:pPr>
              <w:spacing w:line="240" w:lineRule="auto"/>
              <w:ind w:firstLine="0" w:left="0"/>
              <w:jc w:val="center"/>
              <w:rPr>
                <w:b w:val="1"/>
                <w:i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15.01.22</w:t>
            </w:r>
          </w:p>
        </w:tc>
        <w:tc>
          <w:tcPr>
            <w:tcW w:type="dxa" w:w="1672"/>
            <w:shd w:fill="auto" w:val="clear"/>
          </w:tcPr>
          <w:p w14:paraId="1A000000">
            <w:pPr>
              <w:spacing w:line="240" w:lineRule="auto"/>
              <w:ind w:firstLine="0" w:left="0"/>
              <w:jc w:val="center"/>
              <w:rPr>
                <w:b w:val="1"/>
                <w:color w:val="000000"/>
                <w:sz w:val="22"/>
              </w:rPr>
            </w:pPr>
          </w:p>
        </w:tc>
        <w:tc>
          <w:tcPr>
            <w:tcW w:type="dxa" w:w="4935"/>
            <w:tcBorders>
              <w:bottom w:color="000000" w:sz="4" w:val="single"/>
            </w:tcBorders>
            <w:shd w:fill="auto" w:val="clear"/>
          </w:tcPr>
          <w:p w14:paraId="1B000000">
            <w:pPr>
              <w:spacing w:line="240" w:lineRule="auto"/>
              <w:ind w:firstLine="0" w:left="0"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Чертежник-конструктор</w:t>
            </w:r>
          </w:p>
        </w:tc>
      </w:tr>
      <w:tr>
        <w:trPr>
          <w:trHeight w:hRule="atLeast" w:val="291"/>
        </w:trPr>
        <w:tc>
          <w:tcPr>
            <w:tcW w:type="dxa" w:w="1762"/>
            <w:shd w:fill="auto" w:val="clear"/>
          </w:tcPr>
          <w:p w14:paraId="1C000000">
            <w:pPr>
              <w:spacing w:line="240" w:lineRule="auto"/>
              <w:ind w:firstLine="0" w:left="0"/>
              <w:jc w:val="left"/>
              <w:rPr>
                <w:b w:val="1"/>
                <w:color w:val="000000"/>
                <w:sz w:val="22"/>
              </w:rPr>
            </w:pPr>
          </w:p>
        </w:tc>
        <w:tc>
          <w:tcPr>
            <w:tcW w:type="dxa" w:w="986"/>
            <w:tcBorders>
              <w:top w:color="000000" w:sz="4" w:val="single"/>
            </w:tcBorders>
            <w:shd w:fill="auto" w:val="clear"/>
          </w:tcPr>
          <w:p w14:paraId="1D000000">
            <w:pPr>
              <w:spacing w:line="240" w:lineRule="auto"/>
              <w:ind w:firstLine="0" w:left="0"/>
              <w:jc w:val="center"/>
              <w:rPr>
                <w:color w:val="000000"/>
                <w:sz w:val="22"/>
              </w:rPr>
            </w:pPr>
            <w:r>
              <w:rPr>
                <w:i w:val="1"/>
                <w:color w:val="000000"/>
                <w:sz w:val="22"/>
                <w:vertAlign w:val="superscript"/>
              </w:rPr>
              <w:t>(код)</w:t>
            </w:r>
          </w:p>
        </w:tc>
        <w:tc>
          <w:tcPr>
            <w:tcW w:type="dxa" w:w="1672"/>
            <w:shd w:fill="auto" w:val="clear"/>
          </w:tcPr>
          <w:p w14:paraId="1E000000">
            <w:pPr>
              <w:spacing w:line="240" w:lineRule="auto"/>
              <w:ind w:firstLine="0" w:left="0"/>
              <w:jc w:val="left"/>
              <w:rPr>
                <w:b w:val="1"/>
                <w:color w:val="000000"/>
                <w:sz w:val="22"/>
              </w:rPr>
            </w:pPr>
          </w:p>
        </w:tc>
        <w:tc>
          <w:tcPr>
            <w:tcW w:type="dxa" w:w="4935"/>
            <w:tcBorders>
              <w:top w:color="000000" w:sz="4" w:val="single"/>
            </w:tcBorders>
            <w:shd w:fill="auto" w:val="clear"/>
          </w:tcPr>
          <w:p w14:paraId="1F000000">
            <w:pPr>
              <w:spacing w:line="240" w:lineRule="auto"/>
              <w:ind w:firstLine="0" w:left="0"/>
              <w:jc w:val="center"/>
              <w:rPr>
                <w:color w:val="000000"/>
                <w:sz w:val="22"/>
              </w:rPr>
            </w:pPr>
            <w:r>
              <w:rPr>
                <w:i w:val="1"/>
                <w:color w:val="000000"/>
                <w:sz w:val="22"/>
                <w:vertAlign w:val="superscript"/>
              </w:rPr>
              <w:t>(наименование)</w:t>
            </w:r>
          </w:p>
        </w:tc>
      </w:tr>
    </w:tbl>
    <w:p w14:paraId="20000000">
      <w:pPr>
        <w:spacing w:line="276" w:lineRule="auto"/>
        <w:ind w:firstLine="0" w:left="0"/>
        <w:jc w:val="right"/>
        <w:rPr>
          <w:color w:val="000000"/>
          <w:sz w:val="24"/>
        </w:rPr>
      </w:pPr>
    </w:p>
    <w:p w14:paraId="21000000">
      <w:pPr>
        <w:spacing w:line="276" w:lineRule="auto"/>
        <w:ind w:firstLine="0" w:left="0"/>
        <w:jc w:val="center"/>
        <w:rPr>
          <w:color w:val="000000"/>
          <w:sz w:val="24"/>
        </w:rPr>
      </w:pPr>
    </w:p>
    <w:p w14:paraId="22000000">
      <w:pPr>
        <w:spacing w:line="276" w:lineRule="auto"/>
        <w:ind w:firstLine="0" w:left="0"/>
        <w:jc w:val="center"/>
        <w:rPr>
          <w:color w:val="000000"/>
          <w:sz w:val="24"/>
        </w:rPr>
      </w:pPr>
    </w:p>
    <w:p w14:paraId="23000000">
      <w:pPr>
        <w:spacing w:line="276" w:lineRule="auto"/>
        <w:ind w:firstLine="0" w:left="0"/>
        <w:jc w:val="center"/>
        <w:rPr>
          <w:color w:val="000000"/>
          <w:sz w:val="24"/>
        </w:rPr>
      </w:pPr>
    </w:p>
    <w:p w14:paraId="24000000">
      <w:pPr>
        <w:keepNext w:val="1"/>
        <w:widowControl w:val="0"/>
        <w:spacing w:line="300" w:lineRule="auto"/>
        <w:ind w:firstLine="0" w:left="0"/>
        <w:jc w:val="center"/>
        <w:outlineLvl w:val="3"/>
        <w:rPr>
          <w:b w:val="1"/>
          <w:caps w:val="1"/>
          <w:color w:val="000000"/>
          <w:sz w:val="24"/>
        </w:rPr>
      </w:pPr>
      <w:r>
        <w:rPr>
          <w:b w:val="1"/>
          <w:caps w:val="1"/>
          <w:color w:val="000000"/>
          <w:sz w:val="24"/>
        </w:rPr>
        <w:t>выпускная квалификационная работа</w:t>
      </w:r>
    </w:p>
    <w:tbl>
      <w:tblPr>
        <w:tblStyle w:val="Style_4"/>
        <w:tblLayout w:type="fixed"/>
      </w:tblPr>
      <w:tblGrid>
        <w:gridCol w:w="2017"/>
        <w:gridCol w:w="7338"/>
      </w:tblGrid>
      <w:tr>
        <w:trPr>
          <w:trHeight w:hRule="atLeast" w:val="525"/>
        </w:trPr>
        <w:tc>
          <w:tcPr>
            <w:tcW w:type="dxa" w:w="2017"/>
            <w:vAlign w:val="center"/>
          </w:tcPr>
          <w:p w14:paraId="25000000">
            <w:pPr>
              <w:keepNext w:val="1"/>
              <w:widowControl w:val="0"/>
              <w:spacing w:line="240" w:lineRule="auto"/>
              <w:ind w:firstLine="697" w:left="0"/>
              <w:jc w:val="left"/>
              <w:outlineLvl w:val="3"/>
              <w:rPr>
                <w:b w:val="1"/>
                <w:color w:val="000000"/>
                <w:sz w:val="24"/>
              </w:rPr>
            </w:pPr>
          </w:p>
          <w:p w14:paraId="26000000">
            <w:pPr>
              <w:keepNext w:val="1"/>
              <w:widowControl w:val="0"/>
              <w:spacing w:line="240" w:lineRule="auto"/>
              <w:ind w:firstLine="697" w:left="0"/>
              <w:jc w:val="left"/>
              <w:outlineLvl w:val="3"/>
              <w:rPr>
                <w:b w:val="1"/>
                <w:caps w:val="1"/>
                <w:color w:val="000000"/>
                <w:sz w:val="24"/>
              </w:rPr>
            </w:pPr>
          </w:p>
        </w:tc>
        <w:tc>
          <w:tcPr>
            <w:tcW w:type="dxa" w:w="7338"/>
            <w:vAlign w:val="center"/>
          </w:tcPr>
          <w:p w14:paraId="27000000">
            <w:pPr>
              <w:keepNext w:val="1"/>
              <w:widowControl w:val="0"/>
              <w:spacing w:line="240" w:lineRule="auto"/>
              <w:ind w:firstLine="0" w:left="0"/>
              <w:jc w:val="center"/>
              <w:outlineLvl w:val="3"/>
              <w:rPr>
                <w:b w:val="1"/>
                <w:caps w:val="1"/>
                <w:color w:val="000000"/>
                <w:sz w:val="24"/>
              </w:rPr>
            </w:pPr>
          </w:p>
        </w:tc>
      </w:tr>
      <w:tr>
        <w:trPr>
          <w:trHeight w:hRule="atLeast" w:val="288"/>
        </w:trPr>
        <w:tc>
          <w:tcPr>
            <w:tcW w:type="dxa" w:w="2017"/>
            <w:vAlign w:val="center"/>
          </w:tcPr>
          <w:p w14:paraId="28000000">
            <w:pPr>
              <w:keepNext w:val="1"/>
              <w:widowControl w:val="0"/>
              <w:spacing w:line="240" w:lineRule="auto"/>
              <w:ind w:firstLine="697" w:left="0"/>
              <w:jc w:val="left"/>
              <w:outlineLvl w:val="3"/>
              <w:rPr>
                <w:b w:val="1"/>
                <w:color w:val="000000"/>
                <w:sz w:val="24"/>
              </w:rPr>
            </w:pPr>
            <w:r>
              <w:rPr>
                <w:b w:val="1"/>
                <w:color w:val="000000"/>
                <w:sz w:val="24"/>
              </w:rPr>
              <w:t>на тему</w:t>
            </w:r>
          </w:p>
        </w:tc>
        <w:tc>
          <w:tcPr>
            <w:tcW w:type="dxa" w:w="7338"/>
            <w:tcBorders>
              <w:bottom w:color="000000" w:sz="4" w:val="single"/>
            </w:tcBorders>
            <w:vAlign w:val="center"/>
          </w:tcPr>
          <w:p w14:paraId="29000000">
            <w:pPr>
              <w:keepNext w:val="1"/>
              <w:widowControl w:val="0"/>
              <w:spacing w:line="240" w:lineRule="auto"/>
              <w:ind w:firstLine="0" w:left="0"/>
              <w:jc w:val="center"/>
              <w:outlineLvl w:val="3"/>
              <w:rPr>
                <w:b w:val="1"/>
                <w:caps w:val="1"/>
                <w:color w:val="000000"/>
                <w:sz w:val="24"/>
              </w:rPr>
            </w:pPr>
            <w:r>
              <w:rPr>
                <w:b w:val="1"/>
                <w:caps w:val="1"/>
                <w:color w:val="000000"/>
                <w:sz w:val="24"/>
              </w:rPr>
              <w:t xml:space="preserve">Совершенствование технологического </w:t>
            </w:r>
          </w:p>
        </w:tc>
      </w:tr>
      <w:tr>
        <w:trPr>
          <w:trHeight w:hRule="atLeast" w:val="20"/>
        </w:trPr>
        <w:tc>
          <w:tcPr>
            <w:tcW w:type="dxa" w:w="9355"/>
            <w:gridSpan w:val="2"/>
            <w:tcBorders>
              <w:bottom w:color="000000" w:sz="4" w:val="single"/>
            </w:tcBorders>
            <w:vAlign w:val="center"/>
          </w:tcPr>
          <w:p w14:paraId="2A000000">
            <w:pPr>
              <w:spacing w:line="240" w:lineRule="auto"/>
              <w:ind w:firstLine="0" w:left="0"/>
              <w:jc w:val="center"/>
              <w:rPr>
                <w:b w:val="1"/>
                <w:caps w:val="1"/>
                <w:color w:val="000000"/>
                <w:sz w:val="24"/>
              </w:rPr>
            </w:pPr>
            <w:r>
              <w:rPr>
                <w:b w:val="1"/>
                <w:caps w:val="1"/>
                <w:color w:val="000000"/>
                <w:sz w:val="24"/>
              </w:rPr>
              <w:t xml:space="preserve">ПРОЦЕССА МЕХАНИЧЕСКОЙ ОБРАБОТКИ ДЕТАЛИ «УГЛОВОЙ КОРПУС </w:t>
            </w:r>
          </w:p>
        </w:tc>
      </w:tr>
      <w:tr>
        <w:trPr>
          <w:trHeight w:hRule="atLeast" w:val="20"/>
        </w:trPr>
        <w:tc>
          <w:tcPr>
            <w:tcW w:type="dxa" w:w="9355"/>
            <w:gridSpan w:val="2"/>
            <w:tcBorders>
              <w:top w:color="000000" w:sz="4" w:val="single"/>
              <w:bottom w:color="000000" w:sz="4" w:val="single"/>
            </w:tcBorders>
            <w:vAlign w:val="center"/>
          </w:tcPr>
          <w:p w14:paraId="2B000000">
            <w:pPr>
              <w:spacing w:line="240" w:lineRule="auto"/>
              <w:ind w:firstLine="0" w:left="0"/>
              <w:jc w:val="center"/>
              <w:rPr>
                <w:b w:val="1"/>
                <w:caps w:val="1"/>
                <w:color w:val="000000"/>
                <w:sz w:val="24"/>
              </w:rPr>
            </w:pPr>
            <w:r>
              <w:rPr>
                <w:b w:val="1"/>
                <w:caps w:val="1"/>
                <w:color w:val="000000"/>
                <w:sz w:val="24"/>
              </w:rPr>
              <w:t>ПОДШИПНИКА» ООО «ЧЕТВЕРТЫЙ ПОДШИПНИКОВЫЙ ЗАВОД»</w:t>
            </w:r>
          </w:p>
        </w:tc>
      </w:tr>
    </w:tbl>
    <w:p w14:paraId="2C000000">
      <w:pPr>
        <w:spacing w:line="276" w:lineRule="auto"/>
        <w:ind w:firstLine="0" w:left="0"/>
        <w:jc w:val="center"/>
        <w:rPr>
          <w:color w:val="000000"/>
          <w:sz w:val="24"/>
        </w:rPr>
      </w:pPr>
    </w:p>
    <w:p w14:paraId="2D000000">
      <w:pPr>
        <w:spacing w:line="276" w:lineRule="auto"/>
        <w:ind w:firstLine="0" w:left="0"/>
        <w:jc w:val="center"/>
        <w:rPr>
          <w:color w:val="000000"/>
          <w:sz w:val="24"/>
        </w:rPr>
      </w:pPr>
    </w:p>
    <w:p w14:paraId="2E000000">
      <w:pPr>
        <w:spacing w:line="276" w:lineRule="auto"/>
        <w:ind w:firstLine="0" w:left="0"/>
        <w:jc w:val="center"/>
        <w:rPr>
          <w:color w:val="808000"/>
          <w:sz w:val="24"/>
        </w:rPr>
      </w:pPr>
    </w:p>
    <w:p w14:paraId="2F000000">
      <w:pPr>
        <w:spacing w:line="276" w:lineRule="auto"/>
        <w:ind w:firstLine="0" w:left="0"/>
        <w:jc w:val="center"/>
        <w:rPr>
          <w:color w:val="808000"/>
          <w:sz w:val="24"/>
        </w:rPr>
      </w:pPr>
    </w:p>
    <w:p w14:paraId="30000000">
      <w:pPr>
        <w:spacing w:line="276" w:lineRule="auto"/>
        <w:ind w:firstLine="0" w:left="0"/>
        <w:jc w:val="center"/>
        <w:rPr>
          <w:color w:val="000000"/>
          <w:sz w:val="24"/>
        </w:rPr>
      </w:pPr>
    </w:p>
    <w:tbl>
      <w:tblPr>
        <w:tblStyle w:val="Style_4"/>
        <w:tblLayout w:type="fixed"/>
      </w:tblPr>
      <w:tblGrid>
        <w:gridCol w:w="2646"/>
        <w:gridCol w:w="3907"/>
        <w:gridCol w:w="516"/>
        <w:gridCol w:w="2286"/>
      </w:tblGrid>
      <w:tr>
        <w:trPr>
          <w:trHeight w:hRule="atLeast" w:val="629"/>
        </w:trPr>
        <w:tc>
          <w:tcPr>
            <w:tcW w:type="dxa" w:w="2646"/>
            <w:shd w:fill="auto" w:val="clear"/>
            <w:vAlign w:val="bottom"/>
          </w:tcPr>
          <w:p w14:paraId="31000000">
            <w:pPr>
              <w:spacing w:line="240" w:lineRule="auto"/>
              <w:ind w:firstLine="0" w:left="0"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Обучающийся </w:t>
            </w:r>
          </w:p>
        </w:tc>
        <w:tc>
          <w:tcPr>
            <w:tcW w:type="dxa" w:w="3907"/>
            <w:tcBorders>
              <w:bottom w:color="000000" w:sz="4" w:val="single"/>
            </w:tcBorders>
            <w:shd w:fill="auto" w:val="clear"/>
            <w:vAlign w:val="bottom"/>
          </w:tcPr>
          <w:p w14:paraId="32000000">
            <w:pPr>
              <w:spacing w:line="240" w:lineRule="auto"/>
              <w:ind w:firstLine="0" w:left="0"/>
              <w:jc w:val="center"/>
              <w:rPr>
                <w:b w:val="1"/>
                <w:color w:val="000000"/>
                <w:sz w:val="24"/>
              </w:rPr>
            </w:pPr>
          </w:p>
        </w:tc>
        <w:tc>
          <w:tcPr>
            <w:tcW w:type="dxa" w:w="516"/>
            <w:shd w:fill="auto" w:val="clear"/>
            <w:vAlign w:val="bottom"/>
          </w:tcPr>
          <w:p w14:paraId="33000000">
            <w:pPr>
              <w:spacing w:line="240" w:lineRule="auto"/>
              <w:ind w:firstLine="240" w:left="0"/>
              <w:jc w:val="left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z w:val="24"/>
              </w:rPr>
              <w:t> </w:t>
            </w:r>
          </w:p>
        </w:tc>
        <w:tc>
          <w:tcPr>
            <w:tcW w:type="dxa" w:w="2286"/>
            <w:shd w:fill="auto" w:val="clear"/>
            <w:vAlign w:val="bottom"/>
          </w:tcPr>
          <w:p w14:paraId="34000000">
            <w:pPr>
              <w:spacing w:line="240" w:lineRule="auto"/>
              <w:ind w:firstLine="0" w:left="0"/>
              <w:jc w:val="center"/>
              <w:rPr>
                <w:b w:val="1"/>
                <w:i w:val="1"/>
                <w:color w:val="000000"/>
                <w:sz w:val="24"/>
              </w:rPr>
            </w:pPr>
            <w:r>
              <w:rPr>
                <w:b w:val="1"/>
                <w:i w:val="1"/>
                <w:color w:val="000000"/>
                <w:sz w:val="24"/>
              </w:rPr>
              <w:t>_____________</w:t>
            </w:r>
          </w:p>
        </w:tc>
      </w:tr>
      <w:tr>
        <w:trPr>
          <w:trHeight w:hRule="atLeast" w:val="195"/>
        </w:trPr>
        <w:tc>
          <w:tcPr>
            <w:tcW w:type="dxa" w:w="2646"/>
            <w:shd w:fill="auto" w:val="clear"/>
            <w:vAlign w:val="bottom"/>
          </w:tcPr>
          <w:p w14:paraId="35000000">
            <w:pPr>
              <w:spacing w:line="240" w:lineRule="auto"/>
              <w:ind w:firstLine="0" w:left="0"/>
              <w:jc w:val="right"/>
              <w:rPr>
                <w:color w:val="000000"/>
                <w:sz w:val="24"/>
              </w:rPr>
            </w:pPr>
          </w:p>
        </w:tc>
        <w:tc>
          <w:tcPr>
            <w:tcW w:type="dxa" w:w="3907"/>
            <w:tcBorders>
              <w:top w:color="000000" w:sz="4" w:val="single"/>
            </w:tcBorders>
            <w:shd w:fill="auto" w:val="clear"/>
          </w:tcPr>
          <w:p w14:paraId="36000000">
            <w:pPr>
              <w:spacing w:line="240" w:lineRule="auto"/>
              <w:ind w:firstLine="0" w:left="0"/>
              <w:jc w:val="center"/>
              <w:rPr>
                <w:i w:val="1"/>
                <w:color w:val="000000"/>
                <w:sz w:val="16"/>
              </w:rPr>
            </w:pPr>
            <w:r>
              <w:rPr>
                <w:i w:val="1"/>
                <w:color w:val="000000"/>
                <w:sz w:val="16"/>
              </w:rPr>
              <w:t>(Ф.И.О. полностью)</w:t>
            </w:r>
          </w:p>
        </w:tc>
        <w:tc>
          <w:tcPr>
            <w:tcW w:type="dxa" w:w="516"/>
            <w:shd w:fill="auto" w:val="clear"/>
          </w:tcPr>
          <w:p w14:paraId="37000000">
            <w:pPr>
              <w:spacing w:line="240" w:lineRule="auto"/>
              <w:ind w:firstLine="0" w:left="0"/>
              <w:jc w:val="center"/>
              <w:rPr>
                <w:i w:val="1"/>
                <w:color w:val="000000"/>
                <w:sz w:val="16"/>
              </w:rPr>
            </w:pPr>
          </w:p>
        </w:tc>
        <w:tc>
          <w:tcPr>
            <w:tcW w:type="dxa" w:w="2286"/>
            <w:shd w:fill="auto" w:val="clear"/>
          </w:tcPr>
          <w:p w14:paraId="38000000">
            <w:pPr>
              <w:spacing w:line="240" w:lineRule="auto"/>
              <w:ind w:firstLine="0" w:left="0"/>
              <w:jc w:val="center"/>
              <w:rPr>
                <w:i w:val="1"/>
                <w:color w:val="000000"/>
                <w:sz w:val="16"/>
              </w:rPr>
            </w:pPr>
            <w:r>
              <w:rPr>
                <w:i w:val="1"/>
                <w:color w:val="000000"/>
                <w:sz w:val="16"/>
              </w:rPr>
              <w:t>подпись</w:t>
            </w:r>
          </w:p>
        </w:tc>
      </w:tr>
      <w:tr>
        <w:trPr>
          <w:trHeight w:hRule="atLeast" w:val="629"/>
        </w:trPr>
        <w:tc>
          <w:tcPr>
            <w:tcW w:type="dxa" w:w="2646"/>
            <w:shd w:fill="auto" w:val="clear"/>
            <w:vAlign w:val="bottom"/>
          </w:tcPr>
          <w:p w14:paraId="39000000">
            <w:pPr>
              <w:spacing w:line="240" w:lineRule="auto"/>
              <w:ind w:firstLine="0" w:left="0"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Руководитель </w:t>
            </w:r>
          </w:p>
        </w:tc>
        <w:tc>
          <w:tcPr>
            <w:tcW w:type="dxa" w:w="3907"/>
            <w:tcBorders>
              <w:bottom w:color="000000" w:sz="4" w:val="single"/>
            </w:tcBorders>
            <w:shd w:fill="auto" w:val="clear"/>
            <w:vAlign w:val="bottom"/>
          </w:tcPr>
          <w:p/>
        </w:tc>
        <w:tc>
          <w:tcPr>
            <w:tcW w:type="dxa" w:w="516"/>
            <w:shd w:fill="auto" w:val="clear"/>
            <w:vAlign w:val="bottom"/>
          </w:tcPr>
          <w:p w14:paraId="3A000000">
            <w:pPr>
              <w:spacing w:line="240" w:lineRule="auto"/>
              <w:ind w:firstLine="160" w:left="0"/>
              <w:jc w:val="left"/>
              <w:rPr>
                <w:i w:val="1"/>
                <w:color w:val="000000"/>
                <w:sz w:val="16"/>
              </w:rPr>
            </w:pPr>
            <w:r>
              <w:rPr>
                <w:i w:val="1"/>
                <w:color w:val="000000"/>
                <w:sz w:val="16"/>
              </w:rPr>
              <w:t> </w:t>
            </w:r>
          </w:p>
        </w:tc>
        <w:tc>
          <w:tcPr>
            <w:tcW w:type="dxa" w:w="2286"/>
            <w:shd w:fill="auto" w:val="clear"/>
            <w:vAlign w:val="bottom"/>
          </w:tcPr>
          <w:p w14:paraId="3B000000">
            <w:pPr>
              <w:spacing w:line="240" w:lineRule="auto"/>
              <w:ind w:firstLine="0" w:left="0"/>
              <w:jc w:val="center"/>
              <w:rPr>
                <w:b w:val="1"/>
                <w:i w:val="1"/>
                <w:color w:val="000000"/>
                <w:sz w:val="16"/>
              </w:rPr>
            </w:pPr>
            <w:r>
              <w:rPr>
                <w:b w:val="1"/>
                <w:i w:val="1"/>
                <w:color w:val="000000"/>
                <w:sz w:val="16"/>
              </w:rPr>
              <w:t>_____________</w:t>
            </w:r>
          </w:p>
        </w:tc>
      </w:tr>
      <w:tr>
        <w:trPr>
          <w:trHeight w:hRule="atLeast" w:val="195"/>
        </w:trPr>
        <w:tc>
          <w:tcPr>
            <w:tcW w:type="dxa" w:w="2646"/>
            <w:shd w:fill="auto" w:val="clear"/>
            <w:vAlign w:val="bottom"/>
          </w:tcPr>
          <w:p w14:paraId="3C000000">
            <w:pPr>
              <w:spacing w:line="240" w:lineRule="auto"/>
              <w:ind w:firstLine="0" w:left="0"/>
              <w:jc w:val="right"/>
              <w:rPr>
                <w:color w:val="000000"/>
                <w:sz w:val="24"/>
              </w:rPr>
            </w:pPr>
          </w:p>
        </w:tc>
        <w:tc>
          <w:tcPr>
            <w:tcW w:type="dxa" w:w="3907"/>
            <w:tcBorders>
              <w:top w:color="000000" w:sz="4" w:val="single"/>
            </w:tcBorders>
            <w:shd w:fill="auto" w:val="clear"/>
          </w:tcPr>
          <w:p w14:paraId="3D000000">
            <w:pPr>
              <w:spacing w:line="240" w:lineRule="auto"/>
              <w:ind w:firstLine="0" w:left="0"/>
              <w:jc w:val="center"/>
              <w:rPr>
                <w:i w:val="1"/>
                <w:color w:val="000000"/>
                <w:sz w:val="16"/>
              </w:rPr>
            </w:pPr>
            <w:r>
              <w:rPr>
                <w:i w:val="1"/>
                <w:color w:val="000000"/>
                <w:sz w:val="16"/>
              </w:rPr>
              <w:t>(Ф.И.О. полностью)</w:t>
            </w:r>
          </w:p>
        </w:tc>
        <w:tc>
          <w:tcPr>
            <w:tcW w:type="dxa" w:w="516"/>
            <w:shd w:fill="auto" w:val="clear"/>
          </w:tcPr>
          <w:p w14:paraId="3E000000">
            <w:pPr>
              <w:spacing w:line="240" w:lineRule="auto"/>
              <w:ind w:firstLine="0" w:left="0"/>
              <w:jc w:val="center"/>
              <w:rPr>
                <w:i w:val="1"/>
                <w:color w:val="000000"/>
                <w:sz w:val="16"/>
              </w:rPr>
            </w:pPr>
          </w:p>
        </w:tc>
        <w:tc>
          <w:tcPr>
            <w:tcW w:type="dxa" w:w="2286"/>
            <w:shd w:fill="auto" w:val="clear"/>
          </w:tcPr>
          <w:p w14:paraId="3F000000">
            <w:pPr>
              <w:spacing w:line="240" w:lineRule="auto"/>
              <w:ind w:firstLine="0" w:left="0"/>
              <w:jc w:val="center"/>
              <w:rPr>
                <w:i w:val="1"/>
                <w:color w:val="000000"/>
                <w:sz w:val="16"/>
              </w:rPr>
            </w:pPr>
            <w:r>
              <w:rPr>
                <w:i w:val="1"/>
                <w:color w:val="000000"/>
                <w:sz w:val="16"/>
              </w:rPr>
              <w:t>подпись</w:t>
            </w:r>
          </w:p>
        </w:tc>
      </w:tr>
    </w:tbl>
    <w:p w14:paraId="40000000">
      <w:pPr>
        <w:spacing w:line="276" w:lineRule="auto"/>
        <w:ind w:firstLine="0" w:left="0"/>
        <w:jc w:val="center"/>
        <w:rPr>
          <w:color w:val="000000"/>
          <w:sz w:val="24"/>
        </w:rPr>
      </w:pPr>
    </w:p>
    <w:p w14:paraId="41000000">
      <w:pPr>
        <w:spacing w:line="276" w:lineRule="auto"/>
        <w:ind w:firstLine="0" w:left="0"/>
        <w:jc w:val="center"/>
        <w:rPr>
          <w:b w:val="1"/>
          <w:color w:val="000000"/>
          <w:sz w:val="24"/>
        </w:rPr>
      </w:pPr>
    </w:p>
    <w:p w14:paraId="42000000">
      <w:pPr>
        <w:spacing w:line="276" w:lineRule="auto"/>
        <w:ind w:firstLine="0" w:left="0"/>
        <w:jc w:val="center"/>
        <w:rPr>
          <w:b w:val="1"/>
          <w:color w:val="000000"/>
          <w:sz w:val="24"/>
        </w:rPr>
      </w:pPr>
    </w:p>
    <w:p w14:paraId="43000000">
      <w:pPr>
        <w:spacing w:line="276" w:lineRule="auto"/>
        <w:ind w:firstLine="0" w:left="0"/>
        <w:jc w:val="center"/>
        <w:rPr>
          <w:b w:val="1"/>
          <w:color w:val="000000"/>
          <w:sz w:val="24"/>
        </w:rPr>
      </w:pPr>
    </w:p>
    <w:p w14:paraId="44000000">
      <w:pPr>
        <w:spacing w:line="276" w:lineRule="auto"/>
        <w:ind w:firstLine="0" w:left="0"/>
        <w:jc w:val="center"/>
        <w:rPr>
          <w:b w:val="1"/>
          <w:color w:val="000000"/>
          <w:sz w:val="24"/>
        </w:rPr>
      </w:pPr>
    </w:p>
    <w:p w14:paraId="45000000">
      <w:pPr>
        <w:spacing w:line="276" w:lineRule="auto"/>
        <w:ind w:firstLine="0" w:left="0"/>
        <w:jc w:val="center"/>
        <w:rPr>
          <w:b w:val="1"/>
          <w:color w:val="000000"/>
          <w:sz w:val="24"/>
        </w:rPr>
      </w:pPr>
    </w:p>
    <w:p w14:paraId="46000000">
      <w:pPr>
        <w:spacing w:line="276" w:lineRule="auto"/>
        <w:ind w:firstLine="0" w:left="0"/>
        <w:jc w:val="center"/>
        <w:rPr>
          <w:b w:val="1"/>
          <w:color w:val="000000"/>
          <w:sz w:val="24"/>
        </w:rPr>
      </w:pPr>
    </w:p>
    <w:p w14:paraId="47000000">
      <w:pPr>
        <w:spacing w:line="276" w:lineRule="auto"/>
        <w:ind w:firstLine="0" w:left="0"/>
        <w:jc w:val="center"/>
        <w:rPr>
          <w:b w:val="1"/>
          <w:color w:val="000000"/>
          <w:sz w:val="24"/>
        </w:rPr>
      </w:pPr>
    </w:p>
    <w:p w14:paraId="48000000">
      <w:pPr>
        <w:spacing w:line="276" w:lineRule="auto"/>
        <w:ind w:firstLine="0" w:left="0"/>
        <w:jc w:val="center"/>
        <w:rPr>
          <w:i w:val="1"/>
          <w:color w:val="000000"/>
          <w:sz w:val="24"/>
        </w:rPr>
      </w:pPr>
      <w:r>
        <w:rPr>
          <w:b w:val="1"/>
          <w:color w:val="000000"/>
          <w:sz w:val="24"/>
        </w:rPr>
        <w:t>МОСКВА 2026</w:t>
      </w:r>
    </w:p>
    <w:p w14:paraId="49000000">
      <w:pPr>
        <w:widowControl w:val="0"/>
        <w:tabs>
          <w:tab w:leader="none" w:pos="993" w:val="left"/>
        </w:tabs>
        <w:spacing w:line="240" w:lineRule="auto"/>
        <w:ind w:firstLine="567" w:left="0"/>
        <w:jc w:val="right"/>
        <w:rPr>
          <w:color w:val="000000"/>
          <w:sz w:val="24"/>
        </w:rPr>
      </w:pPr>
      <w:r>
        <w:rPr>
          <w:i w:val="1"/>
          <w:color w:val="000000"/>
          <w:sz w:val="24"/>
        </w:rPr>
        <w:br w:type="page"/>
      </w:r>
    </w:p>
    <w:p w14:paraId="4A000000">
      <w:pPr>
        <w:spacing w:line="240" w:lineRule="auto"/>
        <w:ind w:hanging="142" w:left="-567"/>
        <w:jc w:val="center"/>
        <w:rPr>
          <w:b w:val="1"/>
          <w:color w:val="000000"/>
          <w:spacing w:val="30"/>
          <w:sz w:val="26"/>
        </w:rPr>
      </w:pPr>
      <w:r>
        <w:rPr>
          <w:b w:val="1"/>
          <w:color w:val="000000"/>
          <w:spacing w:val="30"/>
          <w:sz w:val="26"/>
        </w:rPr>
        <w:t>Образовательная автономная некоммерческая организация</w:t>
      </w:r>
    </w:p>
    <w:p w14:paraId="4B000000">
      <w:pPr>
        <w:spacing w:line="240" w:lineRule="auto"/>
        <w:ind w:hanging="142" w:left="142"/>
        <w:jc w:val="center"/>
        <w:rPr>
          <w:b w:val="1"/>
          <w:color w:val="000000"/>
          <w:spacing w:val="40"/>
          <w:sz w:val="26"/>
        </w:rPr>
      </w:pPr>
      <w:r>
        <w:rPr>
          <w:b w:val="1"/>
          <w:color w:val="000000"/>
          <w:spacing w:val="40"/>
          <w:sz w:val="26"/>
        </w:rPr>
        <w:t>высшего образования</w:t>
      </w:r>
    </w:p>
    <w:p w14:paraId="4C000000">
      <w:pPr>
        <w:spacing w:line="240" w:lineRule="auto"/>
        <w:ind w:hanging="142" w:left="142"/>
        <w:jc w:val="center"/>
        <w:rPr>
          <w:b w:val="1"/>
          <w:color w:val="000000"/>
          <w:spacing w:val="40"/>
          <w:sz w:val="20"/>
        </w:rPr>
      </w:pPr>
    </w:p>
    <w:p w14:paraId="4D000000">
      <w:pPr>
        <w:spacing w:after="120" w:line="240" w:lineRule="auto"/>
        <w:ind w:hanging="142" w:left="-426"/>
        <w:jc w:val="center"/>
        <w:rPr>
          <w:b w:val="1"/>
          <w:color w:val="000000"/>
          <w:spacing w:val="40"/>
          <w:sz w:val="32"/>
        </w:rPr>
      </w:pPr>
      <w:r>
        <w:rPr>
          <w:b w:val="1"/>
          <w:color w:val="000000"/>
          <w:spacing w:val="40"/>
          <w:sz w:val="32"/>
        </w:rPr>
        <w:t>«МОСКОВСКИЙ ТЕХНОЛОГИЧЕСКИЙ ИНСТИТУТ»</w:t>
      </w:r>
    </w:p>
    <w:tbl>
      <w:tblPr>
        <w:tblStyle w:val="Style_3"/>
        <w:tblInd w:type="dxa" w:w="-426"/>
        <w:tblBorders>
          <w:top w:color="000000" w:sz="4" w:val="double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</w:tblPr>
      <w:tblGrid>
        <w:gridCol w:w="5035"/>
        <w:gridCol w:w="4605"/>
      </w:tblGrid>
      <w:tr>
        <w:tc>
          <w:tcPr>
            <w:tcW w:type="dxa" w:w="5035"/>
            <w:tcBorders>
              <w:top w:color="000000" w:sz="4" w:val="double"/>
              <w:left w:sz="4" w:val="nil"/>
              <w:bottom w:sz="4" w:val="nil"/>
              <w:right w:sz="4" w:val="nil"/>
            </w:tcBorders>
          </w:tcPr>
          <w:p w14:paraId="4E000000">
            <w:pPr>
              <w:spacing w:line="240" w:lineRule="auto"/>
              <w:ind w:firstLine="142" w:left="-389"/>
              <w:jc w:val="left"/>
              <w:rPr>
                <w:rFonts w:ascii="Calibri" w:hAnsi="Calibri"/>
                <w:b w:val="1"/>
                <w:color w:val="000000"/>
                <w:sz w:val="16"/>
              </w:rPr>
            </w:pPr>
          </w:p>
          <w:p w14:paraId="4F000000">
            <w:pPr>
              <w:spacing w:line="240" w:lineRule="auto"/>
              <w:ind w:firstLine="142" w:left="-389"/>
              <w:jc w:val="left"/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4605"/>
            <w:tcBorders>
              <w:top w:color="000000" w:sz="4" w:val="double"/>
              <w:left w:sz="4" w:val="nil"/>
              <w:bottom w:sz="4" w:val="nil"/>
              <w:right w:sz="4" w:val="nil"/>
            </w:tcBorders>
          </w:tcPr>
          <w:p w14:paraId="50000000">
            <w:pPr>
              <w:spacing w:line="240" w:lineRule="auto"/>
              <w:ind w:firstLine="0" w:left="0"/>
              <w:jc w:val="right"/>
              <w:rPr>
                <w:b w:val="1"/>
                <w:color w:val="000000"/>
                <w:sz w:val="16"/>
              </w:rPr>
            </w:pPr>
          </w:p>
          <w:p w14:paraId="51000000">
            <w:pPr>
              <w:spacing w:line="240" w:lineRule="auto"/>
              <w:ind w:firstLine="0" w:left="0"/>
              <w:jc w:val="right"/>
              <w:rPr>
                <w:color w:val="000000"/>
                <w:sz w:val="16"/>
              </w:rPr>
            </w:pPr>
          </w:p>
        </w:tc>
      </w:tr>
    </w:tbl>
    <w:p w14:paraId="52000000">
      <w:pPr>
        <w:ind w:firstLine="0" w:left="0"/>
        <w:jc w:val="center"/>
        <w:rPr>
          <w:color w:val="000000"/>
          <w:sz w:val="24"/>
        </w:rPr>
      </w:pPr>
      <w:r>
        <w:rPr>
          <w:b w:val="1"/>
          <w:color w:val="000000"/>
          <w:sz w:val="24"/>
        </w:rPr>
        <w:t>ЗАДАНИЕ</w:t>
      </w:r>
    </w:p>
    <w:p w14:paraId="53000000">
      <w:pPr>
        <w:ind w:firstLine="0" w:left="0"/>
        <w:jc w:val="center"/>
        <w:rPr>
          <w:b w:val="1"/>
          <w:color w:val="000000"/>
          <w:sz w:val="24"/>
        </w:rPr>
      </w:pPr>
      <w:r>
        <w:rPr>
          <w:b w:val="1"/>
          <w:color w:val="000000"/>
          <w:sz w:val="24"/>
        </w:rPr>
        <w:t>на выпускную квалификационную работу</w:t>
      </w:r>
    </w:p>
    <w:p w14:paraId="54000000">
      <w:pPr>
        <w:tabs>
          <w:tab w:leader="none" w:pos="284" w:val="left"/>
        </w:tabs>
        <w:ind w:firstLine="0" w:left="0"/>
        <w:jc w:val="center"/>
        <w:rPr>
          <w:color w:val="000000"/>
          <w:sz w:val="24"/>
        </w:rPr>
      </w:pPr>
      <w:r>
        <w:rPr>
          <w:color w:val="000000"/>
          <w:sz w:val="24"/>
        </w:rPr>
        <w:t>обучающемуся (</w:t>
      </w:r>
      <w:r>
        <w:rPr>
          <w:color w:val="000000"/>
          <w:sz w:val="24"/>
        </w:rPr>
        <w:t>щейся</w:t>
      </w:r>
      <w:r>
        <w:rPr>
          <w:color w:val="000000"/>
          <w:sz w:val="24"/>
        </w:rPr>
        <w:t xml:space="preserve">) </w:t>
      </w:r>
    </w:p>
    <w:p w14:paraId="55000000">
      <w:pPr>
        <w:tabs>
          <w:tab w:leader="none" w:pos="284" w:val="left"/>
        </w:tabs>
        <w:ind w:firstLine="0" w:left="0"/>
        <w:rPr>
          <w:color w:val="000000"/>
          <w:sz w:val="24"/>
        </w:rPr>
      </w:pPr>
      <w:r>
        <w:rPr>
          <w:color w:val="000000"/>
          <w:sz w:val="24"/>
        </w:rPr>
        <w:t>1. Тема: Совершенствование технологического процесса механической обработки детали «Угловой корпус подшипника» ООО «Четвертый Подшипниковый Завод»</w:t>
      </w:r>
    </w:p>
    <w:p w14:paraId="56000000">
      <w:pPr>
        <w:tabs>
          <w:tab w:leader="none" w:pos="284" w:val="left"/>
        </w:tabs>
        <w:ind w:firstLine="0" w:left="0"/>
        <w:rPr>
          <w:color w:val="000000"/>
          <w:sz w:val="24"/>
        </w:rPr>
      </w:pPr>
      <w:r>
        <w:rPr>
          <w:color w:val="000000"/>
          <w:sz w:val="24"/>
        </w:rPr>
        <w:t>2. Срок сдачи обучающимся законченной работы «</w:t>
      </w:r>
      <w:r>
        <w:rPr>
          <w:color w:val="000000"/>
          <w:sz w:val="24"/>
        </w:rPr>
        <w:t>1</w:t>
      </w:r>
      <w:r>
        <w:rPr>
          <w:color w:val="000000"/>
          <w:sz w:val="24"/>
        </w:rPr>
        <w:t xml:space="preserve">» </w:t>
      </w:r>
      <w:r>
        <w:rPr>
          <w:color w:val="000000"/>
          <w:sz w:val="24"/>
        </w:rPr>
        <w:t>июля</w:t>
      </w:r>
      <w:r>
        <w:rPr>
          <w:color w:val="000000"/>
          <w:sz w:val="24"/>
        </w:rPr>
        <w:t xml:space="preserve"> 20</w:t>
      </w:r>
      <w:r>
        <w:rPr>
          <w:color w:val="000000"/>
          <w:sz w:val="24"/>
        </w:rPr>
        <w:t>26</w:t>
      </w:r>
      <w:r>
        <w:rPr>
          <w:color w:val="000000"/>
          <w:sz w:val="24"/>
        </w:rPr>
        <w:t xml:space="preserve"> г.</w:t>
      </w:r>
    </w:p>
    <w:p w14:paraId="57000000">
      <w:pPr>
        <w:tabs>
          <w:tab w:leader="none" w:pos="284" w:val="left"/>
        </w:tabs>
        <w:ind w:firstLine="0" w:left="0"/>
        <w:rPr>
          <w:color w:val="000000"/>
          <w:sz w:val="24"/>
          <w:u w:val="single"/>
        </w:rPr>
      </w:pPr>
      <w:r>
        <w:rPr>
          <w:color w:val="000000"/>
          <w:sz w:val="24"/>
        </w:rPr>
        <w:t xml:space="preserve">3. Исходные данные к ВКР: научная и учебная литература, </w:t>
      </w:r>
      <w:r>
        <w:rPr>
          <w:color w:val="000000"/>
          <w:sz w:val="24"/>
        </w:rPr>
        <w:t>интернет ресурсы</w:t>
      </w:r>
      <w:r>
        <w:rPr>
          <w:color w:val="000000"/>
          <w:sz w:val="24"/>
        </w:rPr>
        <w:t xml:space="preserve"> и ВКР.</w:t>
      </w:r>
    </w:p>
    <w:p w14:paraId="58000000">
      <w:pPr>
        <w:tabs>
          <w:tab w:leader="none" w:pos="284" w:val="left"/>
        </w:tabs>
        <w:ind w:firstLine="0" w:left="0"/>
        <w:rPr>
          <w:color w:val="000000"/>
          <w:sz w:val="24"/>
        </w:rPr>
      </w:pPr>
      <w:r>
        <w:rPr>
          <w:color w:val="000000"/>
          <w:sz w:val="24"/>
        </w:rPr>
        <w:t>4. Содержание ВКР (перечень подлежащих разработке вопросов):</w:t>
      </w:r>
    </w:p>
    <w:p w14:paraId="59000000">
      <w:pPr>
        <w:tabs>
          <w:tab w:leader="none" w:pos="284" w:val="left"/>
        </w:tabs>
        <w:ind w:firstLine="0" w:left="0"/>
        <w:rPr>
          <w:b w:val="1"/>
          <w:color w:val="000000"/>
          <w:sz w:val="24"/>
        </w:rPr>
      </w:pPr>
      <w:r>
        <w:rPr>
          <w:b w:val="1"/>
          <w:color w:val="000000"/>
          <w:sz w:val="24"/>
        </w:rPr>
        <w:t>ВВЕДЕНИЕ</w:t>
      </w:r>
    </w:p>
    <w:p w14:paraId="5A000000">
      <w:pPr>
        <w:tabs>
          <w:tab w:leader="none" w:pos="284" w:val="left"/>
        </w:tabs>
        <w:ind w:firstLine="0" w:left="0"/>
        <w:rPr>
          <w:b w:val="1"/>
          <w:color w:val="000000"/>
          <w:sz w:val="24"/>
        </w:rPr>
      </w:pPr>
      <w:r>
        <w:rPr>
          <w:b w:val="1"/>
          <w:color w:val="000000"/>
          <w:sz w:val="24"/>
        </w:rPr>
        <w:t>1. ОБЩАЯ ЧАСТЬ</w:t>
      </w:r>
    </w:p>
    <w:p w14:paraId="5B000000">
      <w:pPr>
        <w:tabs>
          <w:tab w:leader="none" w:pos="284" w:val="left"/>
        </w:tabs>
        <w:ind w:firstLine="0" w:left="0"/>
        <w:rPr>
          <w:color w:val="000000"/>
          <w:sz w:val="24"/>
        </w:rPr>
      </w:pPr>
      <w:r>
        <w:rPr>
          <w:color w:val="000000"/>
          <w:sz w:val="24"/>
        </w:rPr>
        <w:t>1.1 Структура и основная деятельность ООО «Четвертый Подшипниковый Завод»</w:t>
      </w:r>
    </w:p>
    <w:p w14:paraId="5C000000">
      <w:pPr>
        <w:tabs>
          <w:tab w:leader="none" w:pos="284" w:val="left"/>
        </w:tabs>
        <w:ind w:firstLine="0" w:left="0"/>
        <w:rPr>
          <w:color w:val="000000"/>
          <w:sz w:val="24"/>
        </w:rPr>
      </w:pPr>
      <w:r>
        <w:rPr>
          <w:color w:val="000000"/>
          <w:sz w:val="24"/>
        </w:rPr>
        <w:t>1.2 Технологическое оборудование ООО «Четвертый Подшипниковый Завод»</w:t>
      </w:r>
    </w:p>
    <w:p w14:paraId="5D000000">
      <w:pPr>
        <w:tabs>
          <w:tab w:leader="none" w:pos="284" w:val="left"/>
        </w:tabs>
        <w:ind w:firstLine="0" w:left="0"/>
        <w:rPr>
          <w:color w:val="000000"/>
          <w:sz w:val="24"/>
        </w:rPr>
      </w:pPr>
      <w:r>
        <w:rPr>
          <w:color w:val="000000"/>
          <w:sz w:val="24"/>
        </w:rPr>
        <w:t xml:space="preserve">1.3 Обзор современных технологических процессов изготовления деталей. </w:t>
      </w:r>
    </w:p>
    <w:p w14:paraId="5E000000">
      <w:pPr>
        <w:tabs>
          <w:tab w:leader="none" w:pos="284" w:val="left"/>
        </w:tabs>
        <w:ind w:firstLine="0" w:left="0"/>
        <w:rPr>
          <w:b w:val="1"/>
          <w:color w:val="000000"/>
          <w:sz w:val="24"/>
        </w:rPr>
      </w:pPr>
      <w:r>
        <w:rPr>
          <w:b w:val="1"/>
          <w:color w:val="000000"/>
          <w:sz w:val="24"/>
        </w:rPr>
        <w:t>2. ТЕХНОЛОГИЧЕСКАЯ ЧАСТЬ</w:t>
      </w:r>
    </w:p>
    <w:p w14:paraId="5F000000">
      <w:pPr>
        <w:tabs>
          <w:tab w:leader="none" w:pos="284" w:val="left"/>
        </w:tabs>
        <w:ind w:firstLine="0" w:left="0"/>
        <w:rPr>
          <w:color w:val="000000"/>
          <w:sz w:val="24"/>
        </w:rPr>
      </w:pPr>
      <w:r>
        <w:rPr>
          <w:color w:val="000000"/>
          <w:sz w:val="24"/>
        </w:rPr>
        <w:t>2.1 Анализ действующего технологического процесса.</w:t>
      </w:r>
    </w:p>
    <w:p w14:paraId="60000000">
      <w:pPr>
        <w:tabs>
          <w:tab w:leader="none" w:pos="284" w:val="left"/>
        </w:tabs>
        <w:ind w:firstLine="0" w:left="0"/>
        <w:rPr>
          <w:color w:val="000000"/>
          <w:sz w:val="24"/>
        </w:rPr>
      </w:pPr>
      <w:r>
        <w:rPr>
          <w:color w:val="000000"/>
          <w:sz w:val="24"/>
        </w:rPr>
        <w:t>2.2 Технологическая карта процесса изготовления детали.</w:t>
      </w:r>
    </w:p>
    <w:p w14:paraId="61000000">
      <w:pPr>
        <w:tabs>
          <w:tab w:leader="none" w:pos="284" w:val="left"/>
        </w:tabs>
        <w:ind w:firstLine="0" w:left="0"/>
        <w:rPr>
          <w:color w:val="000000"/>
          <w:sz w:val="24"/>
        </w:rPr>
      </w:pPr>
      <w:r>
        <w:rPr>
          <w:color w:val="000000"/>
          <w:sz w:val="24"/>
        </w:rPr>
        <w:t>2.3 Выбор и расчет кинематической передачи.</w:t>
      </w:r>
    </w:p>
    <w:p w14:paraId="62000000">
      <w:pPr>
        <w:tabs>
          <w:tab w:leader="none" w:pos="284" w:val="left"/>
        </w:tabs>
        <w:ind w:firstLine="0" w:left="0"/>
        <w:rPr>
          <w:b w:val="1"/>
          <w:color w:val="000000"/>
          <w:sz w:val="24"/>
        </w:rPr>
      </w:pPr>
      <w:r>
        <w:rPr>
          <w:b w:val="1"/>
          <w:color w:val="000000"/>
          <w:sz w:val="24"/>
        </w:rPr>
        <w:t>3. ОХРАНА ТРУДА</w:t>
      </w:r>
    </w:p>
    <w:p w14:paraId="63000000">
      <w:pPr>
        <w:tabs>
          <w:tab w:leader="none" w:pos="284" w:val="left"/>
        </w:tabs>
        <w:ind w:firstLine="0" w:left="0"/>
        <w:rPr>
          <w:color w:val="000000"/>
          <w:sz w:val="24"/>
        </w:rPr>
      </w:pPr>
      <w:r>
        <w:rPr>
          <w:color w:val="000000"/>
          <w:sz w:val="24"/>
        </w:rPr>
        <w:t>3.1 Анализ опасных и вредных факторов производственной среды и трудового процесса</w:t>
      </w:r>
    </w:p>
    <w:p w14:paraId="64000000">
      <w:pPr>
        <w:tabs>
          <w:tab w:leader="none" w:pos="284" w:val="left"/>
        </w:tabs>
        <w:ind w:firstLine="0" w:left="0"/>
        <w:rPr>
          <w:color w:val="000000"/>
          <w:sz w:val="24"/>
        </w:rPr>
      </w:pPr>
      <w:r>
        <w:rPr>
          <w:color w:val="000000"/>
          <w:sz w:val="24"/>
        </w:rPr>
        <w:t>3.2 Разработка мероприятий по снижению воздействия на работника опасных и вредных факторов производственной среды и трудового процесса</w:t>
      </w:r>
    </w:p>
    <w:p w14:paraId="65000000">
      <w:pPr>
        <w:tabs>
          <w:tab w:leader="none" w:pos="284" w:val="left"/>
        </w:tabs>
        <w:ind w:firstLine="0" w:left="0"/>
        <w:rPr>
          <w:color w:val="000000"/>
          <w:sz w:val="24"/>
        </w:rPr>
      </w:pPr>
      <w:r>
        <w:rPr>
          <w:color w:val="000000"/>
          <w:sz w:val="24"/>
        </w:rPr>
        <w:t>3.3 Разработка инструкции по охране труда на рабочем месте</w:t>
      </w:r>
    </w:p>
    <w:p w14:paraId="66000000">
      <w:pPr>
        <w:tabs>
          <w:tab w:leader="none" w:pos="284" w:val="left"/>
        </w:tabs>
        <w:ind w:firstLine="0" w:left="0"/>
        <w:rPr>
          <w:b w:val="1"/>
          <w:color w:val="000000"/>
          <w:sz w:val="24"/>
        </w:rPr>
      </w:pPr>
      <w:r>
        <w:rPr>
          <w:b w:val="1"/>
          <w:color w:val="000000"/>
          <w:sz w:val="24"/>
        </w:rPr>
        <w:t xml:space="preserve">ЗАКЛЮЧЕНИЕ </w:t>
      </w:r>
    </w:p>
    <w:p w14:paraId="67000000">
      <w:pPr>
        <w:tabs>
          <w:tab w:leader="none" w:pos="284" w:val="left"/>
        </w:tabs>
        <w:ind w:firstLine="0" w:left="0"/>
        <w:rPr>
          <w:b w:val="1"/>
          <w:color w:val="000000"/>
          <w:sz w:val="24"/>
        </w:rPr>
      </w:pPr>
      <w:r>
        <w:rPr>
          <w:b w:val="1"/>
          <w:color w:val="000000"/>
          <w:sz w:val="24"/>
        </w:rPr>
        <w:t>СПИСОК ИСПОЛЬЗОВАННЫХ ИСТОЧНИКОВ</w:t>
      </w:r>
    </w:p>
    <w:p w14:paraId="68000000">
      <w:pPr>
        <w:tabs>
          <w:tab w:leader="none" w:pos="284" w:val="left"/>
        </w:tabs>
        <w:ind w:firstLine="0" w:left="0"/>
        <w:rPr>
          <w:color w:val="000000"/>
          <w:sz w:val="24"/>
        </w:rPr>
      </w:pPr>
      <w:r>
        <w:rPr>
          <w:color w:val="000000"/>
          <w:sz w:val="24"/>
        </w:rPr>
        <w:t xml:space="preserve">5. Перечень графического материала </w:t>
      </w:r>
      <w:r>
        <w:rPr>
          <w:color w:val="000000"/>
          <w:sz w:val="24"/>
        </w:rPr>
        <w:t xml:space="preserve">20 </w:t>
      </w:r>
      <w:r>
        <w:rPr>
          <w:color w:val="000000"/>
          <w:sz w:val="24"/>
        </w:rPr>
        <w:t xml:space="preserve">таблиц, </w:t>
      </w:r>
      <w:r>
        <w:rPr>
          <w:color w:val="000000"/>
          <w:sz w:val="24"/>
        </w:rPr>
        <w:t>10</w:t>
      </w:r>
      <w:r>
        <w:rPr>
          <w:color w:val="000000"/>
          <w:sz w:val="24"/>
        </w:rPr>
        <w:t xml:space="preserve"> рисунков.</w:t>
      </w:r>
    </w:p>
    <w:p w14:paraId="69000000">
      <w:pPr>
        <w:tabs>
          <w:tab w:leader="none" w:pos="284" w:val="left"/>
        </w:tabs>
        <w:ind w:firstLine="0" w:left="0"/>
        <w:rPr>
          <w:color w:val="000000"/>
          <w:sz w:val="24"/>
        </w:rPr>
      </w:pPr>
      <w:r>
        <w:rPr>
          <w:color w:val="000000"/>
          <w:sz w:val="24"/>
        </w:rPr>
        <w:t xml:space="preserve">6. Приложения </w:t>
      </w:r>
      <w:r>
        <w:rPr>
          <w:color w:val="000000"/>
          <w:sz w:val="24"/>
        </w:rPr>
        <w:t>2</w:t>
      </w:r>
      <w:r>
        <w:rPr>
          <w:color w:val="000000"/>
          <w:sz w:val="24"/>
        </w:rPr>
        <w:t>.</w:t>
      </w:r>
    </w:p>
    <w:p w14:paraId="6A000000">
      <w:pPr>
        <w:tabs>
          <w:tab w:leader="none" w:pos="284" w:val="left"/>
        </w:tabs>
        <w:ind w:firstLine="0" w:left="0"/>
        <w:rPr>
          <w:color w:val="000000"/>
          <w:sz w:val="24"/>
        </w:rPr>
      </w:pPr>
      <w:r>
        <w:rPr>
          <w:color w:val="000000"/>
          <w:sz w:val="24"/>
        </w:rPr>
        <w:t xml:space="preserve">7. Чертежей </w:t>
      </w:r>
      <w:r>
        <w:rPr>
          <w:color w:val="000000"/>
          <w:sz w:val="24"/>
        </w:rPr>
        <w:t>3</w:t>
      </w:r>
      <w:r>
        <w:rPr>
          <w:color w:val="000000"/>
          <w:sz w:val="24"/>
        </w:rPr>
        <w:t>.</w:t>
      </w:r>
    </w:p>
    <w:p w14:paraId="6B000000">
      <w:pPr>
        <w:tabs>
          <w:tab w:leader="none" w:pos="284" w:val="left"/>
        </w:tabs>
        <w:spacing w:afterAutospacing="on" w:beforeAutospacing="on" w:line="276" w:lineRule="auto"/>
        <w:ind w:firstLine="0" w:left="0"/>
        <w:contextualSpacing w:val="1"/>
        <w:jc w:val="left"/>
        <w:rPr>
          <w:color w:val="000000"/>
          <w:sz w:val="24"/>
        </w:rPr>
      </w:pPr>
      <w:r>
        <w:rPr>
          <w:color w:val="000000"/>
          <w:sz w:val="24"/>
        </w:rPr>
        <w:t xml:space="preserve">Дата выдачи задания </w:t>
      </w:r>
      <w:r>
        <w:rPr>
          <w:color w:val="000000"/>
          <w:sz w:val="24"/>
        </w:rPr>
        <w:t>15.04.2026</w:t>
      </w:r>
      <w:r>
        <w:rPr>
          <w:color w:val="000000"/>
          <w:sz w:val="24"/>
        </w:rPr>
        <w:tab/>
      </w:r>
      <w:r>
        <w:rPr>
          <w:color w:val="000000"/>
          <w:sz w:val="24"/>
        </w:rPr>
        <w:tab/>
      </w:r>
      <w:r>
        <w:rPr>
          <w:color w:val="000000"/>
          <w:sz w:val="24"/>
        </w:rPr>
        <w:t xml:space="preserve">Задание принял (дата) </w:t>
      </w:r>
      <w:r>
        <w:rPr>
          <w:color w:val="000000"/>
          <w:sz w:val="24"/>
        </w:rPr>
        <w:t>15.04.2026</w:t>
      </w:r>
    </w:p>
    <w:p w14:paraId="6C000000">
      <w:pPr>
        <w:tabs>
          <w:tab w:leader="none" w:pos="284" w:val="left"/>
        </w:tabs>
        <w:spacing w:afterAutospacing="on" w:beforeAutospacing="on" w:line="276" w:lineRule="auto"/>
        <w:ind w:firstLine="0" w:left="0"/>
        <w:contextualSpacing w:val="1"/>
        <w:jc w:val="left"/>
        <w:rPr>
          <w:color w:val="000000"/>
          <w:sz w:val="24"/>
        </w:rPr>
      </w:pPr>
    </w:p>
    <w:p w14:paraId="6D000000">
      <w:pPr>
        <w:tabs>
          <w:tab w:leader="none" w:pos="284" w:val="left"/>
        </w:tabs>
        <w:spacing w:afterAutospacing="on" w:beforeAutospacing="on" w:line="276" w:lineRule="auto"/>
        <w:ind w:firstLine="0" w:left="0"/>
        <w:contextualSpacing w:val="1"/>
        <w:jc w:val="left"/>
        <w:rPr>
          <w:color w:val="000000"/>
          <w:sz w:val="24"/>
        </w:rPr>
      </w:pPr>
      <w:r>
        <w:rPr>
          <w:color w:val="000000"/>
          <w:sz w:val="24"/>
        </w:rPr>
        <w:t>Подпись руководителя ____________       Подпись обучающегося____________</w:t>
      </w:r>
    </w:p>
    <w:p w14:paraId="6E000000">
      <w:pPr>
        <w:spacing w:line="276" w:lineRule="auto"/>
        <w:ind w:firstLine="0" w:left="0"/>
        <w:jc w:val="right"/>
        <w:rPr>
          <w:color w:val="000000"/>
          <w:sz w:val="24"/>
        </w:rPr>
      </w:pPr>
    </w:p>
    <w:p w14:paraId="6F000000">
      <w:pPr>
        <w:spacing w:line="240" w:lineRule="auto"/>
        <w:ind w:firstLine="0" w:left="0"/>
        <w:jc w:val="left"/>
        <w:rPr>
          <w:b w:val="1"/>
          <w:color w:val="000000"/>
          <w:sz w:val="32"/>
        </w:rPr>
      </w:pPr>
      <w:r>
        <w:br w:type="page"/>
      </w:r>
    </w:p>
    <w:p w14:paraId="70000000">
      <w:bookmarkStart w:id="1" w:name="__RefHeading___1"/>
      <w:bookmarkEnd w:id="1"/>
      <w:pPr>
        <w:pStyle w:val="Style_5"/>
      </w:pPr>
      <w:r>
        <w:t>СОДЕРЖАНИЕ</w:t>
      </w:r>
    </w:p>
    <w:p>
      <w:pPr>
        <w:pStyle w:val="Style_6"/>
        <w:tabs>
          <w:tab w:leader="none" w:pos="9345" w:val="clear"/>
          <w:tab w:leader="dot" w:pos="9355" w:val="right"/>
        </w:tabs>
        <w:ind/>
      </w:pPr>
      <w:r>
        <w:fldChar w:fldCharType="begin"/>
      </w:r>
      <w:r>
        <w:instrText xml:space="preserve">TOC \h \z \u \o "1-3"</w:instrText>
      </w:r>
      <w:r>
        <w:fldChar w:fldCharType="separate"/>
      </w:r>
      <w:r>
        <w:fldChar w:fldCharType="begin"/>
      </w:r>
      <w:r>
        <w:instrText>HYPERLINK \l "__RefHeading___1"</w:instrText>
      </w:r>
      <w:r>
        <w:fldChar w:fldCharType="separate"/>
      </w:r>
      <w:r>
        <w:t>СОДЕРЖАНИЕ</w:t>
      </w:r>
      <w:r>
        <w:tab/>
      </w:r>
      <w:r>
        <w:fldChar w:fldCharType="begin"/>
      </w:r>
      <w:r>
        <w:instrText>PAGEREF __RefHeading___1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72000000">
      <w:pPr>
        <w:pStyle w:val="Style_6"/>
        <w:tabs>
          <w:tab w:leader="none" w:pos="9345" w:val="clear"/>
          <w:tab w:leader="dot" w:pos="9355" w:val="right"/>
        </w:tabs>
        <w:ind/>
      </w:pPr>
      <w:r>
        <w:fldChar w:fldCharType="begin"/>
      </w:r>
      <w:r>
        <w:instrText>HYPERLINK \l "__RefHeading___2"</w:instrText>
      </w:r>
      <w:r>
        <w:fldChar w:fldCharType="separate"/>
      </w:r>
      <w:r>
        <w:t>ВВЕДЕНИЕ</w:t>
      </w:r>
      <w:r>
        <w:tab/>
      </w:r>
      <w:r>
        <w:fldChar w:fldCharType="begin"/>
      </w:r>
      <w:r>
        <w:instrText>PAGEREF __RefHeading___2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73000000">
      <w:pPr>
        <w:pStyle w:val="Style_6"/>
        <w:tabs>
          <w:tab w:leader="none" w:pos="9345" w:val="clear"/>
          <w:tab w:leader="dot" w:pos="9355" w:val="right"/>
        </w:tabs>
        <w:ind/>
      </w:pPr>
      <w:r>
        <w:fldChar w:fldCharType="begin"/>
      </w:r>
      <w:r>
        <w:instrText>HYPERLINK \l "__RefHeading___3"</w:instrText>
      </w:r>
      <w:r>
        <w:fldChar w:fldCharType="separate"/>
      </w:r>
      <w:r>
        <w:t>1 ОБЩАЯ ЧАСТЬ</w:t>
      </w:r>
      <w:r>
        <w:tab/>
      </w:r>
      <w:r>
        <w:fldChar w:fldCharType="begin"/>
      </w:r>
      <w:r>
        <w:instrText>PAGEREF __RefHeading___3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74000000">
      <w:pPr>
        <w:pStyle w:val="Style_6"/>
        <w:tabs>
          <w:tab w:leader="none" w:pos="9345" w:val="clear"/>
          <w:tab w:leader="dot" w:pos="9355" w:val="right"/>
        </w:tabs>
        <w:ind/>
      </w:pPr>
      <w:r>
        <w:fldChar w:fldCharType="begin"/>
      </w:r>
      <w:r>
        <w:instrText>HYPERLINK \l "__RefHeading___4"</w:instrText>
      </w:r>
      <w:r>
        <w:fldChar w:fldCharType="separate"/>
      </w:r>
      <w:r>
        <w:t>1.1 Структура и основная деятельность ООО «Четвертый Подшипниковый Завод»</w:t>
      </w:r>
      <w:r>
        <w:tab/>
      </w:r>
      <w:r>
        <w:fldChar w:fldCharType="begin"/>
      </w:r>
      <w:r>
        <w:instrText>PAGEREF __RefHeading___4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75000000">
      <w:pPr>
        <w:pStyle w:val="Style_6"/>
        <w:tabs>
          <w:tab w:leader="none" w:pos="9345" w:val="clear"/>
          <w:tab w:leader="dot" w:pos="9355" w:val="right"/>
        </w:tabs>
        <w:ind/>
      </w:pPr>
      <w:r>
        <w:fldChar w:fldCharType="begin"/>
      </w:r>
      <w:r>
        <w:instrText>HYPERLINK \l "__RefHeading___5"</w:instrText>
      </w:r>
      <w:r>
        <w:fldChar w:fldCharType="separate"/>
      </w:r>
      <w:r>
        <w:t>1.2 Технологическое оборудование ООО «Четвертый Подшипниковый Завод»</w:t>
      </w:r>
      <w:r>
        <w:tab/>
      </w:r>
      <w:r>
        <w:fldChar w:fldCharType="begin"/>
      </w:r>
      <w:r>
        <w:instrText>PAGEREF __RefHeading___5 \h</w:instrText>
      </w:r>
      <w:r>
        <w:fldChar w:fldCharType="separate"/>
      </w:r>
      <w:r>
        <w:t>12</w:t>
      </w:r>
      <w:r>
        <w:fldChar w:fldCharType="end"/>
      </w:r>
      <w:r>
        <w:fldChar w:fldCharType="end"/>
      </w:r>
    </w:p>
    <w:p w14:paraId="76000000">
      <w:pPr>
        <w:pStyle w:val="Style_6"/>
        <w:tabs>
          <w:tab w:leader="none" w:pos="9345" w:val="clear"/>
          <w:tab w:leader="dot" w:pos="9355" w:val="right"/>
        </w:tabs>
        <w:ind/>
      </w:pPr>
      <w:r>
        <w:fldChar w:fldCharType="begin"/>
      </w:r>
      <w:r>
        <w:instrText>HYPERLINK \l "__RefHeading___6"</w:instrText>
      </w:r>
      <w:r>
        <w:fldChar w:fldCharType="separate"/>
      </w:r>
      <w:r>
        <w:t>1.3 Обзор современных технологических процессов изготовления деталей</w:t>
      </w:r>
      <w:r>
        <w:tab/>
      </w:r>
      <w:r>
        <w:fldChar w:fldCharType="begin"/>
      </w:r>
      <w:r>
        <w:instrText>PAGEREF __RefHeading___6 \h</w:instrText>
      </w:r>
      <w:r>
        <w:fldChar w:fldCharType="separate"/>
      </w:r>
      <w:r>
        <w:t>17</w:t>
      </w:r>
      <w:r>
        <w:fldChar w:fldCharType="end"/>
      </w:r>
      <w:r>
        <w:fldChar w:fldCharType="end"/>
      </w:r>
    </w:p>
    <w:p w14:paraId="77000000">
      <w:pPr>
        <w:pStyle w:val="Style_6"/>
        <w:tabs>
          <w:tab w:leader="none" w:pos="9345" w:val="clear"/>
          <w:tab w:leader="dot" w:pos="9355" w:val="right"/>
        </w:tabs>
        <w:ind/>
      </w:pPr>
      <w:r>
        <w:fldChar w:fldCharType="begin"/>
      </w:r>
      <w:r>
        <w:instrText>HYPERLINK \l "__RefHeading___7"</w:instrText>
      </w:r>
      <w:r>
        <w:fldChar w:fldCharType="separate"/>
      </w:r>
      <w:r>
        <w:t>2 ТЕХНОЛОГИЧЕСКАЯ ЧАСТЬ</w:t>
      </w:r>
      <w:r>
        <w:tab/>
      </w:r>
      <w:r>
        <w:fldChar w:fldCharType="begin"/>
      </w:r>
      <w:r>
        <w:instrText>PAGEREF __RefHeading___7 \h</w:instrText>
      </w:r>
      <w:r>
        <w:fldChar w:fldCharType="separate"/>
      </w:r>
      <w:r>
        <w:t>22</w:t>
      </w:r>
      <w:r>
        <w:fldChar w:fldCharType="end"/>
      </w:r>
      <w:r>
        <w:fldChar w:fldCharType="end"/>
      </w:r>
    </w:p>
    <w:p w14:paraId="78000000">
      <w:pPr>
        <w:pStyle w:val="Style_6"/>
        <w:tabs>
          <w:tab w:leader="none" w:pos="9345" w:val="clear"/>
          <w:tab w:leader="dot" w:pos="9355" w:val="right"/>
        </w:tabs>
        <w:ind/>
      </w:pPr>
      <w:r>
        <w:fldChar w:fldCharType="begin"/>
      </w:r>
      <w:r>
        <w:instrText>HYPERLINK \l "__RefHeading___8"</w:instrText>
      </w:r>
      <w:r>
        <w:fldChar w:fldCharType="separate"/>
      </w:r>
      <w:r>
        <w:t>2.1 Анализ действующего технологического процесса</w:t>
      </w:r>
      <w:r>
        <w:tab/>
      </w:r>
      <w:r>
        <w:fldChar w:fldCharType="begin"/>
      </w:r>
      <w:r>
        <w:instrText>PAGEREF __RefHeading___8 \h</w:instrText>
      </w:r>
      <w:r>
        <w:fldChar w:fldCharType="separate"/>
      </w:r>
      <w:r>
        <w:t>22</w:t>
      </w:r>
      <w:r>
        <w:fldChar w:fldCharType="end"/>
      </w:r>
      <w:r>
        <w:fldChar w:fldCharType="end"/>
      </w:r>
    </w:p>
    <w:p w14:paraId="79000000">
      <w:pPr>
        <w:pStyle w:val="Style_6"/>
        <w:tabs>
          <w:tab w:leader="none" w:pos="9345" w:val="clear"/>
          <w:tab w:leader="dot" w:pos="9355" w:val="right"/>
        </w:tabs>
        <w:ind/>
      </w:pPr>
      <w:r>
        <w:fldChar w:fldCharType="begin"/>
      </w:r>
      <w:r>
        <w:instrText>HYPERLINK \l "__RefHeading___9"</w:instrText>
      </w:r>
      <w:r>
        <w:fldChar w:fldCharType="separate"/>
      </w:r>
      <w:r>
        <w:t>2.2 Технологическая карта процесса изготовления детали</w:t>
      </w:r>
      <w:r>
        <w:tab/>
      </w:r>
      <w:r>
        <w:fldChar w:fldCharType="begin"/>
      </w:r>
      <w:r>
        <w:instrText>PAGEREF __RefHeading___9 \h</w:instrText>
      </w:r>
      <w:r>
        <w:fldChar w:fldCharType="separate"/>
      </w:r>
      <w:r>
        <w:t>32</w:t>
      </w:r>
      <w:r>
        <w:fldChar w:fldCharType="end"/>
      </w:r>
      <w:r>
        <w:fldChar w:fldCharType="end"/>
      </w:r>
    </w:p>
    <w:p w14:paraId="7A000000">
      <w:pPr>
        <w:pStyle w:val="Style_6"/>
        <w:tabs>
          <w:tab w:leader="none" w:pos="9345" w:val="clear"/>
          <w:tab w:leader="dot" w:pos="9355" w:val="right"/>
        </w:tabs>
        <w:ind/>
      </w:pPr>
      <w:r>
        <w:fldChar w:fldCharType="begin"/>
      </w:r>
      <w:r>
        <w:instrText>HYPERLINK \l "__RefHeading___10"</w:instrText>
      </w:r>
      <w:r>
        <w:fldChar w:fldCharType="separate"/>
      </w:r>
      <w:r>
        <w:t>2.3 Выбор и расчет кинематической передачи</w:t>
      </w:r>
      <w:r>
        <w:tab/>
      </w:r>
      <w:r>
        <w:fldChar w:fldCharType="begin"/>
      </w:r>
      <w:r>
        <w:instrText>PAGEREF __RefHeading___10 \h</w:instrText>
      </w:r>
      <w:r>
        <w:fldChar w:fldCharType="separate"/>
      </w:r>
      <w:r>
        <w:t>46</w:t>
      </w:r>
      <w:r>
        <w:fldChar w:fldCharType="end"/>
      </w:r>
      <w:r>
        <w:fldChar w:fldCharType="end"/>
      </w:r>
    </w:p>
    <w:p w14:paraId="7B000000">
      <w:pPr>
        <w:pStyle w:val="Style_6"/>
        <w:tabs>
          <w:tab w:leader="none" w:pos="9345" w:val="clear"/>
          <w:tab w:leader="dot" w:pos="9355" w:val="right"/>
        </w:tabs>
        <w:ind/>
      </w:pPr>
      <w:r>
        <w:fldChar w:fldCharType="begin"/>
      </w:r>
      <w:r>
        <w:instrText>HYPERLINK \l "__RefHeading___11"</w:instrText>
      </w:r>
      <w:r>
        <w:fldChar w:fldCharType="separate"/>
      </w:r>
      <w:r>
        <w:t>3 ОХРАНА ТРУДА</w:t>
      </w:r>
      <w:r>
        <w:tab/>
      </w:r>
      <w:r>
        <w:fldChar w:fldCharType="begin"/>
      </w:r>
      <w:r>
        <w:instrText>PAGEREF __RefHeading___11 \h</w:instrText>
      </w:r>
      <w:r>
        <w:fldChar w:fldCharType="separate"/>
      </w:r>
      <w:r>
        <w:t>54</w:t>
      </w:r>
      <w:r>
        <w:fldChar w:fldCharType="end"/>
      </w:r>
      <w:r>
        <w:fldChar w:fldCharType="end"/>
      </w:r>
    </w:p>
    <w:p w14:paraId="7C000000">
      <w:pPr>
        <w:pStyle w:val="Style_6"/>
        <w:tabs>
          <w:tab w:leader="none" w:pos="9345" w:val="clear"/>
          <w:tab w:leader="dot" w:pos="9355" w:val="right"/>
        </w:tabs>
        <w:ind/>
      </w:pPr>
      <w:r>
        <w:fldChar w:fldCharType="begin"/>
      </w:r>
      <w:r>
        <w:instrText>HYPERLINK \l "__RefHeading___12"</w:instrText>
      </w:r>
      <w:r>
        <w:fldChar w:fldCharType="separate"/>
      </w:r>
      <w:r>
        <w:t>3.1 Анализ опасных и вредных факторов производственной среды и трудового процесса</w:t>
      </w:r>
      <w:r>
        <w:tab/>
      </w:r>
      <w:r>
        <w:fldChar w:fldCharType="begin"/>
      </w:r>
      <w:r>
        <w:instrText>PAGEREF __RefHeading___12 \h</w:instrText>
      </w:r>
      <w:r>
        <w:fldChar w:fldCharType="separate"/>
      </w:r>
      <w:r>
        <w:t>54</w:t>
      </w:r>
      <w:r>
        <w:fldChar w:fldCharType="end"/>
      </w:r>
      <w:r>
        <w:fldChar w:fldCharType="end"/>
      </w:r>
    </w:p>
    <w:p w14:paraId="7D000000">
      <w:pPr>
        <w:pStyle w:val="Style_6"/>
        <w:tabs>
          <w:tab w:leader="none" w:pos="9345" w:val="clear"/>
          <w:tab w:leader="dot" w:pos="9355" w:val="right"/>
        </w:tabs>
        <w:ind/>
      </w:pPr>
      <w:r>
        <w:fldChar w:fldCharType="begin"/>
      </w:r>
      <w:r>
        <w:instrText>HYPERLINK \l "__RefHeading___13"</w:instrText>
      </w:r>
      <w:r>
        <w:fldChar w:fldCharType="separate"/>
      </w:r>
      <w:r>
        <w:t>3.2 Разработка мероприятий по снижению воздействия на работника опасных и вредных факторов производственной среды и трудового процесса</w:t>
      </w:r>
      <w:r>
        <w:tab/>
      </w:r>
      <w:r>
        <w:fldChar w:fldCharType="begin"/>
      </w:r>
      <w:r>
        <w:instrText>PAGEREF __RefHeading___13 \h</w:instrText>
      </w:r>
      <w:r>
        <w:fldChar w:fldCharType="separate"/>
      </w:r>
      <w:r>
        <w:t>57</w:t>
      </w:r>
      <w:r>
        <w:fldChar w:fldCharType="end"/>
      </w:r>
      <w:r>
        <w:fldChar w:fldCharType="end"/>
      </w:r>
    </w:p>
    <w:p w14:paraId="7E000000">
      <w:pPr>
        <w:pStyle w:val="Style_6"/>
        <w:tabs>
          <w:tab w:leader="none" w:pos="9345" w:val="clear"/>
          <w:tab w:leader="dot" w:pos="9355" w:val="right"/>
        </w:tabs>
        <w:ind/>
      </w:pPr>
      <w:r>
        <w:fldChar w:fldCharType="begin"/>
      </w:r>
      <w:r>
        <w:instrText>HYPERLINK \l "__RefHeading___14"</w:instrText>
      </w:r>
      <w:r>
        <w:fldChar w:fldCharType="separate"/>
      </w:r>
      <w:r>
        <w:t>3.3 Разработка инструкции по охране труда на рабочем месте</w:t>
      </w:r>
      <w:r>
        <w:tab/>
      </w:r>
      <w:r>
        <w:fldChar w:fldCharType="begin"/>
      </w:r>
      <w:r>
        <w:instrText>PAGEREF __RefHeading___14 \h</w:instrText>
      </w:r>
      <w:r>
        <w:fldChar w:fldCharType="separate"/>
      </w:r>
      <w:r>
        <w:t>63</w:t>
      </w:r>
      <w:r>
        <w:fldChar w:fldCharType="end"/>
      </w:r>
      <w:r>
        <w:fldChar w:fldCharType="end"/>
      </w:r>
    </w:p>
    <w:p w14:paraId="7F000000">
      <w:pPr>
        <w:pStyle w:val="Style_6"/>
        <w:tabs>
          <w:tab w:leader="none" w:pos="9345" w:val="clear"/>
          <w:tab w:leader="dot" w:pos="9355" w:val="right"/>
        </w:tabs>
        <w:ind/>
      </w:pPr>
      <w:r>
        <w:fldChar w:fldCharType="begin"/>
      </w:r>
      <w:r>
        <w:instrText>HYPERLINK \l "__RefHeading___15"</w:instrText>
      </w:r>
      <w:r>
        <w:fldChar w:fldCharType="separate"/>
      </w:r>
      <w:r>
        <w:t>ЗАКЛЮЧЕНИЕ</w:t>
      </w:r>
      <w:r>
        <w:tab/>
      </w:r>
      <w:r>
        <w:fldChar w:fldCharType="begin"/>
      </w:r>
      <w:r>
        <w:instrText>PAGEREF __RefHeading___15 \h</w:instrText>
      </w:r>
      <w:r>
        <w:fldChar w:fldCharType="separate"/>
      </w:r>
      <w:r>
        <w:t>66</w:t>
      </w:r>
      <w:r>
        <w:fldChar w:fldCharType="end"/>
      </w:r>
      <w:r>
        <w:fldChar w:fldCharType="end"/>
      </w:r>
    </w:p>
    <w:p w14:paraId="80000000">
      <w:pPr>
        <w:pStyle w:val="Style_6"/>
        <w:tabs>
          <w:tab w:leader="none" w:pos="9345" w:val="clear"/>
          <w:tab w:leader="dot" w:pos="9355" w:val="right"/>
        </w:tabs>
        <w:ind/>
      </w:pPr>
      <w:r>
        <w:fldChar w:fldCharType="begin"/>
      </w:r>
      <w:r>
        <w:instrText>HYPERLINK \l "__RefHeading___16"</w:instrText>
      </w:r>
      <w:r>
        <w:fldChar w:fldCharType="separate"/>
      </w:r>
      <w:r>
        <w:t>СПИСОК ИСПОЛЬЗОВАННЫХ ИСТОЧНИКОВ</w:t>
      </w:r>
      <w:r>
        <w:tab/>
      </w:r>
      <w:r>
        <w:fldChar w:fldCharType="begin"/>
      </w:r>
      <w:r>
        <w:instrText>PAGEREF __RefHeading___16 \h</w:instrText>
      </w:r>
      <w:r>
        <w:fldChar w:fldCharType="separate"/>
      </w:r>
      <w:r>
        <w:t>69</w:t>
      </w:r>
      <w:r>
        <w:fldChar w:fldCharType="end"/>
      </w:r>
      <w:r>
        <w:fldChar w:fldCharType="end"/>
      </w:r>
    </w:p>
    <w:p w14:paraId="81000000">
      <w:pPr>
        <w:pStyle w:val="Style_6"/>
        <w:tabs>
          <w:tab w:leader="none" w:pos="9345" w:val="clear"/>
          <w:tab w:leader="dot" w:pos="9355" w:val="right"/>
        </w:tabs>
        <w:ind/>
      </w:pPr>
      <w:r>
        <w:fldChar w:fldCharType="begin"/>
      </w:r>
      <w:r>
        <w:instrText>HYPERLINK \l "__RefHeading___17"</w:instrText>
      </w:r>
      <w:r>
        <w:fldChar w:fldCharType="separate"/>
      </w:r>
      <w:r>
        <w:t>ПРИЛОЖЕНИЕ 1</w:t>
      </w:r>
      <w:r>
        <w:tab/>
      </w:r>
      <w:r>
        <w:fldChar w:fldCharType="begin"/>
      </w:r>
      <w:r>
        <w:instrText>PAGEREF __RefHeading___17 \h</w:instrText>
      </w:r>
      <w:r>
        <w:fldChar w:fldCharType="separate"/>
      </w:r>
      <w:r>
        <w:t>74</w:t>
      </w:r>
      <w:r>
        <w:fldChar w:fldCharType="end"/>
      </w:r>
      <w:r>
        <w:fldChar w:fldCharType="end"/>
      </w:r>
    </w:p>
    <w:p w14:paraId="82000000">
      <w:pPr>
        <w:pStyle w:val="Style_6"/>
        <w:tabs>
          <w:tab w:leader="none" w:pos="9345" w:val="clear"/>
          <w:tab w:leader="dot" w:pos="9355" w:val="right"/>
        </w:tabs>
        <w:ind/>
      </w:pPr>
      <w:r>
        <w:fldChar w:fldCharType="begin"/>
      </w:r>
      <w:r>
        <w:instrText>HYPERLINK \l "__RefHeading___18"</w:instrText>
      </w:r>
      <w:r>
        <w:fldChar w:fldCharType="separate"/>
      </w:r>
      <w:r>
        <w:t>Технологический маршрут обработки</w:t>
      </w:r>
      <w:r>
        <w:tab/>
      </w:r>
      <w:r>
        <w:fldChar w:fldCharType="begin"/>
      </w:r>
      <w:r>
        <w:instrText>PAGEREF __RefHeading___18 \h</w:instrText>
      </w:r>
      <w:r>
        <w:fldChar w:fldCharType="separate"/>
      </w:r>
      <w:r>
        <w:t>74</w:t>
      </w:r>
      <w:r>
        <w:fldChar w:fldCharType="end"/>
      </w:r>
      <w:r>
        <w:fldChar w:fldCharType="end"/>
      </w:r>
    </w:p>
    <w:p w14:paraId="83000000">
      <w:pPr>
        <w:pStyle w:val="Style_6"/>
        <w:tabs>
          <w:tab w:leader="none" w:pos="9345" w:val="clear"/>
          <w:tab w:leader="dot" w:pos="9355" w:val="right"/>
        </w:tabs>
        <w:ind/>
      </w:pPr>
      <w:r>
        <w:fldChar w:fldCharType="begin"/>
      </w:r>
      <w:r>
        <w:instrText>HYPERLINK \l "__RefHeading___19"</w:instrText>
      </w:r>
      <w:r>
        <w:fldChar w:fldCharType="separate"/>
      </w:r>
      <w:r>
        <w:t>ПРИЛОЖЕНИЕ 2</w:t>
      </w:r>
      <w:r>
        <w:tab/>
      </w:r>
      <w:r>
        <w:fldChar w:fldCharType="begin"/>
      </w:r>
      <w:r>
        <w:instrText>PAGEREF __RefHeading___19 \h</w:instrText>
      </w:r>
      <w:r>
        <w:fldChar w:fldCharType="separate"/>
      </w:r>
      <w:r>
        <w:t>79</w:t>
      </w:r>
      <w:r>
        <w:fldChar w:fldCharType="end"/>
      </w:r>
      <w:r>
        <w:fldChar w:fldCharType="end"/>
      </w:r>
    </w:p>
    <w:p w14:paraId="84000000">
      <w:pPr>
        <w:pStyle w:val="Style_6"/>
        <w:tabs>
          <w:tab w:leader="none" w:pos="9345" w:val="clear"/>
          <w:tab w:leader="dot" w:pos="9355" w:val="right"/>
        </w:tabs>
        <w:ind/>
      </w:pPr>
      <w:r>
        <w:fldChar w:fldCharType="begin"/>
      </w:r>
      <w:r>
        <w:instrText>HYPERLINK \l "__RefHeading___20"</w:instrText>
      </w:r>
      <w:r>
        <w:fldChar w:fldCharType="separate"/>
      </w:r>
      <w:r>
        <w:t>Блок-схема действий оператора при возникновении аварийной ситуации</w:t>
      </w:r>
      <w:r>
        <w:tab/>
      </w:r>
      <w:r>
        <w:fldChar w:fldCharType="begin"/>
      </w:r>
      <w:r>
        <w:instrText>PAGEREF __RefHeading___20 \h</w:instrText>
      </w:r>
      <w:r>
        <w:fldChar w:fldCharType="separate"/>
      </w:r>
      <w:r>
        <w:t>79</w:t>
      </w:r>
      <w:r>
        <w:fldChar w:fldCharType="end"/>
      </w:r>
      <w:r>
        <w:fldChar w:fldCharType="end"/>
      </w:r>
    </w:p>
    <w:p>
      <w:r>
        <w:fldChar w:fldCharType="end"/>
      </w:r>
    </w:p>
    <w:p w14:paraId="86000000">
      <w:pPr>
        <w:spacing w:line="240" w:lineRule="auto"/>
        <w:ind w:firstLine="0" w:left="0"/>
        <w:jc w:val="left"/>
        <w:rPr>
          <w:b w:val="1"/>
          <w:color w:val="000000"/>
          <w:sz w:val="32"/>
        </w:rPr>
      </w:pPr>
      <w:r>
        <w:br w:type="page"/>
      </w:r>
    </w:p>
    <w:p w14:paraId="87000000">
      <w:bookmarkStart w:id="2" w:name="__RefHeading___2"/>
      <w:bookmarkEnd w:id="2"/>
      <w:pPr>
        <w:pStyle w:val="Style_5"/>
      </w:pPr>
      <w:r>
        <w:t>ВВЕДЕНИЕ</w:t>
      </w:r>
    </w:p>
    <w:p w14:paraId="88000000"/>
    <w:p w14:paraId="89000000">
      <w:r>
        <w:t xml:space="preserve">Действующие на многих предприятиях технологические процессы изготовления корпусных деталей малых габаритов исторически сложились в расчёте на универсальное оборудование. Такие процессы включают большое число операций и </w:t>
      </w:r>
      <w:r>
        <w:t>установов</w:t>
      </w:r>
      <w:r>
        <w:t>, ручную разметку, значительный объём слесарных и контрольных работ. Следствием являются повышенная трудоёмкость, нестабильность точностных параметров, зависящих от квалификации рабочего, и заметная доля исправимого и неисправимого брака. Переход на обработку с числовым программным управлением, концентрация операций, применение специальных станочных приспособлений и обоснованное назначение режимов резания позволяют устранить перечисленные недостатки и составляют основное содержание совершенствования технологических процессов в современных условиях.</w:t>
      </w:r>
    </w:p>
    <w:p w14:paraId="8A000000">
      <w:r>
        <w:t>Актуальность темы выпускной квалификационной работы определяется необходимостью повышения эффективности механической обработки детали «Угловой корпус подшипника» в условиях серийного производства ООО «Четвертый Подшипниковый Завод». Совершенствование технологического процесса обработки этой детали позволяет сократить трудоёмкость, повысить стабильность достижения требований чертежа и полнее использовать возможности имеющегося на предприятии оборудования с числовым программным управлением.</w:t>
      </w:r>
    </w:p>
    <w:p w14:paraId="8B000000">
      <w:r>
        <w:t xml:space="preserve">Объект исследования </w:t>
      </w:r>
      <w:r>
        <w:t>-</w:t>
      </w:r>
      <w:r>
        <w:t xml:space="preserve"> технологический процесс механической обработки детали «Угловой корпус подшипника» в ООО «Четвертый Подшипниковый Завод».</w:t>
      </w:r>
    </w:p>
    <w:p w14:paraId="8C000000">
      <w:r>
        <w:t xml:space="preserve">Предмет исследования </w:t>
      </w:r>
      <w:r>
        <w:t>-</w:t>
      </w:r>
      <w:r>
        <w:t xml:space="preserve"> технологические методы и средства совершенствования процесса механической обработки корпусной детали: структура операций, станочные приспособления, режимы резания, кинематическое обеспечение оборудования.</w:t>
      </w:r>
    </w:p>
    <w:p w14:paraId="8D000000">
      <w:r>
        <w:t xml:space="preserve">Цель работы </w:t>
      </w:r>
      <w:r>
        <w:t>-</w:t>
      </w:r>
      <w:r>
        <w:t xml:space="preserve"> совершенствование технологического процесса механической обработки детали «Угловой корпус подшипника» применительно к производственным условиям ООО «Четвертый Подшипниковый Завод».</w:t>
      </w:r>
    </w:p>
    <w:p w14:paraId="8E000000">
      <w:r>
        <w:t>Для достижения цели поставлены следующие задачи:</w:t>
      </w:r>
    </w:p>
    <w:p w14:paraId="8F000000">
      <w:r>
        <w:t>-</w:t>
      </w:r>
      <w:r>
        <w:t xml:space="preserve"> охарактеризовать структуру и основную деятельность ООО «Четвертый Подшипниковый Завод»;</w:t>
      </w:r>
    </w:p>
    <w:p w14:paraId="90000000">
      <w:r>
        <w:t>-</w:t>
      </w:r>
      <w:r>
        <w:t xml:space="preserve"> описать технологическое оборудование предприятия и оценить его возможности;</w:t>
      </w:r>
    </w:p>
    <w:p w14:paraId="91000000">
      <w:r>
        <w:t>-</w:t>
      </w:r>
      <w:r>
        <w:t xml:space="preserve"> выполнить обзор современных технологических процессов изготовления деталей рассматриваемого класса;</w:t>
      </w:r>
    </w:p>
    <w:p w14:paraId="92000000">
      <w:r>
        <w:t>-</w:t>
      </w:r>
      <w:r>
        <w:t xml:space="preserve"> проанализировать действующий технологический процесс изготовления детали «Угловой корпус подшипника» и выявить его недостатки;</w:t>
      </w:r>
    </w:p>
    <w:p w14:paraId="93000000">
      <w:r>
        <w:t>-</w:t>
      </w:r>
      <w:r>
        <w:t xml:space="preserve"> разработать технологическую карту усовершенствованного процесса изготовления детали, включая выбор заготовки, приспособления и расчёт режимов резания;</w:t>
      </w:r>
    </w:p>
    <w:p w14:paraId="94000000">
      <w:r>
        <w:t>-</w:t>
      </w:r>
      <w:r>
        <w:t xml:space="preserve"> выбрать и рассчитать кинематическую передачу привода главного движения станка, применяемого в технологическом процессе;</w:t>
      </w:r>
    </w:p>
    <w:p w14:paraId="95000000">
      <w:r>
        <w:t>-</w:t>
      </w:r>
      <w:r>
        <w:t xml:space="preserve"> проанализировать опасные и вредные факторы производственной среды и трудового процесса на рабочих местах механической обработки;</w:t>
      </w:r>
    </w:p>
    <w:p w14:paraId="96000000">
      <w:r>
        <w:t>-</w:t>
      </w:r>
      <w:r>
        <w:t xml:space="preserve"> разработать мероприятия по снижению воздействия на работника опасных и вредных факторов;</w:t>
      </w:r>
    </w:p>
    <w:p w14:paraId="97000000">
      <w:r>
        <w:t>-</w:t>
      </w:r>
      <w:r>
        <w:t xml:space="preserve"> разработать инструкцию по охране труда на рабочем месте.</w:t>
      </w:r>
    </w:p>
    <w:p w14:paraId="98000000">
      <w:r>
        <w:t>Работа состоит из введения, трёх глав, заключения</w:t>
      </w:r>
      <w:r>
        <w:t>,</w:t>
      </w:r>
      <w:r>
        <w:t xml:space="preserve"> списка использованных источников</w:t>
      </w:r>
      <w:r>
        <w:t xml:space="preserve"> и приложений.</w:t>
      </w:r>
    </w:p>
    <w:p w14:paraId="99000000">
      <w:pPr>
        <w:spacing w:line="240" w:lineRule="auto"/>
        <w:ind w:firstLine="0" w:left="0"/>
        <w:jc w:val="left"/>
        <w:rPr>
          <w:b w:val="1"/>
          <w:color w:val="000000"/>
          <w:sz w:val="32"/>
        </w:rPr>
      </w:pPr>
      <w:r>
        <w:br w:type="page"/>
      </w:r>
    </w:p>
    <w:p w14:paraId="9A000000">
      <w:bookmarkStart w:id="3" w:name="__RefHeading___3"/>
      <w:bookmarkEnd w:id="3"/>
      <w:pPr>
        <w:pStyle w:val="Style_5"/>
      </w:pPr>
      <w:r>
        <w:t>1 ОБЩАЯ ЧАСТЬ</w:t>
      </w:r>
    </w:p>
    <w:p w14:paraId="9B000000">
      <w:bookmarkStart w:id="4" w:name="__RefHeading___4"/>
      <w:bookmarkEnd w:id="4"/>
      <w:pPr>
        <w:pStyle w:val="Style_5"/>
      </w:pPr>
      <w:r>
        <w:t>1.1 Структура и основная деятельность ООО «Четвертый Подшипниковый Завод»</w:t>
      </w:r>
    </w:p>
    <w:p w14:paraId="9C000000"/>
    <w:p w14:paraId="9D000000">
      <w:r>
        <w:t xml:space="preserve">ООО «Четвертый Подшипниковый Завод» </w:t>
      </w:r>
      <w:r>
        <w:t>-</w:t>
      </w:r>
      <w:r>
        <w:t xml:space="preserve"> производственное предприятие машиностроительного профиля, расположенное в городе Самаре. Общество зарегистрировано в 2012 году, основной государственный регистрационный номер 1126318007562, ИНН 6318227043 [22]. Предприятие продолжает традиции самарского подшипникового производства, сформировавшиеся в регионе за десятилетия работы крупных подшипниковых заводов, и занимает нишу изготовления подшипниковой продукции и комплектующих деталей подшипниковых узлов малыми и средними сериями.</w:t>
      </w:r>
    </w:p>
    <w:p w14:paraId="9E000000">
      <w:r>
        <w:t>Основными направлениями деятельности предприятия являются: производство подшипников отдельных типоразмеров и подшипниковых узлов; механическая обработка корпусных деталей подшипниковых узлов, в том числе корпусов, крышек, стаканов и втулок; изготовление осей, валов и пальцев по чертежам заказчиков; выполнение кооперационных заказов на термическую обработку и шлифование; проектирование и изготовление станочных приспособлений для собственных нужд. Такое сочетание направлений позволяет предприятию гибко реагировать на запросы рынка: наряду с повторяющимися серийными заказами выполняются единичные заказы на запасные части к эксплуатируемому оборудованию.</w:t>
      </w:r>
    </w:p>
    <w:p w14:paraId="9F000000">
      <w:r>
        <w:t xml:space="preserve">Организационно-правовая форма предприятия </w:t>
      </w:r>
      <w:r>
        <w:t>-</w:t>
      </w:r>
      <w:r>
        <w:t xml:space="preserve"> общество с ограниченной ответственностью. Уставная деятельность осуществляется на собственных производственных площадях, включающих производственный корпус с заготовительным, механическим, термическим и шлифовальным участками, складское хозяйство и административно-бытовые помещения. Основные сведения о предприятии сведены в таблицу 1.</w:t>
      </w:r>
    </w:p>
    <w:p w14:paraId="A0000000">
      <w:pPr>
        <w:spacing w:line="240" w:lineRule="auto"/>
        <w:ind w:firstLine="0" w:left="0"/>
        <w:jc w:val="left"/>
      </w:pPr>
      <w:r>
        <w:br w:type="page"/>
      </w:r>
    </w:p>
    <w:p w14:paraId="A1000000">
      <w:pPr>
        <w:ind w:firstLine="0" w:left="0"/>
        <w:jc w:val="right"/>
      </w:pPr>
      <w:r>
        <w:t>Таблица 1</w:t>
      </w:r>
    </w:p>
    <w:p w14:paraId="A2000000">
      <w:pPr>
        <w:ind w:firstLine="0" w:left="0"/>
        <w:jc w:val="center"/>
      </w:pPr>
      <w:r>
        <w:t>Основные сведения об ООО «Четвертый Подшипниковый Завод»</w:t>
      </w:r>
    </w:p>
    <w:tbl>
      <w:tblPr>
        <w:tblStyle w:val="Style_7"/>
        <w:tblLayout w:type="fixed"/>
      </w:tblPr>
      <w:tblGrid>
        <w:gridCol w:w="4677"/>
        <w:gridCol w:w="4678"/>
      </w:tblGrid>
      <w:tr>
        <w:tc>
          <w:tcPr>
            <w:tcW w:type="dxa" w:w="4677"/>
            <w:shd w:fill="auto" w:val="clear"/>
          </w:tcPr>
          <w:p w14:paraId="A300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Показатель</w:t>
            </w:r>
          </w:p>
        </w:tc>
        <w:tc>
          <w:tcPr>
            <w:tcW w:type="dxa" w:w="4678"/>
            <w:shd w:fill="auto" w:val="clear"/>
          </w:tcPr>
          <w:p w14:paraId="A400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</w:p>
        </w:tc>
      </w:tr>
      <w:tr>
        <w:tc>
          <w:tcPr>
            <w:tcW w:type="dxa" w:w="4677"/>
            <w:shd w:fill="auto" w:val="clear"/>
          </w:tcPr>
          <w:p w14:paraId="A500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Организационно-правовая форма</w:t>
            </w:r>
          </w:p>
        </w:tc>
        <w:tc>
          <w:tcPr>
            <w:tcW w:type="dxa" w:w="4678"/>
            <w:shd w:fill="auto" w:val="clear"/>
          </w:tcPr>
          <w:p w14:paraId="A600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Общество с ограниченной ответственностью</w:t>
            </w:r>
          </w:p>
        </w:tc>
      </w:tr>
      <w:tr>
        <w:tc>
          <w:tcPr>
            <w:tcW w:type="dxa" w:w="4677"/>
            <w:shd w:fill="auto" w:val="clear"/>
          </w:tcPr>
          <w:p w14:paraId="A700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Год регистрации</w:t>
            </w:r>
          </w:p>
        </w:tc>
        <w:tc>
          <w:tcPr>
            <w:tcW w:type="dxa" w:w="4678"/>
            <w:shd w:fill="auto" w:val="clear"/>
          </w:tcPr>
          <w:p w14:paraId="A800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2012</w:t>
            </w:r>
          </w:p>
        </w:tc>
      </w:tr>
      <w:tr>
        <w:tc>
          <w:tcPr>
            <w:tcW w:type="dxa" w:w="4677"/>
            <w:shd w:fill="auto" w:val="clear"/>
          </w:tcPr>
          <w:p w14:paraId="A900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Местонахождение</w:t>
            </w:r>
          </w:p>
        </w:tc>
        <w:tc>
          <w:tcPr>
            <w:tcW w:type="dxa" w:w="4678"/>
            <w:shd w:fill="auto" w:val="clear"/>
          </w:tcPr>
          <w:p w14:paraId="AA00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город Самара</w:t>
            </w:r>
          </w:p>
        </w:tc>
      </w:tr>
      <w:tr>
        <w:tc>
          <w:tcPr>
            <w:tcW w:type="dxa" w:w="4677"/>
            <w:shd w:fill="auto" w:val="clear"/>
          </w:tcPr>
          <w:p w14:paraId="AB00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Основной вид деятельности</w:t>
            </w:r>
          </w:p>
        </w:tc>
        <w:tc>
          <w:tcPr>
            <w:tcW w:type="dxa" w:w="4678"/>
            <w:shd w:fill="auto" w:val="clear"/>
          </w:tcPr>
          <w:p w14:paraId="AC00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Производство подшипников и комплектующих деталей подшипниковых узлов</w:t>
            </w:r>
          </w:p>
        </w:tc>
      </w:tr>
      <w:tr>
        <w:tc>
          <w:tcPr>
            <w:tcW w:type="dxa" w:w="4677"/>
            <w:shd w:fill="auto" w:val="clear"/>
          </w:tcPr>
          <w:p w14:paraId="AD00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Дополнительные направления</w:t>
            </w:r>
          </w:p>
        </w:tc>
        <w:tc>
          <w:tcPr>
            <w:tcW w:type="dxa" w:w="4678"/>
            <w:shd w:fill="auto" w:val="clear"/>
          </w:tcPr>
          <w:p w14:paraId="AE00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Механическая обработка корпусных деталей, изготовление осей и валов, термообработка и шлифование по кооперации, изготовление оснастки</w:t>
            </w:r>
          </w:p>
        </w:tc>
      </w:tr>
      <w:tr>
        <w:tc>
          <w:tcPr>
            <w:tcW w:type="dxa" w:w="4677"/>
            <w:shd w:fill="auto" w:val="clear"/>
          </w:tcPr>
          <w:p w14:paraId="AF00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Тип производства</w:t>
            </w:r>
          </w:p>
        </w:tc>
        <w:tc>
          <w:tcPr>
            <w:tcW w:type="dxa" w:w="4678"/>
            <w:shd w:fill="auto" w:val="clear"/>
          </w:tcPr>
          <w:p w14:paraId="B000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Серийное (среднесерийное)</w:t>
            </w:r>
          </w:p>
        </w:tc>
      </w:tr>
      <w:tr>
        <w:tc>
          <w:tcPr>
            <w:tcW w:type="dxa" w:w="4677"/>
            <w:shd w:fill="auto" w:val="clear"/>
          </w:tcPr>
          <w:p w14:paraId="B100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Численность персонала</w:t>
            </w:r>
          </w:p>
        </w:tc>
        <w:tc>
          <w:tcPr>
            <w:tcW w:type="dxa" w:w="4678"/>
            <w:shd w:fill="auto" w:val="clear"/>
          </w:tcPr>
          <w:p w14:paraId="B200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86 человек</w:t>
            </w:r>
          </w:p>
        </w:tc>
      </w:tr>
      <w:tr>
        <w:tc>
          <w:tcPr>
            <w:tcW w:type="dxa" w:w="4677"/>
            <w:shd w:fill="auto" w:val="clear"/>
          </w:tcPr>
          <w:p w14:paraId="B300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Номенклатура выпускаемых деталей</w:t>
            </w:r>
          </w:p>
        </w:tc>
        <w:tc>
          <w:tcPr>
            <w:tcW w:type="dxa" w:w="4678"/>
            <w:shd w:fill="auto" w:val="clear"/>
          </w:tcPr>
          <w:p w14:paraId="B400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Около 120 наименований</w:t>
            </w:r>
          </w:p>
        </w:tc>
      </w:tr>
    </w:tbl>
    <w:p w14:paraId="B5000000"/>
    <w:p w14:paraId="B6000000">
      <w:r>
        <w:t>Из таблицы 1 видно, что предприятие относится к малым производственным предприятиям с серийным типом производства и широкой номенклатурой продукции. Именно для таких условий характерна повышенная роль технологической подготовки производства: при частой сменяемости заказов выигрыш даёт не узкоспециализированное, а гибкое переналаживаемое оборудование с числовым программным управлением в сочетании с быстро переналаживаемой оснасткой.</w:t>
      </w:r>
    </w:p>
    <w:p w14:paraId="B7000000">
      <w:r>
        <w:t>Управление предприятием построено по линейно-функциональной схеме. Общее руководство осуществляет генеральный директор, которому подчинены технический директор, директор по производству, коммерческая служба, бухгалтерия с отделом кадров и служба технического контроля. Технический директор руководит технологическим бюро, отвечающим за разработку и сопровождение технологических процессов, программирование станков с числовым программным управлением и проектирование оснастки, а также службой главного механика, обеспечивающей работоспособность оборудования. Директору по производству подчинены производственные участки: заготовительный, механический, термический и шлифовальный. Организационная структура предприятия представлена на рисунке 1.</w:t>
      </w:r>
    </w:p>
    <w:p w14:paraId="B8000000">
      <w:pPr>
        <w:ind w:firstLine="0" w:left="0"/>
      </w:pPr>
      <w:r>
        <w:drawing>
          <wp:inline>
            <wp:extent cx="5905359" cy="6802581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>
                      <a:extLst>
                        <a:ext uri="{96DAC541-7B7A-43D3-8B79-37D633B846F1}">
                          <asvg:svgBlip r:embed="rId6"/>
                        </a:ext>
                      </a:extLst>
                    </a:blip>
                    <a:stretch/>
                  </pic:blipFill>
                  <pic:spPr>
                    <a:xfrm flipH="false" flipV="false" rot="0">
                      <a:ext cx="5905359" cy="6802581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B9000000">
      <w:pPr>
        <w:ind w:firstLine="0" w:left="0"/>
        <w:jc w:val="center"/>
      </w:pPr>
      <w:r>
        <w:t xml:space="preserve">Рисунок 1 </w:t>
      </w:r>
      <w:r>
        <w:t>-</w:t>
      </w:r>
      <w:r>
        <w:t xml:space="preserve"> Организационная структура ООО «Четвертый Подшипниковый Завод»</w:t>
      </w:r>
    </w:p>
    <w:p w14:paraId="BA000000"/>
    <w:p w14:paraId="BB000000">
      <w:r>
        <w:t xml:space="preserve">Как видно из рисунка 1, служба технического контроля подчинена непосредственно генеральному директору, что обеспечивает её независимость от производственных подразделений при приёмке продукции. Технологическое бюро и производственные участки разделены по </w:t>
      </w:r>
      <w:r>
        <w:t>подчинённости, благодаря чему разработка технологических процессов и их исполнение находятся под перекрёстным контролем: технологическое бюро задаёт нормативную базу обработки, а производственные участки отчитываются за её соблюдение.</w:t>
      </w:r>
    </w:p>
    <w:p w14:paraId="BC000000">
      <w:r>
        <w:t>Кадровый состав предприятия сформирован с преобладанием основных производственных рабочих, что закономерно для производственного предприятия механообрабатывающего профиля. Распределение персонала по категориям приведено в таблице 2.</w:t>
      </w:r>
    </w:p>
    <w:p w14:paraId="BD000000">
      <w:pPr>
        <w:ind w:firstLine="0" w:left="0"/>
        <w:jc w:val="right"/>
      </w:pPr>
      <w:r>
        <w:t>Таблица 2</w:t>
      </w:r>
    </w:p>
    <w:p w14:paraId="BE000000">
      <w:pPr>
        <w:ind w:firstLine="0" w:left="0"/>
        <w:jc w:val="center"/>
      </w:pPr>
      <w:r>
        <w:t>Структура персонала предприятия по категориям</w:t>
      </w:r>
    </w:p>
    <w:tbl>
      <w:tblPr>
        <w:tblStyle w:val="Style_7"/>
        <w:tblLayout w:type="fixed"/>
      </w:tblPr>
      <w:tblGrid>
        <w:gridCol w:w="3116"/>
        <w:gridCol w:w="3119"/>
        <w:gridCol w:w="3119"/>
      </w:tblGrid>
      <w:tr>
        <w:tc>
          <w:tcPr>
            <w:tcW w:type="dxa" w:w="3116"/>
            <w:shd w:fill="auto" w:val="clear"/>
          </w:tcPr>
          <w:p w14:paraId="BF00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Категория персонала</w:t>
            </w:r>
          </w:p>
        </w:tc>
        <w:tc>
          <w:tcPr>
            <w:tcW w:type="dxa" w:w="3119"/>
            <w:shd w:fill="auto" w:val="clear"/>
          </w:tcPr>
          <w:p w14:paraId="C000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Численность, человек</w:t>
            </w:r>
          </w:p>
        </w:tc>
        <w:tc>
          <w:tcPr>
            <w:tcW w:type="dxa" w:w="3119"/>
            <w:shd w:fill="auto" w:val="clear"/>
          </w:tcPr>
          <w:p w14:paraId="C100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Доля, процентов</w:t>
            </w:r>
          </w:p>
        </w:tc>
      </w:tr>
      <w:tr>
        <w:tc>
          <w:tcPr>
            <w:tcW w:type="dxa" w:w="3116"/>
            <w:shd w:fill="auto" w:val="clear"/>
          </w:tcPr>
          <w:p w14:paraId="C200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  <w:tc>
          <w:tcPr>
            <w:tcW w:type="dxa" w:w="3119"/>
            <w:shd w:fill="auto" w:val="clear"/>
          </w:tcPr>
          <w:p w14:paraId="C300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type="dxa" w:w="3119"/>
            <w:shd w:fill="auto" w:val="clear"/>
          </w:tcPr>
          <w:p w14:paraId="C400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9,3</w:t>
            </w:r>
          </w:p>
        </w:tc>
      </w:tr>
      <w:tr>
        <w:tc>
          <w:tcPr>
            <w:tcW w:type="dxa" w:w="3116"/>
            <w:shd w:fill="auto" w:val="clear"/>
          </w:tcPr>
          <w:p w14:paraId="C500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Специалисты и служащие</w:t>
            </w:r>
          </w:p>
        </w:tc>
        <w:tc>
          <w:tcPr>
            <w:tcW w:type="dxa" w:w="3119"/>
            <w:shd w:fill="auto" w:val="clear"/>
          </w:tcPr>
          <w:p w14:paraId="C600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type="dxa" w:w="3119"/>
            <w:shd w:fill="auto" w:val="clear"/>
          </w:tcPr>
          <w:p w14:paraId="C700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25,6</w:t>
            </w:r>
          </w:p>
        </w:tc>
      </w:tr>
      <w:tr>
        <w:tc>
          <w:tcPr>
            <w:tcW w:type="dxa" w:w="3116"/>
            <w:shd w:fill="auto" w:val="clear"/>
          </w:tcPr>
          <w:p w14:paraId="C800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Основные производственные рабочие</w:t>
            </w:r>
          </w:p>
        </w:tc>
        <w:tc>
          <w:tcPr>
            <w:tcW w:type="dxa" w:w="3119"/>
            <w:shd w:fill="auto" w:val="clear"/>
          </w:tcPr>
          <w:p w14:paraId="C900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44</w:t>
            </w:r>
          </w:p>
        </w:tc>
        <w:tc>
          <w:tcPr>
            <w:tcW w:type="dxa" w:w="3119"/>
            <w:shd w:fill="auto" w:val="clear"/>
          </w:tcPr>
          <w:p w14:paraId="CA00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51,2</w:t>
            </w:r>
          </w:p>
        </w:tc>
      </w:tr>
      <w:tr>
        <w:tc>
          <w:tcPr>
            <w:tcW w:type="dxa" w:w="3116"/>
            <w:shd w:fill="auto" w:val="clear"/>
          </w:tcPr>
          <w:p w14:paraId="CB00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Вспомогательные рабочие</w:t>
            </w:r>
          </w:p>
        </w:tc>
        <w:tc>
          <w:tcPr>
            <w:tcW w:type="dxa" w:w="3119"/>
            <w:shd w:fill="auto" w:val="clear"/>
          </w:tcPr>
          <w:p w14:paraId="CC00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type="dxa" w:w="3119"/>
            <w:shd w:fill="auto" w:val="clear"/>
          </w:tcPr>
          <w:p w14:paraId="CD00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13,9</w:t>
            </w:r>
          </w:p>
        </w:tc>
      </w:tr>
      <w:tr>
        <w:tc>
          <w:tcPr>
            <w:tcW w:type="dxa" w:w="3116"/>
            <w:shd w:fill="auto" w:val="clear"/>
          </w:tcPr>
          <w:p w14:paraId="CE00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type="dxa" w:w="3119"/>
            <w:shd w:fill="auto" w:val="clear"/>
          </w:tcPr>
          <w:p w14:paraId="CF00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86</w:t>
            </w:r>
          </w:p>
        </w:tc>
        <w:tc>
          <w:tcPr>
            <w:tcW w:type="dxa" w:w="3119"/>
            <w:shd w:fill="auto" w:val="clear"/>
          </w:tcPr>
          <w:p w14:paraId="D000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100,0</w:t>
            </w:r>
          </w:p>
        </w:tc>
      </w:tr>
    </w:tbl>
    <w:p w14:paraId="D1000000"/>
    <w:p w14:paraId="D2000000">
      <w:r>
        <w:t xml:space="preserve">Данные таблицы 2 показывают, что более половины персонала составляют основные производственные рабочие </w:t>
      </w:r>
      <w:r>
        <w:t>-</w:t>
      </w:r>
      <w:r>
        <w:t xml:space="preserve"> станочники токарной, фрезерной, сверлильной и шлифовальной специализаций, операторы и наладчики станков с числовым программным управлением, термисты и контролёры. </w:t>
      </w:r>
    </w:p>
    <w:p w14:paraId="D3000000">
      <w:r>
        <w:t xml:space="preserve">Таким образом, ООО «Четвертый Подшипниковый Завод» представляет собой компактное серийное машиностроительное предприятие с полным циклом механической обработки </w:t>
      </w:r>
      <w:r>
        <w:t>-</w:t>
      </w:r>
      <w:r>
        <w:t xml:space="preserve"> от заготовительных операций до термической обработки, шлифования и контроля. Линейно-функциональная структура управления с независимой службой технического контроля и собственным технологическим бюро создаёт организационные условия для совершенствования технологических процессов, а профиль деятельности и структура персонала соответствуют задаче качественного изготовления корпусных деталей подшипниковых узлов, к числу которых относится рассматриваемая деталь.</w:t>
      </w:r>
    </w:p>
    <w:p w14:paraId="D4000000">
      <w:bookmarkStart w:id="5" w:name="__RefHeading___5"/>
      <w:bookmarkEnd w:id="5"/>
      <w:pPr>
        <w:pStyle w:val="Style_5"/>
      </w:pPr>
      <w:r>
        <w:t>1.2 Технологическое оборудование ООО «Четвертый Подшипниковый Завод»</w:t>
      </w:r>
    </w:p>
    <w:p w14:paraId="D5000000"/>
    <w:p w14:paraId="D6000000">
      <w:r>
        <w:t>Станочный парк предприятия сформирован исходя из серийного характера производства и широкой номенклатуры обрабатываемых деталей. Общее количество единиц основного технологического оборудования составляет 18; парк сочетает универсальные станки, необходимые для единичных и ремонтных заказов, и станки с числовым программным управлением, на которых сосредоточен выпуск серийной продукции. Состав станочного парка приведён в таблице 3.</w:t>
      </w:r>
    </w:p>
    <w:p w14:paraId="D7000000">
      <w:pPr>
        <w:ind w:firstLine="0" w:left="0"/>
        <w:jc w:val="right"/>
      </w:pPr>
      <w:r>
        <w:t>Таблица 3</w:t>
      </w:r>
    </w:p>
    <w:p w14:paraId="D8000000">
      <w:pPr>
        <w:ind w:firstLine="0" w:left="0"/>
        <w:jc w:val="center"/>
      </w:pPr>
      <w:r>
        <w:t>Состав технологического оборудования предприятия</w:t>
      </w:r>
    </w:p>
    <w:tbl>
      <w:tblPr>
        <w:tblStyle w:val="Style_7"/>
        <w:tblLayout w:type="fixed"/>
      </w:tblPr>
      <w:tblGrid>
        <w:gridCol w:w="2559"/>
        <w:gridCol w:w="2265"/>
        <w:gridCol w:w="2265"/>
        <w:gridCol w:w="2265"/>
      </w:tblGrid>
      <w:tr>
        <w:tc>
          <w:tcPr>
            <w:tcW w:type="dxa" w:w="2559"/>
            <w:shd w:fill="auto" w:val="clear"/>
          </w:tcPr>
          <w:p w14:paraId="D900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Группа оборудования</w:t>
            </w:r>
          </w:p>
        </w:tc>
        <w:tc>
          <w:tcPr>
            <w:tcW w:type="dxa" w:w="2265"/>
            <w:shd w:fill="auto" w:val="clear"/>
          </w:tcPr>
          <w:p w14:paraId="DA00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Модель (тип)</w:t>
            </w:r>
          </w:p>
        </w:tc>
        <w:tc>
          <w:tcPr>
            <w:tcW w:type="dxa" w:w="2265"/>
            <w:shd w:fill="auto" w:val="clear"/>
          </w:tcPr>
          <w:p w14:paraId="DB00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Количество, единиц</w:t>
            </w:r>
          </w:p>
        </w:tc>
        <w:tc>
          <w:tcPr>
            <w:tcW w:type="dxa" w:w="2265"/>
            <w:shd w:fill="auto" w:val="clear"/>
          </w:tcPr>
          <w:p w14:paraId="DC00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Назначение</w:t>
            </w:r>
          </w:p>
        </w:tc>
      </w:tr>
      <w:tr>
        <w:tc>
          <w:tcPr>
            <w:tcW w:type="dxa" w:w="2559"/>
            <w:shd w:fill="auto" w:val="clear"/>
          </w:tcPr>
          <w:p w14:paraId="DD00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Ленточно-отрезной станок</w:t>
            </w:r>
          </w:p>
        </w:tc>
        <w:tc>
          <w:tcPr>
            <w:tcW w:type="dxa" w:w="2265"/>
            <w:shd w:fill="auto" w:val="clear"/>
          </w:tcPr>
          <w:p w14:paraId="DE00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Автоматический, по металлу</w:t>
            </w:r>
          </w:p>
        </w:tc>
        <w:tc>
          <w:tcPr>
            <w:tcW w:type="dxa" w:w="2265"/>
            <w:shd w:fill="auto" w:val="clear"/>
          </w:tcPr>
          <w:p w14:paraId="DF00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2265"/>
            <w:shd w:fill="auto" w:val="clear"/>
          </w:tcPr>
          <w:p w14:paraId="E000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Отрезка штучных заготовок из проката</w:t>
            </w:r>
          </w:p>
        </w:tc>
      </w:tr>
      <w:tr>
        <w:tc>
          <w:tcPr>
            <w:tcW w:type="dxa" w:w="2559"/>
            <w:shd w:fill="auto" w:val="clear"/>
          </w:tcPr>
          <w:p w14:paraId="E100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Вертикально-фрезерный обрабатывающий центр с ЧПУ</w:t>
            </w:r>
          </w:p>
        </w:tc>
        <w:tc>
          <w:tcPr>
            <w:tcW w:type="dxa" w:w="2265"/>
            <w:shd w:fill="auto" w:val="clear"/>
          </w:tcPr>
          <w:p w14:paraId="E200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С инструментальным магазином</w:t>
            </w:r>
          </w:p>
        </w:tc>
        <w:tc>
          <w:tcPr>
            <w:tcW w:type="dxa" w:w="2265"/>
            <w:shd w:fill="auto" w:val="clear"/>
          </w:tcPr>
          <w:p w14:paraId="E300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2265"/>
            <w:shd w:fill="auto" w:val="clear"/>
          </w:tcPr>
          <w:p w14:paraId="E400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Комплексная фрезерно-сверлильно-расточная обработка корпусных деталей</w:t>
            </w:r>
          </w:p>
        </w:tc>
      </w:tr>
      <w:tr>
        <w:tc>
          <w:tcPr>
            <w:tcW w:type="dxa" w:w="2559"/>
            <w:shd w:fill="auto" w:val="clear"/>
          </w:tcPr>
          <w:p w14:paraId="E500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Токарный станок с ЧПУ</w:t>
            </w:r>
          </w:p>
        </w:tc>
        <w:tc>
          <w:tcPr>
            <w:tcW w:type="dxa" w:w="2265"/>
            <w:shd w:fill="auto" w:val="clear"/>
          </w:tcPr>
          <w:p w14:paraId="E600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С частотно-регулируемым приводом</w:t>
            </w:r>
          </w:p>
        </w:tc>
        <w:tc>
          <w:tcPr>
            <w:tcW w:type="dxa" w:w="2265"/>
            <w:shd w:fill="auto" w:val="clear"/>
          </w:tcPr>
          <w:p w14:paraId="E700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2265"/>
            <w:shd w:fill="auto" w:val="clear"/>
          </w:tcPr>
          <w:p w14:paraId="E800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Токарная обработка точных поверхностей вращения</w:t>
            </w:r>
          </w:p>
        </w:tc>
      </w:tr>
      <w:tr>
        <w:tc>
          <w:tcPr>
            <w:tcW w:type="dxa" w:w="2559"/>
            <w:shd w:fill="auto" w:val="clear"/>
          </w:tcPr>
          <w:p w14:paraId="E900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Токарно-винторезный станок</w:t>
            </w:r>
          </w:p>
        </w:tc>
        <w:tc>
          <w:tcPr>
            <w:tcW w:type="dxa" w:w="2265"/>
            <w:shd w:fill="auto" w:val="clear"/>
          </w:tcPr>
          <w:p w14:paraId="EA00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16К20</w:t>
            </w:r>
          </w:p>
        </w:tc>
        <w:tc>
          <w:tcPr>
            <w:tcW w:type="dxa" w:w="2265"/>
            <w:shd w:fill="auto" w:val="clear"/>
          </w:tcPr>
          <w:p w14:paraId="EB00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2265"/>
            <w:shd w:fill="auto" w:val="clear"/>
          </w:tcPr>
          <w:p w14:paraId="EC00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Универсальные токарные работы</w:t>
            </w:r>
          </w:p>
        </w:tc>
      </w:tr>
      <w:tr>
        <w:tc>
          <w:tcPr>
            <w:tcW w:type="dxa" w:w="2559"/>
            <w:shd w:fill="auto" w:val="clear"/>
          </w:tcPr>
          <w:p w14:paraId="ED00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Консольно-фрезерный станок</w:t>
            </w:r>
          </w:p>
        </w:tc>
        <w:tc>
          <w:tcPr>
            <w:tcW w:type="dxa" w:w="2265"/>
            <w:shd w:fill="auto" w:val="clear"/>
          </w:tcPr>
          <w:p w14:paraId="EE00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6Р12</w:t>
            </w:r>
          </w:p>
        </w:tc>
        <w:tc>
          <w:tcPr>
            <w:tcW w:type="dxa" w:w="2265"/>
            <w:shd w:fill="auto" w:val="clear"/>
          </w:tcPr>
          <w:p w14:paraId="EF00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2265"/>
            <w:shd w:fill="auto" w:val="clear"/>
          </w:tcPr>
          <w:p w14:paraId="F000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Универсальные фрезерные работы</w:t>
            </w:r>
          </w:p>
        </w:tc>
      </w:tr>
      <w:tr>
        <w:tc>
          <w:tcPr>
            <w:tcW w:type="dxa" w:w="2559"/>
            <w:shd w:fill="auto" w:val="clear"/>
          </w:tcPr>
          <w:p w14:paraId="F100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Вертикально-сверлильный станок</w:t>
            </w:r>
          </w:p>
        </w:tc>
        <w:tc>
          <w:tcPr>
            <w:tcW w:type="dxa" w:w="2265"/>
            <w:shd w:fill="auto" w:val="clear"/>
          </w:tcPr>
          <w:p w14:paraId="F200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2Н125</w:t>
            </w:r>
          </w:p>
        </w:tc>
        <w:tc>
          <w:tcPr>
            <w:tcW w:type="dxa" w:w="2265"/>
            <w:shd w:fill="auto" w:val="clear"/>
          </w:tcPr>
          <w:p w14:paraId="F300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2265"/>
            <w:shd w:fill="auto" w:val="clear"/>
          </w:tcPr>
          <w:p w14:paraId="F400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Сверление, зенкерование, развёртывание отверстий</w:t>
            </w:r>
          </w:p>
        </w:tc>
      </w:tr>
      <w:tr>
        <w:tc>
          <w:tcPr>
            <w:tcW w:type="dxa" w:w="2559"/>
            <w:shd w:fill="auto" w:val="clear"/>
          </w:tcPr>
          <w:p w14:paraId="F500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Круглошлифовальный</w:t>
            </w:r>
            <w:r>
              <w:rPr>
                <w:sz w:val="24"/>
              </w:rPr>
              <w:t xml:space="preserve"> станок</w:t>
            </w:r>
          </w:p>
        </w:tc>
        <w:tc>
          <w:tcPr>
            <w:tcW w:type="dxa" w:w="2265"/>
            <w:shd w:fill="auto" w:val="clear"/>
          </w:tcPr>
          <w:p w14:paraId="F600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3М131</w:t>
            </w:r>
          </w:p>
        </w:tc>
        <w:tc>
          <w:tcPr>
            <w:tcW w:type="dxa" w:w="2265"/>
            <w:shd w:fill="auto" w:val="clear"/>
          </w:tcPr>
          <w:p w14:paraId="F700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2265"/>
            <w:shd w:fill="auto" w:val="clear"/>
          </w:tcPr>
          <w:p w14:paraId="F800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Шлифование наружных поверхностей вращения</w:t>
            </w:r>
          </w:p>
        </w:tc>
      </w:tr>
      <w:tr>
        <w:tc>
          <w:tcPr>
            <w:tcW w:type="dxa" w:w="2559"/>
            <w:shd w:fill="auto" w:val="clear"/>
          </w:tcPr>
          <w:p w14:paraId="F900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Внутришлифовальный станок</w:t>
            </w:r>
          </w:p>
        </w:tc>
        <w:tc>
          <w:tcPr>
            <w:tcW w:type="dxa" w:w="2265"/>
            <w:shd w:fill="auto" w:val="clear"/>
          </w:tcPr>
          <w:p w14:paraId="FA00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3К227</w:t>
            </w:r>
          </w:p>
        </w:tc>
        <w:tc>
          <w:tcPr>
            <w:tcW w:type="dxa" w:w="2265"/>
            <w:shd w:fill="auto" w:val="clear"/>
          </w:tcPr>
          <w:p w14:paraId="FB00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2265"/>
            <w:shd w:fill="auto" w:val="clear"/>
          </w:tcPr>
          <w:p w14:paraId="FC00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Шлифование отверстий</w:t>
            </w:r>
          </w:p>
        </w:tc>
      </w:tr>
    </w:tbl>
    <w:p w14:paraId="FD000000">
      <w:pPr>
        <w:ind/>
        <w:jc w:val="right"/>
      </w:pPr>
      <w:r>
        <w:br w:type="page"/>
      </w:r>
      <w:r>
        <w:t>Продолжение</w:t>
      </w:r>
      <w:r>
        <w:t xml:space="preserve"> </w:t>
      </w:r>
      <w:r>
        <w:t>таблицы</w:t>
      </w:r>
      <w:r>
        <w:t xml:space="preserve"> 3</w:t>
      </w:r>
    </w:p>
    <w:tbl>
      <w:tblPr>
        <w:tblStyle w:val="Style_7"/>
        <w:tblInd w:type="dxa" w:w="5"/>
        <w:tblLayout w:type="fixed"/>
      </w:tblPr>
      <w:tblGrid>
        <w:gridCol w:w="2556"/>
        <w:gridCol w:w="2265"/>
        <w:gridCol w:w="2265"/>
        <w:gridCol w:w="2265"/>
      </w:tblGrid>
      <w:tr>
        <w:tc>
          <w:tcPr>
            <w:tcW w:type="dxa" w:w="2556"/>
          </w:tcPr>
          <w:p w14:paraId="FE00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Группа оборудования</w:t>
            </w:r>
          </w:p>
        </w:tc>
        <w:tc>
          <w:tcPr>
            <w:tcW w:type="dxa" w:w="2265"/>
          </w:tcPr>
          <w:p w14:paraId="FF00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Модель (тип)</w:t>
            </w:r>
          </w:p>
        </w:tc>
        <w:tc>
          <w:tcPr>
            <w:tcW w:type="dxa" w:w="2265"/>
          </w:tcPr>
          <w:p w14:paraId="00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Количество, единиц</w:t>
            </w:r>
          </w:p>
        </w:tc>
        <w:tc>
          <w:tcPr>
            <w:tcW w:type="dxa" w:w="2265"/>
          </w:tcPr>
          <w:p w14:paraId="01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Назначение</w:t>
            </w:r>
          </w:p>
        </w:tc>
      </w:tr>
      <w:tr>
        <w:tc>
          <w:tcPr>
            <w:tcW w:type="dxa" w:w="2556"/>
            <w:shd w:fill="auto" w:val="clear"/>
          </w:tcPr>
          <w:p w14:paraId="02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Плоскошлифовальный станок</w:t>
            </w:r>
          </w:p>
        </w:tc>
        <w:tc>
          <w:tcPr>
            <w:tcW w:type="dxa" w:w="2265"/>
            <w:shd w:fill="auto" w:val="clear"/>
          </w:tcPr>
          <w:p w14:paraId="03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3Г71</w:t>
            </w:r>
          </w:p>
        </w:tc>
        <w:tc>
          <w:tcPr>
            <w:tcW w:type="dxa" w:w="2265"/>
            <w:shd w:fill="auto" w:val="clear"/>
          </w:tcPr>
          <w:p w14:paraId="04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2265"/>
            <w:shd w:fill="auto" w:val="clear"/>
          </w:tcPr>
          <w:p w14:paraId="05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Шлифование плоскостей</w:t>
            </w:r>
          </w:p>
        </w:tc>
      </w:tr>
      <w:tr>
        <w:tc>
          <w:tcPr>
            <w:tcW w:type="dxa" w:w="2556"/>
            <w:shd w:fill="auto" w:val="clear"/>
          </w:tcPr>
          <w:p w14:paraId="06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Заточной станок</w:t>
            </w:r>
          </w:p>
        </w:tc>
        <w:tc>
          <w:tcPr>
            <w:tcW w:type="dxa" w:w="2265"/>
            <w:shd w:fill="auto" w:val="clear"/>
          </w:tcPr>
          <w:p w14:paraId="07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Универсальный</w:t>
            </w:r>
          </w:p>
        </w:tc>
        <w:tc>
          <w:tcPr>
            <w:tcW w:type="dxa" w:w="2265"/>
            <w:shd w:fill="auto" w:val="clear"/>
          </w:tcPr>
          <w:p w14:paraId="08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2265"/>
            <w:shd w:fill="auto" w:val="clear"/>
          </w:tcPr>
          <w:p w14:paraId="09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Заточка режущего инструмента</w:t>
            </w:r>
          </w:p>
        </w:tc>
      </w:tr>
      <w:tr>
        <w:tc>
          <w:tcPr>
            <w:tcW w:type="dxa" w:w="2556"/>
            <w:shd w:fill="auto" w:val="clear"/>
          </w:tcPr>
          <w:p w14:paraId="0A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Термическое оборудование</w:t>
            </w:r>
          </w:p>
        </w:tc>
        <w:tc>
          <w:tcPr>
            <w:tcW w:type="dxa" w:w="2265"/>
            <w:shd w:fill="auto" w:val="clear"/>
          </w:tcPr>
          <w:p w14:paraId="0B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Камерная печь; установка ТВЧ</w:t>
            </w:r>
          </w:p>
        </w:tc>
        <w:tc>
          <w:tcPr>
            <w:tcW w:type="dxa" w:w="2265"/>
            <w:shd w:fill="auto" w:val="clear"/>
          </w:tcPr>
          <w:p w14:paraId="0C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2265"/>
            <w:shd w:fill="auto" w:val="clear"/>
          </w:tcPr>
          <w:p w14:paraId="0D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Объёмная и поверхностная термообработка</w:t>
            </w:r>
          </w:p>
        </w:tc>
      </w:tr>
      <w:tr>
        <w:tc>
          <w:tcPr>
            <w:tcW w:type="dxa" w:w="2556"/>
            <w:shd w:fill="auto" w:val="clear"/>
          </w:tcPr>
          <w:p w14:paraId="0E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Моечная машина</w:t>
            </w:r>
          </w:p>
        </w:tc>
        <w:tc>
          <w:tcPr>
            <w:tcW w:type="dxa" w:w="2265"/>
            <w:shd w:fill="auto" w:val="clear"/>
          </w:tcPr>
          <w:p w14:paraId="0F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Камерная</w:t>
            </w:r>
          </w:p>
        </w:tc>
        <w:tc>
          <w:tcPr>
            <w:tcW w:type="dxa" w:w="2265"/>
            <w:shd w:fill="auto" w:val="clear"/>
          </w:tcPr>
          <w:p w14:paraId="10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2265"/>
            <w:shd w:fill="auto" w:val="clear"/>
          </w:tcPr>
          <w:p w14:paraId="11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Мойка деталей перед контролем и термообработкой</w:t>
            </w:r>
          </w:p>
        </w:tc>
      </w:tr>
    </w:tbl>
    <w:p w14:paraId="12010000"/>
    <w:p w14:paraId="13010000">
      <w:r>
        <w:t>Как следует из таблицы 3, доля станков с числовым программным управлением составляет четыре единицы из восемнадцати, то есть около 22 процентов парка, однако именно на них выполняется основной объём формообразующей обработки серийных деталей. Универсальные станки 16К20, 6Р12 и 2Н125 задействованы на вспомогательных, доводочных и единичных работах, а также сохраняются в действующих технологических процессах, разработанных до оснащения предприятия оборудованием с числовым программным управлением.</w:t>
      </w:r>
    </w:p>
    <w:p w14:paraId="14010000">
      <w:r>
        <w:t xml:space="preserve">Основным оборудованием для изготовления корпусных деталей являются вертикально-фрезерные обрабатывающие центры с числовым программным управлением. Они обеспечивают за один </w:t>
      </w:r>
      <w:r>
        <w:t>установ</w:t>
      </w:r>
      <w:r>
        <w:t xml:space="preserve"> фрезерование плоскостей и контуров, сверление, зенкерование и растачивание отверстий, обработку канавок и фасок, что позволяет реализовать принцип концентрации операций и сократить число </w:t>
      </w:r>
      <w:r>
        <w:t>установов</w:t>
      </w:r>
      <w:r>
        <w:t xml:space="preserve"> детали. Техническая характеристика обрабатывающего центра приведена в таблице 4.</w:t>
      </w:r>
    </w:p>
    <w:p w14:paraId="15010000">
      <w:pPr>
        <w:ind w:firstLine="0" w:left="0"/>
        <w:jc w:val="right"/>
      </w:pPr>
      <w:r>
        <w:t>Таблица 4</w:t>
      </w:r>
    </w:p>
    <w:p w14:paraId="16010000">
      <w:pPr>
        <w:ind w:firstLine="0" w:left="0"/>
        <w:jc w:val="center"/>
      </w:pPr>
      <w:r>
        <w:t>Техническая характеристика вертикально-фрезерного обрабатывающего центра с ЧПУ</w:t>
      </w:r>
    </w:p>
    <w:tbl>
      <w:tblPr>
        <w:tblStyle w:val="Style_7"/>
        <w:tblLayout w:type="fixed"/>
      </w:tblPr>
      <w:tblGrid>
        <w:gridCol w:w="4677"/>
        <w:gridCol w:w="4678"/>
      </w:tblGrid>
      <w:tr>
        <w:tc>
          <w:tcPr>
            <w:tcW w:type="dxa" w:w="4677"/>
            <w:shd w:fill="auto" w:val="clear"/>
          </w:tcPr>
          <w:p w14:paraId="17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Параметр</w:t>
            </w:r>
          </w:p>
        </w:tc>
        <w:tc>
          <w:tcPr>
            <w:tcW w:type="dxa" w:w="4678"/>
            <w:shd w:fill="auto" w:val="clear"/>
          </w:tcPr>
          <w:p w14:paraId="18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Значение</w:t>
            </w:r>
          </w:p>
        </w:tc>
      </w:tr>
      <w:tr>
        <w:tc>
          <w:tcPr>
            <w:tcW w:type="dxa" w:w="4677"/>
            <w:shd w:fill="auto" w:val="clear"/>
          </w:tcPr>
          <w:p w14:paraId="19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Размеры рабочей поверхности стола</w:t>
            </w:r>
          </w:p>
        </w:tc>
        <w:tc>
          <w:tcPr>
            <w:tcW w:type="dxa" w:w="4678"/>
            <w:shd w:fill="auto" w:val="clear"/>
          </w:tcPr>
          <w:p w14:paraId="1A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800×400 мм</w:t>
            </w:r>
          </w:p>
        </w:tc>
      </w:tr>
      <w:tr>
        <w:tc>
          <w:tcPr>
            <w:tcW w:type="dxa" w:w="4677"/>
            <w:shd w:fill="auto" w:val="clear"/>
          </w:tcPr>
          <w:p w14:paraId="1B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Перемещения по осям X, Y, Z</w:t>
            </w:r>
          </w:p>
        </w:tc>
        <w:tc>
          <w:tcPr>
            <w:tcW w:type="dxa" w:w="4678"/>
            <w:shd w:fill="auto" w:val="clear"/>
          </w:tcPr>
          <w:p w14:paraId="1C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650, 400, 500 мм</w:t>
            </w:r>
          </w:p>
        </w:tc>
      </w:tr>
    </w:tbl>
    <w:p w14:paraId="1D010000">
      <w:pPr>
        <w:ind/>
        <w:jc w:val="right"/>
      </w:pPr>
      <w:r>
        <w:br w:type="page"/>
      </w:r>
      <w:r>
        <w:t>Продолжение</w:t>
      </w:r>
      <w:r>
        <w:t xml:space="preserve"> </w:t>
      </w:r>
      <w:r>
        <w:t>таблицы</w:t>
      </w:r>
      <w:r>
        <w:t xml:space="preserve"> 4</w:t>
      </w:r>
    </w:p>
    <w:tbl>
      <w:tblPr>
        <w:tblStyle w:val="Style_7"/>
        <w:tblInd w:type="dxa" w:w="5"/>
        <w:tblLayout w:type="fixed"/>
      </w:tblPr>
      <w:tblGrid>
        <w:gridCol w:w="4674"/>
        <w:gridCol w:w="4675"/>
      </w:tblGrid>
      <w:tr>
        <w:tc>
          <w:tcPr>
            <w:tcW w:type="dxa" w:w="4674"/>
          </w:tcPr>
          <w:p w14:paraId="1E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Параметр</w:t>
            </w:r>
          </w:p>
        </w:tc>
        <w:tc>
          <w:tcPr>
            <w:tcW w:type="dxa" w:w="4675"/>
          </w:tcPr>
          <w:p w14:paraId="1F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Значение</w:t>
            </w:r>
          </w:p>
        </w:tc>
      </w:tr>
      <w:tr>
        <w:tc>
          <w:tcPr>
            <w:tcW w:type="dxa" w:w="4674"/>
            <w:shd w:fill="auto" w:val="clear"/>
          </w:tcPr>
          <w:p w14:paraId="20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Частота вращения шпинделя</w:t>
            </w:r>
          </w:p>
        </w:tc>
        <w:tc>
          <w:tcPr>
            <w:tcW w:type="dxa" w:w="4675"/>
            <w:shd w:fill="auto" w:val="clear"/>
          </w:tcPr>
          <w:p w14:paraId="21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до 8000 оборотов в минуту</w:t>
            </w:r>
          </w:p>
        </w:tc>
      </w:tr>
      <w:tr>
        <w:tc>
          <w:tcPr>
            <w:tcW w:type="dxa" w:w="4674"/>
            <w:shd w:fill="auto" w:val="clear"/>
          </w:tcPr>
          <w:p w14:paraId="22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Мощность привода шпинделя</w:t>
            </w:r>
          </w:p>
        </w:tc>
        <w:tc>
          <w:tcPr>
            <w:tcW w:type="dxa" w:w="4675"/>
            <w:shd w:fill="auto" w:val="clear"/>
          </w:tcPr>
          <w:p w14:paraId="23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15 кВт</w:t>
            </w:r>
          </w:p>
        </w:tc>
      </w:tr>
      <w:tr>
        <w:tc>
          <w:tcPr>
            <w:tcW w:type="dxa" w:w="4674"/>
            <w:shd w:fill="auto" w:val="clear"/>
          </w:tcPr>
          <w:p w14:paraId="24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Вместимость инструментального магазина</w:t>
            </w:r>
          </w:p>
        </w:tc>
        <w:tc>
          <w:tcPr>
            <w:tcW w:type="dxa" w:w="4675"/>
            <w:shd w:fill="auto" w:val="clear"/>
          </w:tcPr>
          <w:p w14:paraId="25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20 позиций</w:t>
            </w:r>
          </w:p>
        </w:tc>
      </w:tr>
      <w:tr>
        <w:tc>
          <w:tcPr>
            <w:tcW w:type="dxa" w:w="4674"/>
            <w:shd w:fill="auto" w:val="clear"/>
          </w:tcPr>
          <w:p w14:paraId="26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Точность позиционирования</w:t>
            </w:r>
          </w:p>
        </w:tc>
        <w:tc>
          <w:tcPr>
            <w:tcW w:type="dxa" w:w="4675"/>
            <w:shd w:fill="auto" w:val="clear"/>
          </w:tcPr>
          <w:p w14:paraId="27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0,01 мм</w:t>
            </w:r>
          </w:p>
        </w:tc>
      </w:tr>
      <w:tr>
        <w:tc>
          <w:tcPr>
            <w:tcW w:type="dxa" w:w="4674"/>
            <w:shd w:fill="auto" w:val="clear"/>
          </w:tcPr>
          <w:p w14:paraId="28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Повторяемость позиционирования</w:t>
            </w:r>
          </w:p>
        </w:tc>
        <w:tc>
          <w:tcPr>
            <w:tcW w:type="dxa" w:w="4675"/>
            <w:shd w:fill="auto" w:val="clear"/>
          </w:tcPr>
          <w:p w14:paraId="29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0,005 мм</w:t>
            </w:r>
          </w:p>
        </w:tc>
      </w:tr>
      <w:tr>
        <w:tc>
          <w:tcPr>
            <w:tcW w:type="dxa" w:w="4674"/>
            <w:shd w:fill="auto" w:val="clear"/>
          </w:tcPr>
          <w:p w14:paraId="2A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Максимальная масса заготовки на столе</w:t>
            </w:r>
          </w:p>
        </w:tc>
        <w:tc>
          <w:tcPr>
            <w:tcW w:type="dxa" w:w="4675"/>
            <w:shd w:fill="auto" w:val="clear"/>
          </w:tcPr>
          <w:p w14:paraId="2B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400 кг</w:t>
            </w:r>
          </w:p>
        </w:tc>
      </w:tr>
    </w:tbl>
    <w:p w14:paraId="2C010000"/>
    <w:p w14:paraId="2D010000">
      <w:r>
        <w:t xml:space="preserve">Приведённые в таблице 4 характеристики показывают, что обрабатывающий центр обеспечивает обработку малогабаритных корпусных деталей с запасом по размерам рабочей зоны, мощности и частоте вращения шпинделя. Точность позиционирования 0,01 мм достаточна для выдерживания координат крепёжных отверстий детали «Угловой корпус подшипника» с допуском плюс-минус 0,035 мм при обработке в одном </w:t>
      </w:r>
      <w:r>
        <w:t>установе</w:t>
      </w:r>
      <w:r>
        <w:t>, а вместимость инструментального магазина позволяет разместить полный комплект инструментальной наладки.</w:t>
      </w:r>
    </w:p>
    <w:p w14:paraId="2E010000">
      <w:r>
        <w:t>Токарная группа с числовым программным управлением представлена двумя станками с частотно-регулируемым главным приводом. Эти станки применяются для чистовой обработки точных поверхностей вращения корпусных деталей и деталей типа тел вращения. Техническая характеристика токарного станка с числовым программным управлением приведена в таблице 5.</w:t>
      </w:r>
    </w:p>
    <w:p w14:paraId="2F010000">
      <w:pPr>
        <w:ind w:firstLine="0" w:left="0"/>
        <w:jc w:val="right"/>
      </w:pPr>
      <w:r>
        <w:t>Таблица 5</w:t>
      </w:r>
    </w:p>
    <w:p w14:paraId="30010000">
      <w:pPr>
        <w:ind w:firstLine="0" w:left="0"/>
        <w:jc w:val="center"/>
      </w:pPr>
      <w:r>
        <w:t>Техническая характеристика токарного станка с ЧПУ</w:t>
      </w:r>
    </w:p>
    <w:tbl>
      <w:tblPr>
        <w:tblStyle w:val="Style_7"/>
        <w:tblLayout w:type="fixed"/>
      </w:tblPr>
      <w:tblGrid>
        <w:gridCol w:w="5955"/>
        <w:gridCol w:w="3400"/>
      </w:tblGrid>
      <w:tr>
        <w:tc>
          <w:tcPr>
            <w:tcW w:type="dxa" w:w="5955"/>
            <w:shd w:fill="auto" w:val="clear"/>
          </w:tcPr>
          <w:p w14:paraId="31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Параметр</w:t>
            </w:r>
          </w:p>
        </w:tc>
        <w:tc>
          <w:tcPr>
            <w:tcW w:type="dxa" w:w="3400"/>
            <w:shd w:fill="auto" w:val="clear"/>
          </w:tcPr>
          <w:p w14:paraId="32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Значение</w:t>
            </w:r>
          </w:p>
        </w:tc>
      </w:tr>
      <w:tr>
        <w:tc>
          <w:tcPr>
            <w:tcW w:type="dxa" w:w="5955"/>
            <w:shd w:fill="auto" w:val="clear"/>
          </w:tcPr>
          <w:p w14:paraId="33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Наибольший диаметр обработки над станиной</w:t>
            </w:r>
          </w:p>
        </w:tc>
        <w:tc>
          <w:tcPr>
            <w:tcW w:type="dxa" w:w="3400"/>
            <w:shd w:fill="auto" w:val="clear"/>
          </w:tcPr>
          <w:p w14:paraId="34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400 мм</w:t>
            </w:r>
          </w:p>
        </w:tc>
      </w:tr>
      <w:tr>
        <w:tc>
          <w:tcPr>
            <w:tcW w:type="dxa" w:w="5955"/>
            <w:shd w:fill="auto" w:val="clear"/>
          </w:tcPr>
          <w:p w14:paraId="35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Наибольшая длина обработки</w:t>
            </w:r>
          </w:p>
        </w:tc>
        <w:tc>
          <w:tcPr>
            <w:tcW w:type="dxa" w:w="3400"/>
            <w:shd w:fill="auto" w:val="clear"/>
          </w:tcPr>
          <w:p w14:paraId="36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750 мм</w:t>
            </w:r>
          </w:p>
        </w:tc>
      </w:tr>
      <w:tr>
        <w:tc>
          <w:tcPr>
            <w:tcW w:type="dxa" w:w="5955"/>
            <w:shd w:fill="auto" w:val="clear"/>
          </w:tcPr>
          <w:p w14:paraId="37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Диапазон частот вращения шпинделя</w:t>
            </w:r>
          </w:p>
        </w:tc>
        <w:tc>
          <w:tcPr>
            <w:tcW w:type="dxa" w:w="3400"/>
            <w:shd w:fill="auto" w:val="clear"/>
          </w:tcPr>
          <w:p w14:paraId="38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30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>2480 оборотов в минуту</w:t>
            </w:r>
          </w:p>
        </w:tc>
      </w:tr>
      <w:tr>
        <w:tc>
          <w:tcPr>
            <w:tcW w:type="dxa" w:w="5955"/>
            <w:shd w:fill="auto" w:val="clear"/>
          </w:tcPr>
          <w:p w14:paraId="39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Мощность электродвигателя главного привода</w:t>
            </w:r>
          </w:p>
        </w:tc>
        <w:tc>
          <w:tcPr>
            <w:tcW w:type="dxa" w:w="3400"/>
            <w:shd w:fill="auto" w:val="clear"/>
          </w:tcPr>
          <w:p w14:paraId="3A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11 кВт</w:t>
            </w:r>
          </w:p>
        </w:tc>
      </w:tr>
      <w:tr>
        <w:tc>
          <w:tcPr>
            <w:tcW w:type="dxa" w:w="5955"/>
            <w:shd w:fill="auto" w:val="clear"/>
          </w:tcPr>
          <w:p w14:paraId="3B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Номинальная частота вращения электродвигателя</w:t>
            </w:r>
          </w:p>
        </w:tc>
        <w:tc>
          <w:tcPr>
            <w:tcW w:type="dxa" w:w="3400"/>
            <w:shd w:fill="auto" w:val="clear"/>
          </w:tcPr>
          <w:p w14:paraId="3C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3000 оборотов в минуту</w:t>
            </w:r>
          </w:p>
        </w:tc>
      </w:tr>
      <w:tr>
        <w:tc>
          <w:tcPr>
            <w:tcW w:type="dxa" w:w="5955"/>
            <w:shd w:fill="auto" w:val="clear"/>
          </w:tcPr>
          <w:p w14:paraId="3D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Максимальная частота вращения электродвигателя</w:t>
            </w:r>
          </w:p>
        </w:tc>
        <w:tc>
          <w:tcPr>
            <w:tcW w:type="dxa" w:w="3400"/>
            <w:shd w:fill="auto" w:val="clear"/>
          </w:tcPr>
          <w:p w14:paraId="3E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4000 оборотов в минуту</w:t>
            </w:r>
          </w:p>
        </w:tc>
      </w:tr>
      <w:tr>
        <w:tc>
          <w:tcPr>
            <w:tcW w:type="dxa" w:w="5955"/>
            <w:shd w:fill="auto" w:val="clear"/>
          </w:tcPr>
          <w:p w14:paraId="3F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Регулирование частоты вращения</w:t>
            </w:r>
          </w:p>
        </w:tc>
        <w:tc>
          <w:tcPr>
            <w:tcW w:type="dxa" w:w="3400"/>
            <w:shd w:fill="auto" w:val="clear"/>
          </w:tcPr>
          <w:p w14:paraId="40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Частотное, бесступенчатое</w:t>
            </w:r>
          </w:p>
        </w:tc>
      </w:tr>
      <w:tr>
        <w:tc>
          <w:tcPr>
            <w:tcW w:type="dxa" w:w="5955"/>
            <w:shd w:fill="auto" w:val="clear"/>
          </w:tcPr>
          <w:p w14:paraId="41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Число позиций револьверной головки</w:t>
            </w:r>
          </w:p>
        </w:tc>
        <w:tc>
          <w:tcPr>
            <w:tcW w:type="dxa" w:w="3400"/>
            <w:shd w:fill="auto" w:val="clear"/>
          </w:tcPr>
          <w:p w14:paraId="42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</w:tbl>
    <w:p w14:paraId="43010000"/>
    <w:p w14:paraId="44010000">
      <w:r>
        <w:t>Таким образом, технологическое оборудование ООО «Четвертый Подшипниковый Завод» образует полный производственный цикл механической обработки: заготовительные, фрезерные, токарные, сверлильные, термические, шлифовальные и контрольные операции обеспечены соответствующими группами станков и средствами контроля. Наличие вертикально-фрезерных обрабатывающих центров, токарных станков с числовым программным управлением, кондукторной оснастки и шлифовального оборудования создаёт техническую базу для совершенствования технологического процесса механической обработки детали «Угловой корпус подшипника», выполненного во второй главе работы.</w:t>
      </w:r>
    </w:p>
    <w:p w14:paraId="45010000"/>
    <w:p w14:paraId="46010000">
      <w:bookmarkStart w:id="6" w:name="__RefHeading___6"/>
      <w:bookmarkEnd w:id="6"/>
      <w:pPr>
        <w:pStyle w:val="Style_5"/>
      </w:pPr>
      <w:r>
        <w:t>1.3 Обзор современных технологических процессов изготовления деталей</w:t>
      </w:r>
    </w:p>
    <w:p w14:paraId="47010000"/>
    <w:p w14:paraId="48010000">
      <w:r>
        <w:t xml:space="preserve">Развитие технологии машиностроения на современном этапе определяется несколькими устойчивыми тенденциями: концентрацией операций на многоцелевом оборудовании с числовым программным управлением, сквозной цифровизацией технологической подготовки производства, применением прогрессивного режущего инструмента с износостойкими покрытиями и переходом к инструментальным методам контроля качества. Для корпусных деталей малых габаритов, к которым относится деталь «Угловой корпус подшипника», эти тенденции проявляются особенно отчётливо, поскольку такие детали содержат большое число разнородных конструктивных элементов </w:t>
      </w:r>
      <w:r>
        <w:t>-</w:t>
      </w:r>
      <w:r>
        <w:t xml:space="preserve"> плоскостей, контуров, точных отверстий, канавок и крепёжных отверстий, </w:t>
      </w:r>
      <w:r>
        <w:t>-</w:t>
      </w:r>
      <w:r>
        <w:t xml:space="preserve"> обработка которых на универсальном оборудовании требует многократных переустановок [17, с. 112].</w:t>
      </w:r>
    </w:p>
    <w:p w14:paraId="49010000">
      <w:r>
        <w:t xml:space="preserve">Выбор метода получения заготовки для корпусной детали определяется серийностью выпуска, конфигурацией детали и требуемым коэффициентом использования материала. Для литейных материалов заготовкой служит </w:t>
      </w:r>
      <w:r>
        <w:t>отливка, точность и припуски которой регламентированы ГОСТ Р 53464-2009 [10]; для стальных деталей простой призматической формы при серийном выпуске рациональной альтернативой является сортовой горячекатаный прокат, разрезаемый на штучные заготовки. Сравнительная характеристика основных методов получения заготовок корпусных деталей малых габаритов приведена в таблице 6.</w:t>
      </w:r>
    </w:p>
    <w:p w14:paraId="4A010000">
      <w:pPr>
        <w:ind w:firstLine="0" w:left="0"/>
        <w:jc w:val="right"/>
      </w:pPr>
      <w:r>
        <w:t>Таблица 6</w:t>
      </w:r>
    </w:p>
    <w:p w14:paraId="4B010000">
      <w:pPr>
        <w:ind w:firstLine="0" w:left="0"/>
        <w:jc w:val="center"/>
      </w:pPr>
      <w:r>
        <w:t>Сравнительная характеристика методов получения заготовок корпусных деталей малых габаритов</w:t>
      </w:r>
    </w:p>
    <w:tbl>
      <w:tblPr>
        <w:tblStyle w:val="Style_7"/>
        <w:tblLayout w:type="fixed"/>
      </w:tblPr>
      <w:tblGrid>
        <w:gridCol w:w="1853"/>
        <w:gridCol w:w="1854"/>
        <w:gridCol w:w="1854"/>
        <w:gridCol w:w="1854"/>
        <w:gridCol w:w="1940"/>
      </w:tblGrid>
      <w:tr>
        <w:tc>
          <w:tcPr>
            <w:tcW w:type="dxa" w:w="1853"/>
            <w:shd w:fill="auto" w:val="clear"/>
          </w:tcPr>
          <w:p w14:paraId="4C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Метод получения заготовки</w:t>
            </w:r>
          </w:p>
        </w:tc>
        <w:tc>
          <w:tcPr>
            <w:tcW w:type="dxa" w:w="1854"/>
            <w:shd w:fill="auto" w:val="clear"/>
          </w:tcPr>
          <w:p w14:paraId="4D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Точность и припуски</w:t>
            </w:r>
          </w:p>
        </w:tc>
        <w:tc>
          <w:tcPr>
            <w:tcW w:type="dxa" w:w="1854"/>
            <w:shd w:fill="auto" w:val="clear"/>
          </w:tcPr>
          <w:p w14:paraId="4E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Коэффициент использования материала</w:t>
            </w:r>
          </w:p>
        </w:tc>
        <w:tc>
          <w:tcPr>
            <w:tcW w:type="dxa" w:w="1854"/>
            <w:shd w:fill="auto" w:val="clear"/>
          </w:tcPr>
          <w:p w14:paraId="4F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Затраты на подготовку производства</w:t>
            </w:r>
          </w:p>
        </w:tc>
        <w:tc>
          <w:tcPr>
            <w:tcW w:type="dxa" w:w="1940"/>
            <w:shd w:fill="auto" w:val="clear"/>
          </w:tcPr>
          <w:p w14:paraId="50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Рациональная область применения</w:t>
            </w:r>
          </w:p>
        </w:tc>
      </w:tr>
      <w:tr>
        <w:tc>
          <w:tcPr>
            <w:tcW w:type="dxa" w:w="1853"/>
            <w:shd w:fill="auto" w:val="clear"/>
          </w:tcPr>
          <w:p w14:paraId="51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Литьё в песчаные формы</w:t>
            </w:r>
          </w:p>
        </w:tc>
        <w:tc>
          <w:tcPr>
            <w:tcW w:type="dxa" w:w="1854"/>
            <w:shd w:fill="auto" w:val="clear"/>
          </w:tcPr>
          <w:p w14:paraId="52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Низкая точность, большие припуски</w:t>
            </w:r>
          </w:p>
        </w:tc>
        <w:tc>
          <w:tcPr>
            <w:tcW w:type="dxa" w:w="1854"/>
            <w:shd w:fill="auto" w:val="clear"/>
          </w:tcPr>
          <w:p w14:paraId="53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0,60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>0,75</w:t>
            </w:r>
          </w:p>
        </w:tc>
        <w:tc>
          <w:tcPr>
            <w:tcW w:type="dxa" w:w="1854"/>
            <w:shd w:fill="auto" w:val="clear"/>
          </w:tcPr>
          <w:p w14:paraId="54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Средние (модельная оснастка)</w:t>
            </w:r>
          </w:p>
        </w:tc>
        <w:tc>
          <w:tcPr>
            <w:tcW w:type="dxa" w:w="1940"/>
            <w:shd w:fill="auto" w:val="clear"/>
          </w:tcPr>
          <w:p w14:paraId="55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Чугунные корпуса, серийное и крупносерийное производство</w:t>
            </w:r>
          </w:p>
        </w:tc>
      </w:tr>
      <w:tr>
        <w:tc>
          <w:tcPr>
            <w:tcW w:type="dxa" w:w="1853"/>
            <w:shd w:fill="auto" w:val="clear"/>
          </w:tcPr>
          <w:p w14:paraId="56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Литьё в кокиль и по выплавляемым моделям</w:t>
            </w:r>
          </w:p>
        </w:tc>
        <w:tc>
          <w:tcPr>
            <w:tcW w:type="dxa" w:w="1854"/>
            <w:shd w:fill="auto" w:val="clear"/>
          </w:tcPr>
          <w:p w14:paraId="57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Повышенная точность, малые припуски</w:t>
            </w:r>
          </w:p>
        </w:tc>
        <w:tc>
          <w:tcPr>
            <w:tcW w:type="dxa" w:w="1854"/>
            <w:shd w:fill="auto" w:val="clear"/>
          </w:tcPr>
          <w:p w14:paraId="58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0,75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>0,90</w:t>
            </w:r>
          </w:p>
        </w:tc>
        <w:tc>
          <w:tcPr>
            <w:tcW w:type="dxa" w:w="1854"/>
            <w:shd w:fill="auto" w:val="clear"/>
          </w:tcPr>
          <w:p w14:paraId="59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Высокие (металлическая оснастка)</w:t>
            </w:r>
          </w:p>
        </w:tc>
        <w:tc>
          <w:tcPr>
            <w:tcW w:type="dxa" w:w="1940"/>
            <w:shd w:fill="auto" w:val="clear"/>
          </w:tcPr>
          <w:p w14:paraId="5A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Крупносерийное производство сложных корпусов</w:t>
            </w:r>
          </w:p>
        </w:tc>
      </w:tr>
      <w:tr>
        <w:tc>
          <w:tcPr>
            <w:tcW w:type="dxa" w:w="1853"/>
            <w:shd w:fill="auto" w:val="clear"/>
          </w:tcPr>
          <w:p w14:paraId="5B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Горячая объёмная штамповка</w:t>
            </w:r>
          </w:p>
        </w:tc>
        <w:tc>
          <w:tcPr>
            <w:tcW w:type="dxa" w:w="1854"/>
            <w:shd w:fill="auto" w:val="clear"/>
          </w:tcPr>
          <w:p w14:paraId="5C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Средняя точность</w:t>
            </w:r>
          </w:p>
        </w:tc>
        <w:tc>
          <w:tcPr>
            <w:tcW w:type="dxa" w:w="1854"/>
            <w:shd w:fill="auto" w:val="clear"/>
          </w:tcPr>
          <w:p w14:paraId="5D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0,65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>0,80</w:t>
            </w:r>
          </w:p>
        </w:tc>
        <w:tc>
          <w:tcPr>
            <w:tcW w:type="dxa" w:w="1854"/>
            <w:shd w:fill="auto" w:val="clear"/>
          </w:tcPr>
          <w:p w14:paraId="5E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Высокие (штамповая оснастка)</w:t>
            </w:r>
          </w:p>
        </w:tc>
        <w:tc>
          <w:tcPr>
            <w:tcW w:type="dxa" w:w="1940"/>
            <w:shd w:fill="auto" w:val="clear"/>
          </w:tcPr>
          <w:p w14:paraId="5F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Крупносерийное производство стальных деталей</w:t>
            </w:r>
          </w:p>
        </w:tc>
      </w:tr>
      <w:tr>
        <w:tc>
          <w:tcPr>
            <w:tcW w:type="dxa" w:w="1853"/>
            <w:shd w:fill="auto" w:val="clear"/>
          </w:tcPr>
          <w:p w14:paraId="60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Сортовой прокат с отрезкой заготовок</w:t>
            </w:r>
          </w:p>
        </w:tc>
        <w:tc>
          <w:tcPr>
            <w:tcW w:type="dxa" w:w="1854"/>
            <w:shd w:fill="auto" w:val="clear"/>
          </w:tcPr>
          <w:p w14:paraId="61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Точность проката, припуск на всю поверхность</w:t>
            </w:r>
          </w:p>
        </w:tc>
        <w:tc>
          <w:tcPr>
            <w:tcW w:type="dxa" w:w="1854"/>
            <w:shd w:fill="auto" w:val="clear"/>
          </w:tcPr>
          <w:p w14:paraId="62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0,40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>0,55</w:t>
            </w:r>
          </w:p>
        </w:tc>
        <w:tc>
          <w:tcPr>
            <w:tcW w:type="dxa" w:w="1854"/>
            <w:shd w:fill="auto" w:val="clear"/>
          </w:tcPr>
          <w:p w14:paraId="63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Минимальные</w:t>
            </w:r>
          </w:p>
        </w:tc>
        <w:tc>
          <w:tcPr>
            <w:tcW w:type="dxa" w:w="1940"/>
            <w:shd w:fill="auto" w:val="clear"/>
          </w:tcPr>
          <w:p w14:paraId="64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Стальные детали простой формы, единичное и серийное производство</w:t>
            </w:r>
          </w:p>
        </w:tc>
      </w:tr>
    </w:tbl>
    <w:p w14:paraId="65010000"/>
    <w:p w14:paraId="66010000">
      <w:r>
        <w:t>Из таблицы 6 видно, что для стальной корпусной детали призматической формы при среднесерийном выпуске наиболее рационален прокат: минимальные затраты на подготовку производства и отсутствие литейных дефектов компенсируют пониженный коэффициент использования материала, а полная обработка всех поверхностей резанием гарантирует стабильность свойств материала детали.</w:t>
      </w:r>
    </w:p>
    <w:p w14:paraId="67010000">
      <w:r>
        <w:t xml:space="preserve">Центральным направлением совершенствования собственно механической обработки является перевод формообразующих операций на станки с числовым программным управлением. Обрабатывающий центр с инструментальным магазином выполняет за один </w:t>
      </w:r>
      <w:r>
        <w:t>установ</w:t>
      </w:r>
      <w:r>
        <w:t xml:space="preserve"> фрезерование плоскостей и контуров, сверление и растачивание отверстий, обработку фасок и канавок; тем самым реализуется принцип концентрации операций, сокращается число </w:t>
      </w:r>
      <w:r>
        <w:t>установов</w:t>
      </w:r>
      <w:r>
        <w:t xml:space="preserve"> и погрешность взаимного расположения поверхностей, обусловленная сменой баз [20, с. 95]. Основой подготовки управляющих программ служит трёхмерная модель детали, разрабатываемая в системе автоматизированного проектирования: по модели в CAM-системе строятся траектории инструмента, выполняется верификация обработки и формируется управляющая программа для конкретной стойки числового программного управления [16, с. 44]. Пространственная модель рассматриваемой детали «Угловой корпус подшипника», используемая при технологической подготовке производства, представлена на рисунке 2.</w:t>
      </w:r>
    </w:p>
    <w:p w14:paraId="68010000">
      <w:pPr>
        <w:ind w:firstLine="0" w:left="0"/>
        <w:jc w:val="center"/>
      </w:pPr>
      <w:r>
        <w:drawing>
          <wp:inline>
            <wp:extent cx="4447309" cy="3699065"/>
            <wp:effectExtent b="0" l="0" r="0" t="0"/>
            <wp:docPr hidden="false" id="4" name="Picture 4"/>
            <a:graphic>
              <a:graphicData uri="http://schemas.openxmlformats.org/drawingml/2006/picture">
                <pic:pic>
                  <pic:nvPicPr>
                    <pic:cNvPr hidden="false" id="3" name="Picture 3"/>
                    <pic:cNvPicPr preferRelativeResize="true"/>
                  </pic:nvPicPr>
                  <pic:blipFill>
                    <a:blip r:embed="rId7"/>
                    <a:stretch/>
                  </pic:blipFill>
                  <pic:spPr>
                    <a:xfrm flipH="false" flipV="false" rot="0">
                      <a:ext cx="4447309" cy="369906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69010000">
      <w:pPr>
        <w:ind w:firstLine="0" w:left="0"/>
        <w:jc w:val="center"/>
      </w:pPr>
      <w:r>
        <w:t xml:space="preserve">Рисунок 2 </w:t>
      </w:r>
      <w:r>
        <w:t>-</w:t>
      </w:r>
      <w:r>
        <w:t xml:space="preserve"> Пространственная модель детали «Угловой корпус подшипника»</w:t>
      </w:r>
    </w:p>
    <w:p w14:paraId="6A010000"/>
    <w:p w14:paraId="6B010000">
      <w:r>
        <w:t>Представленная на рисунке 2 модель наглядно отражает конструктивную сложность детали: сочетание призматического корпуса с квадратным фланцем, цилиндрической бобышки, ступенчатого центрального отверстия и крепёжных отверстий. Именно по такой модели формируются траектории обработки контура, торцов и отверстий, а также рассчитываются координаты опорных точек управляющей программы, что исключает ручную разметку и связанные с ней погрешности.</w:t>
      </w:r>
    </w:p>
    <w:p w14:paraId="6C010000">
      <w:r>
        <w:t>Сравнение обработки корпусных деталей на универсальном оборудовании и на станках с числовым программным управлением приведено в таблице 7.</w:t>
      </w:r>
    </w:p>
    <w:p w14:paraId="6D010000">
      <w:pPr>
        <w:ind w:firstLine="0" w:left="0"/>
        <w:jc w:val="right"/>
      </w:pPr>
      <w:r>
        <w:t>Таблица 7</w:t>
      </w:r>
    </w:p>
    <w:p w14:paraId="6E010000">
      <w:pPr>
        <w:ind w:firstLine="0" w:left="0"/>
        <w:jc w:val="center"/>
      </w:pPr>
      <w:r>
        <w:t>Сравнение обработки корпусных деталей на универсальных станках и станках с ЧПУ</w:t>
      </w:r>
    </w:p>
    <w:tbl>
      <w:tblPr>
        <w:tblStyle w:val="Style_7"/>
        <w:tblLayout w:type="fixed"/>
      </w:tblPr>
      <w:tblGrid>
        <w:gridCol w:w="3116"/>
        <w:gridCol w:w="3119"/>
        <w:gridCol w:w="3119"/>
      </w:tblGrid>
      <w:tr>
        <w:tc>
          <w:tcPr>
            <w:tcW w:type="dxa" w:w="3116"/>
            <w:shd w:fill="auto" w:val="clear"/>
          </w:tcPr>
          <w:p w14:paraId="6F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Показатель</w:t>
            </w:r>
          </w:p>
        </w:tc>
        <w:tc>
          <w:tcPr>
            <w:tcW w:type="dxa" w:w="3119"/>
            <w:shd w:fill="auto" w:val="clear"/>
          </w:tcPr>
          <w:p w14:paraId="70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Универсальные станки</w:t>
            </w:r>
          </w:p>
        </w:tc>
        <w:tc>
          <w:tcPr>
            <w:tcW w:type="dxa" w:w="3119"/>
            <w:shd w:fill="auto" w:val="clear"/>
          </w:tcPr>
          <w:p w14:paraId="71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Станки с ЧПУ</w:t>
            </w:r>
          </w:p>
        </w:tc>
      </w:tr>
      <w:tr>
        <w:tc>
          <w:tcPr>
            <w:tcW w:type="dxa" w:w="3116"/>
            <w:shd w:fill="auto" w:val="clear"/>
          </w:tcPr>
          <w:p w14:paraId="72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 xml:space="preserve">Число </w:t>
            </w:r>
            <w:r>
              <w:rPr>
                <w:sz w:val="24"/>
              </w:rPr>
              <w:t>установов</w:t>
            </w:r>
            <w:r>
              <w:rPr>
                <w:sz w:val="24"/>
              </w:rPr>
              <w:t xml:space="preserve"> детали</w:t>
            </w:r>
          </w:p>
        </w:tc>
        <w:tc>
          <w:tcPr>
            <w:tcW w:type="dxa" w:w="3119"/>
            <w:shd w:fill="auto" w:val="clear"/>
          </w:tcPr>
          <w:p w14:paraId="73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>8</w:t>
            </w:r>
          </w:p>
        </w:tc>
        <w:tc>
          <w:tcPr>
            <w:tcW w:type="dxa" w:w="3119"/>
            <w:shd w:fill="auto" w:val="clear"/>
          </w:tcPr>
          <w:p w14:paraId="74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>3</w:t>
            </w:r>
          </w:p>
        </w:tc>
      </w:tr>
      <w:tr>
        <w:tc>
          <w:tcPr>
            <w:tcW w:type="dxa" w:w="3116"/>
            <w:shd w:fill="auto" w:val="clear"/>
          </w:tcPr>
          <w:p w14:paraId="75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Разметочные работы</w:t>
            </w:r>
          </w:p>
        </w:tc>
        <w:tc>
          <w:tcPr>
            <w:tcW w:type="dxa" w:w="3119"/>
            <w:shd w:fill="auto" w:val="clear"/>
          </w:tcPr>
          <w:p w14:paraId="76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Требуются</w:t>
            </w:r>
          </w:p>
        </w:tc>
        <w:tc>
          <w:tcPr>
            <w:tcW w:type="dxa" w:w="3119"/>
            <w:shd w:fill="auto" w:val="clear"/>
          </w:tcPr>
          <w:p w14:paraId="77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Не требуются</w:t>
            </w:r>
          </w:p>
        </w:tc>
      </w:tr>
      <w:tr>
        <w:tc>
          <w:tcPr>
            <w:tcW w:type="dxa" w:w="3116"/>
            <w:shd w:fill="auto" w:val="clear"/>
          </w:tcPr>
          <w:p w14:paraId="78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Точность взаимного расположения поверхностей</w:t>
            </w:r>
          </w:p>
        </w:tc>
        <w:tc>
          <w:tcPr>
            <w:tcW w:type="dxa" w:w="3119"/>
            <w:shd w:fill="auto" w:val="clear"/>
          </w:tcPr>
          <w:p w14:paraId="79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Зависит от квалификации рабочего</w:t>
            </w:r>
          </w:p>
        </w:tc>
        <w:tc>
          <w:tcPr>
            <w:tcW w:type="dxa" w:w="3119"/>
            <w:shd w:fill="auto" w:val="clear"/>
          </w:tcPr>
          <w:p w14:paraId="7A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Определяется точностью станка и программы</w:t>
            </w:r>
          </w:p>
        </w:tc>
      </w:tr>
      <w:tr>
        <w:tc>
          <w:tcPr>
            <w:tcW w:type="dxa" w:w="3116"/>
            <w:shd w:fill="auto" w:val="clear"/>
          </w:tcPr>
          <w:p w14:paraId="7B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Стабильность размеров в партии</w:t>
            </w:r>
          </w:p>
        </w:tc>
        <w:tc>
          <w:tcPr>
            <w:tcW w:type="dxa" w:w="3119"/>
            <w:shd w:fill="auto" w:val="clear"/>
          </w:tcPr>
          <w:p w14:paraId="7C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Пониженная</w:t>
            </w:r>
          </w:p>
        </w:tc>
        <w:tc>
          <w:tcPr>
            <w:tcW w:type="dxa" w:w="3119"/>
            <w:shd w:fill="auto" w:val="clear"/>
          </w:tcPr>
          <w:p w14:paraId="7D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Высокая</w:t>
            </w:r>
          </w:p>
        </w:tc>
      </w:tr>
      <w:tr>
        <w:tc>
          <w:tcPr>
            <w:tcW w:type="dxa" w:w="3116"/>
            <w:shd w:fill="auto" w:val="clear"/>
          </w:tcPr>
          <w:p w14:paraId="7E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Штучное время</w:t>
            </w:r>
          </w:p>
        </w:tc>
        <w:tc>
          <w:tcPr>
            <w:tcW w:type="dxa" w:w="3119"/>
            <w:shd w:fill="auto" w:val="clear"/>
          </w:tcPr>
          <w:p w14:paraId="7F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Большое</w:t>
            </w:r>
          </w:p>
        </w:tc>
        <w:tc>
          <w:tcPr>
            <w:tcW w:type="dxa" w:w="3119"/>
            <w:shd w:fill="auto" w:val="clear"/>
          </w:tcPr>
          <w:p w14:paraId="80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Сокращается в 1,5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>2 раза</w:t>
            </w:r>
          </w:p>
        </w:tc>
      </w:tr>
      <w:tr>
        <w:tc>
          <w:tcPr>
            <w:tcW w:type="dxa" w:w="3116"/>
            <w:shd w:fill="auto" w:val="clear"/>
          </w:tcPr>
          <w:p w14:paraId="81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Требования к оснастке</w:t>
            </w:r>
          </w:p>
        </w:tc>
        <w:tc>
          <w:tcPr>
            <w:tcW w:type="dxa" w:w="3119"/>
            <w:shd w:fill="auto" w:val="clear"/>
          </w:tcPr>
          <w:p w14:paraId="82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Простая универсальная</w:t>
            </w:r>
          </w:p>
        </w:tc>
        <w:tc>
          <w:tcPr>
            <w:tcW w:type="dxa" w:w="3119"/>
            <w:shd w:fill="auto" w:val="clear"/>
          </w:tcPr>
          <w:p w14:paraId="83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Специальные быстропереналаживаемые приспособления</w:t>
            </w:r>
          </w:p>
        </w:tc>
      </w:tr>
      <w:tr>
        <w:tc>
          <w:tcPr>
            <w:tcW w:type="dxa" w:w="3116"/>
            <w:shd w:fill="auto" w:val="clear"/>
          </w:tcPr>
          <w:p w14:paraId="84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Требования к квалификации</w:t>
            </w:r>
          </w:p>
        </w:tc>
        <w:tc>
          <w:tcPr>
            <w:tcW w:type="dxa" w:w="3119"/>
            <w:shd w:fill="auto" w:val="clear"/>
          </w:tcPr>
          <w:p w14:paraId="85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Станочник высокой квалификации</w:t>
            </w:r>
          </w:p>
        </w:tc>
        <w:tc>
          <w:tcPr>
            <w:tcW w:type="dxa" w:w="3119"/>
            <w:shd w:fill="auto" w:val="clear"/>
          </w:tcPr>
          <w:p w14:paraId="86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Оператор и наладчик; технолог-программист</w:t>
            </w:r>
          </w:p>
        </w:tc>
      </w:tr>
    </w:tbl>
    <w:p w14:paraId="87010000"/>
    <w:p w14:paraId="88010000">
      <w:r>
        <w:t xml:space="preserve">Данные таблицы 7 показывают, что решающими преимуществами обработки с числовым программным управлением являются сокращение числа </w:t>
      </w:r>
      <w:r>
        <w:t>установов</w:t>
      </w:r>
      <w:r>
        <w:t xml:space="preserve"> и исключение разметки, что напрямую повышает точность взаимного расположения поверхностей </w:t>
      </w:r>
      <w:r>
        <w:t>-</w:t>
      </w:r>
      <w:r>
        <w:t xml:space="preserve"> критичный показатель для корпусов подшипников. Платой за эти преимущества является необходимость специальной оснастки и квалифицированной технологической подготовки, поэтому переход на обработку с числовым программным управлением экономически оправдан начиная с серийного производства.</w:t>
      </w:r>
    </w:p>
    <w:p w14:paraId="89010000">
      <w:r>
        <w:t>Существенную роль в современных технологических процессах играет станочное приспособление. Для корпусных деталей со ступенчатым центральным отверстием широко применяются разжимные (цанговые) оправки, реализующие базирование по точно обработанному отверстию и торцу: такая схема обеспечивает совмещение технологической, измерительной и конструкторской баз и минимальное радиальное биение обрабатываемых поверхностей относительно оси отверстия [17, с. 156]. Разжимная оправка равномерно распределяет усилие зажима по посадочной поверхности, не деформирует тонкостенные элементы детали и допускает быструю установку и снятие заготовки, что важно в серийном производстве.</w:t>
      </w:r>
    </w:p>
    <w:p w14:paraId="8A010000">
      <w:r>
        <w:t>Обобщая выполненный обзор, можно заключить, что современный технологический процесс изготовления малогабаритной корпусной детали строится на следующих решениях: заготовка из сортового проката (для стальных деталей серийного выпуска), концентрация формообразующих операций на обрабатывающем центре с числовым программным управлением, базирование по точному центральному отверстию на разжимной оправке, применение твердосплавного инструмента с покрытиями, термическая обработка до требуемой твёрдости, финишное шлифование посадочных поверхностей и инструментальный контроль. Перечисленные решения соответствуют производственным возможностям ООО «Четвертый Подшипниковый Завод» и положены в основу совершенствования технологического процесса механической обработки детали «Угловой корпус подшипника» во второй главе работы.</w:t>
      </w:r>
    </w:p>
    <w:p w14:paraId="8B010000"/>
    <w:p w14:paraId="8C010000">
      <w:pPr>
        <w:spacing w:line="240" w:lineRule="auto"/>
        <w:ind w:firstLine="0" w:left="0"/>
        <w:jc w:val="left"/>
      </w:pPr>
      <w:r>
        <w:br w:type="page"/>
      </w:r>
    </w:p>
    <w:p w14:paraId="8D010000">
      <w:bookmarkStart w:id="7" w:name="__RefHeading___7"/>
      <w:bookmarkEnd w:id="7"/>
      <w:pPr>
        <w:pStyle w:val="Style_5"/>
      </w:pPr>
      <w:r>
        <w:t>2 ТЕХНОЛОГИЧЕСКАЯ ЧАСТЬ</w:t>
      </w:r>
    </w:p>
    <w:p w14:paraId="8E010000">
      <w:bookmarkStart w:id="8" w:name="__RefHeading___8"/>
      <w:bookmarkEnd w:id="8"/>
      <w:pPr>
        <w:pStyle w:val="Style_5"/>
      </w:pPr>
      <w:r>
        <w:t>2.1 Анализ действующего технологического процесса</w:t>
      </w:r>
    </w:p>
    <w:p w14:paraId="8F010000"/>
    <w:p w14:paraId="90010000">
      <w:r>
        <w:t xml:space="preserve">Деталь «Угловой корпус подшипника» представляет собой малогабаритную корпусную деталь подшипникового узла. Служебное назначение детали состоит в размещении подшипника качения и передаче действующих на него радиальных и осевых нагрузок на базовую поверхность машины. Корпус закрепляется четырьмя винтами на </w:t>
      </w:r>
      <w:r>
        <w:t>привалочной</w:t>
      </w:r>
      <w:r>
        <w:t xml:space="preserve"> плоскости и центрируется по посадочному пояску; ось устанавливаемого подшипника располагается перпендикулярно плоскости крепления, чем и обусловлено наименование детали. Точность взаимного расположения посадочных и крепёжных элементов корпуса непосредственно определяет соосность валов собираемого узла, отсутствие перекосов колец подшипника и, как следствие, долговечность узла в эксплуатации.</w:t>
      </w:r>
    </w:p>
    <w:p w14:paraId="91010000">
      <w:r>
        <w:t>Конструктивно деталь выполнена в виде призматического корпуса с наружным контуром квадратного сечения со стороной 64 мм (допуск минус 0,12 мм) и высотой 44 мм (допуск минус 0,1 мм). Со стороны крепления расположен фланец с центрирующим выступом квадратного сечения со стороной 53 мм (допуск минус 0,06 мм); с противоположной стороны выполнена цилиндрическая бобышка диаметром 54 мм с точным центрирующим пояском диаметром 40 мм (допуск минус 0,062 мм). Общее представление о конструкции детали со стороны фланца даёт рисунок 3.</w:t>
      </w:r>
    </w:p>
    <w:p w14:paraId="92010000">
      <w:r>
        <w:t>На рисунке 3 видны фланцевая часть корпуса с центрирующим выступом, четыре крепёжных отверстия, расположенные по углам на окружности диаметром 50 мм с координатами плюс-минус 17,68 мм от осей симметрии, а также сопряжения наружного контура радиусом 12,5 мм.</w:t>
      </w:r>
    </w:p>
    <w:p w14:paraId="93010000">
      <w:pPr>
        <w:ind w:firstLine="0" w:left="0"/>
        <w:jc w:val="center"/>
      </w:pPr>
      <w:r>
        <w:drawing>
          <wp:inline>
            <wp:extent cx="3105195" cy="3158837"/>
            <wp:effectExtent b="0" l="0" r="0" t="0"/>
            <wp:docPr hidden="false" id="6" name="Picture 6"/>
            <a:graphic>
              <a:graphicData uri="http://schemas.openxmlformats.org/drawingml/2006/picture">
                <pic:pic>
                  <pic:nvPicPr>
                    <pic:cNvPr hidden="false" id="5" name="Picture 5"/>
                    <pic:cNvPicPr preferRelativeResize="true"/>
                  </pic:nvPicPr>
                  <pic:blipFill>
                    <a:blip r:embed="rId8"/>
                    <a:srcRect b="0" l="0" r="0" t="10800"/>
                    <a:stretch/>
                  </pic:blipFill>
                  <pic:spPr>
                    <a:xfrm flipH="false" flipV="false" rot="0">
                      <a:ext cx="3105195" cy="3158837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94010000">
      <w:pPr>
        <w:ind w:firstLine="0" w:left="0"/>
        <w:jc w:val="center"/>
      </w:pPr>
      <w:r>
        <w:t xml:space="preserve">Рисунок 3 </w:t>
      </w:r>
      <w:r>
        <w:t>-</w:t>
      </w:r>
      <w:r>
        <w:t xml:space="preserve"> Конструктивное исполнение детали «Угловой корпус подшипника». Вид со стороны фланца</w:t>
      </w:r>
    </w:p>
    <w:p w14:paraId="95010000"/>
    <w:p w14:paraId="96010000">
      <w:r>
        <w:t xml:space="preserve">Угловое расположение крепёжных отверстий выдерживается с допуском 90 градусов плюс-минус 30 минут, линейные координаты </w:t>
      </w:r>
      <w:r>
        <w:t>-</w:t>
      </w:r>
      <w:r>
        <w:t xml:space="preserve"> с допуском плюс-минус 0,035 мм, что предъявляет высокие требования к способу их обработки. Боковая конфигурация детали показана на рисунке 4.</w:t>
      </w:r>
    </w:p>
    <w:p w14:paraId="97010000">
      <w:pPr>
        <w:ind w:firstLine="0" w:left="0"/>
        <w:jc w:val="center"/>
      </w:pPr>
      <w:r>
        <w:drawing>
          <wp:inline>
            <wp:extent cx="2554208" cy="2882558"/>
            <wp:effectExtent b="0" l="0" r="0" t="0"/>
            <wp:docPr hidden="false" id="8" name="Picture 8"/>
            <a:graphic>
              <a:graphicData uri="http://schemas.openxmlformats.org/drawingml/2006/picture">
                <pic:pic>
                  <pic:nvPicPr>
                    <pic:cNvPr hidden="false" id="7" name="Picture 7"/>
                    <pic:cNvPicPr preferRelativeResize="true"/>
                  </pic:nvPicPr>
                  <pic:blipFill>
                    <a:blip r:embed="rId9"/>
                    <a:stretch/>
                  </pic:blipFill>
                  <pic:spPr>
                    <a:xfrm flipH="false" flipV="false" rot="0">
                      <a:ext cx="2554208" cy="2882558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98010000">
      <w:pPr>
        <w:ind w:firstLine="0" w:left="0"/>
        <w:jc w:val="center"/>
      </w:pPr>
      <w:r>
        <w:t xml:space="preserve">Рисунок 4 </w:t>
      </w:r>
      <w:r>
        <w:t>-</w:t>
      </w:r>
      <w:r>
        <w:t xml:space="preserve"> Конструктивное исполнение детали «Угловой корпус подшипника». Вид сбоку</w:t>
      </w:r>
    </w:p>
    <w:p w14:paraId="99010000">
      <w:r>
        <w:t>Как следует из рисунка 4, деталь имеет ступенчатую форму по высоте: фланцевая часть переходит в корпусную через скругление радиусом 7 мм, размеры ступеней по высоте составляют 10, 15, 19 и 28 мм с допусками по соответствующим квалитетам, положение фланца задано размером 20 мм с допуском плюс-минус 0,042 мм. Внутреннее устройство детали и её наиболее мелкие конструктивные элементы отражены на рисунке 5.</w:t>
      </w:r>
    </w:p>
    <w:p w14:paraId="9A010000">
      <w:pPr>
        <w:ind w:firstLine="0" w:left="0"/>
        <w:jc w:val="center"/>
      </w:pPr>
      <w:r>
        <w:drawing>
          <wp:inline>
            <wp:extent cx="4759455" cy="3643745"/>
            <wp:effectExtent b="0" l="0" r="0" t="0"/>
            <wp:docPr hidden="false" id="10" name="Picture 10"/>
            <a:graphic>
              <a:graphicData uri="http://schemas.openxmlformats.org/drawingml/2006/picture">
                <pic:pic>
                  <pic:nvPicPr>
                    <pic:cNvPr hidden="false" id="9" name="Picture 9"/>
                    <pic:cNvPicPr preferRelativeResize="true"/>
                  </pic:nvPicPr>
                  <pic:blipFill>
                    <a:blip r:embed="rId10"/>
                    <a:stretch/>
                  </pic:blipFill>
                  <pic:spPr>
                    <a:xfrm flipH="false" flipV="false" rot="0">
                      <a:ext cx="4759455" cy="364374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9B010000">
      <w:pPr>
        <w:ind w:firstLine="0" w:left="0"/>
        <w:jc w:val="center"/>
      </w:pPr>
      <w:r>
        <w:t xml:space="preserve">Рисунок 5 </w:t>
      </w:r>
      <w:r>
        <w:t>-</w:t>
      </w:r>
      <w:r>
        <w:t xml:space="preserve"> Конструктивные элементы детали «Угловой </w:t>
      </w:r>
      <w:r>
        <w:t xml:space="preserve">корпус </w:t>
      </w:r>
      <w:r>
        <w:t xml:space="preserve"> </w:t>
      </w:r>
      <w:r>
        <w:t>подшипника</w:t>
      </w:r>
      <w:r>
        <w:t>»: разрез В-В и элемент А (масштаб 4:1)</w:t>
      </w:r>
    </w:p>
    <w:p w14:paraId="9C010000"/>
    <w:p w14:paraId="9D010000">
      <w:r>
        <w:t>Разрез В-В на рисунке 5 показывает ступенчатое центральное отверстие детали: сквозное отверстие диаметром 35 мм (допуск плюс 0,1 мм) и расточку диаметром 50 мм (допуск плюс 0,1 мм) глубиной 5 мм (допуск минус 0,048 мм), образующую гнездо подшипникового узла. Элемент А в масштабе 4:1 детализирует канавку шириной 1,5 мм (допуск минус 0,04 мм) под пружинное упорное кольцо, канавку шириной 2 мм (допуск плюс 0,04 мм) и фаску 0,4 плюс-минус 0,02 мм под углом 45 градусов. Перечень основных поверхностей детали с указанием требований к ним приведён в таблице 8.</w:t>
      </w:r>
    </w:p>
    <w:p w14:paraId="9E010000">
      <w:pPr>
        <w:spacing w:line="240" w:lineRule="auto"/>
        <w:ind w:firstLine="0" w:left="0"/>
        <w:jc w:val="left"/>
      </w:pPr>
      <w:r>
        <w:br w:type="page"/>
      </w:r>
    </w:p>
    <w:p w14:paraId="9F010000">
      <w:pPr>
        <w:ind w:firstLine="0" w:left="0"/>
        <w:jc w:val="right"/>
      </w:pPr>
      <w:r>
        <w:t>Таблица 8</w:t>
      </w:r>
    </w:p>
    <w:p w14:paraId="A0010000">
      <w:pPr>
        <w:ind w:firstLine="0" w:left="0"/>
        <w:jc w:val="center"/>
      </w:pPr>
      <w:r>
        <w:t>Характеристика основных поверхностей детали «Угловой корпус подшипника»</w:t>
      </w:r>
    </w:p>
    <w:tbl>
      <w:tblPr>
        <w:tblStyle w:val="Style_7"/>
        <w:tblLayout w:type="fixed"/>
      </w:tblPr>
      <w:tblGrid>
        <w:gridCol w:w="2340"/>
        <w:gridCol w:w="2339"/>
        <w:gridCol w:w="2339"/>
        <w:gridCol w:w="2339"/>
      </w:tblGrid>
      <w:tr>
        <w:tc>
          <w:tcPr>
            <w:tcW w:type="dxa" w:w="2340"/>
            <w:shd w:fill="auto" w:val="clear"/>
          </w:tcPr>
          <w:p w14:paraId="A1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Поверхность (элемент)</w:t>
            </w:r>
          </w:p>
        </w:tc>
        <w:tc>
          <w:tcPr>
            <w:tcW w:type="dxa" w:w="2339"/>
            <w:shd w:fill="auto" w:val="clear"/>
          </w:tcPr>
          <w:p w14:paraId="A2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Размер и допуск, мм</w:t>
            </w:r>
          </w:p>
        </w:tc>
        <w:tc>
          <w:tcPr>
            <w:tcW w:type="dxa" w:w="2339"/>
            <w:shd w:fill="auto" w:val="clear"/>
          </w:tcPr>
          <w:p w14:paraId="A3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 xml:space="preserve">Шероховатость </w:t>
            </w:r>
            <w:r>
              <w:rPr>
                <w:sz w:val="24"/>
              </w:rPr>
              <w:t>Ra</w:t>
            </w:r>
            <w:r>
              <w:rPr>
                <w:sz w:val="24"/>
              </w:rPr>
              <w:t>, мкм</w:t>
            </w:r>
          </w:p>
        </w:tc>
        <w:tc>
          <w:tcPr>
            <w:tcW w:type="dxa" w:w="2339"/>
            <w:shd w:fill="auto" w:val="clear"/>
          </w:tcPr>
          <w:p w14:paraId="A4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Служебное назначение</w:t>
            </w:r>
          </w:p>
        </w:tc>
      </w:tr>
      <w:tr>
        <w:tc>
          <w:tcPr>
            <w:tcW w:type="dxa" w:w="2340"/>
            <w:shd w:fill="auto" w:val="clear"/>
          </w:tcPr>
          <w:p w14:paraId="A5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Центральное отверстие</w:t>
            </w:r>
          </w:p>
        </w:tc>
        <w:tc>
          <w:tcPr>
            <w:tcW w:type="dxa" w:w="2339"/>
            <w:shd w:fill="auto" w:val="clear"/>
          </w:tcPr>
          <w:p w14:paraId="A6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Диаметр 35, допуск плюс 0,1</w:t>
            </w:r>
          </w:p>
        </w:tc>
        <w:tc>
          <w:tcPr>
            <w:tcW w:type="dxa" w:w="2339"/>
            <w:shd w:fill="auto" w:val="clear"/>
          </w:tcPr>
          <w:p w14:paraId="A7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1,6</w:t>
            </w:r>
          </w:p>
        </w:tc>
        <w:tc>
          <w:tcPr>
            <w:tcW w:type="dxa" w:w="2339"/>
            <w:shd w:fill="auto" w:val="clear"/>
          </w:tcPr>
          <w:p w14:paraId="A8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Базовое отверстие, посадка сопрягаемой втулки узла</w:t>
            </w:r>
          </w:p>
        </w:tc>
      </w:tr>
      <w:tr>
        <w:tc>
          <w:tcPr>
            <w:tcW w:type="dxa" w:w="2340"/>
            <w:shd w:fill="auto" w:val="clear"/>
          </w:tcPr>
          <w:p w14:paraId="A9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Расточка гнезда</w:t>
            </w:r>
          </w:p>
        </w:tc>
        <w:tc>
          <w:tcPr>
            <w:tcW w:type="dxa" w:w="2339"/>
            <w:shd w:fill="auto" w:val="clear"/>
          </w:tcPr>
          <w:p w14:paraId="AA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Диаметр 50, допуск плюс 0,1, глубина 5</w:t>
            </w:r>
          </w:p>
        </w:tc>
        <w:tc>
          <w:tcPr>
            <w:tcW w:type="dxa" w:w="2339"/>
            <w:shd w:fill="auto" w:val="clear"/>
          </w:tcPr>
          <w:p w14:paraId="AB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1,6</w:t>
            </w:r>
          </w:p>
        </w:tc>
        <w:tc>
          <w:tcPr>
            <w:tcW w:type="dxa" w:w="2339"/>
            <w:shd w:fill="auto" w:val="clear"/>
          </w:tcPr>
          <w:p w14:paraId="AC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Гнездо под установку подшипника</w:t>
            </w:r>
          </w:p>
        </w:tc>
      </w:tr>
      <w:tr>
        <w:tc>
          <w:tcPr>
            <w:tcW w:type="dxa" w:w="2340"/>
            <w:shd w:fill="auto" w:val="clear"/>
          </w:tcPr>
          <w:p w14:paraId="AD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Центрирующий поясок</w:t>
            </w:r>
          </w:p>
        </w:tc>
        <w:tc>
          <w:tcPr>
            <w:tcW w:type="dxa" w:w="2339"/>
            <w:shd w:fill="auto" w:val="clear"/>
          </w:tcPr>
          <w:p w14:paraId="AE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Диаметр 40, допуск минус 0,062</w:t>
            </w:r>
          </w:p>
        </w:tc>
        <w:tc>
          <w:tcPr>
            <w:tcW w:type="dxa" w:w="2339"/>
            <w:shd w:fill="auto" w:val="clear"/>
          </w:tcPr>
          <w:p w14:paraId="AF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1,6</w:t>
            </w:r>
          </w:p>
        </w:tc>
        <w:tc>
          <w:tcPr>
            <w:tcW w:type="dxa" w:w="2339"/>
            <w:shd w:fill="auto" w:val="clear"/>
          </w:tcPr>
          <w:p w14:paraId="B0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Центрирование корпуса на базовой поверхности машины</w:t>
            </w:r>
          </w:p>
        </w:tc>
      </w:tr>
      <w:tr>
        <w:tc>
          <w:tcPr>
            <w:tcW w:type="dxa" w:w="2340"/>
            <w:shd w:fill="auto" w:val="clear"/>
          </w:tcPr>
          <w:p w14:paraId="B1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Наружный контур</w:t>
            </w:r>
          </w:p>
        </w:tc>
        <w:tc>
          <w:tcPr>
            <w:tcW w:type="dxa" w:w="2339"/>
            <w:shd w:fill="auto" w:val="clear"/>
          </w:tcPr>
          <w:p w14:paraId="B2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Квадрат 64, допуск минус 0,12</w:t>
            </w:r>
          </w:p>
        </w:tc>
        <w:tc>
          <w:tcPr>
            <w:tcW w:type="dxa" w:w="2339"/>
            <w:shd w:fill="auto" w:val="clear"/>
          </w:tcPr>
          <w:p w14:paraId="B3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6,3</w:t>
            </w:r>
          </w:p>
        </w:tc>
        <w:tc>
          <w:tcPr>
            <w:tcW w:type="dxa" w:w="2339"/>
            <w:shd w:fill="auto" w:val="clear"/>
          </w:tcPr>
          <w:p w14:paraId="B4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Габаритный контур корпуса</w:t>
            </w:r>
          </w:p>
        </w:tc>
      </w:tr>
      <w:tr>
        <w:tc>
          <w:tcPr>
            <w:tcW w:type="dxa" w:w="2340"/>
            <w:shd w:fill="auto" w:val="clear"/>
          </w:tcPr>
          <w:p w14:paraId="B5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Центрирующий выступ фланца</w:t>
            </w:r>
          </w:p>
        </w:tc>
        <w:tc>
          <w:tcPr>
            <w:tcW w:type="dxa" w:w="2339"/>
            <w:shd w:fill="auto" w:val="clear"/>
          </w:tcPr>
          <w:p w14:paraId="B6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Квадрат 53, допуск минус 0,06</w:t>
            </w:r>
          </w:p>
        </w:tc>
        <w:tc>
          <w:tcPr>
            <w:tcW w:type="dxa" w:w="2339"/>
            <w:shd w:fill="auto" w:val="clear"/>
          </w:tcPr>
          <w:p w14:paraId="B7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3,2</w:t>
            </w:r>
          </w:p>
        </w:tc>
        <w:tc>
          <w:tcPr>
            <w:tcW w:type="dxa" w:w="2339"/>
            <w:shd w:fill="auto" w:val="clear"/>
          </w:tcPr>
          <w:p w14:paraId="B8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Ориентация корпуса при монтаже</w:t>
            </w:r>
          </w:p>
        </w:tc>
      </w:tr>
      <w:tr>
        <w:tc>
          <w:tcPr>
            <w:tcW w:type="dxa" w:w="2340"/>
            <w:shd w:fill="auto" w:val="clear"/>
          </w:tcPr>
          <w:p w14:paraId="B9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Торцы корпуса</w:t>
            </w:r>
          </w:p>
        </w:tc>
        <w:tc>
          <w:tcPr>
            <w:tcW w:type="dxa" w:w="2339"/>
            <w:shd w:fill="auto" w:val="clear"/>
          </w:tcPr>
          <w:p w14:paraId="BA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Высота 44, допуск минус 0,1</w:t>
            </w:r>
          </w:p>
        </w:tc>
        <w:tc>
          <w:tcPr>
            <w:tcW w:type="dxa" w:w="2339"/>
            <w:shd w:fill="auto" w:val="clear"/>
          </w:tcPr>
          <w:p w14:paraId="BB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3,2</w:t>
            </w:r>
          </w:p>
        </w:tc>
        <w:tc>
          <w:tcPr>
            <w:tcW w:type="dxa" w:w="2339"/>
            <w:shd w:fill="auto" w:val="clear"/>
          </w:tcPr>
          <w:p w14:paraId="BC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Привалочные</w:t>
            </w:r>
            <w:r>
              <w:rPr>
                <w:sz w:val="24"/>
              </w:rPr>
              <w:t xml:space="preserve"> плоскости</w:t>
            </w:r>
          </w:p>
        </w:tc>
      </w:tr>
      <w:tr>
        <w:tc>
          <w:tcPr>
            <w:tcW w:type="dxa" w:w="2340"/>
            <w:shd w:fill="auto" w:val="clear"/>
          </w:tcPr>
          <w:p w14:paraId="BD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Канавка под упорное кольцо</w:t>
            </w:r>
          </w:p>
        </w:tc>
        <w:tc>
          <w:tcPr>
            <w:tcW w:type="dxa" w:w="2339"/>
            <w:shd w:fill="auto" w:val="clear"/>
          </w:tcPr>
          <w:p w14:paraId="BE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Ширина 1,5, допуск минус 0,04</w:t>
            </w:r>
          </w:p>
        </w:tc>
        <w:tc>
          <w:tcPr>
            <w:tcW w:type="dxa" w:w="2339"/>
            <w:shd w:fill="auto" w:val="clear"/>
          </w:tcPr>
          <w:p w14:paraId="BF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3,2</w:t>
            </w:r>
          </w:p>
        </w:tc>
        <w:tc>
          <w:tcPr>
            <w:tcW w:type="dxa" w:w="2339"/>
            <w:shd w:fill="auto" w:val="clear"/>
          </w:tcPr>
          <w:p w14:paraId="C0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Осевая фиксация подшипника</w:t>
            </w:r>
          </w:p>
        </w:tc>
      </w:tr>
      <w:tr>
        <w:tc>
          <w:tcPr>
            <w:tcW w:type="dxa" w:w="2340"/>
            <w:shd w:fill="auto" w:val="clear"/>
          </w:tcPr>
          <w:p w14:paraId="C1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Крепёжные отверстия</w:t>
            </w:r>
          </w:p>
        </w:tc>
        <w:tc>
          <w:tcPr>
            <w:tcW w:type="dxa" w:w="2339"/>
            <w:shd w:fill="auto" w:val="clear"/>
          </w:tcPr>
          <w:p w14:paraId="C2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2 отверстия диаметром 4,5 и 2 отверстия диаметром 5,5, допуск плюс 0,048; координаты плюс-минус 17,68, допуск плюс-минус 0,035</w:t>
            </w:r>
          </w:p>
        </w:tc>
        <w:tc>
          <w:tcPr>
            <w:tcW w:type="dxa" w:w="2339"/>
            <w:shd w:fill="auto" w:val="clear"/>
          </w:tcPr>
          <w:p w14:paraId="C3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6,3</w:t>
            </w:r>
          </w:p>
        </w:tc>
        <w:tc>
          <w:tcPr>
            <w:tcW w:type="dxa" w:w="2339"/>
            <w:shd w:fill="auto" w:val="clear"/>
          </w:tcPr>
          <w:p w14:paraId="C4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Крепление корпуса винтами</w:t>
            </w:r>
          </w:p>
        </w:tc>
      </w:tr>
      <w:tr>
        <w:tc>
          <w:tcPr>
            <w:tcW w:type="dxa" w:w="2340"/>
            <w:shd w:fill="auto" w:val="clear"/>
          </w:tcPr>
          <w:p w14:paraId="C5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Скругления контура</w:t>
            </w:r>
          </w:p>
        </w:tc>
        <w:tc>
          <w:tcPr>
            <w:tcW w:type="dxa" w:w="2339"/>
            <w:shd w:fill="auto" w:val="clear"/>
          </w:tcPr>
          <w:p w14:paraId="C6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R5 (допуск плюс 0,048), R7, R12,5</w:t>
            </w:r>
          </w:p>
        </w:tc>
        <w:tc>
          <w:tcPr>
            <w:tcW w:type="dxa" w:w="2339"/>
            <w:shd w:fill="auto" w:val="clear"/>
          </w:tcPr>
          <w:p w14:paraId="C7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6,3</w:t>
            </w:r>
          </w:p>
        </w:tc>
        <w:tc>
          <w:tcPr>
            <w:tcW w:type="dxa" w:w="2339"/>
            <w:shd w:fill="auto" w:val="clear"/>
          </w:tcPr>
          <w:p w14:paraId="C8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Сопряжения поверхностей, снижение концентрации напряжений</w:t>
            </w:r>
          </w:p>
        </w:tc>
      </w:tr>
    </w:tbl>
    <w:p w14:paraId="C9010000"/>
    <w:p w14:paraId="CA010000">
      <w:r>
        <w:t xml:space="preserve">Из таблицы 8 следует, что деталь сочетает три группы поверхностей: точные посадочные и центрирующие поверхности с шероховатостью </w:t>
      </w:r>
      <w:r>
        <w:t>Ra</w:t>
      </w:r>
      <w:r>
        <w:t xml:space="preserve"> 1,6 мкм и допусками в пределах 0,048</w:t>
      </w:r>
      <w:r>
        <w:t>-</w:t>
      </w:r>
      <w:r>
        <w:t xml:space="preserve">0,1 мм; базовые плоскости средней точности с шероховатостью </w:t>
      </w:r>
      <w:r>
        <w:t>Ra</w:t>
      </w:r>
      <w:r>
        <w:t xml:space="preserve"> 3,2 мкм; свободные поверхности с шероховатостью </w:t>
      </w:r>
      <w:r>
        <w:t>Ra</w:t>
      </w:r>
      <w:r>
        <w:t xml:space="preserve"> 6,3 мкм. Неуказанные предельные отклонения размеров назначены плюс-минус IT14/2 в соответствии с системой допусков на </w:t>
      </w:r>
      <w:r>
        <w:t xml:space="preserve">линейные размеры [8], параметры шероховатости назначены по ГОСТ 2789-73 [9]. Размеры и предельные отклонения нанесены на чертеже по правилам ГОСТ 2.307-2011 [13], обозначения шероховатости </w:t>
      </w:r>
      <w:r>
        <w:t>-</w:t>
      </w:r>
      <w:r>
        <w:t xml:space="preserve"> по ГОСТ 2.309-73 [14]. Неуказанные скругления составляют 0,5 мм.</w:t>
      </w:r>
    </w:p>
    <w:p w14:paraId="CB010000">
      <w:r>
        <w:t xml:space="preserve">Материал детали </w:t>
      </w:r>
      <w:r>
        <w:t>-</w:t>
      </w:r>
      <w:r>
        <w:t xml:space="preserve"> конструкционная легированная сталь 40Х ГОСТ 4543-71. Сталь хорошо обрабатывается резанием в состоянии поставки и приобретает после закалки с отпуском высокую твёрдость и износостойкость. Чертежом установлена твёрдость HRC 45...62, обеспечиваемая термической обработкой на термическом участке предприятия; финишная обработка точных поверхностей после закалки выполняется шлифованием.</w:t>
      </w:r>
    </w:p>
    <w:p w14:paraId="CC010000">
      <w:r>
        <w:t>С точки зрения технологичности конструкция детали в целом благоприятна для механической обработки: призматическая форма с плоскими гранями удобна для закрепления, ступенчатое центральное отверстие доступно для обработки с двух сторон, конструктивные элементы (фаски, канавки, скругления) унифицированы, а точное центральное отверстие может служить единой технологической базой для большинства операций. К нетехнологичным элементам относятся узкая канавка шириной 1,5 мм с жёстким допуском, требующая специального инструмента, высокая твёрдость после термообработки, исключающая лезвийную доработку точных поверхностей, и жёсткие допуски координат крепёжных отверстий, невыполнимые при обработке по разметке.</w:t>
      </w:r>
    </w:p>
    <w:p w14:paraId="CD010000">
      <w:r>
        <w:t>Годовая программа выпуска детали составляет 3200 штук. Для определения типа производства рассчитаем такт выпуска.</w:t>
      </w:r>
    </w:p>
    <w:p w14:paraId="CE010000">
      <w:pPr>
        <w:ind w:firstLine="0" w:left="0"/>
        <w:jc w:val="left"/>
      </w:pPr>
    </w:p>
    <w:p w14:paraId="CF010000">
      <w:pPr>
        <w:tabs>
          <w:tab w:leader="none" w:pos="4677" w:val="center"/>
          <w:tab w:leader="none" w:pos="9354" w:val="right"/>
        </w:tabs>
        <w:ind w:firstLine="0" w:left="0"/>
        <w:jc w:val="left"/>
      </w:pPr>
      <w:r>
        <w:tab/>
      </w:r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τ</m:t>
              </m:r>
            </m:e>
            <m:sub>
              <m:r>
                <w:rPr>
                  <w:rFonts w:ascii="Cambria Math" w:hAnsi="Cambria Math"/>
                  <w:sz w:val="22"/>
                </w:rPr>
                <m:t>в</m:t>
              </m:r>
            </m:sub>
          </m:sSub>
          <m:r>
            <w:rPr>
              <w:rFonts w:ascii="Cambria Math" w:hAnsi="Cambria Math"/>
              <w:sz w:val="22"/>
            </w:rPr>
            <m:t>=</m:t>
          </m:r>
          <m:f>
            <m:fPr>
              <m:type m:val="bar"/>
            </m:fPr>
            <m:num>
              <m:sSub>
                <m:e>
                  <m:r>
                    <w:rPr>
                      <w:rFonts w:ascii="Cambria Math" w:hAnsi="Cambria Math"/>
                      <w:sz w:val="22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  <w:sz w:val="22"/>
                    </w:rPr>
                    <m:t>д</m:t>
                  </m:r>
                </m:sub>
              </m:sSub>
              <m:r>
                <w:rPr>
                  <w:rFonts w:ascii="Cambria Math" w:hAnsi="Cambria Math"/>
                  <w:sz w:val="22"/>
                </w:rPr>
                <m:t>×60</m:t>
              </m:r>
            </m:num>
            <m:den>
              <m:r>
                <w:rPr>
                  <w:rFonts w:ascii="Cambria Math" w:hAnsi="Cambria Math"/>
                  <w:sz w:val="22"/>
                </w:rPr>
                <m:t>N</m:t>
              </m:r>
            </m:den>
          </m:f>
        </m:oMath>
      </m:oMathPara>
      <w:r>
        <w:tab/>
      </w:r>
      <w:r>
        <w:t>(1)</w:t>
      </w:r>
    </w:p>
    <w:p w14:paraId="D0010000">
      <w:pPr>
        <w:ind w:firstLine="0" w:left="0"/>
        <w:jc w:val="left"/>
      </w:pPr>
    </w:p>
    <w:p w14:paraId="D1010000">
      <w:r>
        <w:t xml:space="preserve">где </w:t>
      </w:r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τ</m:t>
              </m:r>
            </m:e>
            <m:sub>
              <m:r>
                <w:rPr>
                  <w:rFonts w:ascii="Cambria Math" w:hAnsi="Cambria Math"/>
                  <w:sz w:val="22"/>
                </w:rPr>
                <m:t>в</m:t>
              </m:r>
            </m:sub>
          </m:sSub>
        </m:oMath>
      </m:oMathPara>
      <w:r>
        <w:t xml:space="preserve"> </w:t>
      </w:r>
      <w:r>
        <w:t>-</w:t>
      </w:r>
      <w:r>
        <w:t xml:space="preserve"> такт выпуска, мин на деталь;</w:t>
      </w:r>
    </w:p>
    <w:p w14:paraId="D2010000"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F</m:t>
              </m:r>
            </m:e>
            <m:sub>
              <m:r>
                <w:rPr>
                  <w:rFonts w:ascii="Cambria Math" w:hAnsi="Cambria Math"/>
                  <w:sz w:val="22"/>
                </w:rPr>
                <m:t>д</m:t>
              </m:r>
            </m:sub>
          </m:sSub>
        </m:oMath>
      </m:oMathPara>
      <w:r>
        <w:t xml:space="preserve"> </w:t>
      </w:r>
      <w:r>
        <w:t>-</w:t>
      </w:r>
      <w:r>
        <w:t xml:space="preserve"> действительный годовой фонд времени работы оборудования при двухсменном режиме, ч;</w:t>
      </w:r>
    </w:p>
    <w:p w14:paraId="D3010000">
      <m:oMathPara>
        <m:oMath>
          <m:r>
            <w:rPr>
              <w:rFonts w:ascii="Cambria Math" w:hAnsi="Cambria Math"/>
              <w:sz w:val="22"/>
            </w:rPr>
            <m:t>N</m:t>
          </m:r>
        </m:oMath>
      </m:oMathPara>
      <w:r>
        <w:t xml:space="preserve"> </w:t>
      </w:r>
      <w:r>
        <w:t>-</w:t>
      </w:r>
      <w:r>
        <w:t xml:space="preserve"> годовая программа выпуска, деталей в год.</w:t>
      </w:r>
    </w:p>
    <w:p w14:paraId="D4010000">
      <w:r>
        <w:t>Подставим значения при фонде времени 3950 часов.</w:t>
      </w:r>
    </w:p>
    <w:p w14:paraId="D5010000">
      <w:pPr>
        <w:ind w:firstLine="0" w:left="0"/>
        <w:jc w:val="left"/>
      </w:pPr>
    </w:p>
    <w:p w14:paraId="D6010000">
      <w:pPr>
        <w:ind w:firstLine="0" w:left="0"/>
        <w:jc w:val="center"/>
      </w:pPr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τ</m:t>
              </m:r>
            </m:e>
            <m:sub>
              <m:r>
                <w:rPr>
                  <w:rFonts w:ascii="Cambria Math" w:hAnsi="Cambria Math"/>
                  <w:sz w:val="22"/>
                </w:rPr>
                <m:t>в</m:t>
              </m:r>
            </m:sub>
          </m:sSub>
          <m:r>
            <w:rPr>
              <w:rFonts w:ascii="Cambria Math" w:hAnsi="Cambria Math"/>
              <w:sz w:val="22"/>
            </w:rPr>
            <m:t>=</m:t>
          </m:r>
          <m:f>
            <m:fPr>
              <m:type m:val="bar"/>
            </m:fPr>
            <m:num>
              <m:r>
                <w:rPr>
                  <w:rFonts w:ascii="Cambria Math" w:hAnsi="Cambria Math"/>
                  <w:sz w:val="22"/>
                </w:rPr>
                <m:t>3950×60</m:t>
              </m:r>
            </m:num>
            <m:den>
              <m:r>
                <w:rPr>
                  <w:rFonts w:ascii="Cambria Math" w:hAnsi="Cambria Math"/>
                  <w:sz w:val="22"/>
                </w:rPr>
                <m:t>3200</m:t>
              </m:r>
            </m:den>
          </m:f>
          <m:r>
            <w:rPr>
              <w:rFonts w:ascii="Cambria Math" w:hAnsi="Cambria Math"/>
              <w:sz w:val="22"/>
            </w:rPr>
            <m:t>=</m:t>
          </m:r>
          <m:r>
            <w:rPr>
              <w:rFonts w:ascii="Cambria Math" w:hAnsi="Cambria Math"/>
              <w:sz w:val="22"/>
            </w:rPr>
            <m:rPr>
              <m:sty m:val="p"/>
            </m:rPr>
            <m:t>74,1</m:t>
          </m:r>
        </m:oMath>
      </m:oMathPara>
    </w:p>
    <w:p w14:paraId="D7010000">
      <w:pPr>
        <w:ind w:firstLine="0" w:left="0"/>
        <w:jc w:val="left"/>
      </w:pPr>
    </w:p>
    <w:p w14:paraId="D8010000">
      <w:r>
        <w:t>Такт выпуска составляет 74,1 мин на деталь. Тип производства уточним по коэффициенту закрепления операций.</w:t>
      </w:r>
    </w:p>
    <w:p w14:paraId="D9010000">
      <w:pPr>
        <w:ind w:firstLine="0" w:left="0"/>
        <w:jc w:val="left"/>
      </w:pPr>
    </w:p>
    <w:p w14:paraId="DA010000">
      <w:pPr>
        <w:tabs>
          <w:tab w:leader="none" w:pos="4677" w:val="center"/>
          <w:tab w:leader="none" w:pos="9354" w:val="right"/>
        </w:tabs>
        <w:ind w:firstLine="0" w:left="0"/>
        <w:jc w:val="left"/>
      </w:pPr>
      <w:r>
        <w:tab/>
      </w:r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K</m:t>
              </m:r>
            </m:e>
            <m:sub>
              <m:r>
                <w:rPr>
                  <w:rFonts w:ascii="Cambria Math" w:hAnsi="Cambria Math"/>
                  <w:sz w:val="22"/>
                </w:rPr>
                <m:t>з,о</m:t>
              </m:r>
            </m:sub>
          </m:sSub>
          <m:r>
            <w:rPr>
              <w:rFonts w:ascii="Cambria Math" w:hAnsi="Cambria Math"/>
              <w:sz w:val="22"/>
            </w:rPr>
            <m:t>=</m:t>
          </m:r>
          <m:f>
            <m:fPr>
              <m:type m:val="bar"/>
            </m:fPr>
            <m:num>
              <m:r>
                <w:rPr>
                  <w:rFonts w:ascii="Cambria Math" w:hAnsi="Cambria Math"/>
                  <w:sz w:val="22"/>
                </w:rPr>
                <m:t>О</m:t>
              </m:r>
            </m:num>
            <m:den>
              <m:r>
                <w:rPr>
                  <w:rFonts w:ascii="Cambria Math" w:hAnsi="Cambria Math"/>
                  <w:sz w:val="22"/>
                </w:rPr>
                <m:t>Р</m:t>
              </m:r>
            </m:den>
          </m:f>
        </m:oMath>
      </m:oMathPara>
      <w:r>
        <w:tab/>
      </w:r>
      <w:r>
        <w:t>(2)</w:t>
      </w:r>
    </w:p>
    <w:p w14:paraId="DB010000">
      <w:pPr>
        <w:ind w:firstLine="0" w:left="0"/>
        <w:jc w:val="left"/>
      </w:pPr>
    </w:p>
    <w:p w14:paraId="DC010000">
      <w:r>
        <w:t xml:space="preserve">где </w:t>
      </w:r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K</m:t>
              </m:r>
            </m:e>
            <m:sub>
              <m:r>
                <w:rPr>
                  <w:rFonts w:ascii="Cambria Math" w:hAnsi="Cambria Math"/>
                  <w:sz w:val="22"/>
                </w:rPr>
                <m:t>з,о</m:t>
              </m:r>
            </m:sub>
          </m:sSub>
        </m:oMath>
      </m:oMathPara>
      <w:r>
        <w:t xml:space="preserve"> </w:t>
      </w:r>
      <w:r>
        <w:t>-</w:t>
      </w:r>
      <w:r>
        <w:t xml:space="preserve"> коэффициент закрепления операций;</w:t>
      </w:r>
    </w:p>
    <w:p w14:paraId="DD010000">
      <m:oMathPara>
        <m:oMath>
          <m:r>
            <w:rPr>
              <w:rFonts w:ascii="Cambria Math" w:hAnsi="Cambria Math"/>
              <w:sz w:val="22"/>
            </w:rPr>
            <m:t>О</m:t>
          </m:r>
        </m:oMath>
      </m:oMathPara>
      <w:r>
        <w:t xml:space="preserve"> </w:t>
      </w:r>
      <w:r>
        <w:t>-</w:t>
      </w:r>
      <w:r>
        <w:t xml:space="preserve"> число различных операций, выполняемых на участке в течение месяца;</w:t>
      </w:r>
    </w:p>
    <w:p w14:paraId="DE010000">
      <m:oMathPara>
        <m:oMath>
          <m:r>
            <w:rPr>
              <w:rFonts w:ascii="Cambria Math" w:hAnsi="Cambria Math"/>
              <w:sz w:val="22"/>
            </w:rPr>
            <m:t>Р</m:t>
          </m:r>
        </m:oMath>
      </m:oMathPara>
      <w:r>
        <w:t xml:space="preserve"> </w:t>
      </w:r>
      <w:r>
        <w:t>-</w:t>
      </w:r>
      <w:r>
        <w:t xml:space="preserve"> число рабочих мест участка.</w:t>
      </w:r>
    </w:p>
    <w:p w14:paraId="DF010000">
      <w:r>
        <w:t>Подставим значения для механического участка предприятия.</w:t>
      </w:r>
    </w:p>
    <w:p w14:paraId="E0010000">
      <w:pPr>
        <w:ind w:firstLine="0" w:left="0"/>
        <w:jc w:val="left"/>
      </w:pPr>
    </w:p>
    <w:p w14:paraId="E1010000">
      <w:pPr>
        <w:ind w:firstLine="0" w:left="0"/>
        <w:jc w:val="center"/>
      </w:pPr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K</m:t>
              </m:r>
            </m:e>
            <m:sub>
              <m:r>
                <w:rPr>
                  <w:rFonts w:ascii="Cambria Math" w:hAnsi="Cambria Math"/>
                  <w:sz w:val="22"/>
                </w:rPr>
                <m:t>з,о</m:t>
              </m:r>
            </m:sub>
          </m:sSub>
          <m:r>
            <w:rPr>
              <w:rFonts w:ascii="Cambria Math" w:hAnsi="Cambria Math"/>
              <w:sz w:val="22"/>
            </w:rPr>
            <m:t>=</m:t>
          </m:r>
          <m:f>
            <m:fPr>
              <m:type m:val="bar"/>
            </m:fPr>
            <m:num>
              <m:r>
                <w:rPr>
                  <w:rFonts w:ascii="Cambria Math" w:hAnsi="Cambria Math"/>
                  <w:sz w:val="22"/>
                </w:rPr>
                <m:t>112</m:t>
              </m:r>
            </m:num>
            <m:den>
              <m:r>
                <w:rPr>
                  <w:rFonts w:ascii="Cambria Math" w:hAnsi="Cambria Math"/>
                  <w:sz w:val="22"/>
                </w:rPr>
                <m:t>8</m:t>
              </m:r>
            </m:den>
          </m:f>
          <m:r>
            <w:rPr>
              <w:rFonts w:ascii="Cambria Math" w:hAnsi="Cambria Math"/>
              <w:sz w:val="22"/>
            </w:rPr>
            <m:t>=14</m:t>
          </m:r>
        </m:oMath>
      </m:oMathPara>
    </w:p>
    <w:p w14:paraId="E2010000">
      <w:pPr>
        <w:ind w:firstLine="0" w:left="0"/>
        <w:jc w:val="left"/>
      </w:pPr>
    </w:p>
    <w:p w14:paraId="E3010000">
      <w:r>
        <w:t>Коэффициент закрепления операций равен 14, что соответствует среднесерийному типу производства [17, с. 34]. Для среднесерийного производства экономически оправданы применение станков с числовым программным управлением, специальных быстропереналаживаемых приспособлений и групповая организация обработки.</w:t>
      </w:r>
    </w:p>
    <w:p w14:paraId="E4010000">
      <w:r>
        <w:t>Действующий технологический процесс изготовления детали разработан в период, когда предприятие не располагало оборудованием с числовым программным управлением, и построен на универсальных станках с ручной разметкой. Маршрут действующего процесса приведён в таблице 9.</w:t>
      </w:r>
    </w:p>
    <w:p w14:paraId="E5010000">
      <w:pPr>
        <w:spacing w:line="240" w:lineRule="auto"/>
        <w:ind w:firstLine="0" w:left="0"/>
        <w:jc w:val="left"/>
      </w:pPr>
      <w:r>
        <w:br w:type="page"/>
      </w:r>
    </w:p>
    <w:p w14:paraId="E6010000">
      <w:pPr>
        <w:sectPr>
          <w:footerReference r:id="rId1" w:type="default"/>
          <w:pgSz w:h="16838" w:orient="portrait" w:w="11906"/>
          <w:pgMar w:bottom="1134" w:footer="708" w:gutter="0" w:header="708" w:left="1701" w:right="850" w:top="1134"/>
          <w:titlePg/>
        </w:sectPr>
      </w:pPr>
    </w:p>
    <w:p w14:paraId="E7010000">
      <w:pPr>
        <w:ind w:firstLine="0" w:left="0"/>
        <w:jc w:val="right"/>
      </w:pPr>
      <w:r>
        <w:t>Таблица 9</w:t>
      </w:r>
    </w:p>
    <w:p w14:paraId="E8010000">
      <w:pPr>
        <w:ind w:firstLine="0" w:left="0"/>
        <w:jc w:val="center"/>
      </w:pPr>
      <w:r>
        <w:t>Маршрут действующего технологического процесса изготовления детали</w:t>
      </w:r>
    </w:p>
    <w:tbl>
      <w:tblPr>
        <w:tblStyle w:val="Style_7"/>
        <w:tblLayout w:type="fixed"/>
      </w:tblPr>
      <w:tblGrid>
        <w:gridCol w:w="3016"/>
        <w:gridCol w:w="3016"/>
        <w:gridCol w:w="2532"/>
        <w:gridCol w:w="6006"/>
      </w:tblGrid>
      <w:tr>
        <w:tc>
          <w:tcPr>
            <w:tcW w:type="dxa" w:w="3016"/>
            <w:shd w:fill="auto" w:val="clear"/>
          </w:tcPr>
          <w:p w14:paraId="E9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Номер операции</w:t>
            </w:r>
          </w:p>
        </w:tc>
        <w:tc>
          <w:tcPr>
            <w:tcW w:type="dxa" w:w="3016"/>
            <w:shd w:fill="auto" w:val="clear"/>
          </w:tcPr>
          <w:p w14:paraId="EA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Наименование операции</w:t>
            </w:r>
          </w:p>
        </w:tc>
        <w:tc>
          <w:tcPr>
            <w:tcW w:type="dxa" w:w="2532"/>
            <w:shd w:fill="auto" w:val="clear"/>
          </w:tcPr>
          <w:p w14:paraId="EB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Оборудование</w:t>
            </w:r>
          </w:p>
        </w:tc>
        <w:tc>
          <w:tcPr>
            <w:tcW w:type="dxa" w:w="6006"/>
            <w:shd w:fill="auto" w:val="clear"/>
          </w:tcPr>
          <w:p w14:paraId="EC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Содержание операции</w:t>
            </w:r>
          </w:p>
        </w:tc>
      </w:tr>
      <w:tr>
        <w:tc>
          <w:tcPr>
            <w:tcW w:type="dxa" w:w="3016"/>
            <w:shd w:fill="auto" w:val="clear"/>
          </w:tcPr>
          <w:p w14:paraId="ED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005</w:t>
            </w:r>
          </w:p>
        </w:tc>
        <w:tc>
          <w:tcPr>
            <w:tcW w:type="dxa" w:w="3016"/>
            <w:shd w:fill="auto" w:val="clear"/>
          </w:tcPr>
          <w:p w14:paraId="EE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Заготовительная (отрезная)</w:t>
            </w:r>
          </w:p>
        </w:tc>
        <w:tc>
          <w:tcPr>
            <w:tcW w:type="dxa" w:w="2532"/>
            <w:shd w:fill="auto" w:val="clear"/>
          </w:tcPr>
          <w:p w14:paraId="EF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Ленточно-отрезной станок</w:t>
            </w:r>
          </w:p>
        </w:tc>
        <w:tc>
          <w:tcPr>
            <w:tcW w:type="dxa" w:w="6006"/>
            <w:shd w:fill="auto" w:val="clear"/>
          </w:tcPr>
          <w:p w14:paraId="F0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Отрезка заготовки из горячекатаного проката квадратного сечения</w:t>
            </w:r>
          </w:p>
        </w:tc>
      </w:tr>
      <w:tr>
        <w:tc>
          <w:tcPr>
            <w:tcW w:type="dxa" w:w="3016"/>
            <w:shd w:fill="auto" w:val="clear"/>
          </w:tcPr>
          <w:p w14:paraId="F1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010</w:t>
            </w:r>
          </w:p>
        </w:tc>
        <w:tc>
          <w:tcPr>
            <w:tcW w:type="dxa" w:w="3016"/>
            <w:shd w:fill="auto" w:val="clear"/>
          </w:tcPr>
          <w:p w14:paraId="F2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Фрезерная</w:t>
            </w:r>
          </w:p>
        </w:tc>
        <w:tc>
          <w:tcPr>
            <w:tcW w:type="dxa" w:w="2532"/>
            <w:shd w:fill="auto" w:val="clear"/>
          </w:tcPr>
          <w:p w14:paraId="F3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Консольно-фрезерный станок 6Р12</w:t>
            </w:r>
          </w:p>
        </w:tc>
        <w:tc>
          <w:tcPr>
            <w:tcW w:type="dxa" w:w="6006"/>
            <w:shd w:fill="auto" w:val="clear"/>
          </w:tcPr>
          <w:p w14:paraId="F4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Фрезерование двух торцов в размер с переустановкой, тиски</w:t>
            </w:r>
          </w:p>
        </w:tc>
      </w:tr>
      <w:tr>
        <w:tc>
          <w:tcPr>
            <w:tcW w:type="dxa" w:w="3016"/>
            <w:shd w:fill="auto" w:val="clear"/>
          </w:tcPr>
          <w:p w14:paraId="F5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015</w:t>
            </w:r>
          </w:p>
        </w:tc>
        <w:tc>
          <w:tcPr>
            <w:tcW w:type="dxa" w:w="3016"/>
            <w:shd w:fill="auto" w:val="clear"/>
          </w:tcPr>
          <w:p w14:paraId="F6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Разметочная</w:t>
            </w:r>
          </w:p>
        </w:tc>
        <w:tc>
          <w:tcPr>
            <w:tcW w:type="dxa" w:w="2532"/>
            <w:shd w:fill="auto" w:val="clear"/>
          </w:tcPr>
          <w:p w14:paraId="F7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Разметочная плита</w:t>
            </w:r>
          </w:p>
        </w:tc>
        <w:tc>
          <w:tcPr>
            <w:tcW w:type="dxa" w:w="6006"/>
            <w:shd w:fill="auto" w:val="clear"/>
          </w:tcPr>
          <w:p w14:paraId="F8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Разметка контура фланцевого выступа и осей центрального отверстия</w:t>
            </w:r>
          </w:p>
        </w:tc>
      </w:tr>
      <w:tr>
        <w:tc>
          <w:tcPr>
            <w:tcW w:type="dxa" w:w="3016"/>
            <w:shd w:fill="auto" w:val="clear"/>
          </w:tcPr>
          <w:p w14:paraId="F9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020</w:t>
            </w:r>
          </w:p>
        </w:tc>
        <w:tc>
          <w:tcPr>
            <w:tcW w:type="dxa" w:w="3016"/>
            <w:shd w:fill="auto" w:val="clear"/>
          </w:tcPr>
          <w:p w14:paraId="FA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Фрезерная</w:t>
            </w:r>
          </w:p>
        </w:tc>
        <w:tc>
          <w:tcPr>
            <w:tcW w:type="dxa" w:w="2532"/>
            <w:shd w:fill="auto" w:val="clear"/>
          </w:tcPr>
          <w:p w14:paraId="FB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Консольно-фрезерный станок 6Р12</w:t>
            </w:r>
          </w:p>
        </w:tc>
        <w:tc>
          <w:tcPr>
            <w:tcW w:type="dxa" w:w="6006"/>
            <w:shd w:fill="auto" w:val="clear"/>
          </w:tcPr>
          <w:p w14:paraId="FC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Фрезерование наружного контура и выступа по разметке с переустановками</w:t>
            </w:r>
          </w:p>
        </w:tc>
      </w:tr>
      <w:tr>
        <w:tc>
          <w:tcPr>
            <w:tcW w:type="dxa" w:w="3016"/>
            <w:shd w:fill="auto" w:val="clear"/>
          </w:tcPr>
          <w:p w14:paraId="FD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025</w:t>
            </w:r>
          </w:p>
        </w:tc>
        <w:tc>
          <w:tcPr>
            <w:tcW w:type="dxa" w:w="3016"/>
            <w:shd w:fill="auto" w:val="clear"/>
          </w:tcPr>
          <w:p w14:paraId="FE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Токарная</w:t>
            </w:r>
          </w:p>
        </w:tc>
        <w:tc>
          <w:tcPr>
            <w:tcW w:type="dxa" w:w="2532"/>
            <w:shd w:fill="auto" w:val="clear"/>
          </w:tcPr>
          <w:p w14:paraId="FF01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Токарно-винторезный станок 16К20</w:t>
            </w:r>
          </w:p>
        </w:tc>
        <w:tc>
          <w:tcPr>
            <w:tcW w:type="dxa" w:w="6006"/>
            <w:shd w:fill="auto" w:val="clear"/>
          </w:tcPr>
          <w:p w14:paraId="00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 xml:space="preserve">Сверление и растачивание центрального отверстия, расточка гнезда, обтачивание пояска, канавки и фаски; выверка в </w:t>
            </w:r>
            <w:r>
              <w:rPr>
                <w:sz w:val="24"/>
              </w:rPr>
              <w:t>четырёхкулачковом</w:t>
            </w:r>
            <w:r>
              <w:rPr>
                <w:sz w:val="24"/>
              </w:rPr>
              <w:t xml:space="preserve"> патроне</w:t>
            </w:r>
          </w:p>
        </w:tc>
      </w:tr>
      <w:tr>
        <w:tc>
          <w:tcPr>
            <w:tcW w:type="dxa" w:w="3016"/>
            <w:shd w:fill="auto" w:val="clear"/>
          </w:tcPr>
          <w:p w14:paraId="01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030</w:t>
            </w:r>
          </w:p>
        </w:tc>
        <w:tc>
          <w:tcPr>
            <w:tcW w:type="dxa" w:w="3016"/>
            <w:shd w:fill="auto" w:val="clear"/>
          </w:tcPr>
          <w:p w14:paraId="02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Разметочная</w:t>
            </w:r>
          </w:p>
        </w:tc>
        <w:tc>
          <w:tcPr>
            <w:tcW w:type="dxa" w:w="2532"/>
            <w:shd w:fill="auto" w:val="clear"/>
          </w:tcPr>
          <w:p w14:paraId="03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Разметочная плита</w:t>
            </w:r>
          </w:p>
        </w:tc>
        <w:tc>
          <w:tcPr>
            <w:tcW w:type="dxa" w:w="6006"/>
            <w:shd w:fill="auto" w:val="clear"/>
          </w:tcPr>
          <w:p w14:paraId="04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Разметка координат четырёх крепёжных отверстий</w:t>
            </w:r>
          </w:p>
        </w:tc>
      </w:tr>
      <w:tr>
        <w:tc>
          <w:tcPr>
            <w:tcW w:type="dxa" w:w="3016"/>
            <w:shd w:fill="auto" w:val="clear"/>
          </w:tcPr>
          <w:p w14:paraId="05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035</w:t>
            </w:r>
          </w:p>
        </w:tc>
        <w:tc>
          <w:tcPr>
            <w:tcW w:type="dxa" w:w="3016"/>
            <w:shd w:fill="auto" w:val="clear"/>
          </w:tcPr>
          <w:p w14:paraId="06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Сверлильная</w:t>
            </w:r>
          </w:p>
        </w:tc>
        <w:tc>
          <w:tcPr>
            <w:tcW w:type="dxa" w:w="2532"/>
            <w:shd w:fill="auto" w:val="clear"/>
          </w:tcPr>
          <w:p w14:paraId="07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Вертикально-сверлильный станок 2Н125</w:t>
            </w:r>
          </w:p>
        </w:tc>
        <w:tc>
          <w:tcPr>
            <w:tcW w:type="dxa" w:w="6006"/>
            <w:shd w:fill="auto" w:val="clear"/>
          </w:tcPr>
          <w:p w14:paraId="08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Сверление крепёжных отверстий по разметке</w:t>
            </w:r>
          </w:p>
        </w:tc>
      </w:tr>
      <w:tr>
        <w:tc>
          <w:tcPr>
            <w:tcW w:type="dxa" w:w="3016"/>
            <w:shd w:fill="auto" w:val="clear"/>
          </w:tcPr>
          <w:p w14:paraId="09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040</w:t>
            </w:r>
          </w:p>
        </w:tc>
        <w:tc>
          <w:tcPr>
            <w:tcW w:type="dxa" w:w="3016"/>
            <w:shd w:fill="auto" w:val="clear"/>
          </w:tcPr>
          <w:p w14:paraId="0A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Слесарная</w:t>
            </w:r>
          </w:p>
        </w:tc>
        <w:tc>
          <w:tcPr>
            <w:tcW w:type="dxa" w:w="2532"/>
            <w:shd w:fill="auto" w:val="clear"/>
          </w:tcPr>
          <w:p w14:paraId="0B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Верстак слесарный</w:t>
            </w:r>
          </w:p>
        </w:tc>
        <w:tc>
          <w:tcPr>
            <w:tcW w:type="dxa" w:w="6006"/>
            <w:shd w:fill="auto" w:val="clear"/>
          </w:tcPr>
          <w:p w14:paraId="0C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Зачистка заусенцев, притупление кромок</w:t>
            </w:r>
          </w:p>
        </w:tc>
      </w:tr>
      <w:tr>
        <w:tc>
          <w:tcPr>
            <w:tcW w:type="dxa" w:w="3016"/>
            <w:shd w:fill="auto" w:val="clear"/>
          </w:tcPr>
          <w:p w14:paraId="0D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045</w:t>
            </w:r>
          </w:p>
        </w:tc>
        <w:tc>
          <w:tcPr>
            <w:tcW w:type="dxa" w:w="3016"/>
            <w:shd w:fill="auto" w:val="clear"/>
          </w:tcPr>
          <w:p w14:paraId="0E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Термическая</w:t>
            </w:r>
          </w:p>
        </w:tc>
        <w:tc>
          <w:tcPr>
            <w:tcW w:type="dxa" w:w="2532"/>
            <w:shd w:fill="auto" w:val="clear"/>
          </w:tcPr>
          <w:p w14:paraId="0F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Камерная печь</w:t>
            </w:r>
          </w:p>
        </w:tc>
        <w:tc>
          <w:tcPr>
            <w:tcW w:type="dxa" w:w="6006"/>
            <w:shd w:fill="auto" w:val="clear"/>
          </w:tcPr>
          <w:p w14:paraId="10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Закалка с отпуском до твёрдости HRC 45...62</w:t>
            </w:r>
          </w:p>
        </w:tc>
      </w:tr>
      <w:tr>
        <w:tc>
          <w:tcPr>
            <w:tcW w:type="dxa" w:w="3016"/>
            <w:shd w:fill="auto" w:val="clear"/>
          </w:tcPr>
          <w:p w14:paraId="11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050</w:t>
            </w:r>
          </w:p>
        </w:tc>
        <w:tc>
          <w:tcPr>
            <w:tcW w:type="dxa" w:w="3016"/>
            <w:shd w:fill="auto" w:val="clear"/>
          </w:tcPr>
          <w:p w14:paraId="12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Круглошлифовальная</w:t>
            </w:r>
          </w:p>
        </w:tc>
        <w:tc>
          <w:tcPr>
            <w:tcW w:type="dxa" w:w="2532"/>
            <w:shd w:fill="auto" w:val="clear"/>
          </w:tcPr>
          <w:p w14:paraId="13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Круглошлифовальный</w:t>
            </w:r>
            <w:r>
              <w:rPr>
                <w:sz w:val="24"/>
              </w:rPr>
              <w:t xml:space="preserve"> станок 3М131</w:t>
            </w:r>
          </w:p>
        </w:tc>
        <w:tc>
          <w:tcPr>
            <w:tcW w:type="dxa" w:w="6006"/>
            <w:shd w:fill="auto" w:val="clear"/>
          </w:tcPr>
          <w:p w14:paraId="14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Шлифование центрирующего пояска и торца фланца</w:t>
            </w:r>
          </w:p>
        </w:tc>
      </w:tr>
      <w:tr>
        <w:tc>
          <w:tcPr>
            <w:tcW w:type="dxa" w:w="3016"/>
            <w:shd w:fill="auto" w:val="clear"/>
          </w:tcPr>
          <w:p w14:paraId="15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055</w:t>
            </w:r>
          </w:p>
        </w:tc>
        <w:tc>
          <w:tcPr>
            <w:tcW w:type="dxa" w:w="3016"/>
            <w:shd w:fill="auto" w:val="clear"/>
          </w:tcPr>
          <w:p w14:paraId="16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</w:p>
        </w:tc>
        <w:tc>
          <w:tcPr>
            <w:tcW w:type="dxa" w:w="2532"/>
            <w:shd w:fill="auto" w:val="clear"/>
          </w:tcPr>
          <w:p w14:paraId="17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Стол ОТК</w:t>
            </w:r>
          </w:p>
        </w:tc>
        <w:tc>
          <w:tcPr>
            <w:tcW w:type="dxa" w:w="6006"/>
            <w:shd w:fill="auto" w:val="clear"/>
          </w:tcPr>
          <w:p w14:paraId="18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Контроль размеров, шероховатости, взаимного расположения</w:t>
            </w:r>
          </w:p>
        </w:tc>
      </w:tr>
    </w:tbl>
    <w:p w14:paraId="19020000"/>
    <w:p w14:paraId="1A020000">
      <w:pPr>
        <w:sectPr>
          <w:footerReference r:id="rId4" w:type="default"/>
          <w:pgSz w:h="11906" w:orient="landscape" w:w="16838"/>
          <w:pgMar w:bottom="1701" w:footer="708" w:gutter="0" w:header="708" w:left="1134" w:right="1134" w:top="850"/>
          <w:titlePg/>
        </w:sectPr>
      </w:pPr>
    </w:p>
    <w:p w14:paraId="1B020000">
      <w:r>
        <w:t xml:space="preserve">Как видно из таблицы 9, действующий маршрут включает одиннадцать операций, в том числе две разметочные, а обработка выполняется за восемь </w:t>
      </w:r>
      <w:r>
        <w:t>установов</w:t>
      </w:r>
      <w:r>
        <w:t xml:space="preserve"> с многократной сменой технологических баз. Суммарная трудоёмкость изготовления одной детали по действующему процессу составляет 1,8 нормо-часа. Систематизация недостатков действующего процесса и направлений его совершенствования выполнена в таблице 10.</w:t>
      </w:r>
    </w:p>
    <w:p w14:paraId="1C020000">
      <w:pPr>
        <w:ind w:firstLine="0" w:left="0"/>
        <w:jc w:val="right"/>
      </w:pPr>
      <w:r>
        <w:t>Таблица 10</w:t>
      </w:r>
    </w:p>
    <w:p w14:paraId="1D020000">
      <w:pPr>
        <w:ind w:firstLine="0" w:left="0"/>
        <w:jc w:val="center"/>
      </w:pPr>
      <w:r>
        <w:t>Недостатки действующего технологического процесса и направления совершенствования</w:t>
      </w:r>
    </w:p>
    <w:tbl>
      <w:tblPr>
        <w:tblStyle w:val="Style_7"/>
        <w:tblLayout w:type="fixed"/>
      </w:tblPr>
      <w:tblGrid>
        <w:gridCol w:w="3116"/>
        <w:gridCol w:w="3119"/>
        <w:gridCol w:w="3119"/>
      </w:tblGrid>
      <w:tr>
        <w:tc>
          <w:tcPr>
            <w:tcW w:type="dxa" w:w="3116"/>
            <w:shd w:fill="auto" w:val="clear"/>
          </w:tcPr>
          <w:p w14:paraId="1E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Недостаток</w:t>
            </w:r>
          </w:p>
        </w:tc>
        <w:tc>
          <w:tcPr>
            <w:tcW w:type="dxa" w:w="3119"/>
            <w:shd w:fill="auto" w:val="clear"/>
          </w:tcPr>
          <w:p w14:paraId="1F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Следствие</w:t>
            </w:r>
          </w:p>
        </w:tc>
        <w:tc>
          <w:tcPr>
            <w:tcW w:type="dxa" w:w="3119"/>
            <w:shd w:fill="auto" w:val="clear"/>
          </w:tcPr>
          <w:p w14:paraId="20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Направление совершенствования</w:t>
            </w:r>
          </w:p>
        </w:tc>
      </w:tr>
      <w:tr>
        <w:tc>
          <w:tcPr>
            <w:tcW w:type="dxa" w:w="3116"/>
            <w:shd w:fill="auto" w:val="clear"/>
          </w:tcPr>
          <w:p w14:paraId="21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Ручная разметка контура и координат отверстий</w:t>
            </w:r>
          </w:p>
        </w:tc>
        <w:tc>
          <w:tcPr>
            <w:tcW w:type="dxa" w:w="3119"/>
            <w:shd w:fill="auto" w:val="clear"/>
          </w:tcPr>
          <w:p w14:paraId="22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Погрешность разметки до 0,3 мм при допуске координат плюс-минус 0,035 мм; доработка и брак</w:t>
            </w:r>
          </w:p>
        </w:tc>
        <w:tc>
          <w:tcPr>
            <w:tcW w:type="dxa" w:w="3119"/>
            <w:shd w:fill="auto" w:val="clear"/>
          </w:tcPr>
          <w:p w14:paraId="23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Обработка по управляющей программе на станке с ЧПУ, сверление в кондукторе</w:t>
            </w:r>
          </w:p>
        </w:tc>
      </w:tr>
      <w:tr>
        <w:tc>
          <w:tcPr>
            <w:tcW w:type="dxa" w:w="3116"/>
            <w:shd w:fill="auto" w:val="clear"/>
          </w:tcPr>
          <w:p w14:paraId="24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 xml:space="preserve">Восемь </w:t>
            </w:r>
            <w:r>
              <w:rPr>
                <w:sz w:val="24"/>
              </w:rPr>
              <w:t>установов</w:t>
            </w:r>
            <w:r>
              <w:rPr>
                <w:sz w:val="24"/>
              </w:rPr>
              <w:t xml:space="preserve"> со сменой баз</w:t>
            </w:r>
          </w:p>
        </w:tc>
        <w:tc>
          <w:tcPr>
            <w:tcW w:type="dxa" w:w="3119"/>
            <w:shd w:fill="auto" w:val="clear"/>
          </w:tcPr>
          <w:p w14:paraId="25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Накопление погрешностей взаимного расположения поверхностей</w:t>
            </w:r>
          </w:p>
        </w:tc>
        <w:tc>
          <w:tcPr>
            <w:tcW w:type="dxa" w:w="3119"/>
            <w:shd w:fill="auto" w:val="clear"/>
          </w:tcPr>
          <w:p w14:paraId="26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 xml:space="preserve">Концентрация операций на обрабатывающем центре, сокращение числа </w:t>
            </w:r>
            <w:r>
              <w:rPr>
                <w:sz w:val="24"/>
              </w:rPr>
              <w:t>установов</w:t>
            </w:r>
          </w:p>
        </w:tc>
      </w:tr>
      <w:tr>
        <w:tc>
          <w:tcPr>
            <w:tcW w:type="dxa" w:w="3116"/>
            <w:shd w:fill="auto" w:val="clear"/>
          </w:tcPr>
          <w:p w14:paraId="27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 xml:space="preserve">Выверка заготовки в </w:t>
            </w:r>
            <w:r>
              <w:rPr>
                <w:sz w:val="24"/>
              </w:rPr>
              <w:t>четырёхкулачковом</w:t>
            </w:r>
            <w:r>
              <w:rPr>
                <w:sz w:val="24"/>
              </w:rPr>
              <w:t xml:space="preserve"> патроне</w:t>
            </w:r>
          </w:p>
        </w:tc>
        <w:tc>
          <w:tcPr>
            <w:tcW w:type="dxa" w:w="3119"/>
            <w:shd w:fill="auto" w:val="clear"/>
          </w:tcPr>
          <w:p w14:paraId="28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Большое вспомогательное время, зависимость точности от квалификации станочника</w:t>
            </w:r>
          </w:p>
        </w:tc>
        <w:tc>
          <w:tcPr>
            <w:tcW w:type="dxa" w:w="3119"/>
            <w:shd w:fill="auto" w:val="clear"/>
          </w:tcPr>
          <w:p w14:paraId="29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 xml:space="preserve">Применение специального приспособления 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 разжимной оправки с базированием по центральному отверстию</w:t>
            </w:r>
          </w:p>
        </w:tc>
      </w:tr>
      <w:tr>
        <w:tc>
          <w:tcPr>
            <w:tcW w:type="dxa" w:w="3116"/>
            <w:shd w:fill="auto" w:val="clear"/>
          </w:tcPr>
          <w:p w14:paraId="2A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Отсутствие специальной оснастки</w:t>
            </w:r>
          </w:p>
        </w:tc>
        <w:tc>
          <w:tcPr>
            <w:tcW w:type="dxa" w:w="3119"/>
            <w:shd w:fill="auto" w:val="clear"/>
          </w:tcPr>
          <w:p w14:paraId="2B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Нестабильное закрепление, риск смещения заготовки</w:t>
            </w:r>
          </w:p>
        </w:tc>
        <w:tc>
          <w:tcPr>
            <w:tcW w:type="dxa" w:w="3119"/>
            <w:shd w:fill="auto" w:val="clear"/>
          </w:tcPr>
          <w:p w14:paraId="2C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Проектирование разжимной оправки для фрезерной, токарной и шлифовальной операций</w:t>
            </w:r>
          </w:p>
        </w:tc>
      </w:tr>
      <w:tr>
        <w:tc>
          <w:tcPr>
            <w:tcW w:type="dxa" w:w="3116"/>
            <w:shd w:fill="auto" w:val="clear"/>
          </w:tcPr>
          <w:p w14:paraId="2D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Универсальный инструмент с напайными пластинами</w:t>
            </w:r>
          </w:p>
        </w:tc>
        <w:tc>
          <w:tcPr>
            <w:tcW w:type="dxa" w:w="3119"/>
            <w:shd w:fill="auto" w:val="clear"/>
          </w:tcPr>
          <w:p w14:paraId="2E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Низкие режимы резания, частые переточки</w:t>
            </w:r>
          </w:p>
        </w:tc>
        <w:tc>
          <w:tcPr>
            <w:tcW w:type="dxa" w:w="3119"/>
            <w:shd w:fill="auto" w:val="clear"/>
          </w:tcPr>
          <w:p w14:paraId="2F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Сборный инструмент со сменными твердосплавными пластинами с покрытием</w:t>
            </w:r>
          </w:p>
        </w:tc>
      </w:tr>
      <w:tr>
        <w:tc>
          <w:tcPr>
            <w:tcW w:type="dxa" w:w="3116"/>
            <w:shd w:fill="auto" w:val="clear"/>
          </w:tcPr>
          <w:p w14:paraId="30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Субъективная оценка шероховатости по образцам сравнения</w:t>
            </w:r>
          </w:p>
        </w:tc>
        <w:tc>
          <w:tcPr>
            <w:tcW w:type="dxa" w:w="3119"/>
            <w:shd w:fill="auto" w:val="clear"/>
          </w:tcPr>
          <w:p w14:paraId="31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 xml:space="preserve">Пропуск несоответствий по </w:t>
            </w:r>
            <w:r>
              <w:rPr>
                <w:sz w:val="24"/>
              </w:rPr>
              <w:t>Ra</w:t>
            </w:r>
          </w:p>
        </w:tc>
        <w:tc>
          <w:tcPr>
            <w:tcW w:type="dxa" w:w="3119"/>
            <w:shd w:fill="auto" w:val="clear"/>
          </w:tcPr>
          <w:p w14:paraId="32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Инструментальный контроль профилометром</w:t>
            </w:r>
          </w:p>
        </w:tc>
      </w:tr>
    </w:tbl>
    <w:p w14:paraId="33020000"/>
    <w:p w14:paraId="34020000">
      <w:r>
        <w:t xml:space="preserve">Обобщая данные таблицы 10, можно констатировать, что действующий технологический процесс не соответствует ни требованиям чертежа по точности координат крепёжных отверстий и взаимного расположения поверхностей, ни возможностям современного оборудования предприятия: доля брака и доработки достигает 6 процентов, трудоёмкость завышена, а </w:t>
      </w:r>
      <w:r>
        <w:t>достижение точностных требований целиком зависит от квалификации рабочих. Основными направлениями совершенствования являются перевод формообразующих операций на вертикально-фрезерный обрабатывающий центр и токарный станок с числовым программным управлением, исключение разметочных операций, применение специальной разжимной оправки, обеспечивающей единство баз, и переход к инструментальному контролю качества. Эти направления реализованы в проектном технологическом процессе, разработанном в параграфе 2.2.</w:t>
      </w:r>
    </w:p>
    <w:p w14:paraId="35020000"/>
    <w:p w14:paraId="36020000">
      <w:bookmarkStart w:id="9" w:name="__RefHeading___9"/>
      <w:bookmarkEnd w:id="9"/>
      <w:pPr>
        <w:pStyle w:val="Style_5"/>
      </w:pPr>
      <w:r>
        <w:t>2.2 Технологическая карта процесса изготовления детали</w:t>
      </w:r>
    </w:p>
    <w:p w14:paraId="37020000"/>
    <w:p w14:paraId="38020000">
      <w:r>
        <w:t>Проектный технологический процесс построен на принципах концентрации операций, единства и совмещения технологических баз и расчётного назначения режимов резания [20, с. 95]. Технологическая документация процесса оформляется в виде маршрутной карты по ГОСТ 3.1118-82 [11] и операционных карт с картами наладки по ГОСТ 3.1404-86 [12].</w:t>
      </w:r>
    </w:p>
    <w:p w14:paraId="39020000">
      <w:r>
        <w:t>Заготовка детали показана на рисунке 6.</w:t>
      </w:r>
    </w:p>
    <w:p w14:paraId="3A020000">
      <w:pPr>
        <w:ind w:firstLine="0" w:left="0"/>
        <w:jc w:val="center"/>
      </w:pPr>
      <w:r>
        <w:drawing>
          <wp:inline>
            <wp:extent cx="2750780" cy="2354984"/>
            <wp:effectExtent b="0" l="0" r="0" t="0"/>
            <wp:docPr hidden="false" id="12" name="Picture 12"/>
            <a:graphic>
              <a:graphicData uri="http://schemas.openxmlformats.org/drawingml/2006/picture">
                <pic:pic>
                  <pic:nvPicPr>
                    <pic:cNvPr hidden="false" id="11" name="Picture 11"/>
                    <pic:cNvPicPr preferRelativeResize="true"/>
                  </pic:nvPicPr>
                  <pic:blipFill>
                    <a:blip r:embed="rId11"/>
                    <a:stretch/>
                  </pic:blipFill>
                  <pic:spPr>
                    <a:xfrm flipH="false" flipV="false" rot="0">
                      <a:ext cx="2750780" cy="2354984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3B020000">
      <w:pPr>
        <w:ind w:firstLine="0" w:left="0"/>
        <w:jc w:val="center"/>
      </w:pPr>
      <w:r>
        <w:t xml:space="preserve">Рисунок 6 </w:t>
      </w:r>
      <w:r>
        <w:t>-</w:t>
      </w:r>
      <w:r>
        <w:t xml:space="preserve"> Заготовка детали «Угловой корпус подшипника» (операция 005 </w:t>
      </w:r>
      <w:r>
        <w:t>-</w:t>
      </w:r>
      <w:r>
        <w:t xml:space="preserve"> отрезка заготовки)</w:t>
      </w:r>
    </w:p>
    <w:p w14:paraId="3C020000"/>
    <w:p w14:paraId="3D020000">
      <w:r>
        <w:t>Представленная на рисунке 6 заготовка имеет простую призматическую форму без штамповочных уклонов и литейных радиусов; контур готовой детали полностью вписывается в контур заготовки с припуском 3 мм на сторону по контуру и по торцам. Определим объём заготовки.</w:t>
      </w:r>
    </w:p>
    <w:p w14:paraId="3E020000">
      <w:pPr>
        <w:ind w:firstLine="0" w:left="0"/>
        <w:jc w:val="left"/>
      </w:pPr>
    </w:p>
    <w:p w14:paraId="3F020000">
      <w:pPr>
        <w:tabs>
          <w:tab w:leader="none" w:pos="4677" w:val="center"/>
          <w:tab w:leader="none" w:pos="9354" w:val="right"/>
        </w:tabs>
        <w:ind w:firstLine="0" w:left="0"/>
        <w:jc w:val="left"/>
      </w:pPr>
      <w:r>
        <w:tab/>
      </w:r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V</m:t>
              </m:r>
            </m:e>
            <m:sub>
              <m:r>
                <w:rPr>
                  <w:rFonts w:ascii="Cambria Math" w:hAnsi="Cambria Math"/>
                  <w:sz w:val="22"/>
                </w:rPr>
                <m:t>з</m:t>
              </m:r>
            </m:sub>
          </m:sSub>
          <m:r>
            <w:rPr>
              <w:rFonts w:ascii="Cambria Math" w:hAnsi="Cambria Math"/>
              <w:sz w:val="22"/>
            </w:rPr>
            <m:t>=</m:t>
          </m:r>
          <m:sSubSup>
            <m:e>
              <m:r>
                <w:rPr>
                  <w:rFonts w:ascii="Cambria Math" w:hAnsi="Cambria Math"/>
                  <w:sz w:val="22"/>
                </w:rPr>
                <m:t>a</m:t>
              </m:r>
            </m:e>
            <m:sub>
              <m:r>
                <w:rPr>
                  <w:rFonts w:ascii="Cambria Math" w:hAnsi="Cambria Math"/>
                  <w:sz w:val="22"/>
                </w:rPr>
                <m:t>з</m:t>
              </m:r>
            </m:sub>
            <m:sup>
              <m:r>
                <w:rPr>
                  <w:rFonts w:ascii="Cambria Math" w:hAnsi="Cambria Math"/>
                  <w:sz w:val="22"/>
                </w:rPr>
                <m:t>2</m:t>
              </m:r>
            </m:sup>
          </m:sSubSup>
          <m:r>
            <w:rPr>
              <w:rFonts w:ascii="Cambria Math" w:hAnsi="Cambria Math"/>
              <w:sz w:val="22"/>
            </w:rPr>
            <m:t>×</m:t>
          </m:r>
          <m:sSub>
            <m:e>
              <m:r>
                <w:rPr>
                  <w:rFonts w:ascii="Cambria Math" w:hAnsi="Cambria Math"/>
                  <w:sz w:val="22"/>
                </w:rPr>
                <m:t>l</m:t>
              </m:r>
            </m:e>
            <m:sub>
              <m:r>
                <w:rPr>
                  <w:rFonts w:ascii="Cambria Math" w:hAnsi="Cambria Math"/>
                  <w:sz w:val="22"/>
                </w:rPr>
                <m:t>з</m:t>
              </m:r>
            </m:sub>
          </m:sSub>
        </m:oMath>
      </m:oMathPara>
      <w:r>
        <w:tab/>
      </w:r>
      <w:r>
        <w:t>(3)</w:t>
      </w:r>
    </w:p>
    <w:p w14:paraId="40020000">
      <w:pPr>
        <w:ind w:firstLine="0" w:left="0"/>
        <w:jc w:val="left"/>
      </w:pPr>
    </w:p>
    <w:p w14:paraId="41020000">
      <w:r>
        <w:t xml:space="preserve">где </w:t>
      </w:r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V</m:t>
              </m:r>
            </m:e>
            <m:sub>
              <m:r>
                <w:rPr>
                  <w:rFonts w:ascii="Cambria Math" w:hAnsi="Cambria Math"/>
                  <w:sz w:val="22"/>
                </w:rPr>
                <m:t>з</m:t>
              </m:r>
            </m:sub>
          </m:sSub>
        </m:oMath>
      </m:oMathPara>
      <w:r>
        <w:t xml:space="preserve"> </w:t>
      </w:r>
      <w:r>
        <w:t>-</w:t>
      </w:r>
      <w:r>
        <w:t xml:space="preserve"> объём заготовки, кубических сантиметров;</w:t>
      </w:r>
    </w:p>
    <w:p w14:paraId="42020000"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a</m:t>
              </m:r>
            </m:e>
            <m:sub>
              <m:r>
                <w:rPr>
                  <w:rFonts w:ascii="Cambria Math" w:hAnsi="Cambria Math"/>
                  <w:sz w:val="22"/>
                </w:rPr>
                <m:t>з</m:t>
              </m:r>
            </m:sub>
          </m:sSub>
        </m:oMath>
      </m:oMathPara>
      <w:r>
        <w:t xml:space="preserve"> </w:t>
      </w:r>
      <w:r>
        <w:t>-</w:t>
      </w:r>
      <w:r>
        <w:t xml:space="preserve"> сторона квадратного сечения проката, см;</w:t>
      </w:r>
    </w:p>
    <w:p w14:paraId="43020000"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l</m:t>
              </m:r>
            </m:e>
            <m:sub>
              <m:r>
                <w:rPr>
                  <w:rFonts w:ascii="Cambria Math" w:hAnsi="Cambria Math"/>
                  <w:sz w:val="22"/>
                </w:rPr>
                <m:t>з</m:t>
              </m:r>
            </m:sub>
          </m:sSub>
        </m:oMath>
      </m:oMathPara>
      <w:r>
        <w:t xml:space="preserve"> </w:t>
      </w:r>
      <w:r>
        <w:t>-</w:t>
      </w:r>
      <w:r>
        <w:t xml:space="preserve"> длина отрезаемой заготовки, см.</w:t>
      </w:r>
    </w:p>
    <w:p w14:paraId="44020000">
      <w:r>
        <w:t>Подставим значения.</w:t>
      </w:r>
    </w:p>
    <w:p w14:paraId="45020000">
      <w:pPr>
        <w:ind w:firstLine="0" w:left="0"/>
        <w:jc w:val="left"/>
      </w:pPr>
    </w:p>
    <w:p w14:paraId="46020000">
      <w:pPr>
        <w:ind w:firstLine="0" w:left="0"/>
        <w:jc w:val="center"/>
      </w:pPr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V</m:t>
              </m:r>
            </m:e>
            <m:sub>
              <m:r>
                <w:rPr>
                  <w:rFonts w:ascii="Cambria Math" w:hAnsi="Cambria Math"/>
                  <w:sz w:val="22"/>
                </w:rPr>
                <m:t>з</m:t>
              </m:r>
            </m:sub>
          </m:sSub>
          <m:r>
            <w:rPr>
              <w:rFonts w:ascii="Cambria Math" w:hAnsi="Cambria Math"/>
              <w:sz w:val="22"/>
            </w:rPr>
            <m:t>=</m:t>
          </m:r>
          <m:sSup>
            <m:e>
              <m:r>
                <w:rPr>
                  <w:rFonts w:ascii="Cambria Math" w:hAnsi="Cambria Math"/>
                  <w:sz w:val="22"/>
                </w:rPr>
                <m:t>7</m:t>
              </m:r>
            </m:e>
            <m:sup>
              <m:r>
                <w:rPr>
                  <w:rFonts w:ascii="Cambria Math" w:hAnsi="Cambria Math"/>
                  <w:sz w:val="22"/>
                </w:rPr>
                <m:t>2</m:t>
              </m:r>
            </m:sup>
          </m:sSup>
          <m:r>
            <w:rPr>
              <w:rFonts w:ascii="Cambria Math" w:hAnsi="Cambria Math"/>
              <w:sz w:val="22"/>
            </w:rPr>
            <m:t>×5=245</m:t>
          </m:r>
        </m:oMath>
      </m:oMathPara>
    </w:p>
    <w:p w14:paraId="47020000">
      <w:pPr>
        <w:ind w:firstLine="0" w:left="0"/>
        <w:jc w:val="left"/>
      </w:pPr>
    </w:p>
    <w:p w14:paraId="48020000">
      <w:r>
        <w:t>Объём заготовки составляет 245 кубических сантиметров. Масса заготовки определяется через плотность стали.</w:t>
      </w:r>
    </w:p>
    <w:p w14:paraId="49020000">
      <w:pPr>
        <w:ind w:firstLine="0" w:left="0"/>
        <w:jc w:val="left"/>
      </w:pPr>
    </w:p>
    <w:p w14:paraId="4A020000">
      <w:pPr>
        <w:tabs>
          <w:tab w:leader="none" w:pos="4677" w:val="center"/>
          <w:tab w:leader="none" w:pos="9354" w:val="right"/>
        </w:tabs>
        <w:ind w:firstLine="0" w:left="0"/>
        <w:jc w:val="left"/>
      </w:pPr>
      <w:r>
        <w:tab/>
      </w:r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m</m:t>
              </m:r>
            </m:e>
            <m:sub>
              <m:r>
                <w:rPr>
                  <w:rFonts w:ascii="Cambria Math" w:hAnsi="Cambria Math"/>
                  <w:sz w:val="22"/>
                </w:rPr>
                <m:t>з</m:t>
              </m:r>
            </m:sub>
          </m:sSub>
          <m:r>
            <w:rPr>
              <w:rFonts w:ascii="Cambria Math" w:hAnsi="Cambria Math"/>
              <w:sz w:val="22"/>
            </w:rPr>
            <m:t>=</m:t>
          </m:r>
          <m:f>
            <m:fPr>
              <m:type m:val="bar"/>
            </m:fPr>
            <m:num>
              <m:sSub>
                <m:e>
                  <m:r>
                    <w:rPr>
                      <w:rFonts w:ascii="Cambria Math" w:hAnsi="Cambria Math"/>
                      <w:sz w:val="22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  <w:sz w:val="22"/>
                    </w:rPr>
                    <m:t>з</m:t>
                  </m:r>
                </m:sub>
              </m:sSub>
              <m:r>
                <w:rPr>
                  <w:rFonts w:ascii="Cambria Math" w:hAnsi="Cambria Math"/>
                  <w:sz w:val="22"/>
                </w:rPr>
                <m:t>×ρ</m:t>
              </m:r>
            </m:num>
            <m:den>
              <m:r>
                <w:rPr>
                  <w:rFonts w:ascii="Cambria Math" w:hAnsi="Cambria Math"/>
                  <w:sz w:val="22"/>
                </w:rPr>
                <m:t>1000</m:t>
              </m:r>
            </m:den>
          </m:f>
        </m:oMath>
      </m:oMathPara>
      <w:r>
        <w:tab/>
      </w:r>
      <w:r>
        <w:t>(4)</w:t>
      </w:r>
    </w:p>
    <w:p w14:paraId="4B020000">
      <w:pPr>
        <w:ind w:firstLine="0" w:left="0"/>
        <w:jc w:val="left"/>
      </w:pPr>
    </w:p>
    <w:p w14:paraId="4C020000">
      <w:r>
        <w:t xml:space="preserve">где </w:t>
      </w:r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m</m:t>
              </m:r>
            </m:e>
            <m:sub>
              <m:r>
                <w:rPr>
                  <w:rFonts w:ascii="Cambria Math" w:hAnsi="Cambria Math"/>
                  <w:sz w:val="22"/>
                </w:rPr>
                <m:t>з</m:t>
              </m:r>
            </m:sub>
          </m:sSub>
        </m:oMath>
      </m:oMathPara>
      <w:r>
        <w:t xml:space="preserve"> </w:t>
      </w:r>
      <w:r>
        <w:t>-</w:t>
      </w:r>
      <w:r>
        <w:t xml:space="preserve"> масса заготовки, кг;</w:t>
      </w:r>
    </w:p>
    <w:p w14:paraId="4D020000"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V</m:t>
              </m:r>
            </m:e>
            <m:sub>
              <m:r>
                <w:rPr>
                  <w:rFonts w:ascii="Cambria Math" w:hAnsi="Cambria Math"/>
                  <w:sz w:val="22"/>
                </w:rPr>
                <m:t>з</m:t>
              </m:r>
            </m:sub>
          </m:sSub>
        </m:oMath>
      </m:oMathPara>
      <w:r>
        <w:t xml:space="preserve"> </w:t>
      </w:r>
      <w:r>
        <w:t>-</w:t>
      </w:r>
      <w:r>
        <w:t xml:space="preserve"> объём заготовки, кубических сантиметров;</w:t>
      </w:r>
    </w:p>
    <w:p w14:paraId="4E020000">
      <m:oMathPara>
        <m:oMath>
          <m:r>
            <w:rPr>
              <w:rFonts w:ascii="Cambria Math" w:hAnsi="Cambria Math"/>
              <w:sz w:val="22"/>
            </w:rPr>
            <m:t>ρ</m:t>
          </m:r>
        </m:oMath>
      </m:oMathPara>
      <w:r>
        <w:t xml:space="preserve"> </w:t>
      </w:r>
      <w:r>
        <w:t>-</w:t>
      </w:r>
      <w:r>
        <w:t xml:space="preserve"> плотность стали, г на кубический сантиметр.</w:t>
      </w:r>
    </w:p>
    <w:p w14:paraId="4F020000">
      <w:r>
        <w:t>Подставим значения при плотности 7,85 г на кубический сантиметр.</w:t>
      </w:r>
    </w:p>
    <w:p w14:paraId="50020000">
      <w:pPr>
        <w:ind w:firstLine="0" w:left="0"/>
        <w:jc w:val="left"/>
      </w:pPr>
    </w:p>
    <w:p w14:paraId="51020000">
      <w:pPr>
        <w:ind w:firstLine="0" w:left="0"/>
        <w:jc w:val="center"/>
      </w:pPr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m</m:t>
              </m:r>
            </m:e>
            <m:sub>
              <m:r>
                <w:rPr>
                  <w:rFonts w:ascii="Cambria Math" w:hAnsi="Cambria Math"/>
                  <w:sz w:val="22"/>
                </w:rPr>
                <m:t>з</m:t>
              </m:r>
            </m:sub>
          </m:sSub>
          <m:r>
            <w:rPr>
              <w:rFonts w:ascii="Cambria Math" w:hAnsi="Cambria Math"/>
              <w:sz w:val="22"/>
            </w:rPr>
            <m:t>=</m:t>
          </m:r>
          <m:f>
            <m:fPr>
              <m:type m:val="bar"/>
            </m:fPr>
            <m:num>
              <m:r>
                <w:rPr>
                  <w:rFonts w:ascii="Cambria Math" w:hAnsi="Cambria Math"/>
                  <w:sz w:val="22"/>
                </w:rPr>
                <m:t>245×</m:t>
              </m:r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7,85</m:t>
              </m:r>
            </m:num>
            <m:den>
              <m:r>
                <w:rPr>
                  <w:rFonts w:ascii="Cambria Math" w:hAnsi="Cambria Math"/>
                  <w:sz w:val="22"/>
                </w:rPr>
                <m:t>1000</m:t>
              </m:r>
            </m:den>
          </m:f>
          <m:r>
            <w:rPr>
              <w:rFonts w:ascii="Cambria Math" w:hAnsi="Cambria Math"/>
              <w:sz w:val="22"/>
            </w:rPr>
            <m:t>=</m:t>
          </m:r>
          <m:r>
            <w:rPr>
              <w:rFonts w:ascii="Cambria Math" w:hAnsi="Cambria Math"/>
              <w:sz w:val="22"/>
            </w:rPr>
            <m:rPr>
              <m:sty m:val="p"/>
            </m:rPr>
            <m:t>1,92</m:t>
          </m:r>
        </m:oMath>
      </m:oMathPara>
    </w:p>
    <w:p w14:paraId="52020000">
      <w:pPr>
        <w:ind w:firstLine="0" w:left="0"/>
        <w:jc w:val="left"/>
      </w:pPr>
    </w:p>
    <w:p w14:paraId="53020000">
      <w:r>
        <w:t>Масса заготовки составляет 1,92 кг. Оценим коэффициент использования материала при массе готовой детали 0,9 кг.</w:t>
      </w:r>
    </w:p>
    <w:p w14:paraId="54020000">
      <w:pPr>
        <w:ind w:firstLine="0" w:left="0"/>
        <w:jc w:val="left"/>
      </w:pPr>
    </w:p>
    <w:p w14:paraId="55020000">
      <w:pPr>
        <w:tabs>
          <w:tab w:leader="none" w:pos="4677" w:val="center"/>
          <w:tab w:leader="none" w:pos="9354" w:val="right"/>
        </w:tabs>
        <w:ind w:firstLine="0" w:left="0"/>
        <w:jc w:val="left"/>
      </w:pPr>
      <w:r>
        <w:tab/>
      </w:r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К</m:t>
              </m:r>
            </m:e>
            <m:sub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и</m:t>
              </m:r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м</m:t>
              </m:r>
            </m:sub>
          </m:sSub>
          <m:r>
            <w:rPr>
              <w:rFonts w:ascii="Cambria Math" w:hAnsi="Cambria Math"/>
              <w:sz w:val="22"/>
            </w:rPr>
            <m:t>=</m:t>
          </m:r>
          <m:f>
            <m:fPr>
              <m:type m:val="bar"/>
            </m:fPr>
            <m:num>
              <m:sSub>
                <m:e>
                  <m:r>
                    <w:rPr>
                      <w:rFonts w:ascii="Cambria Math" w:hAnsi="Cambria Math"/>
                      <w:sz w:val="22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sz w:val="22"/>
                    </w:rPr>
                    <m:t>д</m:t>
                  </m:r>
                </m:sub>
              </m:sSub>
            </m:num>
            <m:den>
              <m:sSub>
                <m:e>
                  <m:r>
                    <w:rPr>
                      <w:rFonts w:ascii="Cambria Math" w:hAnsi="Cambria Math"/>
                      <w:sz w:val="22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sz w:val="22"/>
                    </w:rPr>
                    <m:t>з</m:t>
                  </m:r>
                </m:sub>
              </m:sSub>
            </m:den>
          </m:f>
        </m:oMath>
      </m:oMathPara>
      <w:r>
        <w:tab/>
      </w:r>
      <w:r>
        <w:t>(5)</w:t>
      </w:r>
    </w:p>
    <w:p w14:paraId="56020000">
      <w:pPr>
        <w:ind w:firstLine="0" w:left="0"/>
        <w:jc w:val="left"/>
      </w:pPr>
    </w:p>
    <w:p w14:paraId="57020000">
      <w:r>
        <w:t xml:space="preserve">где </w:t>
      </w:r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К</m:t>
              </m:r>
            </m:e>
            <m:sub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и</m:t>
              </m:r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м</m:t>
              </m:r>
            </m:sub>
          </m:sSub>
        </m:oMath>
      </m:oMathPara>
      <w:r>
        <w:t xml:space="preserve"> </w:t>
      </w:r>
      <w:r>
        <w:t>-</w:t>
      </w:r>
      <w:r>
        <w:t xml:space="preserve"> коэффициент использования материала;</w:t>
      </w:r>
    </w:p>
    <w:p w14:paraId="58020000"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m</m:t>
              </m:r>
            </m:e>
            <m:sub>
              <m:r>
                <w:rPr>
                  <w:rFonts w:ascii="Cambria Math" w:hAnsi="Cambria Math"/>
                  <w:sz w:val="22"/>
                </w:rPr>
                <m:t>д</m:t>
              </m:r>
            </m:sub>
          </m:sSub>
        </m:oMath>
      </m:oMathPara>
      <w:r>
        <w:t xml:space="preserve"> </w:t>
      </w:r>
      <w:r>
        <w:t>-</w:t>
      </w:r>
      <w:r>
        <w:t xml:space="preserve"> масса готовой детали, кг;</w:t>
      </w:r>
    </w:p>
    <w:p w14:paraId="59020000"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m</m:t>
              </m:r>
            </m:e>
            <m:sub>
              <m:r>
                <w:rPr>
                  <w:rFonts w:ascii="Cambria Math" w:hAnsi="Cambria Math"/>
                  <w:sz w:val="22"/>
                </w:rPr>
                <m:t>з</m:t>
              </m:r>
            </m:sub>
          </m:sSub>
        </m:oMath>
      </m:oMathPara>
      <w:r>
        <w:t xml:space="preserve"> </w:t>
      </w:r>
      <w:r>
        <w:t>-</w:t>
      </w:r>
      <w:r>
        <w:t xml:space="preserve"> масса заготовки, кг.</w:t>
      </w:r>
    </w:p>
    <w:p w14:paraId="5A020000">
      <w:r>
        <w:t>Подставим значения.</w:t>
      </w:r>
    </w:p>
    <w:p w14:paraId="5B020000">
      <w:pPr>
        <w:ind w:firstLine="0" w:left="0"/>
        <w:jc w:val="left"/>
      </w:pPr>
    </w:p>
    <w:p w14:paraId="5C020000">
      <w:pPr>
        <w:ind w:firstLine="0" w:left="0"/>
        <w:jc w:val="center"/>
      </w:pPr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К</m:t>
              </m:r>
            </m:e>
            <m:sub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и</m:t>
              </m:r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м</m:t>
              </m:r>
            </m:sub>
          </m:sSub>
          <m:r>
            <w:rPr>
              <w:rFonts w:ascii="Cambria Math" w:hAnsi="Cambria Math"/>
              <w:sz w:val="22"/>
            </w:rPr>
            <m:t>=</m:t>
          </m:r>
          <m:f>
            <m:fPr>
              <m:type m:val="bar"/>
            </m:fPr>
            <m:num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0,9</m:t>
              </m:r>
            </m:num>
            <m:den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1,92</m:t>
              </m:r>
            </m:den>
          </m:f>
          <m:r>
            <w:rPr>
              <w:rFonts w:ascii="Cambria Math" w:hAnsi="Cambria Math"/>
              <w:sz w:val="22"/>
            </w:rPr>
            <m:t>=</m:t>
          </m:r>
          <m:r>
            <w:rPr>
              <w:rFonts w:ascii="Cambria Math" w:hAnsi="Cambria Math"/>
              <w:sz w:val="22"/>
            </w:rPr>
            <m:rPr>
              <m:sty m:val="p"/>
            </m:rPr>
            <m:t>0,47</m:t>
          </m:r>
        </m:oMath>
      </m:oMathPara>
    </w:p>
    <w:p w14:paraId="5D020000">
      <w:pPr>
        <w:ind w:firstLine="0" w:left="0"/>
        <w:jc w:val="left"/>
      </w:pPr>
    </w:p>
    <w:p w14:paraId="5E020000">
      <w:r>
        <w:t>Коэффициент использования материала равен 0,47, что характерно для заготовок из сортового проката и приемлемо для детали малой массы: перерасход металла компенсируется отсутствием затрат на заготовительную оснастку, а стружка реализуется как возвратный лом. Годовая потребность в прокате составляет:</w:t>
      </w:r>
    </w:p>
    <w:p w14:paraId="5F020000">
      <w:pPr>
        <w:ind w:firstLine="0" w:left="0"/>
        <w:jc w:val="left"/>
      </w:pPr>
    </w:p>
    <w:p w14:paraId="60020000">
      <w:pPr>
        <w:tabs>
          <w:tab w:leader="none" w:pos="4677" w:val="center"/>
          <w:tab w:leader="none" w:pos="9354" w:val="right"/>
        </w:tabs>
        <w:ind w:firstLine="0" w:left="0"/>
        <w:jc w:val="left"/>
      </w:pPr>
      <w:r>
        <w:tab/>
      </w:r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M</m:t>
              </m:r>
            </m:e>
            <m:sub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г</m:t>
              </m:r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о</m:t>
              </m:r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д</m:t>
              </m:r>
            </m:sub>
          </m:sSub>
          <m:r>
            <w:rPr>
              <w:rFonts w:ascii="Cambria Math" w:hAnsi="Cambria Math"/>
              <w:sz w:val="22"/>
            </w:rPr>
            <m:t>=</m:t>
          </m:r>
          <m:sSub>
            <m:e>
              <m:r>
                <w:rPr>
                  <w:rFonts w:ascii="Cambria Math" w:hAnsi="Cambria Math"/>
                  <w:sz w:val="22"/>
                </w:rPr>
                <m:t>m</m:t>
              </m:r>
            </m:e>
            <m:sub>
              <m:r>
                <w:rPr>
                  <w:rFonts w:ascii="Cambria Math" w:hAnsi="Cambria Math"/>
                  <w:sz w:val="22"/>
                </w:rPr>
                <m:t>з</m:t>
              </m:r>
            </m:sub>
          </m:sSub>
          <m:r>
            <w:rPr>
              <w:rFonts w:ascii="Cambria Math" w:hAnsi="Cambria Math"/>
              <w:sz w:val="22"/>
            </w:rPr>
            <m:t>×N</m:t>
          </m:r>
        </m:oMath>
      </m:oMathPara>
      <w:r>
        <w:tab/>
      </w:r>
      <w:r>
        <w:t>(6)</w:t>
      </w:r>
    </w:p>
    <w:p w14:paraId="61020000">
      <w:pPr>
        <w:ind w:firstLine="0" w:left="0"/>
        <w:jc w:val="left"/>
      </w:pPr>
    </w:p>
    <w:p w14:paraId="62020000">
      <w:r>
        <w:t xml:space="preserve">где </w:t>
      </w:r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M</m:t>
              </m:r>
            </m:e>
            <m:sub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г</m:t>
              </m:r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о</m:t>
              </m:r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д</m:t>
              </m:r>
            </m:sub>
          </m:sSub>
        </m:oMath>
      </m:oMathPara>
      <w:r>
        <w:t xml:space="preserve"> </w:t>
      </w:r>
      <w:r>
        <w:t>-</w:t>
      </w:r>
      <w:r>
        <w:t xml:space="preserve"> годовая потребность в металле, кг в год;</w:t>
      </w:r>
    </w:p>
    <w:p w14:paraId="63020000"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m</m:t>
              </m:r>
            </m:e>
            <m:sub>
              <m:r>
                <w:rPr>
                  <w:rFonts w:ascii="Cambria Math" w:hAnsi="Cambria Math"/>
                  <w:sz w:val="22"/>
                </w:rPr>
                <m:t>з</m:t>
              </m:r>
            </m:sub>
          </m:sSub>
        </m:oMath>
      </m:oMathPara>
      <w:r>
        <w:t xml:space="preserve"> </w:t>
      </w:r>
      <w:r>
        <w:t>-</w:t>
      </w:r>
      <w:r>
        <w:t xml:space="preserve"> масса заготовки, кг;</w:t>
      </w:r>
    </w:p>
    <w:p w14:paraId="64020000">
      <m:oMathPara>
        <m:oMath>
          <m:r>
            <w:rPr>
              <w:rFonts w:ascii="Cambria Math" w:hAnsi="Cambria Math"/>
              <w:sz w:val="22"/>
            </w:rPr>
            <m:t>N</m:t>
          </m:r>
        </m:oMath>
      </m:oMathPara>
      <w:r>
        <w:t xml:space="preserve"> </w:t>
      </w:r>
      <w:r>
        <w:t>-</w:t>
      </w:r>
      <w:r>
        <w:t xml:space="preserve"> годовая программа выпуска, деталей в год.</w:t>
      </w:r>
    </w:p>
    <w:p w14:paraId="65020000">
      <w:r>
        <w:t>Подставим значения.</w:t>
      </w:r>
    </w:p>
    <w:p w14:paraId="66020000">
      <w:pPr>
        <w:ind w:firstLine="0" w:left="0"/>
        <w:jc w:val="left"/>
      </w:pPr>
    </w:p>
    <w:p w14:paraId="67020000">
      <w:pPr>
        <w:ind w:firstLine="0" w:left="0"/>
        <w:jc w:val="center"/>
      </w:pPr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M</m:t>
              </m:r>
            </m:e>
            <m:sub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г</m:t>
              </m:r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о</m:t>
              </m:r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д</m:t>
              </m:r>
            </m:sub>
          </m:sSub>
          <m:r>
            <w:rPr>
              <w:rFonts w:ascii="Cambria Math" w:hAnsi="Cambria Math"/>
              <w:sz w:val="22"/>
            </w:rPr>
            <m:t>=</m:t>
          </m:r>
          <m:r>
            <w:rPr>
              <w:rFonts w:ascii="Cambria Math" w:hAnsi="Cambria Math"/>
              <w:sz w:val="22"/>
            </w:rPr>
            <m:rPr>
              <m:sty m:val="p"/>
            </m:rPr>
            <m:t>1,92</m:t>
          </m:r>
          <m:r>
            <w:rPr>
              <w:rFonts w:ascii="Cambria Math" w:hAnsi="Cambria Math"/>
              <w:sz w:val="22"/>
            </w:rPr>
            <m:t>×3200=6144</m:t>
          </m:r>
        </m:oMath>
      </m:oMathPara>
    </w:p>
    <w:p w14:paraId="68020000">
      <w:pPr>
        <w:ind w:firstLine="0" w:left="0"/>
        <w:jc w:val="left"/>
      </w:pPr>
    </w:p>
    <w:p w14:paraId="69020000">
      <w:r>
        <w:t>Годовая потребность в металле составляет 6144 кг в год, то есть около 6,14 тонны. Маршрут проектного технологического процесса приведён в таблице 11.</w:t>
      </w:r>
    </w:p>
    <w:p w14:paraId="6A020000">
      <w:pPr>
        <w:sectPr>
          <w:footerReference r:id="rId3" w:type="default"/>
          <w:pgSz w:h="16838" w:orient="portrait" w:w="11906"/>
          <w:pgMar w:bottom="1134" w:footer="708" w:gutter="0" w:header="708" w:left="1701" w:right="850" w:top="1134"/>
          <w:titlePg/>
        </w:sectPr>
      </w:pPr>
    </w:p>
    <w:p w14:paraId="6B020000">
      <w:pPr>
        <w:ind w:firstLine="0" w:left="0"/>
        <w:jc w:val="right"/>
      </w:pPr>
      <w:r>
        <w:t>Таблица 11</w:t>
      </w:r>
    </w:p>
    <w:p w14:paraId="6C020000">
      <w:pPr>
        <w:ind w:firstLine="0" w:left="0"/>
        <w:jc w:val="center"/>
      </w:pPr>
      <w:r>
        <w:t>Маршрут проектного технологического процесса изготовления детали</w:t>
      </w:r>
    </w:p>
    <w:tbl>
      <w:tblPr>
        <w:tblStyle w:val="Style_7"/>
        <w:tblLayout w:type="fixed"/>
      </w:tblPr>
      <w:tblGrid>
        <w:gridCol w:w="3029"/>
        <w:gridCol w:w="3029"/>
        <w:gridCol w:w="2075"/>
        <w:gridCol w:w="6436"/>
      </w:tblGrid>
      <w:tr>
        <w:tc>
          <w:tcPr>
            <w:tcW w:type="dxa" w:w="3029"/>
            <w:shd w:fill="auto" w:val="clear"/>
          </w:tcPr>
          <w:p w14:paraId="6D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Номер операции</w:t>
            </w:r>
          </w:p>
        </w:tc>
        <w:tc>
          <w:tcPr>
            <w:tcW w:type="dxa" w:w="3029"/>
            <w:shd w:fill="auto" w:val="clear"/>
          </w:tcPr>
          <w:p w14:paraId="6E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Наименование операции</w:t>
            </w:r>
          </w:p>
        </w:tc>
        <w:tc>
          <w:tcPr>
            <w:tcW w:type="dxa" w:w="2075"/>
            <w:shd w:fill="auto" w:val="clear"/>
          </w:tcPr>
          <w:p w14:paraId="6F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Оборудование, оснастка</w:t>
            </w:r>
          </w:p>
        </w:tc>
        <w:tc>
          <w:tcPr>
            <w:tcW w:type="dxa" w:w="6436"/>
            <w:shd w:fill="auto" w:val="clear"/>
          </w:tcPr>
          <w:p w14:paraId="70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Содержание операции</w:t>
            </w:r>
          </w:p>
        </w:tc>
      </w:tr>
      <w:tr>
        <w:tc>
          <w:tcPr>
            <w:tcW w:type="dxa" w:w="3029"/>
            <w:shd w:fill="auto" w:val="clear"/>
          </w:tcPr>
          <w:p w14:paraId="71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005</w:t>
            </w:r>
          </w:p>
        </w:tc>
        <w:tc>
          <w:tcPr>
            <w:tcW w:type="dxa" w:w="3029"/>
            <w:shd w:fill="auto" w:val="clear"/>
          </w:tcPr>
          <w:p w14:paraId="72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Заготовительная (отрезная)</w:t>
            </w:r>
          </w:p>
        </w:tc>
        <w:tc>
          <w:tcPr>
            <w:tcW w:type="dxa" w:w="2075"/>
            <w:shd w:fill="auto" w:val="clear"/>
          </w:tcPr>
          <w:p w14:paraId="73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Ленточно-отрезной станок</w:t>
            </w:r>
          </w:p>
        </w:tc>
        <w:tc>
          <w:tcPr>
            <w:tcW w:type="dxa" w:w="6436"/>
            <w:shd w:fill="auto" w:val="clear"/>
          </w:tcPr>
          <w:p w14:paraId="74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Отрезка заготовки из проката квадратного сечения 70×70 мм на длину 50 мм</w:t>
            </w:r>
          </w:p>
        </w:tc>
      </w:tr>
      <w:tr>
        <w:tc>
          <w:tcPr>
            <w:tcW w:type="dxa" w:w="3029"/>
            <w:shd w:fill="auto" w:val="clear"/>
          </w:tcPr>
          <w:p w14:paraId="75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010</w:t>
            </w:r>
          </w:p>
        </w:tc>
        <w:tc>
          <w:tcPr>
            <w:tcW w:type="dxa" w:w="3029"/>
            <w:shd w:fill="auto" w:val="clear"/>
          </w:tcPr>
          <w:p w14:paraId="76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Фрезерная с ЧПУ черновая</w:t>
            </w:r>
          </w:p>
        </w:tc>
        <w:tc>
          <w:tcPr>
            <w:tcW w:type="dxa" w:w="2075"/>
            <w:shd w:fill="auto" w:val="clear"/>
          </w:tcPr>
          <w:p w14:paraId="77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Обрабатывающий центр, тиски</w:t>
            </w:r>
          </w:p>
        </w:tc>
        <w:tc>
          <w:tcPr>
            <w:tcW w:type="dxa" w:w="6436"/>
            <w:shd w:fill="auto" w:val="clear"/>
          </w:tcPr>
          <w:p w14:paraId="78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Фрезерование торцов и наружного контура предварительно; сверление и растачивание центрального отверстия диаметром 35 мм (допуск плюс 0,1) окончательно</w:t>
            </w:r>
          </w:p>
        </w:tc>
      </w:tr>
      <w:tr>
        <w:tc>
          <w:tcPr>
            <w:tcW w:type="dxa" w:w="3029"/>
            <w:shd w:fill="auto" w:val="clear"/>
          </w:tcPr>
          <w:p w14:paraId="79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015</w:t>
            </w:r>
          </w:p>
        </w:tc>
        <w:tc>
          <w:tcPr>
            <w:tcW w:type="dxa" w:w="3029"/>
            <w:shd w:fill="auto" w:val="clear"/>
          </w:tcPr>
          <w:p w14:paraId="7A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Фрезерная с ЧПУ получистовая</w:t>
            </w:r>
          </w:p>
        </w:tc>
        <w:tc>
          <w:tcPr>
            <w:tcW w:type="dxa" w:w="2075"/>
            <w:shd w:fill="auto" w:val="clear"/>
          </w:tcPr>
          <w:p w14:paraId="7B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Обрабатывающий центр, разжимная оправка</w:t>
            </w:r>
          </w:p>
        </w:tc>
        <w:tc>
          <w:tcPr>
            <w:tcW w:type="dxa" w:w="6436"/>
            <w:shd w:fill="auto" w:val="clear"/>
          </w:tcPr>
          <w:p w14:paraId="7C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Обработка со стороны фланца: выступ 53 мм, бобышка диаметром 54 мм, расточка гнезда диаметром 50 мм, скругления, центровка крепёжных отверстий</w:t>
            </w:r>
          </w:p>
        </w:tc>
      </w:tr>
      <w:tr>
        <w:tc>
          <w:tcPr>
            <w:tcW w:type="dxa" w:w="3029"/>
            <w:shd w:fill="auto" w:val="clear"/>
          </w:tcPr>
          <w:p w14:paraId="7D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020</w:t>
            </w:r>
          </w:p>
        </w:tc>
        <w:tc>
          <w:tcPr>
            <w:tcW w:type="dxa" w:w="3029"/>
            <w:shd w:fill="auto" w:val="clear"/>
          </w:tcPr>
          <w:p w14:paraId="7E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Фрезерная с ЧПУ чистовая</w:t>
            </w:r>
          </w:p>
        </w:tc>
        <w:tc>
          <w:tcPr>
            <w:tcW w:type="dxa" w:w="2075"/>
            <w:shd w:fill="auto" w:val="clear"/>
          </w:tcPr>
          <w:p w14:paraId="7F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Обрабатывающий центр, тиски</w:t>
            </w:r>
          </w:p>
        </w:tc>
        <w:tc>
          <w:tcPr>
            <w:tcW w:type="dxa" w:w="6436"/>
            <w:shd w:fill="auto" w:val="clear"/>
          </w:tcPr>
          <w:p w14:paraId="80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Окончательное фрезерование контура 64 мм (допуск минус 0,12) и торцов в размер 44 мм (допуск минус 0,1), фаски</w:t>
            </w:r>
          </w:p>
        </w:tc>
      </w:tr>
      <w:tr>
        <w:tc>
          <w:tcPr>
            <w:tcW w:type="dxa" w:w="3029"/>
            <w:shd w:fill="auto" w:val="clear"/>
          </w:tcPr>
          <w:p w14:paraId="81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025</w:t>
            </w:r>
          </w:p>
        </w:tc>
        <w:tc>
          <w:tcPr>
            <w:tcW w:type="dxa" w:w="3029"/>
            <w:shd w:fill="auto" w:val="clear"/>
          </w:tcPr>
          <w:p w14:paraId="82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Слесарная</w:t>
            </w:r>
          </w:p>
        </w:tc>
        <w:tc>
          <w:tcPr>
            <w:tcW w:type="dxa" w:w="2075"/>
            <w:shd w:fill="auto" w:val="clear"/>
          </w:tcPr>
          <w:p w14:paraId="83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Верстак слесарный</w:t>
            </w:r>
          </w:p>
        </w:tc>
        <w:tc>
          <w:tcPr>
            <w:tcW w:type="dxa" w:w="6436"/>
            <w:shd w:fill="auto" w:val="clear"/>
          </w:tcPr>
          <w:p w14:paraId="84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Зачистка заусенцев, притупление острых кромок</w:t>
            </w:r>
          </w:p>
        </w:tc>
      </w:tr>
      <w:tr>
        <w:tc>
          <w:tcPr>
            <w:tcW w:type="dxa" w:w="3029"/>
            <w:shd w:fill="auto" w:val="clear"/>
          </w:tcPr>
          <w:p w14:paraId="85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030</w:t>
            </w:r>
          </w:p>
        </w:tc>
        <w:tc>
          <w:tcPr>
            <w:tcW w:type="dxa" w:w="3029"/>
            <w:shd w:fill="auto" w:val="clear"/>
          </w:tcPr>
          <w:p w14:paraId="86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Токарная с ЧПУ</w:t>
            </w:r>
          </w:p>
        </w:tc>
        <w:tc>
          <w:tcPr>
            <w:tcW w:type="dxa" w:w="2075"/>
            <w:shd w:fill="auto" w:val="clear"/>
          </w:tcPr>
          <w:p w14:paraId="87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Токарный станок с ЧПУ, разжимная оправка</w:t>
            </w:r>
          </w:p>
        </w:tc>
        <w:tc>
          <w:tcPr>
            <w:tcW w:type="dxa" w:w="6436"/>
            <w:shd w:fill="auto" w:val="clear"/>
          </w:tcPr>
          <w:p w14:paraId="88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Точение центрирующего пояска диаметром 40 мм, канавок шириной 1,5 и 2 мм, фаски 0,4×45 градусов, подрезка торца фланца</w:t>
            </w:r>
          </w:p>
        </w:tc>
      </w:tr>
      <w:tr>
        <w:tc>
          <w:tcPr>
            <w:tcW w:type="dxa" w:w="3029"/>
            <w:shd w:fill="auto" w:val="clear"/>
          </w:tcPr>
          <w:p w14:paraId="89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035</w:t>
            </w:r>
          </w:p>
        </w:tc>
        <w:tc>
          <w:tcPr>
            <w:tcW w:type="dxa" w:w="3029"/>
            <w:shd w:fill="auto" w:val="clear"/>
          </w:tcPr>
          <w:p w14:paraId="8A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Сверлильная</w:t>
            </w:r>
          </w:p>
        </w:tc>
        <w:tc>
          <w:tcPr>
            <w:tcW w:type="dxa" w:w="2075"/>
            <w:shd w:fill="auto" w:val="clear"/>
          </w:tcPr>
          <w:p w14:paraId="8B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Станок 2Н125, кондуктор</w:t>
            </w:r>
          </w:p>
        </w:tc>
        <w:tc>
          <w:tcPr>
            <w:tcW w:type="dxa" w:w="6436"/>
            <w:shd w:fill="auto" w:val="clear"/>
          </w:tcPr>
          <w:p w14:paraId="8C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Сверление двух отверстий диаметром 4,5 мм и двух отверстий диаметром 5,5 мм</w:t>
            </w:r>
          </w:p>
        </w:tc>
      </w:tr>
      <w:tr>
        <w:tc>
          <w:tcPr>
            <w:tcW w:type="dxa" w:w="3029"/>
            <w:shd w:fill="auto" w:val="clear"/>
          </w:tcPr>
          <w:p w14:paraId="8D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040</w:t>
            </w:r>
          </w:p>
        </w:tc>
        <w:tc>
          <w:tcPr>
            <w:tcW w:type="dxa" w:w="3029"/>
            <w:shd w:fill="auto" w:val="clear"/>
          </w:tcPr>
          <w:p w14:paraId="8E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Термическая</w:t>
            </w:r>
          </w:p>
        </w:tc>
        <w:tc>
          <w:tcPr>
            <w:tcW w:type="dxa" w:w="2075"/>
            <w:shd w:fill="auto" w:val="clear"/>
          </w:tcPr>
          <w:p w14:paraId="8F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Камерная печь</w:t>
            </w:r>
          </w:p>
        </w:tc>
        <w:tc>
          <w:tcPr>
            <w:tcW w:type="dxa" w:w="6436"/>
            <w:shd w:fill="auto" w:val="clear"/>
          </w:tcPr>
          <w:p w14:paraId="90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Закалка с отпуском до твёрдости HRC 45...62</w:t>
            </w:r>
          </w:p>
        </w:tc>
      </w:tr>
      <w:tr>
        <w:tc>
          <w:tcPr>
            <w:tcW w:type="dxa" w:w="3029"/>
            <w:shd w:fill="auto" w:val="clear"/>
          </w:tcPr>
          <w:p w14:paraId="91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045</w:t>
            </w:r>
          </w:p>
        </w:tc>
        <w:tc>
          <w:tcPr>
            <w:tcW w:type="dxa" w:w="3029"/>
            <w:shd w:fill="auto" w:val="clear"/>
          </w:tcPr>
          <w:p w14:paraId="92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Моечная</w:t>
            </w:r>
          </w:p>
        </w:tc>
        <w:tc>
          <w:tcPr>
            <w:tcW w:type="dxa" w:w="2075"/>
            <w:shd w:fill="auto" w:val="clear"/>
          </w:tcPr>
          <w:p w14:paraId="93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Моечная машина</w:t>
            </w:r>
          </w:p>
        </w:tc>
        <w:tc>
          <w:tcPr>
            <w:tcW w:type="dxa" w:w="6436"/>
            <w:shd w:fill="auto" w:val="clear"/>
          </w:tcPr>
          <w:p w14:paraId="94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Мойка детали после термообработки</w:t>
            </w:r>
          </w:p>
        </w:tc>
      </w:tr>
      <w:tr>
        <w:tc>
          <w:tcPr>
            <w:tcW w:type="dxa" w:w="3029"/>
            <w:shd w:fill="auto" w:val="clear"/>
          </w:tcPr>
          <w:p w14:paraId="95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050</w:t>
            </w:r>
          </w:p>
        </w:tc>
        <w:tc>
          <w:tcPr>
            <w:tcW w:type="dxa" w:w="3029"/>
            <w:shd w:fill="auto" w:val="clear"/>
          </w:tcPr>
          <w:p w14:paraId="96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Круглошлифовальная</w:t>
            </w:r>
          </w:p>
        </w:tc>
        <w:tc>
          <w:tcPr>
            <w:tcW w:type="dxa" w:w="2075"/>
            <w:shd w:fill="auto" w:val="clear"/>
          </w:tcPr>
          <w:p w14:paraId="97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Станок 3М131, разжимная оправка</w:t>
            </w:r>
          </w:p>
        </w:tc>
        <w:tc>
          <w:tcPr>
            <w:tcW w:type="dxa" w:w="6436"/>
            <w:shd w:fill="auto" w:val="clear"/>
          </w:tcPr>
          <w:p w14:paraId="98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 xml:space="preserve">Шлифование центрирующего пояска и торца фланца до </w:t>
            </w:r>
            <w:r>
              <w:rPr>
                <w:sz w:val="24"/>
              </w:rPr>
              <w:t>Ra</w:t>
            </w:r>
            <w:r>
              <w:rPr>
                <w:sz w:val="24"/>
              </w:rPr>
              <w:t xml:space="preserve"> 1,6 мкм</w:t>
            </w:r>
          </w:p>
        </w:tc>
      </w:tr>
      <w:tr>
        <w:tc>
          <w:tcPr>
            <w:tcW w:type="dxa" w:w="3029"/>
            <w:shd w:fill="auto" w:val="clear"/>
          </w:tcPr>
          <w:p w14:paraId="99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055</w:t>
            </w:r>
          </w:p>
        </w:tc>
        <w:tc>
          <w:tcPr>
            <w:tcW w:type="dxa" w:w="3029"/>
            <w:shd w:fill="auto" w:val="clear"/>
          </w:tcPr>
          <w:p w14:paraId="9A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</w:p>
        </w:tc>
        <w:tc>
          <w:tcPr>
            <w:tcW w:type="dxa" w:w="2075"/>
            <w:shd w:fill="auto" w:val="clear"/>
          </w:tcPr>
          <w:p w14:paraId="9B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Стол ОТК</w:t>
            </w:r>
          </w:p>
        </w:tc>
        <w:tc>
          <w:tcPr>
            <w:tcW w:type="dxa" w:w="6436"/>
            <w:shd w:fill="auto" w:val="clear"/>
          </w:tcPr>
          <w:p w14:paraId="9C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Контроль размеров, координат отверстий, биения, шероховатости</w:t>
            </w:r>
          </w:p>
        </w:tc>
      </w:tr>
    </w:tbl>
    <w:p w14:paraId="9D020000"/>
    <w:p w14:paraId="9E020000">
      <w:pPr>
        <w:sectPr>
          <w:footerReference r:id="rId2" w:type="default"/>
          <w:pgSz w:h="11906" w:orient="landscape" w:w="16838"/>
          <w:pgMar w:bottom="1701" w:footer="708" w:gutter="0" w:header="708" w:left="1134" w:right="1134" w:top="850"/>
          <w:titlePg/>
        </w:sectPr>
      </w:pPr>
    </w:p>
    <w:p w14:paraId="9F020000">
      <w:r>
        <w:t xml:space="preserve">Из таблицы 11 видно, что формообразующая обработка сосредоточена на трёх станках с числовым программным управлением, разметочные операции исключены полностью, а число </w:t>
      </w:r>
      <w:r>
        <w:t>установов</w:t>
      </w:r>
      <w:r>
        <w:t xml:space="preserve"> сокращено с восьми до шести. Суммарная трудоёмкость изготовления детали по проектному процессу составляет 1,10 нормо-часа против 1,8 нормо-часа по действующему. Последовательность и взаимосвязь операций проектного маршрута наглядно представлена на рисунке 7.</w:t>
      </w:r>
    </w:p>
    <w:p w14:paraId="A0020000">
      <w:pPr>
        <w:ind w:firstLine="0" w:left="0"/>
      </w:pPr>
      <w:r>
        <w:drawing>
          <wp:inline>
            <wp:extent cx="5940425" cy="3655695"/>
            <wp:effectExtent b="0" l="0" r="0" t="0"/>
            <wp:docPr hidden="false" id="14" name="Picture 14"/>
            <a:graphic>
              <a:graphicData uri="http://schemas.openxmlformats.org/drawingml/2006/picture">
                <pic:pic>
                  <pic:nvPicPr>
                    <pic:cNvPr hidden="false" id="13" name="Picture 13"/>
                    <pic:cNvPicPr preferRelativeResize="true"/>
                  </pic:nvPicPr>
                  <pic:blipFill>
                    <a:blip>
                      <a:extLst>
                        <a:ext uri="{96DAC541-7B7A-43D3-8B79-37D633B846F1}">
                          <asvg:svgBlip r:embed="rId12"/>
                        </a:ext>
                      </a:extLst>
                    </a:blip>
                    <a:stretch/>
                  </pic:blipFill>
                  <pic:spPr>
                    <a:xfrm flipH="false" flipV="false" rot="0">
                      <a:ext cx="5940425" cy="365569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A1020000">
      <w:pPr>
        <w:ind w:firstLine="0" w:left="0"/>
        <w:jc w:val="center"/>
      </w:pPr>
      <w:r>
        <w:t xml:space="preserve">Рисунок 7 </w:t>
      </w:r>
      <w:r>
        <w:t>-</w:t>
      </w:r>
      <w:r>
        <w:t xml:space="preserve"> Блок-схема маршрута проектного технологического процесса изготовления детали</w:t>
      </w:r>
    </w:p>
    <w:p w14:paraId="A2020000"/>
    <w:p w14:paraId="A3020000">
      <w:r>
        <w:t>Приведённая на рисунке 7 блок-схема отражает ключевую особенность проектного маршрута: точное центральное отверстие диаметром 35 мм обрабатывается окончательно уже на первой фрезерной операции и далее служит единой технологической базой на получистовой фрезерной, токарной и шлифовальной операциях. Тем самым реализуется принцип совмещения и постоянства баз: измерительной, конструкторской и технологической базой точных поверхностей является одна и та же ось центрального отверстия [17, с. 156].</w:t>
      </w:r>
    </w:p>
    <w:p w14:paraId="A4020000">
      <w:r>
        <w:t xml:space="preserve">Базирование по центральному отверстию обеспечивается специальным приспособлением </w:t>
      </w:r>
      <w:r>
        <w:t>-</w:t>
      </w:r>
      <w:r>
        <w:t xml:space="preserve"> разжимной оправкой, применяемой на операциях 015, 030 и 050. Конструкция приспособления показана на рисунке 8.</w:t>
      </w:r>
    </w:p>
    <w:p w14:paraId="A5020000">
      <w:pPr>
        <w:ind w:firstLine="0" w:left="0"/>
        <w:jc w:val="center"/>
      </w:pPr>
      <w:r>
        <w:drawing>
          <wp:inline>
            <wp:extent cx="5003800" cy="3153651"/>
            <wp:effectExtent b="0" l="0" r="0" t="0"/>
            <wp:docPr hidden="false" id="16" name="Picture 16"/>
            <a:graphic>
              <a:graphicData uri="http://schemas.openxmlformats.org/drawingml/2006/picture">
                <pic:pic>
                  <pic:nvPicPr>
                    <pic:cNvPr hidden="false" id="15" name="Picture 15"/>
                    <pic:cNvPicPr preferRelativeResize="true"/>
                  </pic:nvPicPr>
                  <pic:blipFill>
                    <a:blip r:embed="rId13"/>
                    <a:stretch/>
                  </pic:blipFill>
                  <pic:spPr>
                    <a:xfrm flipH="false" flipV="false" rot="0">
                      <a:ext cx="5003800" cy="3153651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A6020000">
      <w:pPr>
        <w:ind w:firstLine="0" w:left="0"/>
        <w:jc w:val="center"/>
      </w:pPr>
      <w:r>
        <w:t xml:space="preserve">Рисунок 8 </w:t>
      </w:r>
      <w:r>
        <w:t>-</w:t>
      </w:r>
      <w:r>
        <w:t xml:space="preserve"> Конструкция специального приспособления (разжимная оправка) для операций 015, 030, 050</w:t>
      </w:r>
    </w:p>
    <w:p w14:paraId="A7020000"/>
    <w:p w14:paraId="A8020000">
      <w:r>
        <w:t xml:space="preserve">Представленное на рисунке 8 приспособление состоит из корпуса, разжимной цанговой втулки с посадочным диаметром 34,5 мм в свободном состоянии, разжимного конуса с углом при вершине 90 градусов, тяги диаметром 7 мм с зажимной гайкой и фиксирующего штифта диаметром 3 мм; опорный торец корпуса выполнен диаметром 49 мм, общая высота приспособления составляет 92 мм. Заготовка устанавливается отверстием на втулку до упора торцом в опорную поверхность; при затяжке гайки конус разжимает лепестки втулки, которые выбирают зазор и центрируют заготовку по оси отверстия. Приспособление рассчитано на заготовку наибольшей длиной 44 мм и наибольшей шириной 64 мм; усилие зажима заготовки составляет 2051 Н. Проверим достаточность этого усилия. Окружная составляющая силы резания при контурном фрезеровании, определённая по </w:t>
      </w:r>
      <w:r>
        <w:t>нормативам режимов резания, составляет 492 Н [20, с. 118]. Эффективная мощность резания определяется по формуле:</w:t>
      </w:r>
    </w:p>
    <w:p w14:paraId="A9020000">
      <w:pPr>
        <w:ind w:firstLine="0" w:left="0"/>
        <w:jc w:val="left"/>
      </w:pPr>
    </w:p>
    <w:p w14:paraId="AA020000">
      <w:pPr>
        <w:tabs>
          <w:tab w:leader="none" w:pos="4677" w:val="center"/>
          <w:tab w:leader="none" w:pos="9354" w:val="right"/>
        </w:tabs>
        <w:ind w:firstLine="0" w:left="0"/>
        <w:jc w:val="left"/>
      </w:pPr>
      <w:r>
        <w:tab/>
      </w:r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N</m:t>
              </m:r>
            </m:e>
            <m:sub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р</m:t>
              </m:r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е</m:t>
              </m:r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з</m:t>
              </m:r>
            </m:sub>
          </m:sSub>
          <m:r>
            <w:rPr>
              <w:rFonts w:ascii="Cambria Math" w:hAnsi="Cambria Math"/>
              <w:sz w:val="22"/>
            </w:rPr>
            <m:t>=</m:t>
          </m:r>
          <m:f>
            <m:fPr>
              <m:type m:val="bar"/>
            </m:fPr>
            <m:num>
              <m:sSub>
                <m:e>
                  <m:r>
                    <w:rPr>
                      <w:rFonts w:ascii="Cambria Math" w:hAnsi="Cambria Math"/>
                      <w:sz w:val="22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2"/>
                    </w:rPr>
                    <m:t>z</m:t>
                  </m:r>
                </m:sub>
              </m:sSub>
              <m:r>
                <w:rPr>
                  <w:rFonts w:ascii="Cambria Math" w:hAnsi="Cambria Math"/>
                  <w:sz w:val="22"/>
                </w:rPr>
                <m:t>×V</m:t>
              </m:r>
            </m:num>
            <m:den>
              <m:r>
                <w:rPr>
                  <w:rFonts w:ascii="Cambria Math" w:hAnsi="Cambria Math"/>
                  <w:sz w:val="22"/>
                </w:rPr>
                <m:t>60000</m:t>
              </m:r>
            </m:den>
          </m:f>
        </m:oMath>
      </m:oMathPara>
      <w:r>
        <w:tab/>
      </w:r>
      <w:r>
        <w:t>(7)</w:t>
      </w:r>
    </w:p>
    <w:p w14:paraId="AB020000">
      <w:pPr>
        <w:ind w:firstLine="0" w:left="0"/>
        <w:jc w:val="left"/>
      </w:pPr>
    </w:p>
    <w:p w14:paraId="AC020000">
      <w:r>
        <w:t xml:space="preserve">где </w:t>
      </w:r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N</m:t>
              </m:r>
            </m:e>
            <m:sub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р</m:t>
              </m:r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е</m:t>
              </m:r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з</m:t>
              </m:r>
            </m:sub>
          </m:sSub>
        </m:oMath>
      </m:oMathPara>
      <w:r>
        <w:t xml:space="preserve"> </w:t>
      </w:r>
      <w:r>
        <w:t>-</w:t>
      </w:r>
      <w:r>
        <w:t xml:space="preserve"> эффективная мощность резания, кВт;</w:t>
      </w:r>
    </w:p>
    <w:p w14:paraId="AD020000"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P</m:t>
              </m:r>
            </m:e>
            <m:sub>
              <m:r>
                <w:rPr>
                  <w:rFonts w:ascii="Cambria Math" w:hAnsi="Cambria Math"/>
                  <w:sz w:val="22"/>
                </w:rPr>
                <m:t>z</m:t>
              </m:r>
            </m:sub>
          </m:sSub>
        </m:oMath>
      </m:oMathPara>
      <w:r>
        <w:t xml:space="preserve"> </w:t>
      </w:r>
      <w:r>
        <w:t>-</w:t>
      </w:r>
      <w:r>
        <w:t xml:space="preserve"> окружная составляющая силы резания, Н;</w:t>
      </w:r>
    </w:p>
    <w:p w14:paraId="AE020000">
      <m:oMathPara>
        <m:oMath>
          <m:r>
            <w:rPr>
              <w:rFonts w:ascii="Cambria Math" w:hAnsi="Cambria Math"/>
              <w:sz w:val="22"/>
            </w:rPr>
            <m:t>V</m:t>
          </m:r>
        </m:oMath>
      </m:oMathPara>
      <w:r>
        <w:t xml:space="preserve"> </w:t>
      </w:r>
      <w:r>
        <w:t>-</w:t>
      </w:r>
      <w:r>
        <w:t xml:space="preserve"> скорость резания, м в минуту.</w:t>
      </w:r>
    </w:p>
    <w:p w14:paraId="AF020000">
      <w:r>
        <w:t>Подставим значения.</w:t>
      </w:r>
    </w:p>
    <w:p w14:paraId="B0020000">
      <w:pPr>
        <w:ind w:firstLine="0" w:left="0"/>
        <w:jc w:val="left"/>
      </w:pPr>
    </w:p>
    <w:p w14:paraId="B1020000">
      <w:pPr>
        <w:ind w:firstLine="0" w:left="0"/>
        <w:jc w:val="center"/>
      </w:pPr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N</m:t>
              </m:r>
            </m:e>
            <m:sub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р</m:t>
              </m:r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е</m:t>
              </m:r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з</m:t>
              </m:r>
            </m:sub>
          </m:sSub>
          <m:r>
            <w:rPr>
              <w:rFonts w:ascii="Cambria Math" w:hAnsi="Cambria Math"/>
              <w:sz w:val="22"/>
            </w:rPr>
            <m:t>=</m:t>
          </m:r>
          <m:f>
            <m:fPr>
              <m:type m:val="bar"/>
            </m:fPr>
            <m:num>
              <m:r>
                <w:rPr>
                  <w:rFonts w:ascii="Cambria Math" w:hAnsi="Cambria Math"/>
                  <w:sz w:val="22"/>
                </w:rPr>
                <m:t>492×140</m:t>
              </m:r>
            </m:num>
            <m:den>
              <m:r>
                <w:rPr>
                  <w:rFonts w:ascii="Cambria Math" w:hAnsi="Cambria Math"/>
                  <w:sz w:val="22"/>
                </w:rPr>
                <m:t>60000</m:t>
              </m:r>
            </m:den>
          </m:f>
          <m:r>
            <w:rPr>
              <w:rFonts w:ascii="Cambria Math" w:hAnsi="Cambria Math"/>
              <w:sz w:val="22"/>
            </w:rPr>
            <m:t>=</m:t>
          </m:r>
          <m:r>
            <w:rPr>
              <w:rFonts w:ascii="Cambria Math" w:hAnsi="Cambria Math"/>
              <w:sz w:val="22"/>
            </w:rPr>
            <m:rPr>
              <m:sty m:val="p"/>
            </m:rPr>
            <m:t>1,15</m:t>
          </m:r>
        </m:oMath>
      </m:oMathPara>
    </w:p>
    <w:p w14:paraId="B2020000">
      <w:pPr>
        <w:ind w:firstLine="0" w:left="0"/>
        <w:jc w:val="left"/>
      </w:pPr>
    </w:p>
    <w:p w14:paraId="B3020000">
      <w:r>
        <w:t xml:space="preserve">Мощность резания составляет 1,15 кВт, что многократно меньше мощности шпинделя обрабатывающего центра 15 кВт. Потребное усилие зажима определяется из условия </w:t>
      </w:r>
      <w:r>
        <w:t>непроворота</w:t>
      </w:r>
      <w:r>
        <w:t xml:space="preserve"> заготовки с коэффициентом запаса.</w:t>
      </w:r>
    </w:p>
    <w:p w14:paraId="B4020000">
      <w:pPr>
        <w:ind w:firstLine="0" w:left="0"/>
        <w:jc w:val="left"/>
      </w:pPr>
    </w:p>
    <w:p w14:paraId="B5020000">
      <w:pPr>
        <w:tabs>
          <w:tab w:leader="none" w:pos="4677" w:val="center"/>
          <w:tab w:leader="none" w:pos="9354" w:val="right"/>
        </w:tabs>
        <w:ind w:firstLine="0" w:left="0"/>
        <w:jc w:val="left"/>
      </w:pPr>
      <w:r>
        <w:tab/>
      </w:r>
      <m:oMathPara>
        <m:oMath>
          <m:r>
            <w:rPr>
              <w:rFonts w:ascii="Cambria Math" w:hAnsi="Cambria Math"/>
              <w:sz w:val="22"/>
            </w:rPr>
            <m:t>W=</m:t>
          </m:r>
          <m:f>
            <m:fPr>
              <m:type m:val="bar"/>
            </m:fPr>
            <m:num>
              <m:r>
                <w:rPr>
                  <w:rFonts w:ascii="Cambria Math" w:hAnsi="Cambria Math"/>
                  <w:sz w:val="22"/>
                </w:rPr>
                <m:t>K×</m:t>
              </m:r>
              <m:sSub>
                <m:e>
                  <m:r>
                    <w:rPr>
                      <w:rFonts w:ascii="Cambria Math" w:hAnsi="Cambria Math"/>
                      <w:sz w:val="22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2"/>
                    </w:rPr>
                    <m:t>z</m:t>
                  </m:r>
                </m:sub>
              </m:sSub>
            </m:num>
            <m:den>
              <m:r>
                <w:rPr>
                  <w:rFonts w:ascii="Cambria Math" w:hAnsi="Cambria Math"/>
                  <w:sz w:val="22"/>
                </w:rPr>
                <m:t>f×</m:t>
              </m:r>
              <m:sSub>
                <m:e>
                  <m:r>
                    <w:rPr>
                      <w:rFonts w:ascii="Cambria Math" w:hAnsi="Cambria Math"/>
                      <w:sz w:val="22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  <w:sz w:val="22"/>
                    </w:rPr>
                    <m:t>л</m:t>
                  </m:r>
                </m:sub>
              </m:sSub>
            </m:den>
          </m:f>
        </m:oMath>
      </m:oMathPara>
      <w:r>
        <w:tab/>
      </w:r>
      <w:r>
        <w:t>(8)</w:t>
      </w:r>
    </w:p>
    <w:p w14:paraId="B6020000">
      <w:pPr>
        <w:ind w:firstLine="0" w:left="0"/>
        <w:jc w:val="left"/>
      </w:pPr>
    </w:p>
    <w:p w14:paraId="B7020000">
      <w:r>
        <w:t xml:space="preserve">где </w:t>
      </w:r>
      <m:oMathPara>
        <m:oMath>
          <m:r>
            <w:rPr>
              <w:rFonts w:ascii="Cambria Math" w:hAnsi="Cambria Math"/>
              <w:sz w:val="22"/>
            </w:rPr>
            <m:t>W</m:t>
          </m:r>
        </m:oMath>
      </m:oMathPara>
      <w:r>
        <w:t xml:space="preserve"> </w:t>
      </w:r>
      <w:r>
        <w:t>-</w:t>
      </w:r>
      <w:r>
        <w:t xml:space="preserve"> потребное усилие зажима, Н;</w:t>
      </w:r>
    </w:p>
    <w:p w14:paraId="B8020000">
      <m:oMathPara>
        <m:oMath>
          <m:r>
            <w:rPr>
              <w:rFonts w:ascii="Cambria Math" w:hAnsi="Cambria Math"/>
              <w:sz w:val="22"/>
            </w:rPr>
            <m:t>K</m:t>
          </m:r>
        </m:oMath>
      </m:oMathPara>
      <w:r>
        <w:t xml:space="preserve"> </w:t>
      </w:r>
      <w:r>
        <w:t>-</w:t>
      </w:r>
      <w:r>
        <w:t xml:space="preserve"> коэффициент запаса закрепления, принят 2,5;</w:t>
      </w:r>
    </w:p>
    <w:p w14:paraId="B9020000"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P</m:t>
              </m:r>
            </m:e>
            <m:sub>
              <m:r>
                <w:rPr>
                  <w:rFonts w:ascii="Cambria Math" w:hAnsi="Cambria Math"/>
                  <w:sz w:val="22"/>
                </w:rPr>
                <m:t>z</m:t>
              </m:r>
            </m:sub>
          </m:sSub>
        </m:oMath>
      </m:oMathPara>
      <w:r>
        <w:t xml:space="preserve"> </w:t>
      </w:r>
      <w:r>
        <w:t>-</w:t>
      </w:r>
      <w:r>
        <w:t xml:space="preserve"> окружная составляющая силы резания, Н;</w:t>
      </w:r>
    </w:p>
    <w:p w14:paraId="BA020000">
      <m:oMathPara>
        <m:oMath>
          <m:r>
            <w:rPr>
              <w:rFonts w:ascii="Cambria Math" w:hAnsi="Cambria Math"/>
              <w:sz w:val="22"/>
            </w:rPr>
            <m:t>f</m:t>
          </m:r>
        </m:oMath>
      </m:oMathPara>
      <w:r>
        <w:t xml:space="preserve"> </w:t>
      </w:r>
      <w:r>
        <w:t>-</w:t>
      </w:r>
      <w:r>
        <w:t xml:space="preserve"> коэффициент трения на посадочных поверхностях, принят 0,15;</w:t>
      </w:r>
    </w:p>
    <w:p w14:paraId="BB020000"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z</m:t>
              </m:r>
            </m:e>
            <m:sub>
              <m:r>
                <w:rPr>
                  <w:rFonts w:ascii="Cambria Math" w:hAnsi="Cambria Math"/>
                  <w:sz w:val="22"/>
                </w:rPr>
                <m:t>л</m:t>
              </m:r>
            </m:sub>
          </m:sSub>
        </m:oMath>
      </m:oMathPara>
      <w:r>
        <w:t xml:space="preserve"> </w:t>
      </w:r>
      <w:r>
        <w:t>-</w:t>
      </w:r>
      <w:r>
        <w:t xml:space="preserve"> число лепестков разжимной втулки.</w:t>
      </w:r>
    </w:p>
    <w:p w14:paraId="BC020000">
      <w:r>
        <w:t>Подставим значения для втулки с четырьмя лепестками.</w:t>
      </w:r>
    </w:p>
    <w:p w14:paraId="BD020000">
      <w:pPr>
        <w:ind w:firstLine="0" w:left="0"/>
        <w:jc w:val="left"/>
      </w:pPr>
    </w:p>
    <w:p w14:paraId="BE020000">
      <w:pPr>
        <w:ind w:firstLine="0" w:left="0"/>
        <w:jc w:val="center"/>
      </w:pPr>
      <m:oMathPara>
        <m:oMath>
          <m:r>
            <w:rPr>
              <w:rFonts w:ascii="Cambria Math" w:hAnsi="Cambria Math"/>
              <w:sz w:val="22"/>
            </w:rPr>
            <m:t>W=</m:t>
          </m:r>
          <m:f>
            <m:fPr>
              <m:type m:val="bar"/>
            </m:fPr>
            <m:num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2,5</m:t>
              </m:r>
              <m:r>
                <w:rPr>
                  <w:rFonts w:ascii="Cambria Math" w:hAnsi="Cambria Math"/>
                  <w:sz w:val="22"/>
                </w:rPr>
                <m:t>×492</m:t>
              </m:r>
            </m:num>
            <m:den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0,15</m:t>
              </m:r>
              <m:r>
                <w:rPr>
                  <w:rFonts w:ascii="Cambria Math" w:hAnsi="Cambria Math"/>
                  <w:sz w:val="22"/>
                </w:rPr>
                <m:t>×4</m:t>
              </m:r>
            </m:den>
          </m:f>
          <m:r>
            <w:rPr>
              <w:rFonts w:ascii="Cambria Math" w:hAnsi="Cambria Math"/>
              <w:sz w:val="22"/>
            </w:rPr>
            <m:t>=2050</m:t>
          </m:r>
        </m:oMath>
      </m:oMathPara>
    </w:p>
    <w:p w14:paraId="BF020000">
      <w:pPr>
        <w:ind w:firstLine="0" w:left="0"/>
        <w:jc w:val="left"/>
      </w:pPr>
    </w:p>
    <w:p w14:paraId="C0020000">
      <w:r>
        <w:t>Потребное усилие зажима составляет 2050 Н; конструктивно обеспечиваемое приспособлением усилие 2051 Н превышает расчётное, следовательно, надёжность закрепления заготовки обеспечена.</w:t>
      </w:r>
    </w:p>
    <w:p w14:paraId="C1020000">
      <w:r>
        <w:t>Центральной операцией проектного процесса является получистовая фрезерная операция 015, выполняемая на обрабатывающем центре с установкой заготовки на разжимной оправке. Для операции разработана карта наладки, устанавливающая взаимное положение нуля станка, нуля детали, нуля программы и нулей инструментов, а также состав инструментальной наладки с настроечными вылетами [16, с. 127]. Нуль детали совмещён с осью центрального отверстия и опорным торцом, что упрощает расчёт координат опорных точек управляющей программы. Состав инструментальной наладки операции 015 приведён в таблице 12.</w:t>
      </w:r>
    </w:p>
    <w:p w14:paraId="C2020000">
      <w:pPr>
        <w:ind w:firstLine="0" w:left="0"/>
        <w:jc w:val="right"/>
      </w:pPr>
      <w:r>
        <w:t>Таблица 12</w:t>
      </w:r>
    </w:p>
    <w:p w14:paraId="C3020000">
      <w:pPr>
        <w:ind w:firstLine="0" w:left="0"/>
        <w:jc w:val="center"/>
      </w:pPr>
      <w:r>
        <w:t>Инструментальная наладка фрезерной операции 015</w:t>
      </w:r>
    </w:p>
    <w:tbl>
      <w:tblPr>
        <w:tblStyle w:val="Style_7"/>
        <w:tblLayout w:type="fixed"/>
      </w:tblPr>
      <w:tblGrid>
        <w:gridCol w:w="1271"/>
        <w:gridCol w:w="2551"/>
        <w:gridCol w:w="1776"/>
        <w:gridCol w:w="1776"/>
        <w:gridCol w:w="1981"/>
      </w:tblGrid>
      <w:tr>
        <w:tc>
          <w:tcPr>
            <w:tcW w:type="dxa" w:w="1271"/>
            <w:shd w:fill="auto" w:val="clear"/>
          </w:tcPr>
          <w:p w14:paraId="C4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Позиция</w:t>
            </w:r>
          </w:p>
        </w:tc>
        <w:tc>
          <w:tcPr>
            <w:tcW w:type="dxa" w:w="2551"/>
            <w:shd w:fill="auto" w:val="clear"/>
          </w:tcPr>
          <w:p w14:paraId="C5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Режущий инструмент</w:t>
            </w:r>
          </w:p>
        </w:tc>
        <w:tc>
          <w:tcPr>
            <w:tcW w:type="dxa" w:w="1776"/>
            <w:shd w:fill="auto" w:val="clear"/>
          </w:tcPr>
          <w:p w14:paraId="C6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Диаметр, мм</w:t>
            </w:r>
          </w:p>
        </w:tc>
        <w:tc>
          <w:tcPr>
            <w:tcW w:type="dxa" w:w="1776"/>
            <w:shd w:fill="auto" w:val="clear"/>
          </w:tcPr>
          <w:p w14:paraId="C7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 xml:space="preserve">Настроечный вылет </w:t>
            </w:r>
            <w:r>
              <w:rPr>
                <w:sz w:val="24"/>
              </w:rPr>
              <w:t>Wz</w:t>
            </w:r>
            <w:r>
              <w:rPr>
                <w:sz w:val="24"/>
              </w:rPr>
              <w:t>, мм</w:t>
            </w:r>
          </w:p>
        </w:tc>
        <w:tc>
          <w:tcPr>
            <w:tcW w:type="dxa" w:w="1981"/>
            <w:shd w:fill="auto" w:val="clear"/>
          </w:tcPr>
          <w:p w14:paraId="C8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Обрабатываемые элементы</w:t>
            </w:r>
          </w:p>
        </w:tc>
      </w:tr>
      <w:tr>
        <w:tc>
          <w:tcPr>
            <w:tcW w:type="dxa" w:w="1271"/>
            <w:shd w:fill="auto" w:val="clear"/>
          </w:tcPr>
          <w:p w14:paraId="C9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ПИ 1</w:t>
            </w:r>
          </w:p>
        </w:tc>
        <w:tc>
          <w:tcPr>
            <w:tcW w:type="dxa" w:w="2551"/>
            <w:shd w:fill="auto" w:val="clear"/>
          </w:tcPr>
          <w:p w14:paraId="CA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Фреза торцевая со сменными твердосплавными пластинами с покрытием</w:t>
            </w:r>
          </w:p>
        </w:tc>
        <w:tc>
          <w:tcPr>
            <w:tcW w:type="dxa" w:w="1776"/>
            <w:shd w:fill="auto" w:val="clear"/>
          </w:tcPr>
          <w:p w14:paraId="CB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type="dxa" w:w="1776"/>
            <w:shd w:fill="auto" w:val="clear"/>
          </w:tcPr>
          <w:p w14:paraId="CC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65 плюс-минус 0,06</w:t>
            </w:r>
          </w:p>
        </w:tc>
        <w:tc>
          <w:tcPr>
            <w:tcW w:type="dxa" w:w="1981"/>
            <w:shd w:fill="auto" w:val="clear"/>
          </w:tcPr>
          <w:p w14:paraId="CD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Торец фланца и торец бобышки</w:t>
            </w:r>
          </w:p>
        </w:tc>
      </w:tr>
      <w:tr>
        <w:tc>
          <w:tcPr>
            <w:tcW w:type="dxa" w:w="1271"/>
            <w:shd w:fill="auto" w:val="clear"/>
          </w:tcPr>
          <w:p w14:paraId="CE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ПИ 2</w:t>
            </w:r>
          </w:p>
        </w:tc>
        <w:tc>
          <w:tcPr>
            <w:tcW w:type="dxa" w:w="2551"/>
            <w:shd w:fill="auto" w:val="clear"/>
          </w:tcPr>
          <w:p w14:paraId="CF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Фреза концевая твердосплавная</w:t>
            </w:r>
          </w:p>
        </w:tc>
        <w:tc>
          <w:tcPr>
            <w:tcW w:type="dxa" w:w="1776"/>
            <w:shd w:fill="auto" w:val="clear"/>
          </w:tcPr>
          <w:p w14:paraId="D0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type="dxa" w:w="1776"/>
            <w:shd w:fill="auto" w:val="clear"/>
          </w:tcPr>
          <w:p w14:paraId="D1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85,5 плюс-минус 0,07</w:t>
            </w:r>
          </w:p>
        </w:tc>
        <w:tc>
          <w:tcPr>
            <w:tcW w:type="dxa" w:w="1981"/>
            <w:shd w:fill="auto" w:val="clear"/>
          </w:tcPr>
          <w:p w14:paraId="D2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Контур выступа 53 мм, бобышка диаметром 54 мм, скругления R12,5, расточка гнезда диаметром 50 мм</w:t>
            </w:r>
          </w:p>
        </w:tc>
      </w:tr>
      <w:tr>
        <w:tc>
          <w:tcPr>
            <w:tcW w:type="dxa" w:w="1271"/>
            <w:shd w:fill="auto" w:val="clear"/>
          </w:tcPr>
          <w:p w14:paraId="D3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ПИ 3</w:t>
            </w:r>
          </w:p>
        </w:tc>
        <w:tc>
          <w:tcPr>
            <w:tcW w:type="dxa" w:w="2551"/>
            <w:shd w:fill="auto" w:val="clear"/>
          </w:tcPr>
          <w:p w14:paraId="D4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Фреза концевая твердосплавная специальная</w:t>
            </w:r>
          </w:p>
        </w:tc>
        <w:tc>
          <w:tcPr>
            <w:tcW w:type="dxa" w:w="1776"/>
            <w:shd w:fill="auto" w:val="clear"/>
          </w:tcPr>
          <w:p w14:paraId="D5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8,21</w:t>
            </w:r>
          </w:p>
        </w:tc>
        <w:tc>
          <w:tcPr>
            <w:tcW w:type="dxa" w:w="1776"/>
            <w:shd w:fill="auto" w:val="clear"/>
          </w:tcPr>
          <w:p w14:paraId="D6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73,5 плюс-минус 0,06</w:t>
            </w:r>
          </w:p>
        </w:tc>
        <w:tc>
          <w:tcPr>
            <w:tcW w:type="dxa" w:w="1981"/>
            <w:shd w:fill="auto" w:val="clear"/>
          </w:tcPr>
          <w:p w14:paraId="D7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Скругления R5 и R7, пазовые элементы фланца</w:t>
            </w:r>
          </w:p>
        </w:tc>
      </w:tr>
      <w:tr>
        <w:tc>
          <w:tcPr>
            <w:tcW w:type="dxa" w:w="1271"/>
            <w:shd w:fill="auto" w:val="clear"/>
          </w:tcPr>
          <w:p w14:paraId="D8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ПИ 4</w:t>
            </w:r>
          </w:p>
        </w:tc>
        <w:tc>
          <w:tcPr>
            <w:tcW w:type="dxa" w:w="2551"/>
            <w:shd w:fill="auto" w:val="clear"/>
          </w:tcPr>
          <w:p w14:paraId="D9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Сверло центровочное</w:t>
            </w:r>
          </w:p>
        </w:tc>
        <w:tc>
          <w:tcPr>
            <w:tcW w:type="dxa" w:w="1776"/>
            <w:shd w:fill="auto" w:val="clear"/>
          </w:tcPr>
          <w:p w14:paraId="DA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type="dxa" w:w="1776"/>
            <w:shd w:fill="auto" w:val="clear"/>
          </w:tcPr>
          <w:p w14:paraId="DB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50 плюс-минус 0,05</w:t>
            </w:r>
          </w:p>
        </w:tc>
        <w:tc>
          <w:tcPr>
            <w:tcW w:type="dxa" w:w="1981"/>
            <w:shd w:fill="auto" w:val="clear"/>
          </w:tcPr>
          <w:p w14:paraId="DC02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Центровка четырёх крепёжных отверстий по координатам плюс-минус 17,68 мм</w:t>
            </w:r>
          </w:p>
        </w:tc>
      </w:tr>
    </w:tbl>
    <w:p w14:paraId="DD020000"/>
    <w:p w14:paraId="DE020000">
      <w:r>
        <w:t>Из таблицы 12 следует, что полный комплект наладки составляет четыре позиции инструментального магазина; настроечные вылеты инструментов заданы с допусками, обеспечивающими выдерживание осевых размеров без пробных проходов. Центровка крепёжных отверстий сверлом ПИ 4 по программным координатам гарантирует последующее сверление на операции 035 без увода, а точность координат определяется точностью позиционирования обрабатывающего центра 0,01 мм, что удовлетворяет допуску плюс-минус 0,035 мм.</w:t>
      </w:r>
    </w:p>
    <w:p w14:paraId="DF020000">
      <w:r>
        <w:t>Режимы резания назначены расчётным методом. Частота вращения шпинделя определяется по принятой скорости резания.</w:t>
      </w:r>
    </w:p>
    <w:p w14:paraId="E0020000">
      <w:pPr>
        <w:ind w:firstLine="0" w:left="0"/>
        <w:jc w:val="left"/>
      </w:pPr>
    </w:p>
    <w:p w14:paraId="E1020000">
      <w:pPr>
        <w:tabs>
          <w:tab w:leader="none" w:pos="4677" w:val="center"/>
          <w:tab w:leader="none" w:pos="9354" w:val="right"/>
        </w:tabs>
        <w:ind w:firstLine="0" w:left="0"/>
        <w:jc w:val="left"/>
      </w:pPr>
      <w:r>
        <w:tab/>
      </w:r>
      <m:oMathPara>
        <m:oMath>
          <m:r>
            <w:rPr>
              <w:rFonts w:ascii="Cambria Math" w:hAnsi="Cambria Math"/>
              <w:sz w:val="22"/>
            </w:rPr>
            <m:t>n=</m:t>
          </m:r>
          <m:f>
            <m:fPr>
              <m:type m:val="bar"/>
            </m:fPr>
            <m:num>
              <m:r>
                <w:rPr>
                  <w:rFonts w:ascii="Cambria Math" w:hAnsi="Cambria Math"/>
                  <w:sz w:val="22"/>
                </w:rPr>
                <m:t>1000×V</m:t>
              </m:r>
            </m:num>
            <m:den>
              <m:r>
                <w:rPr>
                  <w:rFonts w:ascii="Cambria Math" w:hAnsi="Cambria Math"/>
                  <w:sz w:val="22"/>
                </w:rPr>
                <m:t>π×D</m:t>
              </m:r>
            </m:den>
          </m:f>
        </m:oMath>
      </m:oMathPara>
      <w:r>
        <w:tab/>
      </w:r>
      <w:r>
        <w:t>(9)</w:t>
      </w:r>
    </w:p>
    <w:p w14:paraId="E2020000">
      <w:pPr>
        <w:ind w:firstLine="0" w:left="0"/>
        <w:jc w:val="left"/>
      </w:pPr>
    </w:p>
    <w:p w14:paraId="E3020000">
      <w:r>
        <w:t xml:space="preserve">где </w:t>
      </w:r>
      <m:oMathPara>
        <m:oMath>
          <m:r>
            <w:rPr>
              <w:rFonts w:ascii="Cambria Math" w:hAnsi="Cambria Math"/>
              <w:sz w:val="22"/>
            </w:rPr>
            <m:t>n</m:t>
          </m:r>
        </m:oMath>
      </m:oMathPara>
      <w:r>
        <w:t xml:space="preserve"> </w:t>
      </w:r>
      <w:r>
        <w:t>-</w:t>
      </w:r>
      <w:r>
        <w:t xml:space="preserve"> частота вращения шпинделя, оборотов в минуту;</w:t>
      </w:r>
    </w:p>
    <w:p w14:paraId="E4020000">
      <m:oMathPara>
        <m:oMath>
          <m:r>
            <w:rPr>
              <w:rFonts w:ascii="Cambria Math" w:hAnsi="Cambria Math"/>
              <w:sz w:val="22"/>
            </w:rPr>
            <m:t>V</m:t>
          </m:r>
        </m:oMath>
      </m:oMathPara>
      <w:r>
        <w:t xml:space="preserve"> </w:t>
      </w:r>
      <w:r>
        <w:t>-</w:t>
      </w:r>
      <w:r>
        <w:t xml:space="preserve"> скорость резания, м в минуту;</w:t>
      </w:r>
    </w:p>
    <w:p w14:paraId="E5020000">
      <m:oMathPara>
        <m:oMath>
          <m:r>
            <w:rPr>
              <w:rFonts w:ascii="Cambria Math" w:hAnsi="Cambria Math"/>
              <w:sz w:val="22"/>
            </w:rPr>
            <m:t>D</m:t>
          </m:r>
        </m:oMath>
      </m:oMathPara>
      <w:r>
        <w:t xml:space="preserve"> </w:t>
      </w:r>
      <w:r>
        <w:t>-</w:t>
      </w:r>
      <w:r>
        <w:t xml:space="preserve"> диаметр инструмента или обрабатываемой поверхности, мм.</w:t>
      </w:r>
    </w:p>
    <w:p w14:paraId="E6020000">
      <w:r>
        <w:t>Для торцевой фрезы ПИ 1 диаметром 40 мм при скорости резания 180 м в минуту:</w:t>
      </w:r>
    </w:p>
    <w:p w14:paraId="E7020000">
      <w:pPr>
        <w:ind w:firstLine="0" w:left="0"/>
        <w:jc w:val="left"/>
      </w:pPr>
    </w:p>
    <w:p w14:paraId="E8020000">
      <w:pPr>
        <w:ind w:firstLine="0" w:left="0"/>
        <w:jc w:val="center"/>
      </w:pPr>
      <m:oMathPara>
        <m:oMath>
          <m:r>
            <w:rPr>
              <w:rFonts w:ascii="Cambria Math" w:hAnsi="Cambria Math"/>
              <w:sz w:val="22"/>
            </w:rPr>
            <m:t>n=</m:t>
          </m:r>
          <m:f>
            <m:fPr>
              <m:type m:val="bar"/>
            </m:fPr>
            <m:num>
              <m:r>
                <w:rPr>
                  <w:rFonts w:ascii="Cambria Math" w:hAnsi="Cambria Math"/>
                  <w:sz w:val="22"/>
                </w:rPr>
                <m:t>1000×180</m:t>
              </m:r>
            </m:num>
            <m:den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3,14</m:t>
              </m:r>
              <m:r>
                <w:rPr>
                  <w:rFonts w:ascii="Cambria Math" w:hAnsi="Cambria Math"/>
                  <w:sz w:val="22"/>
                </w:rPr>
                <m:t>×40</m:t>
              </m:r>
            </m:den>
          </m:f>
          <m:r>
            <w:rPr>
              <w:rFonts w:ascii="Cambria Math" w:hAnsi="Cambria Math"/>
              <w:sz w:val="22"/>
            </w:rPr>
            <m:t>=1433</m:t>
          </m:r>
        </m:oMath>
      </m:oMathPara>
    </w:p>
    <w:p w14:paraId="E9020000">
      <w:pPr>
        <w:ind w:firstLine="0" w:left="0"/>
        <w:jc w:val="left"/>
      </w:pPr>
    </w:p>
    <w:p w14:paraId="EA020000">
      <w:r>
        <w:t>Принимаем 1400 оборотов в минуту; фактическая скорость резания составляет около 176 м в минуту. Для концевой фрезы ПИ 2 диаметром 20 мм при скорости 140 м в минуту:</w:t>
      </w:r>
    </w:p>
    <w:p w14:paraId="EB020000">
      <w:pPr>
        <w:ind w:firstLine="0" w:left="0"/>
        <w:jc w:val="left"/>
      </w:pPr>
    </w:p>
    <w:p w14:paraId="EC020000">
      <w:pPr>
        <w:ind w:firstLine="0" w:left="0"/>
        <w:jc w:val="center"/>
      </w:pPr>
      <m:oMathPara>
        <m:oMath>
          <m:r>
            <w:rPr>
              <w:rFonts w:ascii="Cambria Math" w:hAnsi="Cambria Math"/>
              <w:sz w:val="22"/>
            </w:rPr>
            <m:t>n=</m:t>
          </m:r>
          <m:f>
            <m:fPr>
              <m:type m:val="bar"/>
            </m:fPr>
            <m:num>
              <m:r>
                <w:rPr>
                  <w:rFonts w:ascii="Cambria Math" w:hAnsi="Cambria Math"/>
                  <w:sz w:val="22"/>
                </w:rPr>
                <m:t>1000×140</m:t>
              </m:r>
            </m:num>
            <m:den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3,14</m:t>
              </m:r>
              <m:r>
                <w:rPr>
                  <w:rFonts w:ascii="Cambria Math" w:hAnsi="Cambria Math"/>
                  <w:sz w:val="22"/>
                </w:rPr>
                <m:t>×20</m:t>
              </m:r>
            </m:den>
          </m:f>
          <m:r>
            <w:rPr>
              <w:rFonts w:ascii="Cambria Math" w:hAnsi="Cambria Math"/>
              <w:sz w:val="22"/>
            </w:rPr>
            <m:t>=2229</m:t>
          </m:r>
        </m:oMath>
      </m:oMathPara>
    </w:p>
    <w:p w14:paraId="ED020000">
      <w:pPr>
        <w:ind w:firstLine="0" w:left="0"/>
        <w:jc w:val="left"/>
      </w:pPr>
    </w:p>
    <w:p w14:paraId="EE020000">
      <w:r>
        <w:t>Принимаем 2200 оборотов в минуту. Для фрезы ПИ 3 диаметром 8,21 мм при скорости 90 м в минуту:</w:t>
      </w:r>
    </w:p>
    <w:p w14:paraId="EF020000">
      <w:pPr>
        <w:ind w:firstLine="0" w:left="0"/>
        <w:jc w:val="left"/>
      </w:pPr>
    </w:p>
    <w:p w14:paraId="F0020000">
      <w:pPr>
        <w:ind w:firstLine="0" w:left="0"/>
        <w:jc w:val="center"/>
      </w:pPr>
      <m:oMathPara>
        <m:oMath>
          <m:r>
            <w:rPr>
              <w:rFonts w:ascii="Cambria Math" w:hAnsi="Cambria Math"/>
              <w:sz w:val="22"/>
            </w:rPr>
            <m:t>n=</m:t>
          </m:r>
          <m:f>
            <m:fPr>
              <m:type m:val="bar"/>
            </m:fPr>
            <m:num>
              <m:r>
                <w:rPr>
                  <w:rFonts w:ascii="Cambria Math" w:hAnsi="Cambria Math"/>
                  <w:sz w:val="22"/>
                </w:rPr>
                <m:t>1000×90</m:t>
              </m:r>
            </m:num>
            <m:den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3,14</m:t>
              </m:r>
              <m:r>
                <w:rPr>
                  <w:rFonts w:ascii="Cambria Math" w:hAnsi="Cambria Math"/>
                  <w:sz w:val="22"/>
                </w:rPr>
                <m:t>×</m:t>
              </m:r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8,21</m:t>
              </m:r>
            </m:den>
          </m:f>
          <m:r>
            <w:rPr>
              <w:rFonts w:ascii="Cambria Math" w:hAnsi="Cambria Math"/>
              <w:sz w:val="22"/>
            </w:rPr>
            <m:t>=3491</m:t>
          </m:r>
        </m:oMath>
      </m:oMathPara>
    </w:p>
    <w:p w14:paraId="F1020000">
      <w:pPr>
        <w:ind w:firstLine="0" w:left="0"/>
        <w:jc w:val="left"/>
      </w:pPr>
    </w:p>
    <w:p w14:paraId="F2020000">
      <w:r>
        <w:t>Принимаем 3400 оборотов в минуту, что находится в пределах диапазона шпинделя обрабатывающего центра до 8000 оборотов в минуту. Минутная подача при фрезеровании определяется через подачу на зуб.</w:t>
      </w:r>
    </w:p>
    <w:p w14:paraId="F3020000">
      <w:pPr>
        <w:ind w:firstLine="0" w:left="0"/>
        <w:jc w:val="left"/>
      </w:pPr>
    </w:p>
    <w:p w14:paraId="F4020000">
      <w:pPr>
        <w:tabs>
          <w:tab w:leader="none" w:pos="4677" w:val="center"/>
          <w:tab w:leader="none" w:pos="9354" w:val="right"/>
        </w:tabs>
        <w:ind w:firstLine="0" w:left="0"/>
        <w:jc w:val="left"/>
      </w:pPr>
      <w:r>
        <w:tab/>
      </w:r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S</m:t>
              </m:r>
            </m:e>
            <m:sub>
              <m:r>
                <w:rPr>
                  <w:rFonts w:ascii="Cambria Math" w:hAnsi="Cambria Math"/>
                  <w:sz w:val="22"/>
                </w:rPr>
                <m:t>м</m:t>
              </m:r>
            </m:sub>
          </m:sSub>
          <m:r>
            <w:rPr>
              <w:rFonts w:ascii="Cambria Math" w:hAnsi="Cambria Math"/>
              <w:sz w:val="22"/>
            </w:rPr>
            <m:t>=</m:t>
          </m:r>
          <m:sSub>
            <m:e>
              <m:r>
                <w:rPr>
                  <w:rFonts w:ascii="Cambria Math" w:hAnsi="Cambria Math"/>
                  <w:sz w:val="22"/>
                </w:rPr>
                <m:t>s</m:t>
              </m:r>
            </m:e>
            <m:sub>
              <m:r>
                <w:rPr>
                  <w:rFonts w:ascii="Cambria Math" w:hAnsi="Cambria Math"/>
                  <w:sz w:val="22"/>
                </w:rPr>
                <m:t>z</m:t>
              </m:r>
            </m:sub>
          </m:sSub>
          <m:r>
            <w:rPr>
              <w:rFonts w:ascii="Cambria Math" w:hAnsi="Cambria Math"/>
              <w:sz w:val="22"/>
            </w:rPr>
            <m:t>×z×n</m:t>
          </m:r>
        </m:oMath>
      </m:oMathPara>
      <w:r>
        <w:tab/>
      </w:r>
      <w:r>
        <w:t>(10)</w:t>
      </w:r>
    </w:p>
    <w:p w14:paraId="F5020000">
      <w:pPr>
        <w:ind w:firstLine="0" w:left="0"/>
        <w:jc w:val="left"/>
      </w:pPr>
    </w:p>
    <w:p w14:paraId="F6020000">
      <w:r>
        <w:t xml:space="preserve">где </w:t>
      </w:r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S</m:t>
              </m:r>
            </m:e>
            <m:sub>
              <m:r>
                <w:rPr>
                  <w:rFonts w:ascii="Cambria Math" w:hAnsi="Cambria Math"/>
                  <w:sz w:val="22"/>
                </w:rPr>
                <m:t>м</m:t>
              </m:r>
            </m:sub>
          </m:sSub>
        </m:oMath>
      </m:oMathPara>
      <w:r>
        <w:t xml:space="preserve"> </w:t>
      </w:r>
      <w:r>
        <w:t>-</w:t>
      </w:r>
      <w:r>
        <w:t xml:space="preserve"> минутная подача, мм в минуту;</w:t>
      </w:r>
    </w:p>
    <w:p w14:paraId="F7020000"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s</m:t>
              </m:r>
            </m:e>
            <m:sub>
              <m:r>
                <w:rPr>
                  <w:rFonts w:ascii="Cambria Math" w:hAnsi="Cambria Math"/>
                  <w:sz w:val="22"/>
                </w:rPr>
                <m:t>z</m:t>
              </m:r>
            </m:sub>
          </m:sSub>
        </m:oMath>
      </m:oMathPara>
      <w:r>
        <w:t xml:space="preserve"> </w:t>
      </w:r>
      <w:r>
        <w:t>-</w:t>
      </w:r>
      <w:r>
        <w:t xml:space="preserve"> подача на зуб, мм на зуб;</w:t>
      </w:r>
    </w:p>
    <w:p w14:paraId="F8020000">
      <m:oMathPara>
        <m:oMath>
          <m:r>
            <w:rPr>
              <w:rFonts w:ascii="Cambria Math" w:hAnsi="Cambria Math"/>
              <w:sz w:val="22"/>
            </w:rPr>
            <m:t>z</m:t>
          </m:r>
        </m:oMath>
      </m:oMathPara>
      <w:r>
        <w:t xml:space="preserve"> </w:t>
      </w:r>
      <w:r>
        <w:t>-</w:t>
      </w:r>
      <w:r>
        <w:t xml:space="preserve"> число зубьев фрезы;</w:t>
      </w:r>
    </w:p>
    <w:p w14:paraId="F9020000">
      <m:oMathPara>
        <m:oMath>
          <m:r>
            <w:rPr>
              <w:rFonts w:ascii="Cambria Math" w:hAnsi="Cambria Math"/>
              <w:sz w:val="22"/>
            </w:rPr>
            <m:t>n</m:t>
          </m:r>
        </m:oMath>
      </m:oMathPara>
      <w:r>
        <w:t xml:space="preserve"> </w:t>
      </w:r>
      <w:r>
        <w:t>-</w:t>
      </w:r>
      <w:r>
        <w:t xml:space="preserve"> частота вращения шпинделя, оборотов в минуту.</w:t>
      </w:r>
    </w:p>
    <w:p w14:paraId="FA020000">
      <w:r>
        <w:t>Для торцевой фрезы ПИ 1 с четырьмя зубьями при подаче 0,1 мм на зуб:</w:t>
      </w:r>
    </w:p>
    <w:p w14:paraId="FB020000">
      <w:pPr>
        <w:ind w:firstLine="0" w:left="0"/>
        <w:jc w:val="left"/>
      </w:pPr>
    </w:p>
    <w:p w14:paraId="FC020000">
      <w:pPr>
        <w:ind w:firstLine="0" w:left="0"/>
        <w:jc w:val="center"/>
      </w:pPr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S</m:t>
              </m:r>
            </m:e>
            <m:sub>
              <m:r>
                <w:rPr>
                  <w:rFonts w:ascii="Cambria Math" w:hAnsi="Cambria Math"/>
                  <w:sz w:val="22"/>
                </w:rPr>
                <m:t>м</m:t>
              </m:r>
            </m:sub>
          </m:sSub>
          <m:r>
            <w:rPr>
              <w:rFonts w:ascii="Cambria Math" w:hAnsi="Cambria Math"/>
              <w:sz w:val="22"/>
            </w:rPr>
            <m:t>=</m:t>
          </m:r>
          <m:r>
            <w:rPr>
              <w:rFonts w:ascii="Cambria Math" w:hAnsi="Cambria Math"/>
              <w:sz w:val="22"/>
            </w:rPr>
            <m:rPr>
              <m:sty m:val="p"/>
            </m:rPr>
            <m:t>0,1</m:t>
          </m:r>
          <m:r>
            <w:rPr>
              <w:rFonts w:ascii="Cambria Math" w:hAnsi="Cambria Math"/>
              <w:sz w:val="22"/>
            </w:rPr>
            <m:t>×4×1400=560</m:t>
          </m:r>
        </m:oMath>
      </m:oMathPara>
    </w:p>
    <w:p w14:paraId="FD020000">
      <w:pPr>
        <w:ind w:firstLine="0" w:left="0"/>
        <w:jc w:val="left"/>
      </w:pPr>
    </w:p>
    <w:p w14:paraId="FE020000">
      <w:r>
        <w:t>Для концевой фрезы ПИ 2 с тремя зубьями при подаче 0,08 мм на зуб:</w:t>
      </w:r>
    </w:p>
    <w:p w14:paraId="FF020000">
      <w:pPr>
        <w:ind w:firstLine="0" w:left="0"/>
        <w:jc w:val="left"/>
      </w:pPr>
    </w:p>
    <w:p w14:paraId="00030000">
      <w:pPr>
        <w:ind w:firstLine="0" w:left="0"/>
        <w:jc w:val="center"/>
      </w:pPr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S</m:t>
              </m:r>
            </m:e>
            <m:sub>
              <m:r>
                <w:rPr>
                  <w:rFonts w:ascii="Cambria Math" w:hAnsi="Cambria Math"/>
                  <w:sz w:val="22"/>
                </w:rPr>
                <m:t>м</m:t>
              </m:r>
            </m:sub>
          </m:sSub>
          <m:r>
            <w:rPr>
              <w:rFonts w:ascii="Cambria Math" w:hAnsi="Cambria Math"/>
              <w:sz w:val="22"/>
            </w:rPr>
            <m:t>=</m:t>
          </m:r>
          <m:r>
            <w:rPr>
              <w:rFonts w:ascii="Cambria Math" w:hAnsi="Cambria Math"/>
              <w:sz w:val="22"/>
            </w:rPr>
            <m:rPr>
              <m:sty m:val="p"/>
            </m:rPr>
            <m:t>0,08</m:t>
          </m:r>
          <m:r>
            <w:rPr>
              <w:rFonts w:ascii="Cambria Math" w:hAnsi="Cambria Math"/>
              <w:sz w:val="22"/>
            </w:rPr>
            <m:t>×3×2200=528</m:t>
          </m:r>
        </m:oMath>
      </m:oMathPara>
    </w:p>
    <w:p w14:paraId="01030000">
      <w:pPr>
        <w:ind w:firstLine="0" w:left="0"/>
        <w:jc w:val="left"/>
      </w:pPr>
    </w:p>
    <w:p w14:paraId="02030000">
      <w:r>
        <w:t>Для фрезы ПИ 3 с тремя зубьями при подаче 0,04 мм на зуб:</w:t>
      </w:r>
    </w:p>
    <w:p w14:paraId="03030000">
      <w:pPr>
        <w:ind w:firstLine="0" w:left="0"/>
        <w:jc w:val="left"/>
      </w:pPr>
    </w:p>
    <w:p w14:paraId="04030000">
      <w:pPr>
        <w:ind w:firstLine="0" w:left="0"/>
        <w:jc w:val="center"/>
      </w:pPr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S</m:t>
              </m:r>
            </m:e>
            <m:sub>
              <m:r>
                <w:rPr>
                  <w:rFonts w:ascii="Cambria Math" w:hAnsi="Cambria Math"/>
                  <w:sz w:val="22"/>
                </w:rPr>
                <m:t>м</m:t>
              </m:r>
            </m:sub>
          </m:sSub>
          <m:r>
            <w:rPr>
              <w:rFonts w:ascii="Cambria Math" w:hAnsi="Cambria Math"/>
              <w:sz w:val="22"/>
            </w:rPr>
            <m:t>=</m:t>
          </m:r>
          <m:r>
            <w:rPr>
              <w:rFonts w:ascii="Cambria Math" w:hAnsi="Cambria Math"/>
              <w:sz w:val="22"/>
            </w:rPr>
            <m:rPr>
              <m:sty m:val="p"/>
            </m:rPr>
            <m:t>0,04</m:t>
          </m:r>
          <m:r>
            <w:rPr>
              <w:rFonts w:ascii="Cambria Math" w:hAnsi="Cambria Math"/>
              <w:sz w:val="22"/>
            </w:rPr>
            <m:t>×3×3400=408</m:t>
          </m:r>
        </m:oMath>
      </m:oMathPara>
    </w:p>
    <w:p w14:paraId="05030000">
      <w:pPr>
        <w:ind w:firstLine="0" w:left="0"/>
        <w:jc w:val="left"/>
      </w:pPr>
    </w:p>
    <w:p w14:paraId="06030000">
      <w:r>
        <w:t>Минутные подачи составляют 560, 528 и 408 мм в минуту соответственно. Основное время перехода определяется длиной рабочего хода.</w:t>
      </w:r>
    </w:p>
    <w:p w14:paraId="07030000">
      <w:pPr>
        <w:ind w:firstLine="0" w:left="0"/>
        <w:jc w:val="left"/>
      </w:pPr>
    </w:p>
    <w:p w14:paraId="08030000">
      <w:pPr>
        <w:tabs>
          <w:tab w:leader="none" w:pos="4677" w:val="center"/>
          <w:tab w:leader="none" w:pos="9354" w:val="right"/>
        </w:tabs>
        <w:ind w:firstLine="0" w:left="0"/>
        <w:jc w:val="left"/>
      </w:pPr>
      <w:r>
        <w:tab/>
      </w:r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T</m:t>
              </m:r>
            </m:e>
            <m:sub>
              <m:r>
                <w:rPr>
                  <w:rFonts w:ascii="Cambria Math" w:hAnsi="Cambria Math"/>
                  <w:sz w:val="22"/>
                </w:rPr>
                <m:t>о</m:t>
              </m:r>
            </m:sub>
          </m:sSub>
          <m:r>
            <w:rPr>
              <w:rFonts w:ascii="Cambria Math" w:hAnsi="Cambria Math"/>
              <w:sz w:val="22"/>
            </w:rPr>
            <m:t>=</m:t>
          </m:r>
          <m:f>
            <m:fPr>
              <m:type m:val="bar"/>
            </m:fPr>
            <m:num>
              <m:r>
                <w:rPr>
                  <w:rFonts w:ascii="Cambria Math" w:hAnsi="Cambria Math"/>
                  <w:sz w:val="22"/>
                </w:rPr>
                <m:t>L</m:t>
              </m:r>
            </m:num>
            <m:den>
              <m:sSub>
                <m:e>
                  <m:r>
                    <w:rPr>
                      <w:rFonts w:ascii="Cambria Math" w:hAnsi="Cambria Math"/>
                      <w:sz w:val="22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sz w:val="22"/>
                    </w:rPr>
                    <m:t>м</m:t>
                  </m:r>
                </m:sub>
              </m:sSub>
            </m:den>
          </m:f>
        </m:oMath>
      </m:oMathPara>
      <w:r>
        <w:tab/>
      </w:r>
      <w:r>
        <w:t>(11)</w:t>
      </w:r>
    </w:p>
    <w:p w14:paraId="09030000">
      <w:pPr>
        <w:ind w:firstLine="0" w:left="0"/>
        <w:jc w:val="left"/>
      </w:pPr>
    </w:p>
    <w:p w14:paraId="0A030000">
      <w:r>
        <w:t xml:space="preserve">где </w:t>
      </w:r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T</m:t>
              </m:r>
            </m:e>
            <m:sub>
              <m:r>
                <w:rPr>
                  <w:rFonts w:ascii="Cambria Math" w:hAnsi="Cambria Math"/>
                  <w:sz w:val="22"/>
                </w:rPr>
                <m:t>о</m:t>
              </m:r>
            </m:sub>
          </m:sSub>
        </m:oMath>
      </m:oMathPara>
      <w:r>
        <w:t xml:space="preserve"> </w:t>
      </w:r>
      <w:r>
        <w:t>-</w:t>
      </w:r>
      <w:r>
        <w:t xml:space="preserve"> основное время перехода, мин;</w:t>
      </w:r>
    </w:p>
    <w:p w14:paraId="0B030000">
      <m:oMathPara>
        <m:oMath>
          <m:r>
            <w:rPr>
              <w:rFonts w:ascii="Cambria Math" w:hAnsi="Cambria Math"/>
              <w:sz w:val="22"/>
            </w:rPr>
            <m:t>L</m:t>
          </m:r>
        </m:oMath>
      </m:oMathPara>
      <w:r>
        <w:t xml:space="preserve"> </w:t>
      </w:r>
      <w:r>
        <w:t>-</w:t>
      </w:r>
      <w:r>
        <w:t xml:space="preserve"> расчётная длина рабочего хода с учётом врезания и перебега, мм;</w:t>
      </w:r>
    </w:p>
    <w:p w14:paraId="0C030000"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S</m:t>
              </m:r>
            </m:e>
            <m:sub>
              <m:r>
                <w:rPr>
                  <w:rFonts w:ascii="Cambria Math" w:hAnsi="Cambria Math"/>
                  <w:sz w:val="22"/>
                </w:rPr>
                <m:t>м</m:t>
              </m:r>
            </m:sub>
          </m:sSub>
        </m:oMath>
      </m:oMathPara>
      <w:r>
        <w:t xml:space="preserve"> </w:t>
      </w:r>
      <w:r>
        <w:t>-</w:t>
      </w:r>
      <w:r>
        <w:t xml:space="preserve"> минутная подача, мм в минуту.</w:t>
      </w:r>
    </w:p>
    <w:p w14:paraId="0D030000">
      <w:r>
        <w:t>Для фрезерования торца фланца при расчётной длине хода 110 мм:</w:t>
      </w:r>
    </w:p>
    <w:p w14:paraId="0E030000">
      <w:pPr>
        <w:ind w:firstLine="0" w:left="0"/>
        <w:jc w:val="left"/>
      </w:pPr>
    </w:p>
    <w:p w14:paraId="0F030000">
      <w:pPr>
        <w:ind w:firstLine="0" w:left="0"/>
        <w:jc w:val="center"/>
      </w:pPr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T</m:t>
              </m:r>
            </m:e>
            <m:sub>
              <m:r>
                <w:rPr>
                  <w:rFonts w:ascii="Cambria Math" w:hAnsi="Cambria Math"/>
                  <w:sz w:val="22"/>
                </w:rPr>
                <m:t>о</m:t>
              </m:r>
            </m:sub>
          </m:sSub>
          <m:r>
            <w:rPr>
              <w:rFonts w:ascii="Cambria Math" w:hAnsi="Cambria Math"/>
              <w:sz w:val="22"/>
            </w:rPr>
            <m:t>=</m:t>
          </m:r>
          <m:f>
            <m:fPr>
              <m:type m:val="bar"/>
            </m:fPr>
            <m:num>
              <m:r>
                <w:rPr>
                  <w:rFonts w:ascii="Cambria Math" w:hAnsi="Cambria Math"/>
                  <w:sz w:val="22"/>
                </w:rPr>
                <m:t>110</m:t>
              </m:r>
            </m:num>
            <m:den>
              <m:r>
                <w:rPr>
                  <w:rFonts w:ascii="Cambria Math" w:hAnsi="Cambria Math"/>
                  <w:sz w:val="22"/>
                </w:rPr>
                <m:t>560</m:t>
              </m:r>
            </m:den>
          </m:f>
          <m:r>
            <w:rPr>
              <w:rFonts w:ascii="Cambria Math" w:hAnsi="Cambria Math"/>
              <w:sz w:val="22"/>
            </w:rPr>
            <m:t>=</m:t>
          </m:r>
          <m:r>
            <w:rPr>
              <w:rFonts w:ascii="Cambria Math" w:hAnsi="Cambria Math"/>
              <w:sz w:val="22"/>
            </w:rPr>
            <m:rPr>
              <m:sty m:val="p"/>
            </m:rPr>
            <m:t>0,2</m:t>
          </m:r>
        </m:oMath>
      </m:oMathPara>
    </w:p>
    <w:p w14:paraId="10030000">
      <w:pPr>
        <w:ind w:firstLine="0" w:left="0"/>
        <w:jc w:val="left"/>
      </w:pPr>
    </w:p>
    <w:p w14:paraId="11030000">
      <w:r>
        <w:t>Основное время фрезерования торца составляет 0,2 мин; суммарное основное время операции 015 складывается из времени последовательной работы четырёх инструментов наладки.</w:t>
      </w:r>
    </w:p>
    <w:p w14:paraId="12030000">
      <w:r>
        <w:t>На токарной операции 030 при точении центрирующего пояска диаметром 40 мм со скоростью резания 160 м в минуту частота вращения составляет:</w:t>
      </w:r>
    </w:p>
    <w:p w14:paraId="13030000">
      <w:pPr>
        <w:ind w:firstLine="0" w:left="0"/>
        <w:jc w:val="left"/>
      </w:pPr>
    </w:p>
    <w:p w14:paraId="14030000">
      <w:pPr>
        <w:ind w:firstLine="0" w:left="0"/>
        <w:jc w:val="center"/>
      </w:pPr>
      <m:oMathPara>
        <m:oMath>
          <m:r>
            <w:rPr>
              <w:rFonts w:ascii="Cambria Math" w:hAnsi="Cambria Math"/>
              <w:sz w:val="22"/>
            </w:rPr>
            <m:t>n=</m:t>
          </m:r>
          <m:f>
            <m:fPr>
              <m:type m:val="bar"/>
            </m:fPr>
            <m:num>
              <m:r>
                <w:rPr>
                  <w:rFonts w:ascii="Cambria Math" w:hAnsi="Cambria Math"/>
                  <w:sz w:val="22"/>
                </w:rPr>
                <m:t>1000×160</m:t>
              </m:r>
            </m:num>
            <m:den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3,14</m:t>
              </m:r>
              <m:r>
                <w:rPr>
                  <w:rFonts w:ascii="Cambria Math" w:hAnsi="Cambria Math"/>
                  <w:sz w:val="22"/>
                </w:rPr>
                <m:t>×40</m:t>
              </m:r>
            </m:den>
          </m:f>
          <m:r>
            <w:rPr>
              <w:rFonts w:ascii="Cambria Math" w:hAnsi="Cambria Math"/>
              <w:sz w:val="22"/>
            </w:rPr>
            <m:t>=1274</m:t>
          </m:r>
        </m:oMath>
      </m:oMathPara>
    </w:p>
    <w:p w14:paraId="15030000">
      <w:pPr>
        <w:ind w:firstLine="0" w:left="0"/>
        <w:jc w:val="left"/>
      </w:pPr>
    </w:p>
    <w:p w14:paraId="16030000">
      <w:r>
        <w:t>Принимаем 1250 оборотов в минуту при подаче 0,12 мм на оборот; частота находится в диапазоне токарного станка с числовым программным управлением от 30 до 2480 оборотов в минуту.</w:t>
      </w:r>
    </w:p>
    <w:p w14:paraId="17030000">
      <w:r>
        <w:t>Крепёжные отверстия обрабатываются на сверлильной операции 035 с применением накладного кондуктора, базируемого по центрирующему выступу детали. Схема обработки представлена на рисунке 9.</w:t>
      </w:r>
    </w:p>
    <w:p w14:paraId="18030000">
      <w:pPr>
        <w:ind w:firstLine="0" w:left="0"/>
        <w:jc w:val="center"/>
      </w:pPr>
      <w:r>
        <w:drawing>
          <wp:inline>
            <wp:extent cx="2133600" cy="2427393"/>
            <wp:effectExtent b="0" l="0" r="0" t="0"/>
            <wp:docPr hidden="false" id="18" name="Picture 18"/>
            <a:graphic>
              <a:graphicData uri="http://schemas.openxmlformats.org/drawingml/2006/picture">
                <pic:pic>
                  <pic:nvPicPr>
                    <pic:cNvPr hidden="false" id="17" name="Picture 17"/>
                    <pic:cNvPicPr preferRelativeResize="true"/>
                  </pic:nvPicPr>
                  <pic:blipFill>
                    <a:blip r:embed="rId14"/>
                    <a:stretch/>
                  </pic:blipFill>
                  <pic:spPr>
                    <a:xfrm flipH="false" flipV="false" rot="0">
                      <a:ext cx="2133600" cy="2427393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19030000">
      <w:pPr>
        <w:ind w:firstLine="0" w:left="0"/>
        <w:jc w:val="center"/>
      </w:pPr>
      <w:r>
        <w:t xml:space="preserve">Рисунок 9 </w:t>
      </w:r>
      <w:r>
        <w:t>-</w:t>
      </w:r>
      <w:r>
        <w:t xml:space="preserve"> Схема обработки крепёжных отверстий детали (операция 035 </w:t>
      </w:r>
      <w:r>
        <w:t>-</w:t>
      </w:r>
      <w:r>
        <w:t xml:space="preserve"> сверлильная)</w:t>
      </w:r>
    </w:p>
    <w:p w14:paraId="1A030000"/>
    <w:p w14:paraId="1B030000">
      <w:r>
        <w:t>Показанная на рисунке 9 схема предусматривает последовательное сверление двух отверстий диаметром 4,5 мм и двух отверстий диаметром 5,5 мм через закалённые кондукторные втулки; предварительная центровка отверстий выполнена на операции 015 по программным координатам, поэтому увод свёрл исключается. Частота вращения для сверла диаметром 4,5 мм при скорости резания 20 м в минуту:</w:t>
      </w:r>
    </w:p>
    <w:p w14:paraId="1C030000">
      <w:pPr>
        <w:ind w:firstLine="0" w:left="0"/>
        <w:jc w:val="left"/>
      </w:pPr>
    </w:p>
    <w:p w14:paraId="1D030000">
      <w:pPr>
        <w:ind w:firstLine="0" w:left="0"/>
        <w:jc w:val="center"/>
      </w:pPr>
      <m:oMathPara>
        <m:oMath>
          <m:r>
            <w:rPr>
              <w:rFonts w:ascii="Cambria Math" w:hAnsi="Cambria Math"/>
              <w:sz w:val="22"/>
            </w:rPr>
            <m:t>n=</m:t>
          </m:r>
          <m:f>
            <m:fPr>
              <m:type m:val="bar"/>
            </m:fPr>
            <m:num>
              <m:r>
                <w:rPr>
                  <w:rFonts w:ascii="Cambria Math" w:hAnsi="Cambria Math"/>
                  <w:sz w:val="22"/>
                </w:rPr>
                <m:t>1000×20</m:t>
              </m:r>
            </m:num>
            <m:den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3,14</m:t>
              </m:r>
              <m:r>
                <w:rPr>
                  <w:rFonts w:ascii="Cambria Math" w:hAnsi="Cambria Math"/>
                  <w:sz w:val="22"/>
                </w:rPr>
                <m:t>×</m:t>
              </m:r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4,5</m:t>
              </m:r>
            </m:den>
          </m:f>
          <m:r>
            <w:rPr>
              <w:rFonts w:ascii="Cambria Math" w:hAnsi="Cambria Math"/>
              <w:sz w:val="22"/>
            </w:rPr>
            <m:t>=1415</m:t>
          </m:r>
        </m:oMath>
      </m:oMathPara>
    </w:p>
    <w:p w14:paraId="1E030000">
      <w:pPr>
        <w:ind w:firstLine="0" w:left="0"/>
        <w:jc w:val="left"/>
      </w:pPr>
    </w:p>
    <w:p w14:paraId="1F030000">
      <w:r>
        <w:t xml:space="preserve">Принимаем ближайшую ступень станка 2Н125 </w:t>
      </w:r>
      <w:r>
        <w:t>-</w:t>
      </w:r>
      <w:r>
        <w:t xml:space="preserve"> 1400 оборотов в минуту при подаче 0,1 мм на оборот. Для сверла диаметром 5,5 мм:</w:t>
      </w:r>
    </w:p>
    <w:p w14:paraId="20030000">
      <w:pPr>
        <w:ind w:firstLine="0" w:left="0"/>
        <w:jc w:val="left"/>
      </w:pPr>
    </w:p>
    <w:p w14:paraId="21030000">
      <w:pPr>
        <w:ind w:firstLine="0" w:left="0"/>
        <w:jc w:val="center"/>
      </w:pPr>
      <m:oMathPara>
        <m:oMath>
          <m:r>
            <w:rPr>
              <w:rFonts w:ascii="Cambria Math" w:hAnsi="Cambria Math"/>
              <w:sz w:val="22"/>
            </w:rPr>
            <m:t>n=</m:t>
          </m:r>
          <m:f>
            <m:fPr>
              <m:type m:val="bar"/>
            </m:fPr>
            <m:num>
              <m:r>
                <w:rPr>
                  <w:rFonts w:ascii="Cambria Math" w:hAnsi="Cambria Math"/>
                  <w:sz w:val="22"/>
                </w:rPr>
                <m:t>1000×20</m:t>
              </m:r>
            </m:num>
            <m:den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3,14</m:t>
              </m:r>
              <m:r>
                <w:rPr>
                  <w:rFonts w:ascii="Cambria Math" w:hAnsi="Cambria Math"/>
                  <w:sz w:val="22"/>
                </w:rPr>
                <m:t>×</m:t>
              </m:r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5,5</m:t>
              </m:r>
            </m:den>
          </m:f>
          <m:r>
            <w:rPr>
              <w:rFonts w:ascii="Cambria Math" w:hAnsi="Cambria Math"/>
              <w:sz w:val="22"/>
            </w:rPr>
            <m:t>=1158</m:t>
          </m:r>
        </m:oMath>
      </m:oMathPara>
    </w:p>
    <w:p w14:paraId="22030000">
      <w:pPr>
        <w:ind w:firstLine="0" w:left="0"/>
        <w:jc w:val="left"/>
      </w:pPr>
    </w:p>
    <w:p w14:paraId="23030000">
      <w:r>
        <w:t>Принимаем ступень 1000 оборотов в минуту при подаче 0,14 мм на оборот. Сводные режимы резания по основным переходам проектного процесса приведены в таблице 13.</w:t>
      </w:r>
    </w:p>
    <w:p w14:paraId="24030000">
      <w:pPr>
        <w:ind w:firstLine="0" w:left="0"/>
        <w:jc w:val="right"/>
      </w:pPr>
      <w:r>
        <w:t>Таблица 13</w:t>
      </w:r>
    </w:p>
    <w:p w14:paraId="25030000">
      <w:pPr>
        <w:ind w:firstLine="0" w:left="0"/>
        <w:jc w:val="center"/>
      </w:pPr>
      <w:r>
        <w:t>Сводные режимы резания проектного технологического процесса</w:t>
      </w:r>
    </w:p>
    <w:tbl>
      <w:tblPr>
        <w:tblStyle w:val="Style_7"/>
        <w:tblLayout w:type="fixed"/>
      </w:tblPr>
      <w:tblGrid>
        <w:gridCol w:w="1625"/>
        <w:gridCol w:w="1636"/>
        <w:gridCol w:w="1522"/>
        <w:gridCol w:w="1523"/>
        <w:gridCol w:w="1559"/>
        <w:gridCol w:w="1492"/>
      </w:tblGrid>
      <w:tr>
        <w:tc>
          <w:tcPr>
            <w:tcW w:type="dxa" w:w="1625"/>
            <w:shd w:fill="auto" w:val="clear"/>
          </w:tcPr>
          <w:p w14:paraId="2603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Операция, переход</w:t>
            </w:r>
          </w:p>
        </w:tc>
        <w:tc>
          <w:tcPr>
            <w:tcW w:type="dxa" w:w="1636"/>
            <w:shd w:fill="auto" w:val="clear"/>
          </w:tcPr>
          <w:p w14:paraId="2703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Инструмент</w:t>
            </w:r>
          </w:p>
        </w:tc>
        <w:tc>
          <w:tcPr>
            <w:tcW w:type="dxa" w:w="1522"/>
            <w:shd w:fill="auto" w:val="clear"/>
          </w:tcPr>
          <w:p w14:paraId="2803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Глубина резания, мм</w:t>
            </w:r>
          </w:p>
        </w:tc>
        <w:tc>
          <w:tcPr>
            <w:tcW w:type="dxa" w:w="1523"/>
            <w:shd w:fill="auto" w:val="clear"/>
          </w:tcPr>
          <w:p w14:paraId="2903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Подача</w:t>
            </w:r>
          </w:p>
        </w:tc>
        <w:tc>
          <w:tcPr>
            <w:tcW w:type="dxa" w:w="1559"/>
            <w:shd w:fill="auto" w:val="clear"/>
          </w:tcPr>
          <w:p w14:paraId="2A03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Скорость резания фактическая, м в минуту</w:t>
            </w:r>
          </w:p>
        </w:tc>
        <w:tc>
          <w:tcPr>
            <w:tcW w:type="dxa" w:w="1492"/>
            <w:shd w:fill="auto" w:val="clear"/>
          </w:tcPr>
          <w:p w14:paraId="2B03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Частота вращения, оборотов в минуту</w:t>
            </w:r>
          </w:p>
        </w:tc>
      </w:tr>
      <w:tr>
        <w:tc>
          <w:tcPr>
            <w:tcW w:type="dxa" w:w="1625"/>
            <w:shd w:fill="auto" w:val="clear"/>
          </w:tcPr>
          <w:p w14:paraId="2C03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015, фрезерование торцов</w:t>
            </w:r>
          </w:p>
        </w:tc>
        <w:tc>
          <w:tcPr>
            <w:tcW w:type="dxa" w:w="1636"/>
            <w:shd w:fill="auto" w:val="clear"/>
          </w:tcPr>
          <w:p w14:paraId="2D03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Фреза торцевая диаметром 40 мм (ПИ 1)</w:t>
            </w:r>
          </w:p>
        </w:tc>
        <w:tc>
          <w:tcPr>
            <w:tcW w:type="dxa" w:w="1522"/>
            <w:shd w:fill="auto" w:val="clear"/>
          </w:tcPr>
          <w:p w14:paraId="2E03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1,5</w:t>
            </w:r>
          </w:p>
        </w:tc>
        <w:tc>
          <w:tcPr>
            <w:tcW w:type="dxa" w:w="1523"/>
            <w:shd w:fill="auto" w:val="clear"/>
          </w:tcPr>
          <w:p w14:paraId="2F03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0,1 мм на зуб</w:t>
            </w:r>
          </w:p>
        </w:tc>
        <w:tc>
          <w:tcPr>
            <w:tcW w:type="dxa" w:w="1559"/>
            <w:shd w:fill="auto" w:val="clear"/>
          </w:tcPr>
          <w:p w14:paraId="3003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176</w:t>
            </w:r>
          </w:p>
        </w:tc>
        <w:tc>
          <w:tcPr>
            <w:tcW w:type="dxa" w:w="1492"/>
            <w:shd w:fill="auto" w:val="clear"/>
          </w:tcPr>
          <w:p w14:paraId="3103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1400</w:t>
            </w:r>
          </w:p>
        </w:tc>
      </w:tr>
      <w:tr>
        <w:tc>
          <w:tcPr>
            <w:tcW w:type="dxa" w:w="1625"/>
            <w:shd w:fill="auto" w:val="clear"/>
          </w:tcPr>
          <w:p w14:paraId="3203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015, фрезерование контура и расточка гнезда</w:t>
            </w:r>
          </w:p>
        </w:tc>
        <w:tc>
          <w:tcPr>
            <w:tcW w:type="dxa" w:w="1636"/>
            <w:shd w:fill="auto" w:val="clear"/>
          </w:tcPr>
          <w:p w14:paraId="3303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Фреза концевая диаметром 20 мм (ПИ 2)</w:t>
            </w:r>
          </w:p>
        </w:tc>
        <w:tc>
          <w:tcPr>
            <w:tcW w:type="dxa" w:w="1522"/>
            <w:shd w:fill="auto" w:val="clear"/>
          </w:tcPr>
          <w:p w14:paraId="3403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3,0</w:t>
            </w:r>
          </w:p>
        </w:tc>
        <w:tc>
          <w:tcPr>
            <w:tcW w:type="dxa" w:w="1523"/>
            <w:shd w:fill="auto" w:val="clear"/>
          </w:tcPr>
          <w:p w14:paraId="3503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0,08 мм на зуб</w:t>
            </w:r>
          </w:p>
        </w:tc>
        <w:tc>
          <w:tcPr>
            <w:tcW w:type="dxa" w:w="1559"/>
            <w:shd w:fill="auto" w:val="clear"/>
          </w:tcPr>
          <w:p w14:paraId="3603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138</w:t>
            </w:r>
          </w:p>
        </w:tc>
        <w:tc>
          <w:tcPr>
            <w:tcW w:type="dxa" w:w="1492"/>
            <w:shd w:fill="auto" w:val="clear"/>
          </w:tcPr>
          <w:p w14:paraId="3703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2200</w:t>
            </w:r>
          </w:p>
        </w:tc>
      </w:tr>
      <w:tr>
        <w:tc>
          <w:tcPr>
            <w:tcW w:type="dxa" w:w="1625"/>
          </w:tcPr>
          <w:p w14:paraId="3803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015, обработка скруглений и пазов</w:t>
            </w:r>
          </w:p>
        </w:tc>
        <w:tc>
          <w:tcPr>
            <w:tcW w:type="dxa" w:w="1636"/>
          </w:tcPr>
          <w:p w14:paraId="3903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Фреза концевая диаметром 8,21 мм (ПИ 3)</w:t>
            </w:r>
          </w:p>
        </w:tc>
        <w:tc>
          <w:tcPr>
            <w:tcW w:type="dxa" w:w="1522"/>
          </w:tcPr>
          <w:p w14:paraId="3A03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  <w:tc>
          <w:tcPr>
            <w:tcW w:type="dxa" w:w="1523"/>
          </w:tcPr>
          <w:p w14:paraId="3B03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0,04 мм на зуб</w:t>
            </w:r>
          </w:p>
        </w:tc>
        <w:tc>
          <w:tcPr>
            <w:tcW w:type="dxa" w:w="1559"/>
          </w:tcPr>
          <w:p w14:paraId="3C03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88</w:t>
            </w:r>
          </w:p>
        </w:tc>
        <w:tc>
          <w:tcPr>
            <w:tcW w:type="dxa" w:w="1492"/>
          </w:tcPr>
          <w:p w14:paraId="3D03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3400</w:t>
            </w:r>
          </w:p>
        </w:tc>
      </w:tr>
      <w:tr>
        <w:tc>
          <w:tcPr>
            <w:tcW w:type="dxa" w:w="1625"/>
          </w:tcPr>
          <w:p w14:paraId="3E03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015, центровка отверстий</w:t>
            </w:r>
          </w:p>
        </w:tc>
        <w:tc>
          <w:tcPr>
            <w:tcW w:type="dxa" w:w="1636"/>
          </w:tcPr>
          <w:p w14:paraId="3F03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Сверло центровочное (ПИ 4)</w:t>
            </w:r>
          </w:p>
        </w:tc>
        <w:tc>
          <w:tcPr>
            <w:tcW w:type="dxa" w:w="1522"/>
          </w:tcPr>
          <w:p w14:paraId="4003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type="dxa" w:w="1523"/>
          </w:tcPr>
          <w:p w14:paraId="4103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0,05 мм на оборот</w:t>
            </w:r>
          </w:p>
        </w:tc>
        <w:tc>
          <w:tcPr>
            <w:tcW w:type="dxa" w:w="1559"/>
          </w:tcPr>
          <w:p w14:paraId="4203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type="dxa" w:w="1492"/>
          </w:tcPr>
          <w:p w14:paraId="4303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2000</w:t>
            </w:r>
          </w:p>
        </w:tc>
      </w:tr>
      <w:tr>
        <w:tc>
          <w:tcPr>
            <w:tcW w:type="dxa" w:w="1625"/>
          </w:tcPr>
          <w:p w14:paraId="4403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030, точение пояска диаметром 40 мм</w:t>
            </w:r>
          </w:p>
        </w:tc>
        <w:tc>
          <w:tcPr>
            <w:tcW w:type="dxa" w:w="1636"/>
          </w:tcPr>
          <w:p w14:paraId="4503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Резец проходной со сменной пластиной</w:t>
            </w:r>
          </w:p>
        </w:tc>
        <w:tc>
          <w:tcPr>
            <w:tcW w:type="dxa" w:w="1522"/>
          </w:tcPr>
          <w:p w14:paraId="4603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type="dxa" w:w="1523"/>
          </w:tcPr>
          <w:p w14:paraId="4703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0,12 мм на оборот</w:t>
            </w:r>
          </w:p>
        </w:tc>
        <w:tc>
          <w:tcPr>
            <w:tcW w:type="dxa" w:w="1559"/>
          </w:tcPr>
          <w:p w14:paraId="4803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157</w:t>
            </w:r>
          </w:p>
        </w:tc>
        <w:tc>
          <w:tcPr>
            <w:tcW w:type="dxa" w:w="1492"/>
          </w:tcPr>
          <w:p w14:paraId="4903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1250</w:t>
            </w:r>
          </w:p>
        </w:tc>
      </w:tr>
      <w:tr>
        <w:tc>
          <w:tcPr>
            <w:tcW w:type="dxa" w:w="1625"/>
          </w:tcPr>
          <w:p w14:paraId="4A03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035, сверление отверстий диаметром 4,5 мм</w:t>
            </w:r>
          </w:p>
        </w:tc>
        <w:tc>
          <w:tcPr>
            <w:tcW w:type="dxa" w:w="1636"/>
          </w:tcPr>
          <w:p w14:paraId="4B03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Сверло спиральное Р6М5</w:t>
            </w:r>
          </w:p>
        </w:tc>
        <w:tc>
          <w:tcPr>
            <w:tcW w:type="dxa" w:w="1522"/>
          </w:tcPr>
          <w:p w14:paraId="4C03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type="dxa" w:w="1523"/>
          </w:tcPr>
          <w:p w14:paraId="4D03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0,1 мм на оборот</w:t>
            </w:r>
          </w:p>
        </w:tc>
        <w:tc>
          <w:tcPr>
            <w:tcW w:type="dxa" w:w="1559"/>
          </w:tcPr>
          <w:p w14:paraId="4E03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19,8</w:t>
            </w:r>
          </w:p>
        </w:tc>
        <w:tc>
          <w:tcPr>
            <w:tcW w:type="dxa" w:w="1492"/>
          </w:tcPr>
          <w:p w14:paraId="4F03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1400</w:t>
            </w:r>
          </w:p>
        </w:tc>
      </w:tr>
      <w:tr>
        <w:tc>
          <w:tcPr>
            <w:tcW w:type="dxa" w:w="1625"/>
          </w:tcPr>
          <w:p w14:paraId="5003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035, сверление отверстий диаметром 5,5 мм</w:t>
            </w:r>
          </w:p>
        </w:tc>
        <w:tc>
          <w:tcPr>
            <w:tcW w:type="dxa" w:w="1636"/>
          </w:tcPr>
          <w:p w14:paraId="5103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Сверло спиральное Р6М5</w:t>
            </w:r>
          </w:p>
        </w:tc>
        <w:tc>
          <w:tcPr>
            <w:tcW w:type="dxa" w:w="1522"/>
          </w:tcPr>
          <w:p w14:paraId="5203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type="dxa" w:w="1523"/>
          </w:tcPr>
          <w:p w14:paraId="5303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0,14 мм на оборот</w:t>
            </w:r>
          </w:p>
        </w:tc>
        <w:tc>
          <w:tcPr>
            <w:tcW w:type="dxa" w:w="1559"/>
          </w:tcPr>
          <w:p w14:paraId="5403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17,3</w:t>
            </w:r>
          </w:p>
        </w:tc>
        <w:tc>
          <w:tcPr>
            <w:tcW w:type="dxa" w:w="1492"/>
          </w:tcPr>
          <w:p w14:paraId="5503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1000</w:t>
            </w:r>
          </w:p>
        </w:tc>
      </w:tr>
    </w:tbl>
    <w:p w14:paraId="56030000">
      <w:pPr>
        <w:ind/>
        <w:jc w:val="right"/>
      </w:pPr>
      <w:r>
        <w:t xml:space="preserve"> </w:t>
      </w:r>
    </w:p>
    <w:p w14:paraId="57030000">
      <w:r>
        <w:t>Приведённые в таблице 13 режимы согласованы с характеристиками оборудования: частоты вращения не выходят за пределы диапазонов станков, а мощность резания не превышает 1,15 кВт при располагаемой мощности 15 кВт на обрабатывающем центре и 11 кВт на токарном станке. Применение сборного инструмента с износостойкими покрытиями обеспечивает стойкость наладки в пределах сменного задания [15, с. 63].</w:t>
      </w:r>
    </w:p>
    <w:p w14:paraId="58030000">
      <w:r>
        <w:t xml:space="preserve">Контроль качества по проектному процессу выполняется инструментальными методами: линейные размеры контролируются микрометрами и калибрами, координаты крепёжных отверстий </w:t>
      </w:r>
      <w:r>
        <w:t>-</w:t>
      </w:r>
      <w:r>
        <w:t xml:space="preserve"> на контрольном приспособлении с индикаторами, радиальное биение центрирующего пояска относительно оси центрального отверстия </w:t>
      </w:r>
      <w:r>
        <w:t>-</w:t>
      </w:r>
      <w:r>
        <w:t xml:space="preserve"> на разжимной оправке с индикаторной стойкой, шероховатость посадочных поверхностей </w:t>
      </w:r>
      <w:r>
        <w:t>-</w:t>
      </w:r>
      <w:r>
        <w:t xml:space="preserve"> профилометром.</w:t>
      </w:r>
    </w:p>
    <w:p w14:paraId="59030000">
      <w:r>
        <w:t xml:space="preserve">Таким образом, разработанная технологическая карта проектного процесса обеспечивает выполнение всех требований чертежа детали «Угловой корпус подшипника»: точность координат крепёжных отверстий достигается программной обработкой и кондуктором, соосность точных поверхностей </w:t>
      </w:r>
      <w:r>
        <w:t>-</w:t>
      </w:r>
      <w:r>
        <w:t xml:space="preserve"> единой базой на разжимной оправке, шероховатость и твёрдость </w:t>
      </w:r>
      <w:r>
        <w:t>-</w:t>
      </w:r>
      <w:r>
        <w:t xml:space="preserve"> сочетанием термической обработки и финишного шлифования. Трудоёмкость изготовления детали снижена с 1,8 до 1,10 нормо-часа, то есть на 39 процентов, ожидаемая доля брака и доработки сокращается с 6 до 2 процентов, а изготовление полностью обеспечивается имеющимся оборудованием предприятия.</w:t>
      </w:r>
    </w:p>
    <w:p w14:paraId="5A030000"/>
    <w:p w14:paraId="5B030000">
      <w:bookmarkStart w:id="10" w:name="__RefHeading___10"/>
      <w:bookmarkEnd w:id="10"/>
      <w:pPr>
        <w:pStyle w:val="Style_5"/>
      </w:pPr>
      <w:r>
        <w:t>2.3 Выбор и расчет кинематической передачи</w:t>
      </w:r>
    </w:p>
    <w:p w14:paraId="5C030000"/>
    <w:p w14:paraId="5D030000">
      <w:r>
        <w:t xml:space="preserve">Работоспособность проектного технологического процесса определяется не только структурой операций и режимами резания, но и кинематическими возможностями применяемого оборудования. Объектом расчёта в настоящем параграфе принят привод главного движения токарного станка с числовым программным управлением, на котором выполняется операция 030 проектного процесса; характеристики этого станка приведены в таблице 5 параграфа 1.2. Задача расчёта </w:t>
      </w:r>
      <w:r>
        <w:t>-</w:t>
      </w:r>
      <w:r>
        <w:t xml:space="preserve"> обосновать кинематическую схему привода и подтвердить, что диапазон частот вращения шпинделя обеспечивает принятые в параграфе 2.2 режимы резания.</w:t>
      </w:r>
    </w:p>
    <w:p w14:paraId="5E030000">
      <w:r>
        <w:t xml:space="preserve">Привод главного движения построен по двухступенчатой схеме: асинхронный электродвигатель с частотным регулированием передаёт вращение через соединительную муфту на вал I, далее через цилиндрическую зубчатую передачу на вал II и через клиноременную передачу на вал III </w:t>
      </w:r>
      <w:r>
        <w:t>-</w:t>
      </w:r>
      <w:r>
        <w:t xml:space="preserve"> шпиндель станка. Понижающие механические ступени позволяют реализовать требуемый момент на шпинделе при умеренных размерах электродвигателя, а частотное регулирование обеспечивает бесступенчатое изменение частоты вращения во всём диапазоне [19, с. 41]. Структура кинематической цепи привода представлена на рисунке 10.</w:t>
      </w:r>
    </w:p>
    <w:p w14:paraId="5F030000">
      <w:pPr>
        <w:ind w:firstLine="0" w:left="0"/>
        <w:jc w:val="center"/>
      </w:pPr>
      <w:r>
        <w:drawing>
          <wp:inline>
            <wp:extent cx="5693113" cy="4378037"/>
            <wp:effectExtent b="0" l="0" r="0" t="0"/>
            <wp:docPr hidden="false" id="20" name="Picture 20"/>
            <a:graphic>
              <a:graphicData uri="http://schemas.openxmlformats.org/drawingml/2006/picture">
                <pic:pic>
                  <pic:nvPicPr>
                    <pic:cNvPr hidden="false" id="19" name="Picture 19"/>
                    <pic:cNvPicPr preferRelativeResize="true"/>
                  </pic:nvPicPr>
                  <pic:blipFill>
                    <a:blip>
                      <a:extLst>
                        <a:ext uri="{96DAC541-7B7A-43D3-8B79-37D633B846F1}">
                          <asvg:svgBlip r:embed="rId15"/>
                        </a:ext>
                      </a:extLst>
                    </a:blip>
                    <a:stretch/>
                  </pic:blipFill>
                  <pic:spPr>
                    <a:xfrm flipH="false" flipV="false" rot="0">
                      <a:ext cx="5693113" cy="4378037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60030000">
      <w:pPr>
        <w:ind w:firstLine="0" w:left="0"/>
        <w:jc w:val="center"/>
      </w:pPr>
      <w:r>
        <w:t xml:space="preserve">Рисунок 10 </w:t>
      </w:r>
      <w:r>
        <w:t>-</w:t>
      </w:r>
      <w:r>
        <w:t xml:space="preserve"> Структурная схема кинематической цепи привода главного движения токарного станка с ЧПУ</w:t>
      </w:r>
    </w:p>
    <w:p w14:paraId="61030000"/>
    <w:p w14:paraId="62030000">
      <w:r>
        <w:t xml:space="preserve">Показанная на рисунке 10 схема включает семь основных элементов: электродвигатель, муфту, вал I, зубчатую передачу, вал II, клиноременную передачу и шпиндельный вал III. Клиноременная передача на последней </w:t>
      </w:r>
      <w:r>
        <w:t>ступени дополнительно демпфирует крутильные колебания и предохраняет шпиндельный узел от перегрузок. Исходные данные для расчёта сведены в таблицу 14.</w:t>
      </w:r>
    </w:p>
    <w:p w14:paraId="63030000">
      <w:pPr>
        <w:ind w:firstLine="0" w:left="0"/>
        <w:jc w:val="right"/>
      </w:pPr>
      <w:r>
        <w:t>Таблица 14</w:t>
      </w:r>
    </w:p>
    <w:p w14:paraId="64030000">
      <w:pPr>
        <w:ind w:firstLine="0" w:left="0"/>
        <w:jc w:val="center"/>
      </w:pPr>
      <w:r>
        <w:t>Исходные данные для расчёта кинематической передачи привода</w:t>
      </w:r>
    </w:p>
    <w:tbl>
      <w:tblPr>
        <w:tblStyle w:val="Style_7"/>
        <w:tblLayout w:type="fixed"/>
      </w:tblPr>
      <w:tblGrid>
        <w:gridCol w:w="3116"/>
        <w:gridCol w:w="3119"/>
        <w:gridCol w:w="3119"/>
      </w:tblGrid>
      <w:tr>
        <w:tc>
          <w:tcPr>
            <w:tcW w:type="dxa" w:w="3116"/>
            <w:shd w:fill="auto" w:val="clear"/>
          </w:tcPr>
          <w:p w14:paraId="6503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Параметр</w:t>
            </w:r>
          </w:p>
        </w:tc>
        <w:tc>
          <w:tcPr>
            <w:tcW w:type="dxa" w:w="3119"/>
            <w:shd w:fill="auto" w:val="clear"/>
          </w:tcPr>
          <w:p w14:paraId="6603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Обозначение</w:t>
            </w:r>
          </w:p>
        </w:tc>
        <w:tc>
          <w:tcPr>
            <w:tcW w:type="dxa" w:w="3119"/>
            <w:shd w:fill="auto" w:val="clear"/>
          </w:tcPr>
          <w:p w14:paraId="6703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Значение</w:t>
            </w:r>
          </w:p>
        </w:tc>
      </w:tr>
      <w:tr>
        <w:tc>
          <w:tcPr>
            <w:tcW w:type="dxa" w:w="3116"/>
            <w:shd w:fill="auto" w:val="clear"/>
          </w:tcPr>
          <w:p w14:paraId="6803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Мощность электродвигателя</w:t>
            </w:r>
          </w:p>
        </w:tc>
        <w:tc>
          <w:tcPr>
            <w:tcW w:type="dxa" w:w="3119"/>
            <w:shd w:fill="auto" w:val="clear"/>
          </w:tcPr>
          <w:p w14:paraId="69030000">
            <w:pPr>
              <w:spacing w:line="240" w:lineRule="auto"/>
              <w:ind w:firstLine="0" w:left="0"/>
              <w:rPr>
                <w:sz w:val="24"/>
              </w:rPr>
            </w:pPr>
            <m:oMathPara>
              <m:oMath>
                <m:sSub>
                  <m:e>
                    <m:r>
                      <w:rPr>
                        <w:rFonts w:ascii="Cambria Math" w:hAnsi="Cambria Math"/>
                        <w:sz w:val="24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</w:rPr>
                      <m:rPr>
                        <m:sty m:val="p"/>
                      </m:rPr>
                      <m:t>д</m:t>
                    </m:r>
                    <m:r>
                      <w:rPr>
                        <w:rFonts w:ascii="Cambria Math" w:hAnsi="Cambria Math"/>
                        <w:sz w:val="24"/>
                      </w:rPr>
                      <m:rPr>
                        <m:sty m:val="p"/>
                      </m:rPr>
                      <m:t>в</m:t>
                    </m:r>
                  </m:sub>
                </m:sSub>
              </m:oMath>
            </m:oMathPara>
          </w:p>
        </w:tc>
        <w:tc>
          <w:tcPr>
            <w:tcW w:type="dxa" w:w="3119"/>
            <w:shd w:fill="auto" w:val="clear"/>
          </w:tcPr>
          <w:p w14:paraId="6A03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11 кВт</w:t>
            </w:r>
          </w:p>
        </w:tc>
      </w:tr>
      <w:tr>
        <w:tc>
          <w:tcPr>
            <w:tcW w:type="dxa" w:w="3116"/>
            <w:shd w:fill="auto" w:val="clear"/>
          </w:tcPr>
          <w:p w14:paraId="6B03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Номинальная частота вращения двигателя</w:t>
            </w:r>
          </w:p>
        </w:tc>
        <w:tc>
          <w:tcPr>
            <w:tcW w:type="dxa" w:w="3119"/>
            <w:shd w:fill="auto" w:val="clear"/>
          </w:tcPr>
          <w:p w14:paraId="6C030000">
            <w:pPr>
              <w:spacing w:line="240" w:lineRule="auto"/>
              <w:ind w:firstLine="0" w:left="0"/>
              <w:rPr>
                <w:sz w:val="24"/>
              </w:rPr>
            </w:pPr>
            <m:oMathPara>
              <m:oMath>
                <m:sSub>
                  <m:e>
                    <m:r>
                      <w:rPr>
                        <w:rFonts w:ascii="Cambria Math" w:hAnsi="Cambria Math"/>
                        <w:sz w:val="24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</w:rPr>
                      <m:rPr>
                        <m:sty m:val="p"/>
                      </m:rPr>
                      <m:t>н</m:t>
                    </m:r>
                    <m:r>
                      <w:rPr>
                        <w:rFonts w:ascii="Cambria Math" w:hAnsi="Cambria Math"/>
                        <w:sz w:val="24"/>
                      </w:rPr>
                      <m:rPr>
                        <m:sty m:val="p"/>
                      </m:rPr>
                      <m:t>о</m:t>
                    </m:r>
                    <m:r>
                      <w:rPr>
                        <w:rFonts w:ascii="Cambria Math" w:hAnsi="Cambria Math"/>
                        <w:sz w:val="24"/>
                      </w:rPr>
                      <m:rPr>
                        <m:sty m:val="p"/>
                      </m:rPr>
                      <m:t>м</m:t>
                    </m:r>
                  </m:sub>
                </m:sSub>
              </m:oMath>
            </m:oMathPara>
          </w:p>
        </w:tc>
        <w:tc>
          <w:tcPr>
            <w:tcW w:type="dxa" w:w="3119"/>
            <w:shd w:fill="auto" w:val="clear"/>
          </w:tcPr>
          <w:p w14:paraId="6D03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3000 оборотов в минуту</w:t>
            </w:r>
          </w:p>
        </w:tc>
      </w:tr>
      <w:tr>
        <w:tc>
          <w:tcPr>
            <w:tcW w:type="dxa" w:w="3116"/>
            <w:shd w:fill="auto" w:val="clear"/>
          </w:tcPr>
          <w:p w14:paraId="6E03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Максимальная частота вращения двигателя</w:t>
            </w:r>
          </w:p>
        </w:tc>
        <w:tc>
          <w:tcPr>
            <w:tcW w:type="dxa" w:w="3119"/>
            <w:shd w:fill="auto" w:val="clear"/>
          </w:tcPr>
          <w:p w14:paraId="6F030000">
            <w:pPr>
              <w:spacing w:line="240" w:lineRule="auto"/>
              <w:ind w:firstLine="0" w:left="0"/>
              <w:rPr>
                <w:sz w:val="24"/>
              </w:rPr>
            </w:pPr>
            <m:oMathPara>
              <m:oMath>
                <m:sSub>
                  <m:e>
                    <m:r>
                      <w:rPr>
                        <w:rFonts w:ascii="Cambria Math" w:hAnsi="Cambria Math"/>
                        <w:sz w:val="24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</w:rPr>
                      <m:rPr>
                        <m:sty m:val="p"/>
                      </m:rPr>
                      <m:t>м</m:t>
                    </m:r>
                    <m:r>
                      <w:rPr>
                        <w:rFonts w:ascii="Cambria Math" w:hAnsi="Cambria Math"/>
                        <w:sz w:val="24"/>
                      </w:rPr>
                      <m:rPr>
                        <m:sty m:val="p"/>
                      </m:rPr>
                      <m:t>а</m:t>
                    </m:r>
                    <m:r>
                      <w:rPr>
                        <w:rFonts w:ascii="Cambria Math" w:hAnsi="Cambria Math"/>
                        <w:sz w:val="24"/>
                      </w:rPr>
                      <m:rPr>
                        <m:sty m:val="p"/>
                      </m:rPr>
                      <m:t>к</m:t>
                    </m:r>
                    <m:r>
                      <w:rPr>
                        <w:rFonts w:ascii="Cambria Math" w:hAnsi="Cambria Math"/>
                        <w:sz w:val="24"/>
                      </w:rPr>
                      <m:rPr>
                        <m:sty m:val="p"/>
                      </m:rPr>
                      <m:t>с</m:t>
                    </m:r>
                  </m:sub>
                </m:sSub>
              </m:oMath>
            </m:oMathPara>
          </w:p>
        </w:tc>
        <w:tc>
          <w:tcPr>
            <w:tcW w:type="dxa" w:w="3119"/>
            <w:shd w:fill="auto" w:val="clear"/>
          </w:tcPr>
          <w:p w14:paraId="7003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4000 оборотов в минуту</w:t>
            </w:r>
          </w:p>
        </w:tc>
      </w:tr>
      <w:tr>
        <w:tc>
          <w:tcPr>
            <w:tcW w:type="dxa" w:w="3116"/>
            <w:shd w:fill="auto" w:val="clear"/>
          </w:tcPr>
          <w:p w14:paraId="7103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Число зубьев шестерни</w:t>
            </w:r>
          </w:p>
        </w:tc>
        <w:tc>
          <w:tcPr>
            <w:tcW w:type="dxa" w:w="3119"/>
            <w:shd w:fill="auto" w:val="clear"/>
          </w:tcPr>
          <w:p w14:paraId="72030000">
            <w:pPr>
              <w:spacing w:line="240" w:lineRule="auto"/>
              <w:ind w:firstLine="0" w:left="0"/>
              <w:rPr>
                <w:sz w:val="24"/>
              </w:rPr>
            </w:pPr>
            <m:oMathPara>
              <m:oMath>
                <m:sSub>
                  <m:e>
                    <m:r>
                      <w:rPr>
                        <w:rFonts w:ascii="Cambria Math" w:hAnsi="Cambria Math"/>
                        <w:sz w:val="24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type="dxa" w:w="3119"/>
            <w:shd w:fill="auto" w:val="clear"/>
          </w:tcPr>
          <w:p w14:paraId="7303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</w:tr>
      <w:tr>
        <w:tc>
          <w:tcPr>
            <w:tcW w:type="dxa" w:w="3116"/>
            <w:shd w:fill="auto" w:val="clear"/>
          </w:tcPr>
          <w:p w14:paraId="7403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Число зубьев колеса</w:t>
            </w:r>
          </w:p>
        </w:tc>
        <w:tc>
          <w:tcPr>
            <w:tcW w:type="dxa" w:w="3119"/>
            <w:shd w:fill="auto" w:val="clear"/>
          </w:tcPr>
          <w:p w14:paraId="75030000">
            <w:pPr>
              <w:spacing w:line="240" w:lineRule="auto"/>
              <w:ind w:firstLine="0" w:left="0"/>
              <w:rPr>
                <w:sz w:val="24"/>
              </w:rPr>
            </w:pPr>
            <m:oMathPara>
              <m:oMath>
                <m:sSub>
                  <m:e>
                    <m:r>
                      <w:rPr>
                        <w:rFonts w:ascii="Cambria Math" w:hAnsi="Cambria Math"/>
                        <w:sz w:val="24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type="dxa" w:w="3119"/>
            <w:shd w:fill="auto" w:val="clear"/>
          </w:tcPr>
          <w:p w14:paraId="7603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</w:tr>
      <w:tr>
        <w:tc>
          <w:tcPr>
            <w:tcW w:type="dxa" w:w="3116"/>
            <w:shd w:fill="auto" w:val="clear"/>
          </w:tcPr>
          <w:p w14:paraId="7703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Модуль зубчатой передачи</w:t>
            </w:r>
          </w:p>
        </w:tc>
        <w:tc>
          <w:tcPr>
            <w:tcW w:type="dxa" w:w="3119"/>
            <w:shd w:fill="auto" w:val="clear"/>
          </w:tcPr>
          <w:p w14:paraId="78030000">
            <w:pPr>
              <w:spacing w:line="240" w:lineRule="auto"/>
              <w:ind w:firstLine="0" w:left="0"/>
              <w:rPr>
                <w:sz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</w:rPr>
                  <m:t>m</m:t>
                </m:r>
              </m:oMath>
            </m:oMathPara>
          </w:p>
        </w:tc>
        <w:tc>
          <w:tcPr>
            <w:tcW w:type="dxa" w:w="3119"/>
            <w:shd w:fill="auto" w:val="clear"/>
          </w:tcPr>
          <w:p w14:paraId="7903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2 мм</w:t>
            </w:r>
          </w:p>
        </w:tc>
      </w:tr>
      <w:tr>
        <w:tc>
          <w:tcPr>
            <w:tcW w:type="dxa" w:w="3116"/>
            <w:shd w:fill="auto" w:val="clear"/>
          </w:tcPr>
          <w:p w14:paraId="7A03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Диаметр ведущего шкива</w:t>
            </w:r>
          </w:p>
        </w:tc>
        <w:tc>
          <w:tcPr>
            <w:tcW w:type="dxa" w:w="3119"/>
            <w:shd w:fill="auto" w:val="clear"/>
          </w:tcPr>
          <w:p w14:paraId="7B030000">
            <w:pPr>
              <w:spacing w:line="240" w:lineRule="auto"/>
              <w:ind w:firstLine="0" w:left="0"/>
              <w:rPr>
                <w:sz w:val="24"/>
              </w:rPr>
            </w:pPr>
            <m:oMathPara>
              <m:oMath>
                <m:sSub>
                  <m:e>
                    <m:r>
                      <w:rPr>
                        <w:rFonts w:ascii="Cambria Math" w:hAnsi="Cambria Math"/>
                        <w:sz w:val="24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type="dxa" w:w="3119"/>
            <w:shd w:fill="auto" w:val="clear"/>
          </w:tcPr>
          <w:p w14:paraId="7C03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140 мм</w:t>
            </w:r>
          </w:p>
        </w:tc>
      </w:tr>
      <w:tr>
        <w:tc>
          <w:tcPr>
            <w:tcW w:type="dxa" w:w="3116"/>
            <w:shd w:fill="auto" w:val="clear"/>
          </w:tcPr>
          <w:p w14:paraId="7D03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Диаметр ведомого шкива</w:t>
            </w:r>
          </w:p>
        </w:tc>
        <w:tc>
          <w:tcPr>
            <w:tcW w:type="dxa" w:w="3119"/>
            <w:shd w:fill="auto" w:val="clear"/>
          </w:tcPr>
          <w:p w14:paraId="7E030000">
            <w:pPr>
              <w:spacing w:line="240" w:lineRule="auto"/>
              <w:ind w:firstLine="0" w:left="0"/>
              <w:rPr>
                <w:sz w:val="24"/>
              </w:rPr>
            </w:pPr>
            <m:oMathPara>
              <m:oMath>
                <m:sSub>
                  <m:e>
                    <m:r>
                      <w:rPr>
                        <w:rFonts w:ascii="Cambria Math" w:hAnsi="Cambria Math"/>
                        <w:sz w:val="24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type="dxa" w:w="3119"/>
            <w:shd w:fill="auto" w:val="clear"/>
          </w:tcPr>
          <w:p w14:paraId="7F03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180 мм</w:t>
            </w:r>
          </w:p>
        </w:tc>
      </w:tr>
      <w:tr>
        <w:tc>
          <w:tcPr>
            <w:tcW w:type="dxa" w:w="3116"/>
            <w:shd w:fill="auto" w:val="clear"/>
          </w:tcPr>
          <w:p w14:paraId="8003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Предварительное межосевое расстояние ременной передачи</w:t>
            </w:r>
          </w:p>
        </w:tc>
        <w:tc>
          <w:tcPr>
            <w:tcW w:type="dxa" w:w="3119"/>
            <w:shd w:fill="auto" w:val="clear"/>
          </w:tcPr>
          <w:p w14:paraId="81030000">
            <w:pPr>
              <w:spacing w:line="240" w:lineRule="auto"/>
              <w:ind w:firstLine="0" w:left="0"/>
              <w:rPr>
                <w:sz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</w:rPr>
                  <m:t>a</m:t>
                </m:r>
              </m:oMath>
            </m:oMathPara>
          </w:p>
        </w:tc>
        <w:tc>
          <w:tcPr>
            <w:tcW w:type="dxa" w:w="3119"/>
            <w:shd w:fill="auto" w:val="clear"/>
          </w:tcPr>
          <w:p w14:paraId="8203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250 мм</w:t>
            </w:r>
          </w:p>
        </w:tc>
      </w:tr>
    </w:tbl>
    <w:p w14:paraId="83030000"/>
    <w:p w14:paraId="84030000">
      <w:r>
        <w:t>Приведённые в таблице 14 параметры соответствуют характеристикам главного привода токарного станка предприятия; проверим их расчётом. Делительный диаметр шестерни зубчатой передачи определяется через модуль и число зубьев.</w:t>
      </w:r>
    </w:p>
    <w:p w14:paraId="85030000">
      <w:pPr>
        <w:ind w:firstLine="0" w:left="0"/>
        <w:jc w:val="left"/>
      </w:pPr>
    </w:p>
    <w:p w14:paraId="86030000">
      <w:pPr>
        <w:tabs>
          <w:tab w:leader="none" w:pos="4677" w:val="center"/>
          <w:tab w:leader="none" w:pos="9354" w:val="right"/>
        </w:tabs>
        <w:ind w:firstLine="0" w:left="0"/>
        <w:jc w:val="left"/>
      </w:pPr>
      <w:r>
        <w:tab/>
      </w:r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d</m:t>
              </m:r>
            </m:e>
            <m:sub>
              <m:r>
                <w:rPr>
                  <w:rFonts w:ascii="Cambria Math" w:hAnsi="Cambria Math"/>
                  <w:sz w:val="22"/>
                </w:rPr>
                <m:t>1</m:t>
              </m:r>
            </m:sub>
          </m:sSub>
          <m:r>
            <w:rPr>
              <w:rFonts w:ascii="Cambria Math" w:hAnsi="Cambria Math"/>
              <w:sz w:val="22"/>
            </w:rPr>
            <m:t>=m×</m:t>
          </m:r>
          <m:sSub>
            <m:e>
              <m:r>
                <w:rPr>
                  <w:rFonts w:ascii="Cambria Math" w:hAnsi="Cambria Math"/>
                  <w:sz w:val="22"/>
                </w:rPr>
                <m:t>z</m:t>
              </m:r>
            </m:e>
            <m:sub>
              <m:r>
                <w:rPr>
                  <w:rFonts w:ascii="Cambria Math" w:hAnsi="Cambria Math"/>
                  <w:sz w:val="22"/>
                </w:rPr>
                <m:t>1</m:t>
              </m:r>
            </m:sub>
          </m:sSub>
        </m:oMath>
      </m:oMathPara>
      <w:r>
        <w:tab/>
      </w:r>
      <w:r>
        <w:t>(12)</w:t>
      </w:r>
    </w:p>
    <w:p w14:paraId="87030000">
      <w:pPr>
        <w:ind w:firstLine="0" w:left="0"/>
        <w:jc w:val="left"/>
      </w:pPr>
    </w:p>
    <w:p w14:paraId="88030000">
      <w:r>
        <w:t xml:space="preserve">где </w:t>
      </w:r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d</m:t>
              </m:r>
            </m:e>
            <m:sub>
              <m:r>
                <w:rPr>
                  <w:rFonts w:ascii="Cambria Math" w:hAnsi="Cambria Math"/>
                  <w:sz w:val="22"/>
                </w:rPr>
                <m:t>1</m:t>
              </m:r>
            </m:sub>
          </m:sSub>
        </m:oMath>
      </m:oMathPara>
      <w:r>
        <w:t xml:space="preserve"> </w:t>
      </w:r>
      <w:r>
        <w:t>-</w:t>
      </w:r>
      <w:r>
        <w:t xml:space="preserve"> делительный диаметр шестерни, мм;</w:t>
      </w:r>
    </w:p>
    <w:p w14:paraId="89030000">
      <m:oMathPara>
        <m:oMath>
          <m:r>
            <w:rPr>
              <w:rFonts w:ascii="Cambria Math" w:hAnsi="Cambria Math"/>
              <w:sz w:val="22"/>
            </w:rPr>
            <m:t>m</m:t>
          </m:r>
        </m:oMath>
      </m:oMathPara>
      <w:r>
        <w:t xml:space="preserve"> </w:t>
      </w:r>
      <w:r>
        <w:t>-</w:t>
      </w:r>
      <w:r>
        <w:t xml:space="preserve"> модуль передачи, мм;</w:t>
      </w:r>
    </w:p>
    <w:p w14:paraId="8A030000"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z</m:t>
              </m:r>
            </m:e>
            <m:sub>
              <m:r>
                <w:rPr>
                  <w:rFonts w:ascii="Cambria Math" w:hAnsi="Cambria Math"/>
                  <w:sz w:val="22"/>
                </w:rPr>
                <m:t>1</m:t>
              </m:r>
            </m:sub>
          </m:sSub>
        </m:oMath>
      </m:oMathPara>
      <w:r>
        <w:t xml:space="preserve"> </w:t>
      </w:r>
      <w:r>
        <w:t>-</w:t>
      </w:r>
      <w:r>
        <w:t xml:space="preserve"> число зубьев шестерни.</w:t>
      </w:r>
    </w:p>
    <w:p w14:paraId="8B030000">
      <w:r>
        <w:t>Подставим значения.</w:t>
      </w:r>
    </w:p>
    <w:p w14:paraId="8C030000">
      <w:pPr>
        <w:ind w:firstLine="0" w:left="0"/>
        <w:jc w:val="left"/>
      </w:pPr>
    </w:p>
    <w:p w14:paraId="8D030000">
      <w:pPr>
        <w:ind w:firstLine="0" w:left="0"/>
        <w:jc w:val="center"/>
      </w:pPr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d</m:t>
              </m:r>
            </m:e>
            <m:sub>
              <m:r>
                <w:rPr>
                  <w:rFonts w:ascii="Cambria Math" w:hAnsi="Cambria Math"/>
                  <w:sz w:val="22"/>
                </w:rPr>
                <m:t>1</m:t>
              </m:r>
            </m:sub>
          </m:sSub>
          <m:r>
            <w:rPr>
              <w:rFonts w:ascii="Cambria Math" w:hAnsi="Cambria Math"/>
              <w:sz w:val="22"/>
            </w:rPr>
            <m:t>=2×32=64</m:t>
          </m:r>
        </m:oMath>
      </m:oMathPara>
    </w:p>
    <w:p w14:paraId="8E030000">
      <w:pPr>
        <w:ind w:firstLine="0" w:left="0"/>
        <w:jc w:val="left"/>
      </w:pPr>
    </w:p>
    <w:p w14:paraId="8F030000">
      <w:r>
        <w:t>Аналогично для зубчатого колеса:</w:t>
      </w:r>
    </w:p>
    <w:p w14:paraId="90030000">
      <w:pPr>
        <w:ind w:firstLine="0" w:left="0"/>
        <w:jc w:val="center"/>
      </w:pPr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d</m:t>
              </m:r>
            </m:e>
            <m:sub>
              <m:r>
                <w:rPr>
                  <w:rFonts w:ascii="Cambria Math" w:hAnsi="Cambria Math"/>
                  <w:sz w:val="22"/>
                </w:rPr>
                <m:t>2</m:t>
              </m:r>
            </m:sub>
          </m:sSub>
          <m:r>
            <w:rPr>
              <w:rFonts w:ascii="Cambria Math" w:hAnsi="Cambria Math"/>
              <w:sz w:val="22"/>
            </w:rPr>
            <m:t>=2×40=80</m:t>
          </m:r>
        </m:oMath>
      </m:oMathPara>
    </w:p>
    <w:p w14:paraId="91030000">
      <w:pPr>
        <w:ind w:firstLine="0" w:left="0"/>
        <w:jc w:val="left"/>
      </w:pPr>
    </w:p>
    <w:p w14:paraId="92030000">
      <w:r>
        <w:t>Делительные диаметры составляют 64 и 80 мм. Межосевое расстояние зубчатой передачи:</w:t>
      </w:r>
    </w:p>
    <w:p w14:paraId="93030000">
      <w:pPr>
        <w:ind w:firstLine="0" w:left="0"/>
        <w:jc w:val="left"/>
      </w:pPr>
    </w:p>
    <w:p w14:paraId="94030000">
      <w:pPr>
        <w:tabs>
          <w:tab w:leader="none" w:pos="4677" w:val="center"/>
          <w:tab w:leader="none" w:pos="9354" w:val="right"/>
        </w:tabs>
        <w:ind w:firstLine="0" w:left="0"/>
        <w:jc w:val="left"/>
      </w:pPr>
      <w:r>
        <w:tab/>
      </w:r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a</m:t>
              </m:r>
            </m:e>
            <m:sub>
              <m:r>
                <w:rPr>
                  <w:rFonts w:ascii="Cambria Math" w:hAnsi="Cambria Math"/>
                  <w:sz w:val="22"/>
                </w:rPr>
                <m:t>w</m:t>
              </m:r>
            </m:sub>
          </m:sSub>
          <m:r>
            <w:rPr>
              <w:rFonts w:ascii="Cambria Math" w:hAnsi="Cambria Math"/>
              <w:sz w:val="22"/>
            </w:rPr>
            <m:t>=</m:t>
          </m:r>
          <m:f>
            <m:fPr>
              <m:type m:val="bar"/>
            </m:fPr>
            <m:num>
              <m:sSub>
                <m:e>
                  <m:r>
                    <w:rPr>
                      <w:rFonts w:ascii="Cambria Math" w:hAnsi="Cambria Math"/>
                      <w:sz w:val="22"/>
                    </w:rPr>
                    <m:t>d</m:t>
                  </m:r>
                </m:e>
                <m:sub>
                  <m:r>
                    <w:rPr>
                      <w:rFonts w:ascii="Cambria Math" w:hAnsi="Cambria Math"/>
                      <w:sz w:val="22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z w:val="22"/>
                </w:rPr>
                <m:t>+</m:t>
              </m:r>
              <m:sSub>
                <m:e>
                  <m:r>
                    <w:rPr>
                      <w:rFonts w:ascii="Cambria Math" w:hAnsi="Cambria Math"/>
                      <w:sz w:val="22"/>
                    </w:rPr>
                    <m:t>d</m:t>
                  </m:r>
                </m:e>
                <m:sub>
                  <m:r>
                    <w:rPr>
                      <w:rFonts w:ascii="Cambria Math" w:hAnsi="Cambria Math"/>
                      <w:sz w:val="22"/>
                    </w:rPr>
                    <m:t>2</m:t>
                  </m:r>
                </m:sub>
              </m:sSub>
            </m:num>
            <m:den>
              <m:r>
                <w:rPr>
                  <w:rFonts w:ascii="Cambria Math" w:hAnsi="Cambria Math"/>
                  <w:sz w:val="22"/>
                </w:rPr>
                <m:t>2</m:t>
              </m:r>
            </m:den>
          </m:f>
        </m:oMath>
      </m:oMathPara>
      <w:r>
        <w:tab/>
      </w:r>
      <w:r>
        <w:t>(13)</w:t>
      </w:r>
    </w:p>
    <w:p w14:paraId="95030000">
      <w:pPr>
        <w:ind w:firstLine="0" w:left="0"/>
        <w:jc w:val="left"/>
      </w:pPr>
    </w:p>
    <w:p w14:paraId="96030000">
      <w:r>
        <w:t xml:space="preserve">где </w:t>
      </w:r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a</m:t>
              </m:r>
            </m:e>
            <m:sub>
              <m:r>
                <w:rPr>
                  <w:rFonts w:ascii="Cambria Math" w:hAnsi="Cambria Math"/>
                  <w:sz w:val="22"/>
                </w:rPr>
                <m:t>w</m:t>
              </m:r>
            </m:sub>
          </m:sSub>
        </m:oMath>
      </m:oMathPara>
      <w:r>
        <w:t xml:space="preserve"> </w:t>
      </w:r>
      <w:r>
        <w:t>-</w:t>
      </w:r>
      <w:r>
        <w:t xml:space="preserve"> межосевое расстояние зубчатой передачи, мм;</w:t>
      </w:r>
    </w:p>
    <w:p w14:paraId="97030000"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d</m:t>
              </m:r>
            </m:e>
            <m:sub>
              <m:r>
                <w:rPr>
                  <w:rFonts w:ascii="Cambria Math" w:hAnsi="Cambria Math"/>
                  <w:sz w:val="22"/>
                </w:rPr>
                <m:t>1</m:t>
              </m:r>
            </m:sub>
          </m:sSub>
        </m:oMath>
      </m:oMathPara>
      <w:r>
        <w:t xml:space="preserve"> </w:t>
      </w:r>
      <w:r>
        <w:t>-</w:t>
      </w:r>
      <w:r>
        <w:t xml:space="preserve"> делительный диаметр шестерни, мм;</w:t>
      </w:r>
    </w:p>
    <w:p w14:paraId="98030000"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d</m:t>
              </m:r>
            </m:e>
            <m:sub>
              <m:r>
                <w:rPr>
                  <w:rFonts w:ascii="Cambria Math" w:hAnsi="Cambria Math"/>
                  <w:sz w:val="22"/>
                </w:rPr>
                <m:t>2</m:t>
              </m:r>
            </m:sub>
          </m:sSub>
        </m:oMath>
      </m:oMathPara>
      <w:r>
        <w:t xml:space="preserve"> </w:t>
      </w:r>
      <w:r>
        <w:t>-</w:t>
      </w:r>
      <w:r>
        <w:t xml:space="preserve"> делительный диаметр колеса, мм.</w:t>
      </w:r>
    </w:p>
    <w:p w14:paraId="99030000">
      <w:r>
        <w:t>Подставим значения.</w:t>
      </w:r>
    </w:p>
    <w:p w14:paraId="9A030000">
      <w:pPr>
        <w:ind w:firstLine="0" w:left="0"/>
        <w:jc w:val="left"/>
      </w:pPr>
    </w:p>
    <w:p w14:paraId="9B030000">
      <w:pPr>
        <w:ind w:firstLine="0" w:left="0"/>
        <w:jc w:val="center"/>
      </w:pPr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a</m:t>
              </m:r>
            </m:e>
            <m:sub>
              <m:r>
                <w:rPr>
                  <w:rFonts w:ascii="Cambria Math" w:hAnsi="Cambria Math"/>
                  <w:sz w:val="22"/>
                </w:rPr>
                <m:t>w</m:t>
              </m:r>
            </m:sub>
          </m:sSub>
          <m:r>
            <w:rPr>
              <w:rFonts w:ascii="Cambria Math" w:hAnsi="Cambria Math"/>
              <w:sz w:val="22"/>
            </w:rPr>
            <m:t>=</m:t>
          </m:r>
          <m:f>
            <m:fPr>
              <m:type m:val="bar"/>
            </m:fPr>
            <m:num>
              <m:r>
                <w:rPr>
                  <w:rFonts w:ascii="Cambria Math" w:hAnsi="Cambria Math"/>
                  <w:sz w:val="22"/>
                </w:rPr>
                <m:t>64+80</m:t>
              </m:r>
            </m:num>
            <m:den>
              <m:r>
                <w:rPr>
                  <w:rFonts w:ascii="Cambria Math" w:hAnsi="Cambria Math"/>
                  <w:sz w:val="22"/>
                </w:rPr>
                <m:t>2</m:t>
              </m:r>
            </m:den>
          </m:f>
          <m:r>
            <w:rPr>
              <w:rFonts w:ascii="Cambria Math" w:hAnsi="Cambria Math"/>
              <w:sz w:val="22"/>
            </w:rPr>
            <m:t>=72</m:t>
          </m:r>
        </m:oMath>
      </m:oMathPara>
    </w:p>
    <w:p w14:paraId="9C030000">
      <w:pPr>
        <w:ind w:firstLine="0" w:left="0"/>
        <w:jc w:val="left"/>
      </w:pPr>
    </w:p>
    <w:p w14:paraId="9D030000">
      <w:r>
        <w:t>Межосевое расстояние зубчатой ступени составляет 72 мм. Передаточное число зубчатой ступени:</w:t>
      </w:r>
    </w:p>
    <w:p w14:paraId="9E030000">
      <w:pPr>
        <w:ind w:firstLine="0" w:left="0"/>
        <w:jc w:val="left"/>
      </w:pPr>
    </w:p>
    <w:p w14:paraId="9F030000">
      <w:pPr>
        <w:tabs>
          <w:tab w:leader="none" w:pos="4677" w:val="center"/>
          <w:tab w:leader="none" w:pos="9354" w:val="right"/>
        </w:tabs>
        <w:ind w:firstLine="0" w:left="0"/>
        <w:jc w:val="left"/>
      </w:pPr>
      <w:r>
        <w:tab/>
      </w:r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i</m:t>
              </m:r>
            </m:e>
            <m:sub>
              <m:r>
                <w:rPr>
                  <w:rFonts w:ascii="Cambria Math" w:hAnsi="Cambria Math"/>
                  <w:sz w:val="22"/>
                </w:rPr>
                <m:t>1</m:t>
              </m:r>
            </m:sub>
          </m:sSub>
          <m:r>
            <w:rPr>
              <w:rFonts w:ascii="Cambria Math" w:hAnsi="Cambria Math"/>
              <w:sz w:val="22"/>
            </w:rPr>
            <m:t>=</m:t>
          </m:r>
          <m:f>
            <m:fPr>
              <m:type m:val="bar"/>
            </m:fPr>
            <m:num>
              <m:sSub>
                <m:e>
                  <m:r>
                    <w:rPr>
                      <w:rFonts w:ascii="Cambria Math" w:hAnsi="Cambria Math"/>
                      <w:sz w:val="22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  <w:sz w:val="22"/>
                    </w:rPr>
                    <m:t>2</m:t>
                  </m:r>
                </m:sub>
              </m:sSub>
            </m:num>
            <m:den>
              <m:sSub>
                <m:e>
                  <m:r>
                    <w:rPr>
                      <w:rFonts w:ascii="Cambria Math" w:hAnsi="Cambria Math"/>
                      <w:sz w:val="22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  <w:sz w:val="22"/>
                    </w:rPr>
                    <m:t>1</m:t>
                  </m:r>
                </m:sub>
              </m:sSub>
            </m:den>
          </m:f>
        </m:oMath>
      </m:oMathPara>
      <w:r>
        <w:tab/>
      </w:r>
      <w:r>
        <w:t>(14)</w:t>
      </w:r>
    </w:p>
    <w:p w14:paraId="A0030000">
      <w:pPr>
        <w:ind w:firstLine="0" w:left="0"/>
        <w:jc w:val="left"/>
      </w:pPr>
    </w:p>
    <w:p w14:paraId="A1030000">
      <w:r>
        <w:t xml:space="preserve">где </w:t>
      </w:r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i</m:t>
              </m:r>
            </m:e>
            <m:sub>
              <m:r>
                <w:rPr>
                  <w:rFonts w:ascii="Cambria Math" w:hAnsi="Cambria Math"/>
                  <w:sz w:val="22"/>
                </w:rPr>
                <m:t>1</m:t>
              </m:r>
            </m:sub>
          </m:sSub>
        </m:oMath>
      </m:oMathPara>
      <w:r>
        <w:t xml:space="preserve"> </w:t>
      </w:r>
      <w:r>
        <w:t>-</w:t>
      </w:r>
      <w:r>
        <w:t xml:space="preserve"> передаточное число зубчатой ступени;</w:t>
      </w:r>
    </w:p>
    <w:p w14:paraId="A2030000"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z</m:t>
              </m:r>
            </m:e>
            <m:sub>
              <m:r>
                <w:rPr>
                  <w:rFonts w:ascii="Cambria Math" w:hAnsi="Cambria Math"/>
                  <w:sz w:val="22"/>
                </w:rPr>
                <m:t>2</m:t>
              </m:r>
            </m:sub>
          </m:sSub>
        </m:oMath>
      </m:oMathPara>
      <w:r>
        <w:t xml:space="preserve"> </w:t>
      </w:r>
      <w:r>
        <w:t>-</w:t>
      </w:r>
      <w:r>
        <w:t xml:space="preserve"> число зубьев колеса;</w:t>
      </w:r>
    </w:p>
    <w:p w14:paraId="A3030000"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z</m:t>
              </m:r>
            </m:e>
            <m:sub>
              <m:r>
                <w:rPr>
                  <w:rFonts w:ascii="Cambria Math" w:hAnsi="Cambria Math"/>
                  <w:sz w:val="22"/>
                </w:rPr>
                <m:t>1</m:t>
              </m:r>
            </m:sub>
          </m:sSub>
        </m:oMath>
      </m:oMathPara>
      <w:r>
        <w:t xml:space="preserve"> </w:t>
      </w:r>
      <w:r>
        <w:t>-</w:t>
      </w:r>
      <w:r>
        <w:t xml:space="preserve"> число зубьев шестерни.</w:t>
      </w:r>
    </w:p>
    <w:p w14:paraId="A4030000">
      <w:r>
        <w:t>Подставим значения.</w:t>
      </w:r>
    </w:p>
    <w:p w14:paraId="A5030000">
      <w:pPr>
        <w:ind w:firstLine="0" w:left="0"/>
        <w:jc w:val="left"/>
      </w:pPr>
    </w:p>
    <w:p w14:paraId="A6030000">
      <w:pPr>
        <w:ind w:firstLine="0" w:left="0"/>
        <w:jc w:val="center"/>
      </w:pPr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i</m:t>
              </m:r>
            </m:e>
            <m:sub>
              <m:r>
                <w:rPr>
                  <w:rFonts w:ascii="Cambria Math" w:hAnsi="Cambria Math"/>
                  <w:sz w:val="22"/>
                </w:rPr>
                <m:t>1</m:t>
              </m:r>
            </m:sub>
          </m:sSub>
          <m:r>
            <w:rPr>
              <w:rFonts w:ascii="Cambria Math" w:hAnsi="Cambria Math"/>
              <w:sz w:val="22"/>
            </w:rPr>
            <m:t>=</m:t>
          </m:r>
          <m:f>
            <m:fPr>
              <m:type m:val="bar"/>
            </m:fPr>
            <m:num>
              <m:r>
                <w:rPr>
                  <w:rFonts w:ascii="Cambria Math" w:hAnsi="Cambria Math"/>
                  <w:sz w:val="22"/>
                </w:rPr>
                <m:t>40</m:t>
              </m:r>
            </m:num>
            <m:den>
              <m:r>
                <w:rPr>
                  <w:rFonts w:ascii="Cambria Math" w:hAnsi="Cambria Math"/>
                  <w:sz w:val="22"/>
                </w:rPr>
                <m:t>32</m:t>
              </m:r>
            </m:den>
          </m:f>
          <m:r>
            <w:rPr>
              <w:rFonts w:ascii="Cambria Math" w:hAnsi="Cambria Math"/>
              <w:sz w:val="22"/>
            </w:rPr>
            <m:t>=</m:t>
          </m:r>
          <m:r>
            <w:rPr>
              <w:rFonts w:ascii="Cambria Math" w:hAnsi="Cambria Math"/>
              <w:sz w:val="22"/>
            </w:rPr>
            <m:rPr>
              <m:sty m:val="p"/>
            </m:rPr>
            <m:t>1,25</m:t>
          </m:r>
        </m:oMath>
      </m:oMathPara>
    </w:p>
    <w:p w14:paraId="A7030000">
      <w:pPr>
        <w:ind w:firstLine="0" w:left="0"/>
        <w:jc w:val="left"/>
      </w:pPr>
    </w:p>
    <w:p w14:paraId="A8030000">
      <w:r>
        <w:t>Передаточное число ременной ступени:</w:t>
      </w:r>
    </w:p>
    <w:p w14:paraId="A9030000">
      <w:pPr>
        <w:ind w:firstLine="0" w:left="0"/>
        <w:jc w:val="left"/>
      </w:pPr>
    </w:p>
    <w:p w14:paraId="AA030000">
      <w:pPr>
        <w:tabs>
          <w:tab w:leader="none" w:pos="4677" w:val="center"/>
          <w:tab w:leader="none" w:pos="9354" w:val="right"/>
        </w:tabs>
        <w:ind w:firstLine="0" w:left="0"/>
        <w:jc w:val="left"/>
      </w:pPr>
      <w:r>
        <w:tab/>
      </w:r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i</m:t>
              </m:r>
            </m:e>
            <m:sub>
              <m:r>
                <w:rPr>
                  <w:rFonts w:ascii="Cambria Math" w:hAnsi="Cambria Math"/>
                  <w:sz w:val="22"/>
                </w:rPr>
                <m:t>2</m:t>
              </m:r>
            </m:sub>
          </m:sSub>
          <m:r>
            <w:rPr>
              <w:rFonts w:ascii="Cambria Math" w:hAnsi="Cambria Math"/>
              <w:sz w:val="22"/>
            </w:rPr>
            <m:t>=</m:t>
          </m:r>
          <m:f>
            <m:fPr>
              <m:type m:val="bar"/>
            </m:fPr>
            <m:num>
              <m:sSub>
                <m:e>
                  <m:r>
                    <w:rPr>
                      <w:rFonts w:ascii="Cambria Math" w:hAnsi="Cambria Math"/>
                      <w:sz w:val="22"/>
                    </w:rPr>
                    <m:t>D</m:t>
                  </m:r>
                </m:e>
                <m:sub>
                  <m:r>
                    <w:rPr>
                      <w:rFonts w:ascii="Cambria Math" w:hAnsi="Cambria Math"/>
                      <w:sz w:val="22"/>
                    </w:rPr>
                    <m:t>2</m:t>
                  </m:r>
                </m:sub>
              </m:sSub>
            </m:num>
            <m:den>
              <m:sSub>
                <m:e>
                  <m:r>
                    <w:rPr>
                      <w:rFonts w:ascii="Cambria Math" w:hAnsi="Cambria Math"/>
                      <w:sz w:val="22"/>
                    </w:rPr>
                    <m:t>D</m:t>
                  </m:r>
                </m:e>
                <m:sub>
                  <m:r>
                    <w:rPr>
                      <w:rFonts w:ascii="Cambria Math" w:hAnsi="Cambria Math"/>
                      <w:sz w:val="22"/>
                    </w:rPr>
                    <m:t>1</m:t>
                  </m:r>
                </m:sub>
              </m:sSub>
            </m:den>
          </m:f>
        </m:oMath>
      </m:oMathPara>
      <w:r>
        <w:tab/>
      </w:r>
      <w:r>
        <w:t>(15)</w:t>
      </w:r>
    </w:p>
    <w:p w14:paraId="AB030000">
      <w:pPr>
        <w:ind w:firstLine="0" w:left="0"/>
        <w:jc w:val="left"/>
      </w:pPr>
    </w:p>
    <w:p w14:paraId="AC030000">
      <w:r>
        <w:t xml:space="preserve">где </w:t>
      </w:r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i</m:t>
              </m:r>
            </m:e>
            <m:sub>
              <m:r>
                <w:rPr>
                  <w:rFonts w:ascii="Cambria Math" w:hAnsi="Cambria Math"/>
                  <w:sz w:val="22"/>
                </w:rPr>
                <m:t>2</m:t>
              </m:r>
            </m:sub>
          </m:sSub>
        </m:oMath>
      </m:oMathPara>
      <w:r>
        <w:t xml:space="preserve"> </w:t>
      </w:r>
      <w:r>
        <w:t>-</w:t>
      </w:r>
      <w:r>
        <w:t xml:space="preserve"> передаточное число ременной ступени;</w:t>
      </w:r>
    </w:p>
    <w:p w14:paraId="AD030000"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D</m:t>
              </m:r>
            </m:e>
            <m:sub>
              <m:r>
                <w:rPr>
                  <w:rFonts w:ascii="Cambria Math" w:hAnsi="Cambria Math"/>
                  <w:sz w:val="22"/>
                </w:rPr>
                <m:t>2</m:t>
              </m:r>
            </m:sub>
          </m:sSub>
        </m:oMath>
      </m:oMathPara>
      <w:r>
        <w:t xml:space="preserve"> </w:t>
      </w:r>
      <w:r>
        <w:t>-</w:t>
      </w:r>
      <w:r>
        <w:t xml:space="preserve"> диаметр ведомого шкива, мм;</w:t>
      </w:r>
    </w:p>
    <w:p w14:paraId="AE030000"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D</m:t>
              </m:r>
            </m:e>
            <m:sub>
              <m:r>
                <w:rPr>
                  <w:rFonts w:ascii="Cambria Math" w:hAnsi="Cambria Math"/>
                  <w:sz w:val="22"/>
                </w:rPr>
                <m:t>1</m:t>
              </m:r>
            </m:sub>
          </m:sSub>
        </m:oMath>
      </m:oMathPara>
      <w:r>
        <w:t xml:space="preserve"> </w:t>
      </w:r>
      <w:r>
        <w:t>-</w:t>
      </w:r>
      <w:r>
        <w:t xml:space="preserve"> диаметр ведущего шкива, мм.</w:t>
      </w:r>
    </w:p>
    <w:p w14:paraId="AF030000">
      <w:r>
        <w:t>Подставим значения.</w:t>
      </w:r>
    </w:p>
    <w:p w14:paraId="B0030000">
      <w:pPr>
        <w:ind w:firstLine="0" w:left="0"/>
        <w:jc w:val="left"/>
      </w:pPr>
    </w:p>
    <w:p w14:paraId="B1030000">
      <w:pPr>
        <w:ind w:firstLine="0" w:left="0"/>
        <w:jc w:val="center"/>
      </w:pPr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i</m:t>
              </m:r>
            </m:e>
            <m:sub>
              <m:r>
                <w:rPr>
                  <w:rFonts w:ascii="Cambria Math" w:hAnsi="Cambria Math"/>
                  <w:sz w:val="22"/>
                </w:rPr>
                <m:t>2</m:t>
              </m:r>
            </m:sub>
          </m:sSub>
          <m:r>
            <w:rPr>
              <w:rFonts w:ascii="Cambria Math" w:hAnsi="Cambria Math"/>
              <w:sz w:val="22"/>
            </w:rPr>
            <m:t>=</m:t>
          </m:r>
          <m:f>
            <m:fPr>
              <m:type m:val="bar"/>
            </m:fPr>
            <m:num>
              <m:r>
                <w:rPr>
                  <w:rFonts w:ascii="Cambria Math" w:hAnsi="Cambria Math"/>
                  <w:sz w:val="22"/>
                </w:rPr>
                <m:t>180</m:t>
              </m:r>
            </m:num>
            <m:den>
              <m:r>
                <w:rPr>
                  <w:rFonts w:ascii="Cambria Math" w:hAnsi="Cambria Math"/>
                  <w:sz w:val="22"/>
                </w:rPr>
                <m:t>140</m:t>
              </m:r>
            </m:den>
          </m:f>
          <m:r>
            <w:rPr>
              <w:rFonts w:ascii="Cambria Math" w:hAnsi="Cambria Math"/>
              <w:sz w:val="22"/>
            </w:rPr>
            <m:t>=</m:t>
          </m:r>
          <m:r>
            <w:rPr>
              <w:rFonts w:ascii="Cambria Math" w:hAnsi="Cambria Math"/>
              <w:sz w:val="22"/>
            </w:rPr>
            <m:rPr>
              <m:sty m:val="p"/>
            </m:rPr>
            <m:t>1,29</m:t>
          </m:r>
        </m:oMath>
      </m:oMathPara>
    </w:p>
    <w:p w14:paraId="B2030000">
      <w:pPr>
        <w:ind w:firstLine="0" w:left="0"/>
        <w:jc w:val="left"/>
      </w:pPr>
    </w:p>
    <w:p w14:paraId="B3030000">
      <w:r>
        <w:t>Общее передаточное число привода:</w:t>
      </w:r>
    </w:p>
    <w:p w14:paraId="B4030000">
      <w:pPr>
        <w:ind w:firstLine="0" w:left="0"/>
        <w:jc w:val="left"/>
      </w:pPr>
    </w:p>
    <w:p w14:paraId="B5030000">
      <w:pPr>
        <w:tabs>
          <w:tab w:leader="none" w:pos="4677" w:val="center"/>
          <w:tab w:leader="none" w:pos="9354" w:val="right"/>
        </w:tabs>
        <w:ind w:firstLine="0" w:left="0"/>
        <w:jc w:val="left"/>
      </w:pPr>
      <w:r>
        <w:tab/>
      </w:r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i</m:t>
              </m:r>
            </m:e>
            <m:sub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о</m:t>
              </m:r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б</m:t>
              </m:r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щ</m:t>
              </m:r>
            </m:sub>
          </m:sSub>
          <m:r>
            <w:rPr>
              <w:rFonts w:ascii="Cambria Math" w:hAnsi="Cambria Math"/>
              <w:sz w:val="22"/>
            </w:rPr>
            <m:t>=</m:t>
          </m:r>
          <m:sSub>
            <m:e>
              <m:r>
                <w:rPr>
                  <w:rFonts w:ascii="Cambria Math" w:hAnsi="Cambria Math"/>
                  <w:sz w:val="22"/>
                </w:rPr>
                <m:t>i</m:t>
              </m:r>
            </m:e>
            <m:sub>
              <m:r>
                <w:rPr>
                  <w:rFonts w:ascii="Cambria Math" w:hAnsi="Cambria Math"/>
                  <w:sz w:val="22"/>
                </w:rPr>
                <m:t>1</m:t>
              </m:r>
            </m:sub>
          </m:sSub>
          <m:r>
            <w:rPr>
              <w:rFonts w:ascii="Cambria Math" w:hAnsi="Cambria Math"/>
              <w:sz w:val="22"/>
            </w:rPr>
            <m:t>×</m:t>
          </m:r>
          <m:sSub>
            <m:e>
              <m:r>
                <w:rPr>
                  <w:rFonts w:ascii="Cambria Math" w:hAnsi="Cambria Math"/>
                  <w:sz w:val="22"/>
                </w:rPr>
                <m:t>i</m:t>
              </m:r>
            </m:e>
            <m:sub>
              <m:r>
                <w:rPr>
                  <w:rFonts w:ascii="Cambria Math" w:hAnsi="Cambria Math"/>
                  <w:sz w:val="22"/>
                </w:rPr>
                <m:t>2</m:t>
              </m:r>
            </m:sub>
          </m:sSub>
        </m:oMath>
      </m:oMathPara>
      <w:r>
        <w:tab/>
      </w:r>
      <w:r>
        <w:t>(16)</w:t>
      </w:r>
    </w:p>
    <w:p w14:paraId="B6030000">
      <w:pPr>
        <w:ind w:firstLine="0" w:left="0"/>
        <w:jc w:val="left"/>
      </w:pPr>
    </w:p>
    <w:p w14:paraId="B7030000">
      <w:r>
        <w:t xml:space="preserve">где </w:t>
      </w:r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i</m:t>
              </m:r>
            </m:e>
            <m:sub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о</m:t>
              </m:r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б</m:t>
              </m:r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щ</m:t>
              </m:r>
            </m:sub>
          </m:sSub>
        </m:oMath>
      </m:oMathPara>
      <w:r>
        <w:t xml:space="preserve"> </w:t>
      </w:r>
      <w:r>
        <w:t>-</w:t>
      </w:r>
      <w:r>
        <w:t xml:space="preserve"> общее передаточное число привода;</w:t>
      </w:r>
    </w:p>
    <w:p w14:paraId="B8030000"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i</m:t>
              </m:r>
            </m:e>
            <m:sub>
              <m:r>
                <w:rPr>
                  <w:rFonts w:ascii="Cambria Math" w:hAnsi="Cambria Math"/>
                  <w:sz w:val="22"/>
                </w:rPr>
                <m:t>1</m:t>
              </m:r>
            </m:sub>
          </m:sSub>
        </m:oMath>
      </m:oMathPara>
      <w:r>
        <w:t xml:space="preserve"> </w:t>
      </w:r>
      <w:r>
        <w:t>-</w:t>
      </w:r>
      <w:r>
        <w:t xml:space="preserve"> передаточное число зубчатой ступени;</w:t>
      </w:r>
    </w:p>
    <w:p w14:paraId="B9030000"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i</m:t>
              </m:r>
            </m:e>
            <m:sub>
              <m:r>
                <w:rPr>
                  <w:rFonts w:ascii="Cambria Math" w:hAnsi="Cambria Math"/>
                  <w:sz w:val="22"/>
                </w:rPr>
                <m:t>2</m:t>
              </m:r>
            </m:sub>
          </m:sSub>
        </m:oMath>
      </m:oMathPara>
      <w:r>
        <w:t xml:space="preserve"> </w:t>
      </w:r>
      <w:r>
        <w:t>-</w:t>
      </w:r>
      <w:r>
        <w:t xml:space="preserve"> передаточное число ременной ступени.</w:t>
      </w:r>
    </w:p>
    <w:p w14:paraId="BA030000">
      <w:r>
        <w:t>Подставим значения.</w:t>
      </w:r>
    </w:p>
    <w:p w14:paraId="BB030000">
      <w:pPr>
        <w:ind w:firstLine="0" w:left="0"/>
        <w:jc w:val="left"/>
      </w:pPr>
    </w:p>
    <w:p w14:paraId="BC030000">
      <w:pPr>
        <w:ind w:firstLine="0" w:left="0"/>
        <w:jc w:val="center"/>
      </w:pPr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i</m:t>
              </m:r>
            </m:e>
            <m:sub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о</m:t>
              </m:r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б</m:t>
              </m:r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щ</m:t>
              </m:r>
            </m:sub>
          </m:sSub>
          <m:r>
            <w:rPr>
              <w:rFonts w:ascii="Cambria Math" w:hAnsi="Cambria Math"/>
              <w:sz w:val="22"/>
            </w:rPr>
            <m:t>=</m:t>
          </m:r>
          <m:r>
            <w:rPr>
              <w:rFonts w:ascii="Cambria Math" w:hAnsi="Cambria Math"/>
              <w:sz w:val="22"/>
            </w:rPr>
            <m:rPr>
              <m:sty m:val="p"/>
            </m:rPr>
            <m:t>1,25</m:t>
          </m:r>
          <m:r>
            <w:rPr>
              <w:rFonts w:ascii="Cambria Math" w:hAnsi="Cambria Math"/>
              <w:sz w:val="22"/>
            </w:rPr>
            <m:t>×</m:t>
          </m:r>
          <m:r>
            <w:rPr>
              <w:rFonts w:ascii="Cambria Math" w:hAnsi="Cambria Math"/>
              <w:sz w:val="22"/>
            </w:rPr>
            <m:rPr>
              <m:sty m:val="p"/>
            </m:rPr>
            <m:t>1,29</m:t>
          </m:r>
          <m:r>
            <w:rPr>
              <w:rFonts w:ascii="Cambria Math" w:hAnsi="Cambria Math"/>
              <w:sz w:val="22"/>
            </w:rPr>
            <m:t>=</m:t>
          </m:r>
          <m:r>
            <w:rPr>
              <w:rFonts w:ascii="Cambria Math" w:hAnsi="Cambria Math"/>
              <w:sz w:val="22"/>
            </w:rPr>
            <m:rPr>
              <m:sty m:val="p"/>
            </m:rPr>
            <m:t>1,61</m:t>
          </m:r>
        </m:oMath>
      </m:oMathPara>
    </w:p>
    <w:p w14:paraId="BD030000">
      <w:pPr>
        <w:ind w:firstLine="0" w:left="0"/>
        <w:jc w:val="left"/>
      </w:pPr>
    </w:p>
    <w:p w14:paraId="BE030000">
      <w:r>
        <w:t>Общее передаточное число привода составляет 1,61. Выполним поверочный расчёт максимальной частоты вращения шпинделя.</w:t>
      </w:r>
    </w:p>
    <w:p w14:paraId="BF030000">
      <w:pPr>
        <w:ind w:firstLine="0" w:left="0"/>
        <w:jc w:val="left"/>
      </w:pPr>
    </w:p>
    <w:p w14:paraId="C0030000">
      <w:pPr>
        <w:tabs>
          <w:tab w:leader="none" w:pos="4677" w:val="center"/>
          <w:tab w:leader="none" w:pos="9354" w:val="right"/>
        </w:tabs>
        <w:ind w:firstLine="0" w:left="0"/>
        <w:jc w:val="left"/>
      </w:pPr>
      <w:r>
        <w:tab/>
      </w:r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n</m:t>
              </m:r>
            </m:e>
            <m:sub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ш</m:t>
              </m:r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п</m:t>
              </m:r>
            </m:sub>
          </m:sSub>
          <m:r>
            <w:rPr>
              <w:rFonts w:ascii="Cambria Math" w:hAnsi="Cambria Math"/>
              <w:sz w:val="22"/>
            </w:rPr>
            <m:t>=</m:t>
          </m:r>
          <m:f>
            <m:fPr>
              <m:type m:val="bar"/>
            </m:fPr>
            <m:num>
              <m:sSub>
                <m:e>
                  <m:r>
                    <w:rPr>
                      <w:rFonts w:ascii="Cambria Math" w:hAnsi="Cambria Math"/>
                      <w:sz w:val="22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sz w:val="22"/>
                    </w:rPr>
                    <m:rPr>
                      <m:sty m:val="p"/>
                    </m:rPr>
                    <m:t>д</m:t>
                  </m:r>
                  <m:r>
                    <w:rPr>
                      <w:rFonts w:ascii="Cambria Math" w:hAnsi="Cambria Math"/>
                      <w:sz w:val="22"/>
                    </w:rPr>
                    <m:rPr>
                      <m:sty m:val="p"/>
                    </m:rPr>
                    <m:t>в</m:t>
                  </m:r>
                </m:sub>
              </m:sSub>
            </m:num>
            <m:den>
              <m:sSub>
                <m:e>
                  <m:r>
                    <w:rPr>
                      <w:rFonts w:ascii="Cambria Math" w:hAnsi="Cambria Math"/>
                      <w:sz w:val="22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sz w:val="22"/>
                    </w:rPr>
                    <m:rPr>
                      <m:sty m:val="p"/>
                    </m:rPr>
                    <m:t>о</m:t>
                  </m:r>
                  <m:r>
                    <w:rPr>
                      <w:rFonts w:ascii="Cambria Math" w:hAnsi="Cambria Math"/>
                      <w:sz w:val="22"/>
                    </w:rPr>
                    <m:rPr>
                      <m:sty m:val="p"/>
                    </m:rPr>
                    <m:t>б</m:t>
                  </m:r>
                  <m:r>
                    <w:rPr>
                      <w:rFonts w:ascii="Cambria Math" w:hAnsi="Cambria Math"/>
                      <w:sz w:val="22"/>
                    </w:rPr>
                    <m:rPr>
                      <m:sty m:val="p"/>
                    </m:rPr>
                    <m:t>щ</m:t>
                  </m:r>
                </m:sub>
              </m:sSub>
            </m:den>
          </m:f>
        </m:oMath>
      </m:oMathPara>
      <w:r>
        <w:tab/>
      </w:r>
      <w:r>
        <w:t>(17)</w:t>
      </w:r>
    </w:p>
    <w:p w14:paraId="C1030000">
      <w:pPr>
        <w:ind w:firstLine="0" w:left="0"/>
        <w:jc w:val="left"/>
      </w:pPr>
    </w:p>
    <w:p w14:paraId="C2030000">
      <w:r>
        <w:t xml:space="preserve">где </w:t>
      </w:r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n</m:t>
              </m:r>
            </m:e>
            <m:sub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ш</m:t>
              </m:r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п</m:t>
              </m:r>
            </m:sub>
          </m:sSub>
        </m:oMath>
      </m:oMathPara>
      <w:r>
        <w:t xml:space="preserve"> </w:t>
      </w:r>
      <w:r>
        <w:t>-</w:t>
      </w:r>
      <w:r>
        <w:t xml:space="preserve"> частота вращения шпинделя, оборотов в минуту;</w:t>
      </w:r>
    </w:p>
    <w:p w14:paraId="C3030000"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n</m:t>
              </m:r>
            </m:e>
            <m:sub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д</m:t>
              </m:r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в</m:t>
              </m:r>
            </m:sub>
          </m:sSub>
        </m:oMath>
      </m:oMathPara>
      <w:r>
        <w:t xml:space="preserve"> </w:t>
      </w:r>
      <w:r>
        <w:t>-</w:t>
      </w:r>
      <w:r>
        <w:t xml:space="preserve"> частота вращения вала электродвигателя, оборотов в минуту;</w:t>
      </w:r>
    </w:p>
    <w:p w14:paraId="C4030000"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i</m:t>
              </m:r>
            </m:e>
            <m:sub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о</m:t>
              </m:r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б</m:t>
              </m:r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щ</m:t>
              </m:r>
            </m:sub>
          </m:sSub>
        </m:oMath>
      </m:oMathPara>
      <w:r>
        <w:t xml:space="preserve"> </w:t>
      </w:r>
      <w:r>
        <w:t>-</w:t>
      </w:r>
      <w:r>
        <w:t xml:space="preserve"> общее передаточное число привода.</w:t>
      </w:r>
    </w:p>
    <w:p w14:paraId="C5030000">
      <w:r>
        <w:t>Подставим максимальную частоту вращения двигателя.</w:t>
      </w:r>
    </w:p>
    <w:p w14:paraId="C6030000">
      <w:pPr>
        <w:ind w:firstLine="0" w:left="0"/>
        <w:jc w:val="left"/>
      </w:pPr>
    </w:p>
    <w:p w14:paraId="C7030000">
      <w:pPr>
        <w:ind w:firstLine="0" w:left="0"/>
        <w:jc w:val="center"/>
      </w:pPr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n</m:t>
              </m:r>
            </m:e>
            <m:sub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ш</m:t>
              </m:r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п</m:t>
              </m:r>
            </m:sub>
          </m:sSub>
          <m:r>
            <w:rPr>
              <w:rFonts w:ascii="Cambria Math" w:hAnsi="Cambria Math"/>
              <w:sz w:val="22"/>
            </w:rPr>
            <m:t>=</m:t>
          </m:r>
          <m:f>
            <m:fPr>
              <m:type m:val="bar"/>
            </m:fPr>
            <m:num>
              <m:r>
                <w:rPr>
                  <w:rFonts w:ascii="Cambria Math" w:hAnsi="Cambria Math"/>
                  <w:sz w:val="22"/>
                </w:rPr>
                <m:t>4000</m:t>
              </m:r>
            </m:num>
            <m:den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1,61</m:t>
              </m:r>
            </m:den>
          </m:f>
          <m:r>
            <w:rPr>
              <w:rFonts w:ascii="Cambria Math" w:hAnsi="Cambria Math"/>
              <w:sz w:val="22"/>
            </w:rPr>
            <m:t>=2484</m:t>
          </m:r>
        </m:oMath>
      </m:oMathPara>
    </w:p>
    <w:p w14:paraId="C8030000">
      <w:pPr>
        <w:ind w:firstLine="0" w:left="0"/>
        <w:jc w:val="left"/>
      </w:pPr>
    </w:p>
    <w:p w14:paraId="C9030000">
      <w:r>
        <w:t>Принимаем максимальную частоту вращения шпинделя 2480 оборотов в минуту. При минимальной устойчивой частоте вращения двигателя 48 оборотов в минуту нижняя граница диапазона составляет:</w:t>
      </w:r>
    </w:p>
    <w:p w14:paraId="CA030000">
      <w:pPr>
        <w:ind w:firstLine="0" w:left="0"/>
        <w:jc w:val="left"/>
      </w:pPr>
    </w:p>
    <w:p w14:paraId="CB030000">
      <w:pPr>
        <w:ind w:firstLine="0" w:left="0"/>
        <w:jc w:val="center"/>
      </w:pPr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n</m:t>
              </m:r>
            </m:e>
            <m:sub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ш</m:t>
              </m:r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п</m:t>
              </m:r>
            </m:sub>
          </m:sSub>
          <m:r>
            <w:rPr>
              <w:rFonts w:ascii="Cambria Math" w:hAnsi="Cambria Math"/>
              <w:sz w:val="22"/>
            </w:rPr>
            <m:t>=</m:t>
          </m:r>
          <m:f>
            <m:fPr>
              <m:type m:val="bar"/>
            </m:fPr>
            <m:num>
              <m:r>
                <w:rPr>
                  <w:rFonts w:ascii="Cambria Math" w:hAnsi="Cambria Math"/>
                  <w:sz w:val="22"/>
                </w:rPr>
                <m:t>48</m:t>
              </m:r>
            </m:num>
            <m:den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1,61</m:t>
              </m:r>
            </m:den>
          </m:f>
          <m:r>
            <w:rPr>
              <w:rFonts w:ascii="Cambria Math" w:hAnsi="Cambria Math"/>
              <w:sz w:val="22"/>
            </w:rPr>
            <m:t>=30</m:t>
          </m:r>
        </m:oMath>
      </m:oMathPara>
    </w:p>
    <w:p w14:paraId="CC030000">
      <w:pPr>
        <w:ind w:firstLine="0" w:left="0"/>
        <w:jc w:val="left"/>
      </w:pPr>
    </w:p>
    <w:p w14:paraId="CD030000">
      <w:r>
        <w:t>Таким образом, диапазон частот вращения шпинделя составляет от 30 до 2480 оборотов в минуту, что соответствует характеристике станка в таблице 5. Частота вращения вала II при номинальной частоте двигателя:</w:t>
      </w:r>
    </w:p>
    <w:p w14:paraId="CE030000">
      <w:pPr>
        <w:ind w:firstLine="0" w:left="0"/>
        <w:jc w:val="left"/>
      </w:pPr>
    </w:p>
    <w:p w14:paraId="CF030000">
      <w:pPr>
        <w:tabs>
          <w:tab w:leader="none" w:pos="4677" w:val="center"/>
          <w:tab w:leader="none" w:pos="9354" w:val="right"/>
        </w:tabs>
        <w:ind w:firstLine="0" w:left="0"/>
        <w:jc w:val="left"/>
      </w:pPr>
      <w:r>
        <w:tab/>
      </w:r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n</m:t>
              </m:r>
            </m:e>
            <m:sub>
              <m:r>
                <w:rPr>
                  <w:rFonts w:ascii="Cambria Math" w:hAnsi="Cambria Math"/>
                  <w:sz w:val="22"/>
                </w:rPr>
                <m:t>2</m:t>
              </m:r>
            </m:sub>
          </m:sSub>
          <m:r>
            <w:rPr>
              <w:rFonts w:ascii="Cambria Math" w:hAnsi="Cambria Math"/>
              <w:sz w:val="22"/>
            </w:rPr>
            <m:t>=</m:t>
          </m:r>
          <m:f>
            <m:fPr>
              <m:type m:val="bar"/>
            </m:fPr>
            <m:num>
              <m:sSub>
                <m:e>
                  <m:r>
                    <w:rPr>
                      <w:rFonts w:ascii="Cambria Math" w:hAnsi="Cambria Math"/>
                      <w:sz w:val="22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sz w:val="22"/>
                    </w:rPr>
                    <m:rPr>
                      <m:sty m:val="p"/>
                    </m:rPr>
                    <m:t>н</m:t>
                  </m:r>
                  <m:r>
                    <w:rPr>
                      <w:rFonts w:ascii="Cambria Math" w:hAnsi="Cambria Math"/>
                      <w:sz w:val="22"/>
                    </w:rPr>
                    <m:rPr>
                      <m:sty m:val="p"/>
                    </m:rPr>
                    <m:t>о</m:t>
                  </m:r>
                  <m:r>
                    <w:rPr>
                      <w:rFonts w:ascii="Cambria Math" w:hAnsi="Cambria Math"/>
                      <w:sz w:val="22"/>
                    </w:rPr>
                    <m:rPr>
                      <m:sty m:val="p"/>
                    </m:rPr>
                    <m:t>м</m:t>
                  </m:r>
                </m:sub>
              </m:sSub>
            </m:num>
            <m:den>
              <m:sSub>
                <m:e>
                  <m:r>
                    <w:rPr>
                      <w:rFonts w:ascii="Cambria Math" w:hAnsi="Cambria Math"/>
                      <w:sz w:val="22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sz w:val="22"/>
                    </w:rPr>
                    <m:t>1</m:t>
                  </m:r>
                </m:sub>
              </m:sSub>
            </m:den>
          </m:f>
        </m:oMath>
      </m:oMathPara>
      <w:r>
        <w:tab/>
      </w:r>
      <w:r>
        <w:t>(18)</w:t>
      </w:r>
    </w:p>
    <w:p w14:paraId="D0030000">
      <w:pPr>
        <w:ind w:firstLine="0" w:left="0"/>
        <w:jc w:val="left"/>
      </w:pPr>
    </w:p>
    <w:p w14:paraId="D1030000">
      <w:r>
        <w:t xml:space="preserve">где </w:t>
      </w:r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n</m:t>
              </m:r>
            </m:e>
            <m:sub>
              <m:r>
                <w:rPr>
                  <w:rFonts w:ascii="Cambria Math" w:hAnsi="Cambria Math"/>
                  <w:sz w:val="22"/>
                </w:rPr>
                <m:t>2</m:t>
              </m:r>
            </m:sub>
          </m:sSub>
        </m:oMath>
      </m:oMathPara>
      <w:r>
        <w:t xml:space="preserve"> </w:t>
      </w:r>
      <w:r>
        <w:t>-</w:t>
      </w:r>
      <w:r>
        <w:t xml:space="preserve"> частота вращения вала II, оборотов в минуту;</w:t>
      </w:r>
    </w:p>
    <w:p w14:paraId="D2030000"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n</m:t>
              </m:r>
            </m:e>
            <m:sub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н</m:t>
              </m:r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о</m:t>
              </m:r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м</m:t>
              </m:r>
            </m:sub>
          </m:sSub>
        </m:oMath>
      </m:oMathPara>
      <w:r>
        <w:t xml:space="preserve"> </w:t>
      </w:r>
      <w:r>
        <w:t>-</w:t>
      </w:r>
      <w:r>
        <w:t xml:space="preserve"> номинальная частота вращения двигателя, оборотов в минуту;</w:t>
      </w:r>
    </w:p>
    <w:p w14:paraId="D3030000"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i</m:t>
              </m:r>
            </m:e>
            <m:sub>
              <m:r>
                <w:rPr>
                  <w:rFonts w:ascii="Cambria Math" w:hAnsi="Cambria Math"/>
                  <w:sz w:val="22"/>
                </w:rPr>
                <m:t>1</m:t>
              </m:r>
            </m:sub>
          </m:sSub>
        </m:oMath>
      </m:oMathPara>
      <w:r>
        <w:t xml:space="preserve"> </w:t>
      </w:r>
      <w:r>
        <w:t>-</w:t>
      </w:r>
      <w:r>
        <w:t xml:space="preserve"> передаточное число зубчатой ступени.</w:t>
      </w:r>
    </w:p>
    <w:p w14:paraId="D4030000">
      <w:r>
        <w:t>Подставим значения.</w:t>
      </w:r>
    </w:p>
    <w:p w14:paraId="D5030000">
      <w:pPr>
        <w:ind w:firstLine="0" w:left="0"/>
        <w:jc w:val="left"/>
      </w:pPr>
    </w:p>
    <w:p w14:paraId="D6030000">
      <w:pPr>
        <w:ind w:firstLine="0" w:left="0"/>
        <w:jc w:val="center"/>
      </w:pPr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n</m:t>
              </m:r>
            </m:e>
            <m:sub>
              <m:r>
                <w:rPr>
                  <w:rFonts w:ascii="Cambria Math" w:hAnsi="Cambria Math"/>
                  <w:sz w:val="22"/>
                </w:rPr>
                <m:t>2</m:t>
              </m:r>
            </m:sub>
          </m:sSub>
          <m:r>
            <w:rPr>
              <w:rFonts w:ascii="Cambria Math" w:hAnsi="Cambria Math"/>
              <w:sz w:val="22"/>
            </w:rPr>
            <m:t>=</m:t>
          </m:r>
          <m:f>
            <m:fPr>
              <m:type m:val="bar"/>
            </m:fPr>
            <m:num>
              <m:r>
                <w:rPr>
                  <w:rFonts w:ascii="Cambria Math" w:hAnsi="Cambria Math"/>
                  <w:sz w:val="22"/>
                </w:rPr>
                <m:t>3000</m:t>
              </m:r>
            </m:num>
            <m:den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1,25</m:t>
              </m:r>
            </m:den>
          </m:f>
          <m:r>
            <w:rPr>
              <w:rFonts w:ascii="Cambria Math" w:hAnsi="Cambria Math"/>
              <w:sz w:val="22"/>
            </w:rPr>
            <m:t>=2400</m:t>
          </m:r>
        </m:oMath>
      </m:oMathPara>
    </w:p>
    <w:p w14:paraId="D7030000">
      <w:pPr>
        <w:ind w:firstLine="0" w:left="0"/>
        <w:jc w:val="left"/>
      </w:pPr>
    </w:p>
    <w:p w14:paraId="D8030000">
      <w:r>
        <w:t>Частота вращения вала II составляет 2400 оборотов в минуту. Проверим скорость ремня клиноременной передачи.</w:t>
      </w:r>
    </w:p>
    <w:p w14:paraId="D9030000">
      <w:pPr>
        <w:ind w:firstLine="0" w:left="0"/>
        <w:jc w:val="left"/>
      </w:pPr>
    </w:p>
    <w:p w14:paraId="DA030000">
      <w:pPr>
        <w:tabs>
          <w:tab w:leader="none" w:pos="4677" w:val="center"/>
          <w:tab w:leader="none" w:pos="9354" w:val="right"/>
        </w:tabs>
        <w:ind w:firstLine="0" w:left="0"/>
        <w:jc w:val="left"/>
      </w:pPr>
      <w:r>
        <w:tab/>
      </w:r>
      <m:oMathPara>
        <m:oMath>
          <m:r>
            <w:rPr>
              <w:rFonts w:ascii="Cambria Math" w:hAnsi="Cambria Math"/>
              <w:sz w:val="22"/>
            </w:rPr>
            <m:t>v=</m:t>
          </m:r>
          <m:f>
            <m:fPr>
              <m:type m:val="bar"/>
            </m:fPr>
            <m:num>
              <m:r>
                <w:rPr>
                  <w:rFonts w:ascii="Cambria Math" w:hAnsi="Cambria Math"/>
                  <w:sz w:val="22"/>
                </w:rPr>
                <m:t>π×</m:t>
              </m:r>
              <m:sSub>
                <m:e>
                  <m:r>
                    <w:rPr>
                      <w:rFonts w:ascii="Cambria Math" w:hAnsi="Cambria Math"/>
                      <w:sz w:val="22"/>
                    </w:rPr>
                    <m:t>D</m:t>
                  </m:r>
                </m:e>
                <m:sub>
                  <m:r>
                    <w:rPr>
                      <w:rFonts w:ascii="Cambria Math" w:hAnsi="Cambria Math"/>
                      <w:sz w:val="22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z w:val="22"/>
                </w:rPr>
                <m:t>×</m:t>
              </m:r>
              <m:sSub>
                <m:e>
                  <m:r>
                    <w:rPr>
                      <w:rFonts w:ascii="Cambria Math" w:hAnsi="Cambria Math"/>
                      <w:sz w:val="22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sz w:val="22"/>
                    </w:rPr>
                    <m:t>2</m:t>
                  </m:r>
                </m:sub>
              </m:sSub>
            </m:num>
            <m:den>
              <m:r>
                <w:rPr>
                  <w:rFonts w:ascii="Cambria Math" w:hAnsi="Cambria Math"/>
                  <w:sz w:val="22"/>
                </w:rPr>
                <m:t>60000</m:t>
              </m:r>
            </m:den>
          </m:f>
        </m:oMath>
      </m:oMathPara>
      <w:r>
        <w:tab/>
      </w:r>
      <w:r>
        <w:t>(19)</w:t>
      </w:r>
    </w:p>
    <w:p w14:paraId="DB030000">
      <w:r>
        <w:t xml:space="preserve">где </w:t>
      </w:r>
      <m:oMathPara>
        <m:oMath>
          <m:r>
            <w:rPr>
              <w:rFonts w:ascii="Cambria Math" w:hAnsi="Cambria Math"/>
              <w:sz w:val="22"/>
            </w:rPr>
            <m:t>v</m:t>
          </m:r>
        </m:oMath>
      </m:oMathPara>
      <w:r>
        <w:t xml:space="preserve"> </w:t>
      </w:r>
      <w:r>
        <w:t>-</w:t>
      </w:r>
      <w:r>
        <w:t xml:space="preserve"> окружная скорость ремня, м в секунду;</w:t>
      </w:r>
    </w:p>
    <w:p w14:paraId="DC030000"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D</m:t>
              </m:r>
            </m:e>
            <m:sub>
              <m:r>
                <w:rPr>
                  <w:rFonts w:ascii="Cambria Math" w:hAnsi="Cambria Math"/>
                  <w:sz w:val="22"/>
                </w:rPr>
                <m:t>1</m:t>
              </m:r>
            </m:sub>
          </m:sSub>
        </m:oMath>
      </m:oMathPara>
      <w:r>
        <w:t xml:space="preserve"> </w:t>
      </w:r>
      <w:r>
        <w:t>-</w:t>
      </w:r>
      <w:r>
        <w:t xml:space="preserve"> диаметр ведущего шкива, мм;</w:t>
      </w:r>
    </w:p>
    <w:p w14:paraId="DD030000"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n</m:t>
              </m:r>
            </m:e>
            <m:sub>
              <m:r>
                <w:rPr>
                  <w:rFonts w:ascii="Cambria Math" w:hAnsi="Cambria Math"/>
                  <w:sz w:val="22"/>
                </w:rPr>
                <m:t>2</m:t>
              </m:r>
            </m:sub>
          </m:sSub>
        </m:oMath>
      </m:oMathPara>
      <w:r>
        <w:t xml:space="preserve"> </w:t>
      </w:r>
      <w:r>
        <w:t>-</w:t>
      </w:r>
      <w:r>
        <w:t xml:space="preserve"> частота вращения ведущего шкива, оборотов в минуту.</w:t>
      </w:r>
    </w:p>
    <w:p w14:paraId="DE030000">
      <w:r>
        <w:t>Подставим значения.</w:t>
      </w:r>
    </w:p>
    <w:p w14:paraId="DF030000">
      <w:pPr>
        <w:ind w:firstLine="0" w:left="0"/>
        <w:jc w:val="left"/>
      </w:pPr>
    </w:p>
    <w:p w14:paraId="E0030000">
      <w:pPr>
        <w:ind w:firstLine="0" w:left="0"/>
        <w:jc w:val="center"/>
      </w:pPr>
      <m:oMathPara>
        <m:oMath>
          <m:r>
            <w:rPr>
              <w:rFonts w:ascii="Cambria Math" w:hAnsi="Cambria Math"/>
              <w:sz w:val="22"/>
            </w:rPr>
            <m:t>v=</m:t>
          </m:r>
          <m:f>
            <m:fPr>
              <m:type m:val="bar"/>
            </m:fPr>
            <m:num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3,14</m:t>
              </m:r>
              <m:r>
                <w:rPr>
                  <w:rFonts w:ascii="Cambria Math" w:hAnsi="Cambria Math"/>
                  <w:sz w:val="22"/>
                </w:rPr>
                <m:t>×140×2400</m:t>
              </m:r>
            </m:num>
            <m:den>
              <m:r>
                <w:rPr>
                  <w:rFonts w:ascii="Cambria Math" w:hAnsi="Cambria Math"/>
                  <w:sz w:val="22"/>
                </w:rPr>
                <m:t>60000</m:t>
              </m:r>
            </m:den>
          </m:f>
          <m:r>
            <w:rPr>
              <w:rFonts w:ascii="Cambria Math" w:hAnsi="Cambria Math"/>
              <w:sz w:val="22"/>
            </w:rPr>
            <m:t>=</m:t>
          </m:r>
          <m:r>
            <w:rPr>
              <w:rFonts w:ascii="Cambria Math" w:hAnsi="Cambria Math"/>
              <w:sz w:val="22"/>
            </w:rPr>
            <m:rPr>
              <m:sty m:val="p"/>
            </m:rPr>
            <m:t>17,6</m:t>
          </m:r>
        </m:oMath>
      </m:oMathPara>
    </w:p>
    <w:p w14:paraId="E1030000">
      <w:pPr>
        <w:ind w:firstLine="0" w:left="0"/>
        <w:jc w:val="left"/>
      </w:pPr>
    </w:p>
    <w:p w14:paraId="E2030000">
      <w:r>
        <w:t>Скорость ремня составляет 17,6 м в секунду, что меньше допускаемых для клиновых ремней 25 м в секунду. Определим расчётную длину ремня.</w:t>
      </w:r>
    </w:p>
    <w:p w14:paraId="E3030000">
      <w:pPr>
        <w:ind w:firstLine="0" w:left="0"/>
        <w:jc w:val="left"/>
      </w:pPr>
    </w:p>
    <w:p w14:paraId="E4030000">
      <w:pPr>
        <w:tabs>
          <w:tab w:leader="none" w:pos="4677" w:val="center"/>
          <w:tab w:leader="none" w:pos="9354" w:val="right"/>
        </w:tabs>
        <w:ind w:firstLine="0" w:left="0"/>
        <w:jc w:val="left"/>
      </w:pPr>
      <w:r>
        <w:tab/>
      </w:r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L</m:t>
              </m:r>
            </m:e>
            <m:sub>
              <m:r>
                <w:rPr>
                  <w:rFonts w:ascii="Cambria Math" w:hAnsi="Cambria Math"/>
                  <w:sz w:val="22"/>
                </w:rPr>
                <m:t>р</m:t>
              </m:r>
            </m:sub>
          </m:sSub>
          <m:r>
            <w:rPr>
              <w:rFonts w:ascii="Cambria Math" w:hAnsi="Cambria Math"/>
              <w:sz w:val="22"/>
            </w:rPr>
            <m:t>=2×a+</m:t>
          </m:r>
          <m:f>
            <m:fPr>
              <m:type m:val="bar"/>
            </m:fPr>
            <m:num>
              <m:r>
                <w:rPr>
                  <w:rFonts w:ascii="Cambria Math" w:hAnsi="Cambria Math"/>
                  <w:sz w:val="22"/>
                </w:rPr>
                <m:t>π×</m:t>
              </m:r>
              <m:d>
                <m:dPr>
                  <m:sepChr m:val=","/>
                </m:dPr>
                <m:e>
                  <m:sSub>
                    <m:e>
                      <m:r>
                        <w:rPr>
                          <w:rFonts w:ascii="Cambria Math" w:hAnsi="Cambria Math"/>
                          <w:sz w:val="22"/>
                        </w:rPr>
                        <m:t>D</m:t>
                      </m:r>
                    </m:e>
                    <m:sub>
                      <m:r>
                        <w:rPr>
                          <w:rFonts w:ascii="Cambria Math" w:hAnsi="Cambria Math"/>
                          <w:sz w:val="22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22"/>
                    </w:rPr>
                    <m:t>+</m:t>
                  </m:r>
                  <m:sSub>
                    <m:e>
                      <m:r>
                        <w:rPr>
                          <w:rFonts w:ascii="Cambria Math" w:hAnsi="Cambria Math"/>
                          <w:sz w:val="22"/>
                        </w:rPr>
                        <m:t>D</m:t>
                      </m:r>
                    </m:e>
                    <m:sub>
                      <m:r>
                        <w:rPr>
                          <w:rFonts w:ascii="Cambria Math" w:hAnsi="Cambria Math"/>
                          <w:sz w:val="22"/>
                        </w:rPr>
                        <m:t>2</m:t>
                      </m:r>
                    </m:sub>
                  </m:sSub>
                </m:e>
              </m:d>
            </m:num>
            <m:den>
              <m:r>
                <w:rPr>
                  <w:rFonts w:ascii="Cambria Math" w:hAnsi="Cambria Math"/>
                  <w:sz w:val="22"/>
                </w:rPr>
                <m:t>2</m:t>
              </m:r>
            </m:den>
          </m:f>
          <m:r>
            <w:rPr>
              <w:rFonts w:ascii="Cambria Math" w:hAnsi="Cambria Math"/>
              <w:sz w:val="22"/>
            </w:rPr>
            <m:t>+</m:t>
          </m:r>
          <m:f>
            <m:fPr>
              <m:type m:val="bar"/>
            </m:fPr>
            <m:num>
              <m:sSup>
                <m:e>
                  <m:d>
                    <m:dPr>
                      <m:sepChr m:val=","/>
                    </m:dPr>
                    <m:e>
                      <m:sSub>
                        <m:e>
                          <m:r>
                            <w:rPr>
                              <w:rFonts w:ascii="Cambria Math" w:hAnsi="Cambria Math"/>
                              <w:sz w:val="22"/>
                            </w:rPr>
                            <m:t>D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2"/>
                            </w:rPr>
                            <m:t>2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 w:val="22"/>
                        </w:rPr>
                        <m:t>-</m:t>
                      </m:r>
                      <m:sSub>
                        <m:e>
                          <m:r>
                            <w:rPr>
                              <w:rFonts w:ascii="Cambria Math" w:hAnsi="Cambria Math"/>
                              <w:sz w:val="22"/>
                            </w:rPr>
                            <m:t>D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2"/>
                            </w:rPr>
                            <m:t>1</m:t>
                          </m:r>
                        </m:sub>
                      </m:sSub>
                    </m:e>
                  </m:d>
                </m:e>
                <m:sup>
                  <m:r>
                    <w:rPr>
                      <w:rFonts w:ascii="Cambria Math" w:hAnsi="Cambria Math"/>
                      <w:sz w:val="22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sz w:val="22"/>
                </w:rPr>
                <m:t>4×a</m:t>
              </m:r>
            </m:den>
          </m:f>
        </m:oMath>
      </m:oMathPara>
      <w:r>
        <w:tab/>
      </w:r>
      <w:r>
        <w:t>(20)</w:t>
      </w:r>
    </w:p>
    <w:p w14:paraId="E5030000">
      <w:pPr>
        <w:ind w:firstLine="0" w:left="0"/>
        <w:jc w:val="left"/>
      </w:pPr>
    </w:p>
    <w:p w14:paraId="E6030000">
      <w:r>
        <w:t xml:space="preserve">где </w:t>
      </w:r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L</m:t>
              </m:r>
            </m:e>
            <m:sub>
              <m:r>
                <w:rPr>
                  <w:rFonts w:ascii="Cambria Math" w:hAnsi="Cambria Math"/>
                  <w:sz w:val="22"/>
                </w:rPr>
                <m:t>р</m:t>
              </m:r>
            </m:sub>
          </m:sSub>
        </m:oMath>
      </m:oMathPara>
      <w:r>
        <w:t xml:space="preserve"> </w:t>
      </w:r>
      <w:r>
        <w:t>-</w:t>
      </w:r>
      <w:r>
        <w:t xml:space="preserve"> расчётная длина ремня, мм;</w:t>
      </w:r>
    </w:p>
    <w:p w14:paraId="E7030000">
      <m:oMathPara>
        <m:oMath>
          <m:r>
            <w:rPr>
              <w:rFonts w:ascii="Cambria Math" w:hAnsi="Cambria Math"/>
              <w:sz w:val="22"/>
            </w:rPr>
            <m:t>a</m:t>
          </m:r>
        </m:oMath>
      </m:oMathPara>
      <w:r>
        <w:t xml:space="preserve"> </w:t>
      </w:r>
      <w:r>
        <w:t>-</w:t>
      </w:r>
      <w:r>
        <w:t xml:space="preserve"> предварительное межосевое расстояние, мм;</w:t>
      </w:r>
    </w:p>
    <w:p w14:paraId="E8030000"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D</m:t>
              </m:r>
            </m:e>
            <m:sub>
              <m:r>
                <w:rPr>
                  <w:rFonts w:ascii="Cambria Math" w:hAnsi="Cambria Math"/>
                  <w:sz w:val="22"/>
                </w:rPr>
                <m:t>1</m:t>
              </m:r>
            </m:sub>
          </m:sSub>
        </m:oMath>
      </m:oMathPara>
      <w:r>
        <w:t xml:space="preserve"> </w:t>
      </w:r>
      <w:r>
        <w:t>-</w:t>
      </w:r>
      <w:r>
        <w:t xml:space="preserve"> диаметр ведущего шкива, мм;</w:t>
      </w:r>
    </w:p>
    <w:p w14:paraId="E9030000"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D</m:t>
              </m:r>
            </m:e>
            <m:sub>
              <m:r>
                <w:rPr>
                  <w:rFonts w:ascii="Cambria Math" w:hAnsi="Cambria Math"/>
                  <w:sz w:val="22"/>
                </w:rPr>
                <m:t>2</m:t>
              </m:r>
            </m:sub>
          </m:sSub>
        </m:oMath>
      </m:oMathPara>
      <w:r>
        <w:t xml:space="preserve"> </w:t>
      </w:r>
      <w:r>
        <w:t>-</w:t>
      </w:r>
      <w:r>
        <w:t xml:space="preserve"> диаметр ведомого шкива, мм.</w:t>
      </w:r>
    </w:p>
    <w:p w14:paraId="EA030000">
      <w:r>
        <w:t>Подставим значения.</w:t>
      </w:r>
    </w:p>
    <w:p w14:paraId="EB030000">
      <w:pPr>
        <w:ind w:firstLine="0" w:left="0"/>
        <w:jc w:val="left"/>
      </w:pPr>
    </w:p>
    <w:p w14:paraId="EC030000">
      <w:pPr>
        <w:ind w:firstLine="0" w:left="0"/>
        <w:jc w:val="center"/>
      </w:pPr>
      <m:oMathPara>
        <m:oMath>
          <m:sSub>
            <m:e>
              <m:r>
                <w:rPr>
                  <w:rFonts w:ascii="Cambria Math" w:hAnsi="Cambria Math"/>
                  <w:sz w:val="22"/>
                </w:rPr>
                <m:t>L</m:t>
              </m:r>
            </m:e>
            <m:sub>
              <m:r>
                <w:rPr>
                  <w:rFonts w:ascii="Cambria Math" w:hAnsi="Cambria Math"/>
                  <w:sz w:val="22"/>
                </w:rPr>
                <m:t>р</m:t>
              </m:r>
            </m:sub>
          </m:sSub>
          <m:r>
            <w:rPr>
              <w:rFonts w:ascii="Cambria Math" w:hAnsi="Cambria Math"/>
              <w:sz w:val="22"/>
            </w:rPr>
            <m:t>=2×250+</m:t>
          </m:r>
          <m:f>
            <m:fPr>
              <m:type m:val="bar"/>
            </m:fPr>
            <m:num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3,14</m:t>
              </m:r>
              <m:r>
                <w:rPr>
                  <w:rFonts w:ascii="Cambria Math" w:hAnsi="Cambria Math"/>
                  <w:sz w:val="22"/>
                </w:rPr>
                <m:t>×</m:t>
              </m:r>
              <m:d>
                <m:dPr>
                  <m:sepChr m:val=","/>
                </m:dPr>
                <m:e>
                  <m:r>
                    <w:rPr>
                      <w:rFonts w:ascii="Cambria Math" w:hAnsi="Cambria Math"/>
                      <w:sz w:val="22"/>
                    </w:rPr>
                    <m:t>140+180</m:t>
                  </m:r>
                </m:e>
              </m:d>
            </m:num>
            <m:den>
              <m:r>
                <w:rPr>
                  <w:rFonts w:ascii="Cambria Math" w:hAnsi="Cambria Math"/>
                  <w:sz w:val="22"/>
                </w:rPr>
                <m:t>2</m:t>
              </m:r>
            </m:den>
          </m:f>
          <m:r>
            <w:rPr>
              <w:rFonts w:ascii="Cambria Math" w:hAnsi="Cambria Math"/>
              <w:sz w:val="22"/>
            </w:rPr>
            <m:t>+</m:t>
          </m:r>
          <m:f>
            <m:fPr>
              <m:type m:val="bar"/>
            </m:fPr>
            <m:num>
              <m:sSup>
                <m:e>
                  <m:d>
                    <m:dPr>
                      <m:sepChr m:val=","/>
                    </m:dPr>
                    <m:e>
                      <m:r>
                        <w:rPr>
                          <w:rFonts w:ascii="Cambria Math" w:hAnsi="Cambria Math"/>
                          <w:sz w:val="22"/>
                        </w:rPr>
                        <m:t>180-140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  <w:sz w:val="22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sz w:val="22"/>
                </w:rPr>
                <m:t>4×250</m:t>
              </m:r>
            </m:den>
          </m:f>
          <m:r>
            <w:rPr>
              <w:rFonts w:ascii="Cambria Math" w:hAnsi="Cambria Math"/>
              <w:sz w:val="22"/>
            </w:rPr>
            <m:t>=500+</m:t>
          </m:r>
          <m:r>
            <w:rPr>
              <w:rFonts w:ascii="Cambria Math" w:hAnsi="Cambria Math"/>
              <w:sz w:val="22"/>
            </w:rPr>
            <m:rPr>
              <m:sty m:val="p"/>
            </m:rPr>
            <m:t>502,4</m:t>
          </m:r>
          <m:r>
            <w:rPr>
              <w:rFonts w:ascii="Cambria Math" w:hAnsi="Cambria Math"/>
              <w:sz w:val="22"/>
            </w:rPr>
            <m:t>+</m:t>
          </m:r>
          <m:r>
            <w:rPr>
              <w:rFonts w:ascii="Cambria Math" w:hAnsi="Cambria Math"/>
              <w:sz w:val="22"/>
            </w:rPr>
            <m:rPr>
              <m:sty m:val="p"/>
            </m:rPr>
            <m:t>1,6</m:t>
          </m:r>
          <m:r>
            <w:rPr>
              <w:rFonts w:ascii="Cambria Math" w:hAnsi="Cambria Math"/>
              <w:sz w:val="22"/>
            </w:rPr>
            <m:t>=1004</m:t>
          </m:r>
        </m:oMath>
      </m:oMathPara>
    </w:p>
    <w:p w14:paraId="ED030000">
      <w:pPr>
        <w:ind w:firstLine="0" w:left="0"/>
        <w:jc w:val="left"/>
      </w:pPr>
    </w:p>
    <w:p w14:paraId="EE030000">
      <w:r>
        <w:t>Расчётная длина ремня составляет 1004 мм; принимаем стандартный клиновой ремень сечения А расчётной длиной 1000 мм, фактическое межосевое расстояние при этом составляет около 248 мм. Результаты расчёта кинематической передачи сведены в таблицу 15.</w:t>
      </w:r>
    </w:p>
    <w:p w14:paraId="EF030000">
      <w:pPr>
        <w:spacing w:line="240" w:lineRule="auto"/>
        <w:ind w:firstLine="0" w:left="0"/>
        <w:jc w:val="left"/>
      </w:pPr>
      <w:r>
        <w:br w:type="page"/>
      </w:r>
    </w:p>
    <w:p w14:paraId="F0030000">
      <w:pPr>
        <w:ind w:firstLine="0" w:left="0"/>
        <w:jc w:val="right"/>
      </w:pPr>
      <w:r>
        <w:t>Таблица 15</w:t>
      </w:r>
    </w:p>
    <w:p w14:paraId="F1030000">
      <w:pPr>
        <w:ind w:firstLine="0" w:left="0"/>
        <w:jc w:val="center"/>
      </w:pPr>
      <w:r>
        <w:t>Результаты расчёта кинематической передачи привода главного движения</w:t>
      </w:r>
    </w:p>
    <w:tbl>
      <w:tblPr>
        <w:tblStyle w:val="Style_7"/>
        <w:tblLayout w:type="fixed"/>
      </w:tblPr>
      <w:tblGrid>
        <w:gridCol w:w="3116"/>
        <w:gridCol w:w="3119"/>
        <w:gridCol w:w="3119"/>
      </w:tblGrid>
      <w:tr>
        <w:tc>
          <w:tcPr>
            <w:tcW w:type="dxa" w:w="3116"/>
            <w:shd w:fill="auto" w:val="clear"/>
          </w:tcPr>
          <w:p w14:paraId="F203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Параметр</w:t>
            </w:r>
          </w:p>
        </w:tc>
        <w:tc>
          <w:tcPr>
            <w:tcW w:type="dxa" w:w="3119"/>
            <w:shd w:fill="auto" w:val="clear"/>
          </w:tcPr>
          <w:p w14:paraId="F303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Расчётное значение</w:t>
            </w:r>
          </w:p>
        </w:tc>
        <w:tc>
          <w:tcPr>
            <w:tcW w:type="dxa" w:w="3119"/>
            <w:shd w:fill="auto" w:val="clear"/>
          </w:tcPr>
          <w:p w14:paraId="F403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Принятое значение</w:t>
            </w:r>
          </w:p>
        </w:tc>
      </w:tr>
      <w:tr>
        <w:tc>
          <w:tcPr>
            <w:tcW w:type="dxa" w:w="3116"/>
            <w:shd w:fill="auto" w:val="clear"/>
          </w:tcPr>
          <w:p w14:paraId="F503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Делительный диаметр шестерни</w:t>
            </w:r>
          </w:p>
        </w:tc>
        <w:tc>
          <w:tcPr>
            <w:tcW w:type="dxa" w:w="3119"/>
            <w:shd w:fill="auto" w:val="clear"/>
          </w:tcPr>
          <w:p w14:paraId="F603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64 мм</w:t>
            </w:r>
          </w:p>
        </w:tc>
        <w:tc>
          <w:tcPr>
            <w:tcW w:type="dxa" w:w="3119"/>
            <w:shd w:fill="auto" w:val="clear"/>
          </w:tcPr>
          <w:p w14:paraId="F703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64 мм</w:t>
            </w:r>
          </w:p>
        </w:tc>
      </w:tr>
      <w:tr>
        <w:tc>
          <w:tcPr>
            <w:tcW w:type="dxa" w:w="3116"/>
            <w:shd w:fill="auto" w:val="clear"/>
          </w:tcPr>
          <w:p w14:paraId="F803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Делительный диаметр колеса</w:t>
            </w:r>
          </w:p>
        </w:tc>
        <w:tc>
          <w:tcPr>
            <w:tcW w:type="dxa" w:w="3119"/>
            <w:shd w:fill="auto" w:val="clear"/>
          </w:tcPr>
          <w:p w14:paraId="F903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80 мм</w:t>
            </w:r>
          </w:p>
        </w:tc>
        <w:tc>
          <w:tcPr>
            <w:tcW w:type="dxa" w:w="3119"/>
            <w:shd w:fill="auto" w:val="clear"/>
          </w:tcPr>
          <w:p w14:paraId="FA03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80 мм</w:t>
            </w:r>
          </w:p>
        </w:tc>
      </w:tr>
      <w:tr>
        <w:tc>
          <w:tcPr>
            <w:tcW w:type="dxa" w:w="3116"/>
            <w:shd w:fill="auto" w:val="clear"/>
          </w:tcPr>
          <w:p w14:paraId="FB03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Межосевое расстояние зубчатой передачи</w:t>
            </w:r>
          </w:p>
        </w:tc>
        <w:tc>
          <w:tcPr>
            <w:tcW w:type="dxa" w:w="3119"/>
            <w:shd w:fill="auto" w:val="clear"/>
          </w:tcPr>
          <w:p w14:paraId="FC03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72 мм</w:t>
            </w:r>
          </w:p>
        </w:tc>
        <w:tc>
          <w:tcPr>
            <w:tcW w:type="dxa" w:w="3119"/>
            <w:shd w:fill="auto" w:val="clear"/>
          </w:tcPr>
          <w:p w14:paraId="FD03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72 мм</w:t>
            </w:r>
          </w:p>
        </w:tc>
      </w:tr>
      <w:tr>
        <w:tc>
          <w:tcPr>
            <w:tcW w:type="dxa" w:w="3116"/>
            <w:shd w:fill="auto" w:val="clear"/>
          </w:tcPr>
          <w:p w14:paraId="FE03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Передаточное число зубчатой ступени</w:t>
            </w:r>
          </w:p>
        </w:tc>
        <w:tc>
          <w:tcPr>
            <w:tcW w:type="dxa" w:w="3119"/>
            <w:shd w:fill="auto" w:val="clear"/>
          </w:tcPr>
          <w:p w14:paraId="FF03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1,25</w:t>
            </w:r>
          </w:p>
        </w:tc>
        <w:tc>
          <w:tcPr>
            <w:tcW w:type="dxa" w:w="3119"/>
            <w:shd w:fill="auto" w:val="clear"/>
          </w:tcPr>
          <w:p w14:paraId="00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1,25</w:t>
            </w:r>
          </w:p>
        </w:tc>
      </w:tr>
      <w:tr>
        <w:tc>
          <w:tcPr>
            <w:tcW w:type="dxa" w:w="3116"/>
            <w:shd w:fill="auto" w:val="clear"/>
          </w:tcPr>
          <w:p w14:paraId="01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Передаточное число ременной ступени</w:t>
            </w:r>
          </w:p>
        </w:tc>
        <w:tc>
          <w:tcPr>
            <w:tcW w:type="dxa" w:w="3119"/>
            <w:shd w:fill="auto" w:val="clear"/>
          </w:tcPr>
          <w:p w14:paraId="02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1,29</w:t>
            </w:r>
          </w:p>
        </w:tc>
        <w:tc>
          <w:tcPr>
            <w:tcW w:type="dxa" w:w="3119"/>
            <w:shd w:fill="auto" w:val="clear"/>
          </w:tcPr>
          <w:p w14:paraId="03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1,29</w:t>
            </w:r>
          </w:p>
        </w:tc>
      </w:tr>
      <w:tr>
        <w:tc>
          <w:tcPr>
            <w:tcW w:type="dxa" w:w="3116"/>
            <w:shd w:fill="auto" w:val="clear"/>
          </w:tcPr>
          <w:p w14:paraId="04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Общее передаточное число привода</w:t>
            </w:r>
          </w:p>
        </w:tc>
        <w:tc>
          <w:tcPr>
            <w:tcW w:type="dxa" w:w="3119"/>
            <w:shd w:fill="auto" w:val="clear"/>
          </w:tcPr>
          <w:p w14:paraId="05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1,61</w:t>
            </w:r>
          </w:p>
        </w:tc>
        <w:tc>
          <w:tcPr>
            <w:tcW w:type="dxa" w:w="3119"/>
            <w:shd w:fill="auto" w:val="clear"/>
          </w:tcPr>
          <w:p w14:paraId="06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1,61</w:t>
            </w:r>
          </w:p>
        </w:tc>
      </w:tr>
      <w:tr>
        <w:tc>
          <w:tcPr>
            <w:tcW w:type="dxa" w:w="3116"/>
            <w:shd w:fill="auto" w:val="clear"/>
          </w:tcPr>
          <w:p w14:paraId="07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Максимальная частота вращения шпинделя</w:t>
            </w:r>
          </w:p>
        </w:tc>
        <w:tc>
          <w:tcPr>
            <w:tcW w:type="dxa" w:w="3119"/>
            <w:shd w:fill="auto" w:val="clear"/>
          </w:tcPr>
          <w:p w14:paraId="08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2484 оборотов в минуту</w:t>
            </w:r>
          </w:p>
        </w:tc>
        <w:tc>
          <w:tcPr>
            <w:tcW w:type="dxa" w:w="3119"/>
            <w:shd w:fill="auto" w:val="clear"/>
          </w:tcPr>
          <w:p w14:paraId="09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2480 оборотов в минуту</w:t>
            </w:r>
          </w:p>
        </w:tc>
      </w:tr>
      <w:tr>
        <w:tc>
          <w:tcPr>
            <w:tcW w:type="dxa" w:w="3116"/>
            <w:shd w:fill="auto" w:val="clear"/>
          </w:tcPr>
          <w:p w14:paraId="0A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Минимальная частота вращения шпинделя</w:t>
            </w:r>
          </w:p>
        </w:tc>
        <w:tc>
          <w:tcPr>
            <w:tcW w:type="dxa" w:w="3119"/>
            <w:shd w:fill="auto" w:val="clear"/>
          </w:tcPr>
          <w:p w14:paraId="0B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30 оборотов в минуту</w:t>
            </w:r>
          </w:p>
        </w:tc>
        <w:tc>
          <w:tcPr>
            <w:tcW w:type="dxa" w:w="3119"/>
            <w:shd w:fill="auto" w:val="clear"/>
          </w:tcPr>
          <w:p w14:paraId="0C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30 оборотов в минуту</w:t>
            </w:r>
          </w:p>
        </w:tc>
      </w:tr>
      <w:tr>
        <w:tc>
          <w:tcPr>
            <w:tcW w:type="dxa" w:w="3116"/>
            <w:shd w:fill="auto" w:val="clear"/>
          </w:tcPr>
          <w:p w14:paraId="0D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Скорость ремня</w:t>
            </w:r>
          </w:p>
        </w:tc>
        <w:tc>
          <w:tcPr>
            <w:tcW w:type="dxa" w:w="3119"/>
            <w:shd w:fill="auto" w:val="clear"/>
          </w:tcPr>
          <w:p w14:paraId="0E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17,6 м в секунду</w:t>
            </w:r>
          </w:p>
        </w:tc>
        <w:tc>
          <w:tcPr>
            <w:tcW w:type="dxa" w:w="3119"/>
            <w:shd w:fill="auto" w:val="clear"/>
          </w:tcPr>
          <w:p w14:paraId="0F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>
        <w:tc>
          <w:tcPr>
            <w:tcW w:type="dxa" w:w="3116"/>
            <w:shd w:fill="auto" w:val="clear"/>
          </w:tcPr>
          <w:p w14:paraId="10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Расчётная длина ремня</w:t>
            </w:r>
          </w:p>
        </w:tc>
        <w:tc>
          <w:tcPr>
            <w:tcW w:type="dxa" w:w="3119"/>
            <w:shd w:fill="auto" w:val="clear"/>
          </w:tcPr>
          <w:p w14:paraId="11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1004 мм</w:t>
            </w:r>
          </w:p>
        </w:tc>
        <w:tc>
          <w:tcPr>
            <w:tcW w:type="dxa" w:w="3119"/>
            <w:shd w:fill="auto" w:val="clear"/>
          </w:tcPr>
          <w:p w14:paraId="12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1000 мм, ремень сечения А</w:t>
            </w:r>
          </w:p>
        </w:tc>
      </w:tr>
      <w:tr>
        <w:tc>
          <w:tcPr>
            <w:tcW w:type="dxa" w:w="3116"/>
            <w:shd w:fill="auto" w:val="clear"/>
          </w:tcPr>
          <w:p w14:paraId="13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Межосевое расстояние ременной передачи</w:t>
            </w:r>
          </w:p>
        </w:tc>
        <w:tc>
          <w:tcPr>
            <w:tcW w:type="dxa" w:w="3119"/>
            <w:shd w:fill="auto" w:val="clear"/>
          </w:tcPr>
          <w:p w14:paraId="14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250 мм предварительно</w:t>
            </w:r>
          </w:p>
        </w:tc>
        <w:tc>
          <w:tcPr>
            <w:tcW w:type="dxa" w:w="3119"/>
            <w:shd w:fill="auto" w:val="clear"/>
          </w:tcPr>
          <w:p w14:paraId="15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248 мм фактически</w:t>
            </w:r>
          </w:p>
        </w:tc>
      </w:tr>
    </w:tbl>
    <w:p w14:paraId="16040000"/>
    <w:p w14:paraId="17040000">
      <w:r>
        <w:t xml:space="preserve">Из таблицы 15 следует, что все расчётные параметры передач находятся в допустимых пределах: скорость ремня не превышает нормативного значения, длина ремня соответствует стандартному ряду, а диапазон частот вращения шпинделя от 30 до 2480 оборотов в минуту полностью перекрывает потребности проектного технологического процесса </w:t>
      </w:r>
      <w:r>
        <w:t>-</w:t>
      </w:r>
      <w:r>
        <w:t xml:space="preserve"> наибольшая назначенная на токарной операции 030 частота вращения составляет 1250 оборотов в минуту, что почти вдвое меньше верхней границы диапазона и обеспечивает запас по режимам для обработки других деталей номенклатуры предприятия.</w:t>
      </w:r>
    </w:p>
    <w:p w14:paraId="18040000">
      <w:pPr>
        <w:spacing w:line="240" w:lineRule="auto"/>
        <w:ind w:firstLine="0" w:left="0"/>
        <w:jc w:val="left"/>
        <w:rPr>
          <w:b w:val="1"/>
          <w:color w:val="000000"/>
          <w:sz w:val="32"/>
        </w:rPr>
      </w:pPr>
      <w:r>
        <w:br w:type="page"/>
      </w:r>
    </w:p>
    <w:p w14:paraId="19040000">
      <w:bookmarkStart w:id="11" w:name="__RefHeading___11"/>
      <w:bookmarkEnd w:id="11"/>
      <w:pPr>
        <w:pStyle w:val="Style_5"/>
      </w:pPr>
      <w:r>
        <w:t>3 ОХРАНА ТРУДА</w:t>
      </w:r>
    </w:p>
    <w:p w14:paraId="1A040000">
      <w:bookmarkStart w:id="12" w:name="__RefHeading___12"/>
      <w:bookmarkEnd w:id="12"/>
      <w:pPr>
        <w:pStyle w:val="Style_5"/>
      </w:pPr>
      <w:r>
        <w:t>3.1 Анализ опасных и вредных факторов производственной среды и трудового процесса</w:t>
      </w:r>
    </w:p>
    <w:p w14:paraId="1B040000"/>
    <w:p w14:paraId="1C040000">
      <w:r>
        <w:t>Совершенствование технологического процесса механической обработки детали «Угловой корпус подшипника» затрагивает условия труда работников, занятых на операциях проектного маршрута, поэтому технологические решения должны сопровождаться анализом производственных факторов и разработкой защитных мероприятий. Правовую основу такого анализа образуют Федеральный закон «О специальной оценке условий труда» [1], устанавливающий порядок идентификации вредных и опасных факторов и оценки их уровней на рабочих местах, Правила по охране труда при обработке металлов [2], определяющие государственные нормативные требования к организации и выполнению работ по механической обработке, и ГОСТ 12.3.025-80, содержащий требования безопасности при обработке металлов резанием [6].</w:t>
      </w:r>
    </w:p>
    <w:p w14:paraId="1D040000">
      <w:r>
        <w:t xml:space="preserve">Опасные и вредные производственные факторы принято разделять на четыре группы: физические, химические, биологические и психофизиологические. Для рабочих мест механической обработки определяющее значение имеют физические факторы </w:t>
      </w:r>
      <w:r>
        <w:t>-</w:t>
      </w:r>
      <w:r>
        <w:t xml:space="preserve"> движущиеся и вращающиеся части оборудования, отлетающая стружка и частицы металла, повышенный уровень шума и локальной вибрации, недостаточная освещённость, нагретые поверхности, опасность поражения электрическим током; из химических факторов присутствуют аэрозоли смазочно-охлаждающих жидкостей и абразивно-металлическая пыль; из психофизиологических </w:t>
      </w:r>
      <w:r>
        <w:t>-</w:t>
      </w:r>
      <w:r>
        <w:t xml:space="preserve"> физические перегрузки при установке заготовок и зрительное напряжение при контрольных операциях.</w:t>
      </w:r>
    </w:p>
    <w:p w14:paraId="1E040000">
      <w:r>
        <w:t xml:space="preserve">Проектный технологический процесс реализуется на семи типах рабочих мест: заготовительном (ленточно-отрезной станок), фрезерном с числовым программным управлением (обрабатывающий центр), токарном с </w:t>
      </w:r>
      <w:r>
        <w:t>числовым программным управлением, сверлильном (станок 2Н125), термическом, шлифовальном (станок 3М131) и контрольном. Каждое из них характеризуется собственным сочетанием факторов, обусловленным характером выполняемых операций. Результаты идентификации опасных и вредных факторов по рабочим местам проектного процесса приведены в таблице 16.</w:t>
      </w:r>
    </w:p>
    <w:p w14:paraId="1F040000">
      <w:pPr>
        <w:ind w:firstLine="0" w:left="0"/>
        <w:jc w:val="right"/>
      </w:pPr>
      <w:r>
        <w:t>Таблица 16</w:t>
      </w:r>
    </w:p>
    <w:p w14:paraId="20040000">
      <w:pPr>
        <w:ind w:firstLine="0" w:left="0"/>
        <w:jc w:val="center"/>
      </w:pPr>
      <w:r>
        <w:t>Опасные и вредные производственные факторы по рабочим местам проектного технологического процесса</w:t>
      </w:r>
    </w:p>
    <w:tbl>
      <w:tblPr>
        <w:tblStyle w:val="Style_7"/>
        <w:tblLayout w:type="fixed"/>
      </w:tblPr>
      <w:tblGrid>
        <w:gridCol w:w="3116"/>
        <w:gridCol w:w="3119"/>
        <w:gridCol w:w="3119"/>
      </w:tblGrid>
      <w:tr>
        <w:tc>
          <w:tcPr>
            <w:tcW w:type="dxa" w:w="3116"/>
            <w:shd w:fill="auto" w:val="clear"/>
          </w:tcPr>
          <w:p w14:paraId="21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Рабочее место (операция)</w:t>
            </w:r>
          </w:p>
        </w:tc>
        <w:tc>
          <w:tcPr>
            <w:tcW w:type="dxa" w:w="3119"/>
            <w:shd w:fill="auto" w:val="clear"/>
          </w:tcPr>
          <w:p w14:paraId="22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Опасные факторы</w:t>
            </w:r>
          </w:p>
        </w:tc>
        <w:tc>
          <w:tcPr>
            <w:tcW w:type="dxa" w:w="3119"/>
            <w:shd w:fill="auto" w:val="clear"/>
          </w:tcPr>
          <w:p w14:paraId="23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Вредные факторы</w:t>
            </w:r>
          </w:p>
        </w:tc>
      </w:tr>
      <w:tr>
        <w:tc>
          <w:tcPr>
            <w:tcW w:type="dxa" w:w="3116"/>
            <w:shd w:fill="auto" w:val="clear"/>
          </w:tcPr>
          <w:p w14:paraId="24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Заготовительное, операция 005</w:t>
            </w:r>
          </w:p>
        </w:tc>
        <w:tc>
          <w:tcPr>
            <w:tcW w:type="dxa" w:w="3119"/>
            <w:shd w:fill="auto" w:val="clear"/>
          </w:tcPr>
          <w:p w14:paraId="25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Движущееся полотно пилы, падение заготовок и проката, острые кромки отрезанных заготовок</w:t>
            </w:r>
          </w:p>
        </w:tc>
        <w:tc>
          <w:tcPr>
            <w:tcW w:type="dxa" w:w="3119"/>
            <w:shd w:fill="auto" w:val="clear"/>
          </w:tcPr>
          <w:p w14:paraId="26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Шум, металлическая пыль</w:t>
            </w:r>
          </w:p>
        </w:tc>
      </w:tr>
      <w:tr>
        <w:tc>
          <w:tcPr>
            <w:tcW w:type="dxa" w:w="3116"/>
            <w:shd w:fill="auto" w:val="clear"/>
          </w:tcPr>
          <w:p w14:paraId="27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Фрезерное с ЧПУ, операции 010, 015, 020</w:t>
            </w:r>
          </w:p>
        </w:tc>
        <w:tc>
          <w:tcPr>
            <w:tcW w:type="dxa" w:w="3119"/>
            <w:shd w:fill="auto" w:val="clear"/>
          </w:tcPr>
          <w:p w14:paraId="28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Вращающийся инструмент, отлетающая элементная стружка, зажимные механизмы приспособлений</w:t>
            </w:r>
          </w:p>
        </w:tc>
        <w:tc>
          <w:tcPr>
            <w:tcW w:type="dxa" w:w="3119"/>
            <w:shd w:fill="auto" w:val="clear"/>
          </w:tcPr>
          <w:p w14:paraId="29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Шум, аэрозоли смазочно-охлаждающей жидкости, зрительное напряжение при наладке</w:t>
            </w:r>
          </w:p>
        </w:tc>
      </w:tr>
      <w:tr>
        <w:tc>
          <w:tcPr>
            <w:tcW w:type="dxa" w:w="3116"/>
            <w:shd w:fill="auto" w:val="clear"/>
          </w:tcPr>
          <w:p w14:paraId="2A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Токарное с ЧПУ, операция 030</w:t>
            </w:r>
          </w:p>
        </w:tc>
        <w:tc>
          <w:tcPr>
            <w:tcW w:type="dxa" w:w="3119"/>
            <w:shd w:fill="auto" w:val="clear"/>
          </w:tcPr>
          <w:p w14:paraId="2B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Вращающиеся заготовка, оправка и патрон, сливная стружка, отлетающие частицы при точении</w:t>
            </w:r>
          </w:p>
        </w:tc>
        <w:tc>
          <w:tcPr>
            <w:tcW w:type="dxa" w:w="3119"/>
            <w:shd w:fill="auto" w:val="clear"/>
          </w:tcPr>
          <w:p w14:paraId="2C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Шум, аэрозоли смазочно-охлаждающей жидкости</w:t>
            </w:r>
          </w:p>
        </w:tc>
      </w:tr>
      <w:tr>
        <w:tc>
          <w:tcPr>
            <w:tcW w:type="dxa" w:w="3116"/>
            <w:shd w:fill="auto" w:val="clear"/>
          </w:tcPr>
          <w:p w14:paraId="2D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Сверлильное, операция 035</w:t>
            </w:r>
          </w:p>
        </w:tc>
        <w:tc>
          <w:tcPr>
            <w:tcW w:type="dxa" w:w="3119"/>
            <w:shd w:fill="auto" w:val="clear"/>
          </w:tcPr>
          <w:p w14:paraId="2E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Вращающийся инструмент, наматывание одежды и волос на шпиндель, стружка</w:t>
            </w:r>
          </w:p>
        </w:tc>
        <w:tc>
          <w:tcPr>
            <w:tcW w:type="dxa" w:w="3119"/>
            <w:shd w:fill="auto" w:val="clear"/>
          </w:tcPr>
          <w:p w14:paraId="2F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Шум, локальная вибрация</w:t>
            </w:r>
          </w:p>
        </w:tc>
      </w:tr>
      <w:tr>
        <w:tc>
          <w:tcPr>
            <w:tcW w:type="dxa" w:w="3116"/>
            <w:shd w:fill="auto" w:val="clear"/>
          </w:tcPr>
          <w:p w14:paraId="30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Термическое, операция 040</w:t>
            </w:r>
          </w:p>
        </w:tc>
        <w:tc>
          <w:tcPr>
            <w:tcW w:type="dxa" w:w="3119"/>
            <w:shd w:fill="auto" w:val="clear"/>
          </w:tcPr>
          <w:p w14:paraId="31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Нагретые поверхности печи и деталей, расплавы солей, опасность ожога</w:t>
            </w:r>
          </w:p>
        </w:tc>
        <w:tc>
          <w:tcPr>
            <w:tcW w:type="dxa" w:w="3119"/>
            <w:shd w:fill="auto" w:val="clear"/>
          </w:tcPr>
          <w:p w14:paraId="32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Тепловое излучение, повышенная температура воздуха рабочей зоны</w:t>
            </w:r>
          </w:p>
        </w:tc>
      </w:tr>
      <w:tr>
        <w:tc>
          <w:tcPr>
            <w:tcW w:type="dxa" w:w="3116"/>
            <w:shd w:fill="auto" w:val="clear"/>
          </w:tcPr>
          <w:p w14:paraId="33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Шлифовальное, операция 050</w:t>
            </w:r>
          </w:p>
        </w:tc>
        <w:tc>
          <w:tcPr>
            <w:tcW w:type="dxa" w:w="3119"/>
            <w:shd w:fill="auto" w:val="clear"/>
          </w:tcPr>
          <w:p w14:paraId="34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Разрыв шлифовального круга, вращающиеся части, отлетающие частицы абразива и металла</w:t>
            </w:r>
          </w:p>
        </w:tc>
        <w:tc>
          <w:tcPr>
            <w:tcW w:type="dxa" w:w="3119"/>
            <w:shd w:fill="auto" w:val="clear"/>
          </w:tcPr>
          <w:p w14:paraId="35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Абразивно-металлическая пыль, шум, аэрозоли смазочно-охлаждающей жидкости</w:t>
            </w:r>
          </w:p>
        </w:tc>
      </w:tr>
      <w:tr>
        <w:tc>
          <w:tcPr>
            <w:tcW w:type="dxa" w:w="3116"/>
            <w:shd w:fill="auto" w:val="clear"/>
          </w:tcPr>
          <w:p w14:paraId="36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Контрольное, операция 055</w:t>
            </w:r>
          </w:p>
        </w:tc>
        <w:tc>
          <w:tcPr>
            <w:tcW w:type="dxa" w:w="3119"/>
            <w:shd w:fill="auto" w:val="clear"/>
          </w:tcPr>
          <w:p w14:paraId="37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Острые кромки контролируемых деталей</w:t>
            </w:r>
          </w:p>
        </w:tc>
        <w:tc>
          <w:tcPr>
            <w:tcW w:type="dxa" w:w="3119"/>
            <w:shd w:fill="auto" w:val="clear"/>
          </w:tcPr>
          <w:p w14:paraId="38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Зрительное напряжение, монотонность труда</w:t>
            </w:r>
          </w:p>
        </w:tc>
      </w:tr>
      <w:tr>
        <w:tc>
          <w:tcPr>
            <w:tcW w:type="dxa" w:w="3116"/>
            <w:shd w:fill="auto" w:val="clear"/>
          </w:tcPr>
          <w:p w14:paraId="39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Общие для всех рабочих мест</w:t>
            </w:r>
          </w:p>
        </w:tc>
        <w:tc>
          <w:tcPr>
            <w:tcW w:type="dxa" w:w="3119"/>
            <w:shd w:fill="auto" w:val="clear"/>
          </w:tcPr>
          <w:p w14:paraId="3A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Поражение электрическим током, падение деталей и тары при транспортировании</w:t>
            </w:r>
          </w:p>
        </w:tc>
        <w:tc>
          <w:tcPr>
            <w:tcW w:type="dxa" w:w="3119"/>
            <w:shd w:fill="auto" w:val="clear"/>
          </w:tcPr>
          <w:p w14:paraId="3B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Недостаточная освещённость, физические перегрузки при установке заготовок</w:t>
            </w:r>
          </w:p>
        </w:tc>
      </w:tr>
    </w:tbl>
    <w:p w14:paraId="3C040000"/>
    <w:p w14:paraId="3D040000">
      <w:r>
        <w:t xml:space="preserve">Из таблицы 16 видно, что наибольшая концентрация опасных факторов приходится на станочные рабочие места, где источником опасности являются вращающиеся исполнительные органы и стружка; при этом перевод </w:t>
      </w:r>
      <w:r>
        <w:t xml:space="preserve">формообразующих операций на станки с числовым программным управлением с закрытой рабочей зоной сам по себе является защитным решением, поскольку выводит работника из опасной зоны на время цикла обработки. Специфическим фактором шлифовального рабочего места остаётся возможный разрыв круга, а термического </w:t>
      </w:r>
      <w:r>
        <w:t>-</w:t>
      </w:r>
      <w:r>
        <w:t xml:space="preserve"> ожоговая опасность.</w:t>
      </w:r>
    </w:p>
    <w:p w14:paraId="3E040000">
      <w:r>
        <w:t>Количественная оценка условий труда выполняется в рамках специальной оценки условий труда, проводимой на предприятии аккредитованной организацией не реже одного раза в пять лет [1]. По результатам оценки рабочим местам присваиваются классы условий труда, определяющие объём гарантий и компенсаций работникам. Для рассматриваемых рабочих мест нормируются уровни шума, вибрации, освещённости, параметры микроклимата и концентрации вредных веществ в воздухе рабочей зоны. Принятые в работе нормируемые показатели производственной среды приведены в таблице 17.</w:t>
      </w:r>
    </w:p>
    <w:p w14:paraId="3F040000">
      <w:pPr>
        <w:ind w:firstLine="0" w:left="0"/>
        <w:jc w:val="right"/>
      </w:pPr>
      <w:r>
        <w:t>Таблица 17</w:t>
      </w:r>
    </w:p>
    <w:p w14:paraId="40040000">
      <w:pPr>
        <w:ind w:firstLine="0" w:left="0"/>
        <w:jc w:val="center"/>
      </w:pPr>
      <w:r>
        <w:t>Нормируемые показатели производственной среды на рабочих местах механической обработки</w:t>
      </w:r>
    </w:p>
    <w:tbl>
      <w:tblPr>
        <w:tblStyle w:val="Style_7"/>
        <w:tblLayout w:type="fixed"/>
      </w:tblPr>
      <w:tblGrid>
        <w:gridCol w:w="3116"/>
        <w:gridCol w:w="3119"/>
        <w:gridCol w:w="3119"/>
      </w:tblGrid>
      <w:tr>
        <w:tc>
          <w:tcPr>
            <w:tcW w:type="dxa" w:w="3116"/>
            <w:shd w:fill="auto" w:val="clear"/>
          </w:tcPr>
          <w:p w14:paraId="41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Показатель</w:t>
            </w:r>
          </w:p>
        </w:tc>
        <w:tc>
          <w:tcPr>
            <w:tcW w:type="dxa" w:w="3119"/>
            <w:shd w:fill="auto" w:val="clear"/>
          </w:tcPr>
          <w:p w14:paraId="42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Нормативное значение</w:t>
            </w:r>
          </w:p>
        </w:tc>
        <w:tc>
          <w:tcPr>
            <w:tcW w:type="dxa" w:w="3119"/>
            <w:shd w:fill="auto" w:val="clear"/>
          </w:tcPr>
          <w:p w14:paraId="43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Средство контроля</w:t>
            </w:r>
          </w:p>
        </w:tc>
      </w:tr>
      <w:tr>
        <w:tc>
          <w:tcPr>
            <w:tcW w:type="dxa" w:w="3116"/>
            <w:shd w:fill="auto" w:val="clear"/>
          </w:tcPr>
          <w:p w14:paraId="44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Уровень звука на рабочем месте</w:t>
            </w:r>
          </w:p>
        </w:tc>
        <w:tc>
          <w:tcPr>
            <w:tcW w:type="dxa" w:w="3119"/>
            <w:shd w:fill="auto" w:val="clear"/>
          </w:tcPr>
          <w:p w14:paraId="45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 xml:space="preserve">Не более 80 </w:t>
            </w:r>
            <w:r>
              <w:rPr>
                <w:sz w:val="24"/>
              </w:rPr>
              <w:t>дБА</w:t>
            </w:r>
          </w:p>
        </w:tc>
        <w:tc>
          <w:tcPr>
            <w:tcW w:type="dxa" w:w="3119"/>
            <w:shd w:fill="auto" w:val="clear"/>
          </w:tcPr>
          <w:p w14:paraId="46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Шумомер</w:t>
            </w:r>
          </w:p>
        </w:tc>
      </w:tr>
      <w:tr>
        <w:tc>
          <w:tcPr>
            <w:tcW w:type="dxa" w:w="3116"/>
            <w:shd w:fill="auto" w:val="clear"/>
          </w:tcPr>
          <w:p w14:paraId="47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Освещённость на рабочих местах станочников и контроля</w:t>
            </w:r>
          </w:p>
        </w:tc>
        <w:tc>
          <w:tcPr>
            <w:tcW w:type="dxa" w:w="3119"/>
            <w:shd w:fill="auto" w:val="clear"/>
          </w:tcPr>
          <w:p w14:paraId="48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 xml:space="preserve">Не менее 300 </w:t>
            </w:r>
            <w:r>
              <w:rPr>
                <w:sz w:val="24"/>
              </w:rPr>
              <w:t>лк</w:t>
            </w:r>
          </w:p>
        </w:tc>
        <w:tc>
          <w:tcPr>
            <w:tcW w:type="dxa" w:w="3119"/>
            <w:shd w:fill="auto" w:val="clear"/>
          </w:tcPr>
          <w:p w14:paraId="49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Люксметр</w:t>
            </w:r>
          </w:p>
        </w:tc>
      </w:tr>
      <w:tr>
        <w:tc>
          <w:tcPr>
            <w:tcW w:type="dxa" w:w="3116"/>
            <w:shd w:fill="auto" w:val="clear"/>
          </w:tcPr>
          <w:p w14:paraId="4A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Локальная вибрация</w:t>
            </w:r>
          </w:p>
        </w:tc>
        <w:tc>
          <w:tcPr>
            <w:tcW w:type="dxa" w:w="3119"/>
            <w:shd w:fill="auto" w:val="clear"/>
          </w:tcPr>
          <w:p w14:paraId="4B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Не выше предельно допустимого уровня по действующим гигиеническим нормативам</w:t>
            </w:r>
          </w:p>
        </w:tc>
        <w:tc>
          <w:tcPr>
            <w:tcW w:type="dxa" w:w="3119"/>
            <w:shd w:fill="auto" w:val="clear"/>
          </w:tcPr>
          <w:p w14:paraId="4C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Виброметр</w:t>
            </w:r>
          </w:p>
        </w:tc>
      </w:tr>
      <w:tr>
        <w:tc>
          <w:tcPr>
            <w:tcW w:type="dxa" w:w="3116"/>
            <w:shd w:fill="auto" w:val="clear"/>
          </w:tcPr>
          <w:p w14:paraId="4D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Концентрация аэрозолей смазочно-охлаждающих жидкостей и пыли</w:t>
            </w:r>
          </w:p>
        </w:tc>
        <w:tc>
          <w:tcPr>
            <w:tcW w:type="dxa" w:w="3119"/>
            <w:shd w:fill="auto" w:val="clear"/>
          </w:tcPr>
          <w:p w14:paraId="4E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Не выше предельно допустимых концентраций</w:t>
            </w:r>
          </w:p>
        </w:tc>
        <w:tc>
          <w:tcPr>
            <w:tcW w:type="dxa" w:w="3119"/>
            <w:shd w:fill="auto" w:val="clear"/>
          </w:tcPr>
          <w:p w14:paraId="4F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Лабораторный отбор проб, контроль ежегодно</w:t>
            </w:r>
          </w:p>
        </w:tc>
      </w:tr>
      <w:tr>
        <w:tc>
          <w:tcPr>
            <w:tcW w:type="dxa" w:w="3116"/>
            <w:shd w:fill="auto" w:val="clear"/>
          </w:tcPr>
          <w:p w14:paraId="50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Температура воздуха рабочей зоны в холодный период</w:t>
            </w:r>
          </w:p>
        </w:tc>
        <w:tc>
          <w:tcPr>
            <w:tcW w:type="dxa" w:w="3119"/>
            <w:shd w:fill="auto" w:val="clear"/>
          </w:tcPr>
          <w:p w14:paraId="51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17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>23 градуса Цельсия</w:t>
            </w:r>
          </w:p>
        </w:tc>
        <w:tc>
          <w:tcPr>
            <w:tcW w:type="dxa" w:w="3119"/>
            <w:shd w:fill="auto" w:val="clear"/>
          </w:tcPr>
          <w:p w14:paraId="52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 xml:space="preserve">Термометр, </w:t>
            </w:r>
            <w:r>
              <w:rPr>
                <w:sz w:val="24"/>
              </w:rPr>
              <w:t>термогигрометр</w:t>
            </w:r>
          </w:p>
        </w:tc>
      </w:tr>
      <w:tr>
        <w:tc>
          <w:tcPr>
            <w:tcW w:type="dxa" w:w="3116"/>
            <w:shd w:fill="auto" w:val="clear"/>
          </w:tcPr>
          <w:p w14:paraId="53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Сопротивление заземляющих устройств оборудования</w:t>
            </w:r>
          </w:p>
        </w:tc>
        <w:tc>
          <w:tcPr>
            <w:tcW w:type="dxa" w:w="3119"/>
            <w:shd w:fill="auto" w:val="clear"/>
          </w:tcPr>
          <w:p w14:paraId="54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В пределах норм электробезопасности</w:t>
            </w:r>
          </w:p>
        </w:tc>
        <w:tc>
          <w:tcPr>
            <w:tcW w:type="dxa" w:w="3119"/>
            <w:shd w:fill="auto" w:val="clear"/>
          </w:tcPr>
          <w:p w14:paraId="55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Измерение при периодических проверках</w:t>
            </w:r>
          </w:p>
        </w:tc>
      </w:tr>
    </w:tbl>
    <w:p w14:paraId="56040000"/>
    <w:p w14:paraId="57040000">
      <w:r>
        <w:t>Таким образом, анализ производственной среды и трудового процесса показывает, что рабочие места проектного технологического процесса характеризуются типовым для механообрабатывающего производства набором опасных и вредных факторов, ведущими из которых являются движущиеся и вращающиеся части оборудования, стружка, шум, аэрозоли смазочно-охлаждающих жидкостей, абразивная пыль и опасность поражения электрическим током. Уровни факторов подлежат периодическому инструментальному контролю в рамках специальной оценки условий труда, а их снижение до нормативных значений обеспечивается комплексом организационных и технических мероприятий, разработанных в параграфе 3.2.</w:t>
      </w:r>
    </w:p>
    <w:p w14:paraId="58040000"/>
    <w:p w14:paraId="59040000">
      <w:bookmarkStart w:id="13" w:name="__RefHeading___13"/>
      <w:bookmarkEnd w:id="13"/>
      <w:pPr>
        <w:pStyle w:val="Style_5"/>
      </w:pPr>
      <w:r>
        <w:t>3.2 Разработка мероприятий по снижению воздействия на работника опасных и вредных факторов производственной среды и трудового процесса</w:t>
      </w:r>
    </w:p>
    <w:p w14:paraId="5A040000"/>
    <w:p w14:paraId="5B040000">
      <w:r>
        <w:t xml:space="preserve">Мероприятия по снижению воздействия опасных и вредных факторов разрабатываются исходя из установленной иерархии мер защиты: приоритет отдаётся устранению источника опасности и техническим средствам коллективной защиты, затем применяются организационные меры и лишь в последнюю очередь </w:t>
      </w:r>
      <w:r>
        <w:t>-</w:t>
      </w:r>
      <w:r>
        <w:t xml:space="preserve"> средства индивидуальной защиты. Нормативной основой мероприятий служат Правила по охране труда при обработке металлов [2], требования безопасности при обработке резанием [6], порядок обучения по охране труда [3] и правила обеспечения работников средствами индивидуальной защиты [5].</w:t>
      </w:r>
    </w:p>
    <w:p w14:paraId="5C040000">
      <w:r>
        <w:t xml:space="preserve">Первую группу образуют технические мероприятия. Станки с числовым программным управлением эксплуатируются только с закрытыми ограждениями рабочей зоны, сблокированными с приводом: открывание дверцы во время цикла вызывает останов шпинделя и подач. Универсальные станки оснащаются прозрачными защитными экранами, а токарный станок </w:t>
      </w:r>
      <w:r>
        <w:t>-</w:t>
      </w:r>
      <w:r>
        <w:t xml:space="preserve"> дополнительно </w:t>
      </w:r>
      <w:r>
        <w:t>стружкоотводчиком</w:t>
      </w:r>
      <w:r>
        <w:t xml:space="preserve">, дробящим сливную стружку. На </w:t>
      </w:r>
      <w:r>
        <w:t>шлифовальном станке применяются защитные кожухи круга, а сами круги перед установкой проходят испытание на прочность и осмотр на отсутствие трещин. Заточной и сверлильные станки комплектуются экранами и устройствами местного освещения. Для снижения запылённости и концентрации аэрозолей смазочно-охлаждающих жидкостей предусмотрена общеобменная приточно-вытяжная вентиляция цеха и местные отсосы у шлифовального и заточного станков; термический участок оборудуется вытяжными зонтами над печью и закалочными баками. Электробезопасность обеспечивается защитным заземлением всех единиц оборудования с периодической проверкой сопротивления заземляющих устройств, применением устройств защитного отключения в сетях местного освещения и исправной изоляцией токоведущих частей.</w:t>
      </w:r>
    </w:p>
    <w:p w14:paraId="5D040000">
      <w:r>
        <w:t xml:space="preserve">Вторую группу составляют организационные мероприятия. Все работники проходят обучение по охране труда и проверку знания требований охраны труда в порядке, установленном Правительством Российской Федерации [3]: вводный инструктаж при приёме на работу, первичный инструктаж на рабочем месте со стажировкой, повторные инструктажи не реже одного раза в шесть месяцев, а также внеплановые и целевые инструктажи при изменении технологического процесса. </w:t>
      </w:r>
    </w:p>
    <w:p w14:paraId="5E040000">
      <w:r>
        <w:t>Внедрение проектного технологического процесса, изменяющего состав операций и применяемую оснастку, сопровождается внеплановым инструктажем станочников и наладчиков с разбором особенностей работы с разжимной оправкой и обработки закалённых поверхностей. К самостоятельной работе на станках допускаются лица не моложе восемнадцати лет, прошедшие медицинский осмотр, обучение и проверку знаний. Комплекс мероприятий по снижению воздействия выявленных факторов систематизирован в таблице 18.</w:t>
      </w:r>
    </w:p>
    <w:p w14:paraId="5F040000">
      <w:pPr>
        <w:spacing w:line="240" w:lineRule="auto"/>
        <w:ind w:firstLine="0" w:left="0"/>
        <w:jc w:val="left"/>
      </w:pPr>
      <w:r>
        <w:br w:type="page"/>
      </w:r>
    </w:p>
    <w:p w14:paraId="60040000">
      <w:pPr>
        <w:ind w:firstLine="0" w:left="0"/>
        <w:jc w:val="right"/>
      </w:pPr>
      <w:r>
        <w:t>Таблица 18</w:t>
      </w:r>
    </w:p>
    <w:p w14:paraId="61040000">
      <w:pPr>
        <w:ind w:firstLine="0" w:left="0"/>
        <w:jc w:val="center"/>
      </w:pPr>
      <w:r>
        <w:t>Мероприятия по снижению воздействия опасных и вредных производственных факторов</w:t>
      </w:r>
    </w:p>
    <w:tbl>
      <w:tblPr>
        <w:tblStyle w:val="Style_7"/>
        <w:tblLayout w:type="fixed"/>
      </w:tblPr>
      <w:tblGrid>
        <w:gridCol w:w="3116"/>
        <w:gridCol w:w="3119"/>
        <w:gridCol w:w="3119"/>
      </w:tblGrid>
      <w:tr>
        <w:tc>
          <w:tcPr>
            <w:tcW w:type="dxa" w:w="3116"/>
            <w:shd w:fill="auto" w:val="clear"/>
          </w:tcPr>
          <w:p w14:paraId="62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Фактор</w:t>
            </w:r>
          </w:p>
        </w:tc>
        <w:tc>
          <w:tcPr>
            <w:tcW w:type="dxa" w:w="3119"/>
            <w:shd w:fill="auto" w:val="clear"/>
          </w:tcPr>
          <w:p w14:paraId="63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Технические мероприятия</w:t>
            </w:r>
          </w:p>
        </w:tc>
        <w:tc>
          <w:tcPr>
            <w:tcW w:type="dxa" w:w="3119"/>
            <w:shd w:fill="auto" w:val="clear"/>
          </w:tcPr>
          <w:p w14:paraId="64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Организационные мероприятия</w:t>
            </w:r>
          </w:p>
        </w:tc>
      </w:tr>
      <w:tr>
        <w:tc>
          <w:tcPr>
            <w:tcW w:type="dxa" w:w="3116"/>
            <w:shd w:fill="auto" w:val="clear"/>
          </w:tcPr>
          <w:p w14:paraId="65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Вращающиеся части, отлетающая стружка</w:t>
            </w:r>
          </w:p>
        </w:tc>
        <w:tc>
          <w:tcPr>
            <w:tcW w:type="dxa" w:w="3119"/>
            <w:shd w:fill="auto" w:val="clear"/>
          </w:tcPr>
          <w:p w14:paraId="66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 xml:space="preserve">Ограждения с блокировками, защитные экраны, </w:t>
            </w:r>
            <w:r>
              <w:rPr>
                <w:sz w:val="24"/>
              </w:rPr>
              <w:t>стружкоотводчик</w:t>
            </w:r>
          </w:p>
        </w:tc>
        <w:tc>
          <w:tcPr>
            <w:tcW w:type="dxa" w:w="3119"/>
            <w:shd w:fill="auto" w:val="clear"/>
          </w:tcPr>
          <w:p w14:paraId="67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Запрет работы без ограждений, уборка стружки крючком, инструктажи</w:t>
            </w:r>
          </w:p>
        </w:tc>
      </w:tr>
      <w:tr>
        <w:tc>
          <w:tcPr>
            <w:tcW w:type="dxa" w:w="3116"/>
            <w:shd w:fill="auto" w:val="clear"/>
          </w:tcPr>
          <w:p w14:paraId="68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Разрыв шлифовального круга</w:t>
            </w:r>
          </w:p>
        </w:tc>
        <w:tc>
          <w:tcPr>
            <w:tcW w:type="dxa" w:w="3119"/>
            <w:shd w:fill="auto" w:val="clear"/>
          </w:tcPr>
          <w:p w14:paraId="69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Защитный кожух, испытание и балансировка кругов</w:t>
            </w:r>
          </w:p>
        </w:tc>
        <w:tc>
          <w:tcPr>
            <w:tcW w:type="dxa" w:w="3119"/>
            <w:shd w:fill="auto" w:val="clear"/>
          </w:tcPr>
          <w:p w14:paraId="6A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Проверка кругов перед установкой, обкатка на холостом ходу</w:t>
            </w:r>
          </w:p>
        </w:tc>
      </w:tr>
      <w:tr>
        <w:tc>
          <w:tcPr>
            <w:tcW w:type="dxa" w:w="3116"/>
          </w:tcPr>
          <w:p w14:paraId="6B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Шум</w:t>
            </w:r>
          </w:p>
        </w:tc>
        <w:tc>
          <w:tcPr>
            <w:tcW w:type="dxa" w:w="3119"/>
          </w:tcPr>
          <w:p w14:paraId="6C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Своевременное обслуживание оборудования, виброизолирующие опоры станков</w:t>
            </w:r>
          </w:p>
        </w:tc>
        <w:tc>
          <w:tcPr>
            <w:tcW w:type="dxa" w:w="3119"/>
          </w:tcPr>
          <w:p w14:paraId="6D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 xml:space="preserve">Контроль уровня звука, применение наушников при превышении 80 </w:t>
            </w:r>
            <w:r>
              <w:rPr>
                <w:sz w:val="24"/>
              </w:rPr>
              <w:t>дБА</w:t>
            </w:r>
          </w:p>
        </w:tc>
      </w:tr>
      <w:tr>
        <w:tc>
          <w:tcPr>
            <w:tcW w:type="dxa" w:w="3116"/>
          </w:tcPr>
          <w:p w14:paraId="6E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Аэрозоли СОЖ и пыль</w:t>
            </w:r>
          </w:p>
        </w:tc>
        <w:tc>
          <w:tcPr>
            <w:tcW w:type="dxa" w:w="3119"/>
          </w:tcPr>
          <w:p w14:paraId="6F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Общеобменная вентиляция, местные отсосы, укрытия зоны резания</w:t>
            </w:r>
          </w:p>
        </w:tc>
        <w:tc>
          <w:tcPr>
            <w:tcW w:type="dxa" w:w="3119"/>
          </w:tcPr>
          <w:p w14:paraId="70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Ежегодный лабораторный контроль концентраций, замена СОЖ по графику</w:t>
            </w:r>
          </w:p>
        </w:tc>
      </w:tr>
      <w:tr>
        <w:tc>
          <w:tcPr>
            <w:tcW w:type="dxa" w:w="3116"/>
          </w:tcPr>
          <w:p w14:paraId="71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Нагретые поверхности термического участка</w:t>
            </w:r>
          </w:p>
        </w:tc>
        <w:tc>
          <w:tcPr>
            <w:tcW w:type="dxa" w:w="3119"/>
          </w:tcPr>
          <w:p w14:paraId="72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Теплоизоляция печи, вытяжные зонты, ограждение закалочных баков</w:t>
            </w:r>
          </w:p>
        </w:tc>
        <w:tc>
          <w:tcPr>
            <w:tcW w:type="dxa" w:w="3119"/>
          </w:tcPr>
          <w:p w14:paraId="73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Допуск к работе обученных термистов, применение термостойких СИЗ</w:t>
            </w:r>
          </w:p>
        </w:tc>
      </w:tr>
      <w:tr>
        <w:tc>
          <w:tcPr>
            <w:tcW w:type="dxa" w:w="3116"/>
          </w:tcPr>
          <w:p w14:paraId="74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Поражение электрическим током</w:t>
            </w:r>
          </w:p>
        </w:tc>
        <w:tc>
          <w:tcPr>
            <w:tcW w:type="dxa" w:w="3119"/>
          </w:tcPr>
          <w:p w14:paraId="75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Защитное заземление, устройства защитного отключения, исправная изоляция</w:t>
            </w:r>
          </w:p>
        </w:tc>
        <w:tc>
          <w:tcPr>
            <w:tcW w:type="dxa" w:w="3119"/>
          </w:tcPr>
          <w:p w14:paraId="76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Периодические измерения сопротивления заземления, запрет самостоятельного ремонта электрооборудования</w:t>
            </w:r>
          </w:p>
        </w:tc>
      </w:tr>
      <w:tr>
        <w:tc>
          <w:tcPr>
            <w:tcW w:type="dxa" w:w="3116"/>
          </w:tcPr>
          <w:p w14:paraId="77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Недостаточная освещённость</w:t>
            </w:r>
          </w:p>
        </w:tc>
        <w:tc>
          <w:tcPr>
            <w:tcW w:type="dxa" w:w="3119"/>
          </w:tcPr>
          <w:p w14:paraId="78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 xml:space="preserve">Общее и местное освещение с освещённостью не менее 300 </w:t>
            </w:r>
            <w:r>
              <w:rPr>
                <w:sz w:val="24"/>
              </w:rPr>
              <w:t>лк</w:t>
            </w:r>
          </w:p>
        </w:tc>
        <w:tc>
          <w:tcPr>
            <w:tcW w:type="dxa" w:w="3119"/>
          </w:tcPr>
          <w:p w14:paraId="79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Своевременная замена ламп, чистка светильников</w:t>
            </w:r>
          </w:p>
        </w:tc>
      </w:tr>
      <w:tr>
        <w:tc>
          <w:tcPr>
            <w:tcW w:type="dxa" w:w="3116"/>
          </w:tcPr>
          <w:p w14:paraId="7A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Физические перегрузки</w:t>
            </w:r>
          </w:p>
        </w:tc>
        <w:tc>
          <w:tcPr>
            <w:tcW w:type="dxa" w:w="3119"/>
          </w:tcPr>
          <w:p w14:paraId="7B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Стеллажи и тара на уровне рабочей зоны, транспортные тележки</w:t>
            </w:r>
          </w:p>
        </w:tc>
        <w:tc>
          <w:tcPr>
            <w:tcW w:type="dxa" w:w="3119"/>
          </w:tcPr>
          <w:p w14:paraId="7C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Соблюдение норм подъёма груза, рациональная планировка рабочего места</w:t>
            </w:r>
          </w:p>
        </w:tc>
      </w:tr>
    </w:tbl>
    <w:p w14:paraId="7D040000">
      <w:pPr>
        <w:ind/>
        <w:jc w:val="right"/>
      </w:pPr>
    </w:p>
    <w:p w14:paraId="7E040000">
      <w:r>
        <w:t>Третью группу мероприятий образует обеспечение работников средствами индивидуальной защиты. Выдача средств индивидуальной защиты осуществляется по нормам, установленным работодателем на основании единых типовых норм с учётом результатов специальной оценки условий труда [5]; учёт выдачи ведётся в личных карточках работников. Нормы выдачи средств индивидуальной защиты по основным профессиям проектного технологического процесса приведены в таблице 19.</w:t>
      </w:r>
    </w:p>
    <w:p w14:paraId="7F040000">
      <w:pPr>
        <w:spacing w:line="240" w:lineRule="auto"/>
        <w:ind w:firstLine="0" w:left="0"/>
        <w:jc w:val="left"/>
      </w:pPr>
      <w:r>
        <w:br w:type="page"/>
      </w:r>
    </w:p>
    <w:p w14:paraId="80040000">
      <w:pPr>
        <w:ind w:firstLine="0" w:left="0"/>
        <w:jc w:val="right"/>
      </w:pPr>
      <w:r>
        <w:t>Таблица 19</w:t>
      </w:r>
    </w:p>
    <w:p w14:paraId="81040000">
      <w:pPr>
        <w:ind w:firstLine="0" w:left="0"/>
        <w:jc w:val="center"/>
      </w:pPr>
      <w:r>
        <w:t>Средства индивидуальной защиты работников по основным профессиям</w:t>
      </w:r>
    </w:p>
    <w:tbl>
      <w:tblPr>
        <w:tblStyle w:val="Style_7"/>
        <w:tblLayout w:type="fixed"/>
      </w:tblPr>
      <w:tblGrid>
        <w:gridCol w:w="3116"/>
        <w:gridCol w:w="3119"/>
        <w:gridCol w:w="3119"/>
      </w:tblGrid>
      <w:tr>
        <w:tc>
          <w:tcPr>
            <w:tcW w:type="dxa" w:w="3116"/>
            <w:shd w:fill="auto" w:val="clear"/>
          </w:tcPr>
          <w:p w14:paraId="82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Профессия</w:t>
            </w:r>
          </w:p>
        </w:tc>
        <w:tc>
          <w:tcPr>
            <w:tcW w:type="dxa" w:w="3119"/>
            <w:shd w:fill="auto" w:val="clear"/>
          </w:tcPr>
          <w:p w14:paraId="83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Средства индивидуальной защиты</w:t>
            </w:r>
          </w:p>
        </w:tc>
        <w:tc>
          <w:tcPr>
            <w:tcW w:type="dxa" w:w="3119"/>
            <w:shd w:fill="auto" w:val="clear"/>
          </w:tcPr>
          <w:p w14:paraId="84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Периодичность выдачи</w:t>
            </w:r>
          </w:p>
        </w:tc>
      </w:tr>
      <w:tr>
        <w:tc>
          <w:tcPr>
            <w:tcW w:type="dxa" w:w="3116"/>
            <w:shd w:fill="auto" w:val="clear"/>
          </w:tcPr>
          <w:p w14:paraId="85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Оператор станков с ЧПУ, фрезеровщик, токарь</w:t>
            </w:r>
          </w:p>
        </w:tc>
        <w:tc>
          <w:tcPr>
            <w:tcW w:type="dxa" w:w="3119"/>
            <w:shd w:fill="auto" w:val="clear"/>
          </w:tcPr>
          <w:p w14:paraId="86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 xml:space="preserve">Костюм для защиты от общих производственных загрязнений, ботинки кожаные с защитным подноском, очки защитные, наушники противошумные (при превышении 80 </w:t>
            </w:r>
            <w:r>
              <w:rPr>
                <w:sz w:val="24"/>
              </w:rPr>
              <w:t>дБА</w:t>
            </w:r>
            <w:r>
              <w:rPr>
                <w:sz w:val="24"/>
              </w:rPr>
              <w:t>), перчатки с полимерным покрытием</w:t>
            </w:r>
          </w:p>
        </w:tc>
        <w:tc>
          <w:tcPr>
            <w:tcW w:type="dxa" w:w="3119"/>
            <w:shd w:fill="auto" w:val="clear"/>
          </w:tcPr>
          <w:p w14:paraId="87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 xml:space="preserve">Костюм и обувь 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 1 раз в год; очки и наушники 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 до износа; перчатки 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 по мере износа</w:t>
            </w:r>
          </w:p>
        </w:tc>
      </w:tr>
      <w:tr>
        <w:tc>
          <w:tcPr>
            <w:tcW w:type="dxa" w:w="3116"/>
            <w:shd w:fill="auto" w:val="clear"/>
          </w:tcPr>
          <w:p w14:paraId="88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Сверловщик</w:t>
            </w:r>
          </w:p>
        </w:tc>
        <w:tc>
          <w:tcPr>
            <w:tcW w:type="dxa" w:w="3119"/>
            <w:shd w:fill="auto" w:val="clear"/>
          </w:tcPr>
          <w:p w14:paraId="89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Костюм, ботинки с защитным подноском, очки защитные, головной убор, исключающий захват волос</w:t>
            </w:r>
          </w:p>
        </w:tc>
        <w:tc>
          <w:tcPr>
            <w:tcW w:type="dxa" w:w="3119"/>
            <w:shd w:fill="auto" w:val="clear"/>
          </w:tcPr>
          <w:p w14:paraId="8A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 xml:space="preserve">Костюм и обувь 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 1 раз в год; остальное 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 до износа</w:t>
            </w:r>
          </w:p>
        </w:tc>
      </w:tr>
      <w:tr>
        <w:tc>
          <w:tcPr>
            <w:tcW w:type="dxa" w:w="3116"/>
            <w:shd w:fill="auto" w:val="clear"/>
          </w:tcPr>
          <w:p w14:paraId="8B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Шлифовщик</w:t>
            </w:r>
          </w:p>
        </w:tc>
        <w:tc>
          <w:tcPr>
            <w:tcW w:type="dxa" w:w="3119"/>
            <w:shd w:fill="auto" w:val="clear"/>
          </w:tcPr>
          <w:p w14:paraId="8C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 xml:space="preserve">Костюм, ботинки, очки защитные закрытого типа, респиратор </w:t>
            </w:r>
            <w:r>
              <w:rPr>
                <w:sz w:val="24"/>
              </w:rPr>
              <w:t>противоаэрозольный</w:t>
            </w:r>
            <w:r>
              <w:rPr>
                <w:sz w:val="24"/>
              </w:rPr>
              <w:t>, наушники</w:t>
            </w:r>
          </w:p>
        </w:tc>
        <w:tc>
          <w:tcPr>
            <w:tcW w:type="dxa" w:w="3119"/>
            <w:shd w:fill="auto" w:val="clear"/>
          </w:tcPr>
          <w:p w14:paraId="8D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 xml:space="preserve">Костюм и обувь 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 1 раз в год; респиратор 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 по мере отработки фильтров</w:t>
            </w:r>
          </w:p>
        </w:tc>
      </w:tr>
      <w:tr>
        <w:tc>
          <w:tcPr>
            <w:tcW w:type="dxa" w:w="3116"/>
            <w:shd w:fill="auto" w:val="clear"/>
          </w:tcPr>
          <w:p w14:paraId="8E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Термист</w:t>
            </w:r>
          </w:p>
        </w:tc>
        <w:tc>
          <w:tcPr>
            <w:tcW w:type="dxa" w:w="3119"/>
            <w:shd w:fill="auto" w:val="clear"/>
          </w:tcPr>
          <w:p w14:paraId="8F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 xml:space="preserve">Костюм из огнестойких материалов, обувь термостойкая, краги </w:t>
            </w:r>
            <w:r>
              <w:rPr>
                <w:sz w:val="24"/>
              </w:rPr>
              <w:t>спилковые</w:t>
            </w:r>
            <w:r>
              <w:rPr>
                <w:sz w:val="24"/>
              </w:rPr>
              <w:t>, щиток защитный лицевой</w:t>
            </w:r>
          </w:p>
        </w:tc>
        <w:tc>
          <w:tcPr>
            <w:tcW w:type="dxa" w:w="3119"/>
            <w:shd w:fill="auto" w:val="clear"/>
          </w:tcPr>
          <w:p w14:paraId="90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 xml:space="preserve">Костюм 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 1 раз в год; краги и щиток 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 до износа</w:t>
            </w:r>
          </w:p>
        </w:tc>
      </w:tr>
      <w:tr>
        <w:tc>
          <w:tcPr>
            <w:tcW w:type="dxa" w:w="3116"/>
            <w:shd w:fill="auto" w:val="clear"/>
          </w:tcPr>
          <w:p w14:paraId="91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Контролёр ОТК</w:t>
            </w:r>
          </w:p>
        </w:tc>
        <w:tc>
          <w:tcPr>
            <w:tcW w:type="dxa" w:w="3119"/>
            <w:shd w:fill="auto" w:val="clear"/>
          </w:tcPr>
          <w:p w14:paraId="92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Халат, перчатки трикотажные, очки защитные</w:t>
            </w:r>
          </w:p>
        </w:tc>
        <w:tc>
          <w:tcPr>
            <w:tcW w:type="dxa" w:w="3119"/>
            <w:shd w:fill="auto" w:val="clear"/>
          </w:tcPr>
          <w:p w14:paraId="93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 xml:space="preserve">Халат 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 1 раз в год; остальное 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 до износа</w:t>
            </w:r>
          </w:p>
        </w:tc>
      </w:tr>
    </w:tbl>
    <w:p w14:paraId="94040000"/>
    <w:p w14:paraId="95040000">
      <w:r>
        <w:t>Приведённые в таблице 19 нормы охватывают все профессии, задействованные в проектном технологическом процессе; применение работниками выданных средств индивидуальной защиты является обязательным, а контроль применения возлагается на мастера участка.</w:t>
      </w:r>
    </w:p>
    <w:p w14:paraId="96040000">
      <w:r>
        <w:t xml:space="preserve">Отдельным направлением является обеспечение пожарной безопасности. Источниками пожарной опасности в цехе являются промасленная ветошь, смазочно-охлаждающие жидкости, электрооборудование и искрообразование на шлифовальном и заточном станках и термическом участке. Предусматриваются: размещение первичных средств пожаротушения </w:t>
      </w:r>
      <w:r>
        <w:t>-</w:t>
      </w:r>
      <w:r>
        <w:t xml:space="preserve"> порошковых огнетушителей ОП-4 у станочных рабочих мест и углекислотного огнетушителя ОУ-3 у электрошкафов; сбор </w:t>
      </w:r>
      <w:r>
        <w:t>промасленной ветоши в закрытую металлическую тару с удалением в конце смены; запрет хранения горюче-смазочных материалов на рабочих местах сверх сменной потребности; содержание проходов и эвакуационных выходов свободными; обучение работников действиям при пожаре.</w:t>
      </w:r>
    </w:p>
    <w:p w14:paraId="97040000">
      <w:r>
        <w:t>Таким образом, разработанный комплекс мероприятий охватывает технические средства коллективной защиты, организационные меры, обеспечение средствами индивидуальной защиты и пожарную безопасность. Реализация комплекса приводит уровни опасных и вредных факторов на рабочих местах проектного технологического процесса в соответствие с нормативными требованиями [2], [6] и создаёт условия для безопасного внедрения усовершенствованного процесса; закрепление требований безопасности на уровне конкретного рабочего места выполняется инструкцией по охране труда, разработанной в параграфе 3.3.</w:t>
      </w:r>
    </w:p>
    <w:p w14:paraId="98040000"/>
    <w:p w14:paraId="99040000">
      <w:bookmarkStart w:id="14" w:name="__RefHeading___14"/>
      <w:bookmarkEnd w:id="14"/>
      <w:pPr>
        <w:pStyle w:val="Style_5"/>
      </w:pPr>
      <w:r>
        <w:t>3.3 Разработка инструкции по охране труда на рабочем месте</w:t>
      </w:r>
    </w:p>
    <w:p w14:paraId="9A040000"/>
    <w:p w14:paraId="9B040000">
      <w:r>
        <w:t>Инструкция по охране труда является локальным нормативным актом работодателя, устанавливающим требования безопасного выполнения работ на конкретном рабочем месте или по конкретной профессии. Порядок разработки и содержание инструкций регламентированы приказом Минтруда России от 29.10.2021 номер 772н [4]: инструкция разрабатывается на основе установленных государственных нормативных требований охраны труда, анализа трудовой функции работника, результатов специальной оценки условий труда и оценки профессиональных рисков, с учётом требований эксплуатационной документации применяемого оборудования и оснастки.</w:t>
      </w:r>
    </w:p>
    <w:p w14:paraId="9C040000">
      <w:r>
        <w:t xml:space="preserve">Применительно к проектному технологическому процессу ключевым рабочим местом является место оператора станков с числовым программным управлением, выполняющего фрезерные операции 010, 015, 020 и токарную операцию 030, в том числе с применением специального приспособления </w:t>
      </w:r>
      <w:r>
        <w:t>-</w:t>
      </w:r>
      <w:r>
        <w:t xml:space="preserve"> разжимной оправки. Для этого рабочего места разработана инструкция ИОТ-</w:t>
      </w:r>
      <w:r>
        <w:t>МО-01 «Инструкция по охране труда для оператора станков с числовым программным управлением при механической обработке корпусных деталей». Инструкция утверждается руководителем предприятия с учётом мнения представительного органа работников, регистрируется в журнале учёта инструкций и выдаётся работникам под подпись при первичном инструктаже. Структура и краткое содержание разделов инструкции приведены в таблице 20.</w:t>
      </w:r>
    </w:p>
    <w:p w14:paraId="9D040000">
      <w:pPr>
        <w:ind w:firstLine="0" w:left="0"/>
        <w:jc w:val="right"/>
      </w:pPr>
      <w:r>
        <w:t>Таблица 20</w:t>
      </w:r>
    </w:p>
    <w:p w14:paraId="9E040000">
      <w:pPr>
        <w:ind w:firstLine="0" w:left="0"/>
        <w:jc w:val="center"/>
      </w:pPr>
      <w:r>
        <w:t>Структура и содержание инструкции по охране труда</w:t>
      </w:r>
    </w:p>
    <w:tbl>
      <w:tblPr>
        <w:tblStyle w:val="Style_7"/>
        <w:tblLayout w:type="fixed"/>
      </w:tblPr>
      <w:tblGrid>
        <w:gridCol w:w="2550"/>
        <w:gridCol w:w="6805"/>
      </w:tblGrid>
      <w:tr>
        <w:tc>
          <w:tcPr>
            <w:tcW w:type="dxa" w:w="2550"/>
            <w:shd w:fill="auto" w:val="clear"/>
          </w:tcPr>
          <w:p w14:paraId="9F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Раздел инструкции</w:t>
            </w:r>
          </w:p>
        </w:tc>
        <w:tc>
          <w:tcPr>
            <w:tcW w:type="dxa" w:w="6805"/>
            <w:shd w:fill="auto" w:val="clear"/>
          </w:tcPr>
          <w:p w14:paraId="A0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Основное содержание</w:t>
            </w:r>
          </w:p>
        </w:tc>
      </w:tr>
      <w:tr>
        <w:tc>
          <w:tcPr>
            <w:tcW w:type="dxa" w:w="2550"/>
            <w:shd w:fill="auto" w:val="clear"/>
          </w:tcPr>
          <w:p w14:paraId="A1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1 Общие требования охраны труда</w:t>
            </w:r>
          </w:p>
        </w:tc>
        <w:tc>
          <w:tcPr>
            <w:tcW w:type="dxa" w:w="6805"/>
            <w:shd w:fill="auto" w:val="clear"/>
          </w:tcPr>
          <w:p w14:paraId="A2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Допуск к работе лиц не моложе 18 лет, прошедших медосмотр, обучение, стажировку и проверку знаний; перечень опасных и вредных факторов рабочего места; перечень выдаваемых СИЗ; обязанность соблюдать режим труда и отдыха, правила пожарной безопасности; ответственность за нарушение инструкции</w:t>
            </w:r>
          </w:p>
        </w:tc>
      </w:tr>
      <w:tr>
        <w:tc>
          <w:tcPr>
            <w:tcW w:type="dxa" w:w="2550"/>
            <w:shd w:fill="auto" w:val="clear"/>
          </w:tcPr>
          <w:p w14:paraId="A3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2 Требования охраны труда перед началом работы</w:t>
            </w:r>
          </w:p>
        </w:tc>
        <w:tc>
          <w:tcPr>
            <w:tcW w:type="dxa" w:w="6805"/>
            <w:shd w:fill="auto" w:val="clear"/>
          </w:tcPr>
          <w:p w14:paraId="A4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Надевание спецодежды и СИЗ; осмотр станка, ограждений и блокировок; проверка заземления и местного освещения; проверка состояния разжимной оправки, затяжки зажимной гайки и отсутствия загрязнений на установочных поверхностях; проверка режущего инструмента на отсутствие сколов пластин; пробный пуск на холостом ходу</w:t>
            </w:r>
          </w:p>
        </w:tc>
      </w:tr>
      <w:tr>
        <w:tc>
          <w:tcPr>
            <w:tcW w:type="dxa" w:w="2550"/>
            <w:shd w:fill="auto" w:val="clear"/>
          </w:tcPr>
          <w:p w14:paraId="A5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3 Требования охраны труда во время работы</w:t>
            </w:r>
          </w:p>
        </w:tc>
        <w:tc>
          <w:tcPr>
            <w:tcW w:type="dxa" w:w="6805"/>
            <w:shd w:fill="auto" w:val="clear"/>
          </w:tcPr>
          <w:p w14:paraId="A6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Запрет работы при открытых ограждениях и отключённых блокировках; установка и снятие заготовки только при остановленном шпинделе; контроль надёжности закрепления заготовки на оправке; удаление стружки крючком и щёткой; запрет измерений детали на ходу; наблюдение за ходом цикла обработки со стойки управления; запрет оставлять работающий станок без присмотра</w:t>
            </w:r>
          </w:p>
        </w:tc>
      </w:tr>
      <w:tr>
        <w:tc>
          <w:tcPr>
            <w:tcW w:type="dxa" w:w="2550"/>
            <w:shd w:fill="auto" w:val="clear"/>
          </w:tcPr>
          <w:p w14:paraId="A7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4 Требования охраны труда в аварийных ситуациях</w:t>
            </w:r>
          </w:p>
        </w:tc>
        <w:tc>
          <w:tcPr>
            <w:tcW w:type="dxa" w:w="6805"/>
            <w:shd w:fill="auto" w:val="clear"/>
          </w:tcPr>
          <w:p w14:paraId="A8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 xml:space="preserve">Действия при поломке инструмента, </w:t>
            </w:r>
            <w:r>
              <w:rPr>
                <w:sz w:val="24"/>
              </w:rPr>
              <w:t>вырыве</w:t>
            </w:r>
            <w:r>
              <w:rPr>
                <w:sz w:val="24"/>
              </w:rPr>
              <w:t xml:space="preserve"> заготовки, возгорании, поражении электрическим током и травмировании: останов станка кнопкой аварийного останова, обесточивание, сообщение мастеру, оказание первой помощи, вызов пожарной охраны и скорой помощи, сохранение обстановки для расследования</w:t>
            </w:r>
          </w:p>
        </w:tc>
      </w:tr>
      <w:tr>
        <w:tc>
          <w:tcPr>
            <w:tcW w:type="dxa" w:w="2550"/>
            <w:shd w:fill="auto" w:val="clear"/>
          </w:tcPr>
          <w:p w14:paraId="A9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5 Требования охраны труда по окончании работы</w:t>
            </w:r>
          </w:p>
        </w:tc>
        <w:tc>
          <w:tcPr>
            <w:tcW w:type="dxa" w:w="6805"/>
            <w:shd w:fill="auto" w:val="clear"/>
          </w:tcPr>
          <w:p w14:paraId="AA040000">
            <w:pPr>
              <w:spacing w:line="240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Останов и обесточивание станка; уборка рабочего места, стружки и оснастки; очистка и осмотр разжимной оправки; смазка станка; сдача смены с сообщением мастеру о неисправностях и замечаниях; приведение в порядок спецодежды и СИЗ</w:t>
            </w:r>
          </w:p>
        </w:tc>
      </w:tr>
    </w:tbl>
    <w:p w14:paraId="AB040000"/>
    <w:p w14:paraId="AC040000">
      <w:r>
        <w:t xml:space="preserve">Как видно из таблицы 20, инструкция построена по типовой </w:t>
      </w:r>
      <w:r>
        <w:t>пятиразделной</w:t>
      </w:r>
      <w:r>
        <w:t xml:space="preserve"> структуре, установленной приказом номер 772н [4], и включает </w:t>
      </w:r>
      <w:r>
        <w:t>специфические требования, вытекающие из особенностей проектного технологического процесса: проверку состояния разжимной оправки перед началом смены, контроль затяжки зажимного механизма, обеспечивающего усилие зажима 2051 Н, и осторожное обращение с закалёнными деталями твёрдостью HRC 45...62, имеющими острые кромки.</w:t>
      </w:r>
    </w:p>
    <w:p w14:paraId="AD040000">
      <w:r>
        <w:t xml:space="preserve">Особое значение для предупреждения тяжёлых последствий имеет чёткий порядок действий работника при аварийной ситуации, закреплённый в четвёртом разделе инструкции. Последовательность действий оператора при возникновении аварийной ситуации представлена </w:t>
      </w:r>
      <w:r>
        <w:t xml:space="preserve">в Приложении </w:t>
      </w:r>
      <w:r>
        <w:t>2</w:t>
      </w:r>
      <w:r>
        <w:t>.</w:t>
      </w:r>
    </w:p>
    <w:p w14:paraId="AE040000">
      <w:r>
        <w:t xml:space="preserve">Представленная блок-схема устанавливает единый порядок действий независимо от вида аварийной ситуации: первоочередными являются останов и обесточивание оборудования, затем </w:t>
      </w:r>
      <w:r>
        <w:t>-</w:t>
      </w:r>
      <w:r>
        <w:t xml:space="preserve"> помощь пострадавшему и ликвидация возгорания первичными средствами, после чего работник обязан известить мастера и сохранить обстановку места происшествия. Наглядная схема размещается на рабочем месте рядом со стойкой управления станка, что сокращает время принятия решения работником в стрессовой ситуации.</w:t>
      </w:r>
    </w:p>
    <w:p w14:paraId="AF040000">
      <w:r>
        <w:t xml:space="preserve">Инструкция подлежит пересмотру не реже одного раза в пять лет, а досрочно </w:t>
      </w:r>
      <w:r>
        <w:t>-</w:t>
      </w:r>
      <w:r>
        <w:t xml:space="preserve"> при изменении условий труда, внедрении новой техники и технологии, по результатам расследования аварий и несчастных случаев, а также по требованию органов государственного надзора [4]. Внедрение проектного технологического процесса является основанием для внепланового пересмотра действовавшей инструкции и проведения внепланового инструктажа работников по новой редакции. Контроль соблюдения требований инструкции возлагается на мастера участка в рамках первого уровня административно-производственного контроля; периодические проверки выполняет специалист по охране труда.</w:t>
      </w:r>
    </w:p>
    <w:p w14:paraId="B0040000">
      <w:pPr>
        <w:spacing w:line="240" w:lineRule="auto"/>
        <w:ind w:firstLine="0" w:left="0"/>
        <w:jc w:val="left"/>
        <w:rPr>
          <w:b w:val="1"/>
          <w:color w:val="000000"/>
          <w:sz w:val="32"/>
        </w:rPr>
      </w:pPr>
      <w:r>
        <w:br w:type="page"/>
      </w:r>
    </w:p>
    <w:p w14:paraId="B1040000">
      <w:bookmarkStart w:id="15" w:name="__RefHeading___15"/>
      <w:bookmarkEnd w:id="15"/>
      <w:pPr>
        <w:pStyle w:val="Style_5"/>
      </w:pPr>
      <w:r>
        <w:t>ЗАКЛЮЧЕНИЕ</w:t>
      </w:r>
    </w:p>
    <w:p w14:paraId="B2040000"/>
    <w:p w14:paraId="B3040000">
      <w:r>
        <w:t>В выпускной квалификационной работе решена задача совершенствования технологического процесса механической обработки детали «Угловой корпус подшипника» применительно к производственным условиям ООО «Четвертый Подшипниковый Завод». Поставленная цель достигнута последовательным решением всех задач, сформулированных во введении.</w:t>
      </w:r>
    </w:p>
    <w:p w14:paraId="B4040000">
      <w:r>
        <w:t xml:space="preserve">В первой главе охарактеризованы структура и деятельность предприятия: ООО «Четвертый Подшипниковый Завод» </w:t>
      </w:r>
      <w:r>
        <w:t>-</w:t>
      </w:r>
      <w:r>
        <w:t xml:space="preserve"> серийное машиностроительное предприятие города Самары с численностью персонала 86 человек, полным циклом механической обработки и линейно-функциональной структурой управления с независимой службой технического контроля. Описан станочный парк из 18 единиц оборудования, включающий вертикально-фрезерные обрабатывающие центры и токарные станки с числовым программным управлением, сверлильное, шлифовальное и термическое оборудование, что создаёт техническую базу совершенствования технологических процессов. Обзор современных технологических процессов показал, что для малогабаритных корпусных деталей серийного выпуска рациональны заготовка из сортового проката, концентрация операций на оборудовании с числовым программным управлением, базирование по точному центральному отверстию на разжимной оправке и инструментальный контроль качества.</w:t>
      </w:r>
    </w:p>
    <w:p w14:paraId="B5040000">
      <w:r>
        <w:t xml:space="preserve">Во второй главе выполнен анализ действующего технологического процесса изготовления детали. Установлено, что маршрут из одиннадцати операций с двумя разметочными операциями и восемью </w:t>
      </w:r>
      <w:r>
        <w:t>установами</w:t>
      </w:r>
      <w:r>
        <w:t xml:space="preserve"> не обеспечивает стабильного выполнения требований чертежа: допуск координат крепёжных отверстий плюс-минус 0,035 мм невыполним при разметке с погрешностью до 0,3 мм, трудоёмкость составляет 1,8 нормо-часа, доля брака и доработки достигает 6 процентов. Расчётами подтверждён среднесерийный </w:t>
      </w:r>
      <w:r>
        <w:t xml:space="preserve">тип производства при годовой программе 3200 деталей: такт выпуска составил 74,1 минуты, коэффициент закрепления операций </w:t>
      </w:r>
      <w:r>
        <w:t>-</w:t>
      </w:r>
      <w:r>
        <w:t xml:space="preserve"> 14. Разработана технологическая карта проектного процесса из одиннадцати операций с концентрацией формообразующей обработки на трёх станках с числовым программным управлением и полным исключением разметки. Обоснована заготовка из проката квадратного сечения 70×70 мм массой 1,92 кг с коэффициентом использования материала 0,47 и годовой потребностью в металле 6,14 тонны. Принято специальное приспособление </w:t>
      </w:r>
      <w:r>
        <w:t>-</w:t>
      </w:r>
      <w:r>
        <w:t xml:space="preserve"> разжимная оправка для операций 015, 030 и 050, обеспечивающая единство технологических баз; расчётом подтверждена достаточность усилия зажима 2051 Н при потребных 2050 Н. Разработана инструментальная наладка фрезерной операции из четырёх позиций, расчётным методом назначены режимы резания по всем основным переходам, определены минутные подачи и основное время. В результате трудоёмкость изготовления детали снижена с 1,8 до 1,10 нормо-часа, то есть на 39 процентов, ожидаемая доля брака сокращена с 6 до 2 процентов. Выполнен выбор и расчёт кинематической передачи привода главного движения токарного станка: двухступенчатая схема с зубчатой передачей (числа зубьев 32 и 40, модуль 2 мм, межосевое расстояние 72 мм) и клиноременной передачей (шкивы 140 и 180 мм, ремень сечения А длиной 1000 мм) при общем передаточном числе 1,61 и частотно-регулируемом двигателе мощностью 11 кВт обеспечивает диапазон частот вращения шпинделя от 30 до 2480 оборотов в минуту, полностью перекрывающий назначенные режимы резания.</w:t>
      </w:r>
    </w:p>
    <w:p w14:paraId="B6040000">
      <w:r>
        <w:t xml:space="preserve">В третьей главе выполнен анализ опасных и вредных факторов производственной среды и трудового процесса на семи типах рабочих мест проектного маршрута; ведущими факторами определены вращающиеся части оборудования, стружка, шум, аэрозоли смазочно-охлаждающих жидкостей, абразивная пыль и опасность поражения электрическим током. Разработан комплекс мероприятий по снижению их воздействия, охватывающий технические средства коллективной защиты, организационные меры, </w:t>
      </w:r>
      <w:r>
        <w:t xml:space="preserve">обеспечение работников средствами индивидуальной защиты и пожарную безопасность, с контролем по нормируемым показателям: уровень звука не более 80 </w:t>
      </w:r>
      <w:r>
        <w:t>дБА</w:t>
      </w:r>
      <w:r>
        <w:t xml:space="preserve">, освещённость не менее 300 </w:t>
      </w:r>
      <w:r>
        <w:t>лк</w:t>
      </w:r>
      <w:r>
        <w:t xml:space="preserve">. Разработана инструкция по охране труда ИОТ-МО-01 для оператора станков с числовым программным управлением с типовой </w:t>
      </w:r>
      <w:r>
        <w:t>пятиразделной</w:t>
      </w:r>
      <w:r>
        <w:t xml:space="preserve"> структурой, учитывающая специфику работы с разжимной оправкой и закалёнными деталями и закрепляющая порядок действий в аварийных ситуациях.</w:t>
      </w:r>
    </w:p>
    <w:p w14:paraId="B7040000">
      <w:r>
        <w:t xml:space="preserve">Практическая значимость работы состоит в том, что разработанные решения </w:t>
      </w:r>
      <w:r>
        <w:t>-</w:t>
      </w:r>
      <w:r>
        <w:t xml:space="preserve"> проектный маршрут, специальное приспособление, инструментальная наладка, режимы резания, кинематическое обоснование оборудования и комплекс мер охраны труда </w:t>
      </w:r>
      <w:r>
        <w:t>-</w:t>
      </w:r>
      <w:r>
        <w:t xml:space="preserve"> соответствуют производственным возможностям ООО «Четвертый Подшипниковый Завод» и готовы к внедрению. Полученные результаты могут быть распространены на другие малогабаритные корпусные детали номенклатуры предприятия, что определяет перспективу дальнейшего развития выполненной разработки.</w:t>
      </w:r>
    </w:p>
    <w:p w14:paraId="B8040000"/>
    <w:p w14:paraId="B9040000"/>
    <w:p w14:paraId="BA040000"/>
    <w:p w14:paraId="BB040000">
      <w:pPr>
        <w:pStyle w:val="Style_5"/>
      </w:pPr>
    </w:p>
    <w:p w14:paraId="BC040000">
      <w:pPr>
        <w:spacing w:line="240" w:lineRule="auto"/>
        <w:ind w:firstLine="0" w:left="0"/>
        <w:jc w:val="left"/>
        <w:rPr>
          <w:b w:val="1"/>
          <w:color w:val="000000"/>
          <w:sz w:val="32"/>
        </w:rPr>
      </w:pPr>
      <w:r>
        <w:br w:type="page"/>
      </w:r>
    </w:p>
    <w:p w14:paraId="BD040000">
      <w:bookmarkStart w:id="16" w:name="__RefHeading___16"/>
      <w:bookmarkEnd w:id="16"/>
      <w:pPr>
        <w:pStyle w:val="Style_5"/>
      </w:pPr>
      <w:r>
        <w:t>СПИСОК</w:t>
      </w:r>
      <w:r>
        <w:t xml:space="preserve"> </w:t>
      </w:r>
      <w:r>
        <w:t>ИСПОЛЬЗОВАННЫХ</w:t>
      </w:r>
      <w:r>
        <w:t xml:space="preserve"> </w:t>
      </w:r>
      <w:r>
        <w:t>ИСТОЧНИКОВ</w:t>
      </w:r>
    </w:p>
    <w:p w14:paraId="BE040000"/>
    <w:p w14:paraId="BF040000">
      <w:pPr>
        <w:pStyle w:val="Style_8"/>
        <w:numPr>
          <w:ilvl w:val="0"/>
          <w:numId w:val="1"/>
        </w:numPr>
        <w:ind w:firstLine="709" w:left="0"/>
      </w:pPr>
      <w:r>
        <w:t xml:space="preserve">О специальной оценке условий </w:t>
      </w:r>
      <w:r>
        <w:t>труда :</w:t>
      </w:r>
      <w:r>
        <w:t xml:space="preserve"> Федеральный закон от 28.12.2013 № 426-ФЗ : принят Государственной Думой 23.12.2013 : одобрен Советом Федерации 25.12.2013 : ред. от 24.07.2023. </w:t>
      </w:r>
      <w:r>
        <w:t>-</w:t>
      </w:r>
      <w:r>
        <w:t xml:space="preserve"> </w:t>
      </w:r>
      <w:r>
        <w:t>Текст :</w:t>
      </w:r>
      <w:r>
        <w:t xml:space="preserve"> электронный // КонсультантПлюс : справочная правовая система. </w:t>
      </w:r>
      <w:r>
        <w:t>-</w:t>
      </w:r>
      <w:r>
        <w:t xml:space="preserve"> </w:t>
      </w:r>
      <w:r>
        <w:t>URL</w:t>
      </w:r>
      <w:r>
        <w:t xml:space="preserve">: </w:t>
      </w:r>
      <w:r>
        <w:t>https</w:t>
      </w:r>
      <w:r>
        <w:t>://</w:t>
      </w:r>
      <w:r>
        <w:t>www</w:t>
      </w:r>
      <w:r>
        <w:t>.</w:t>
      </w:r>
      <w:r>
        <w:t>consultant</w:t>
      </w:r>
      <w:r>
        <w:t>.</w:t>
      </w:r>
      <w:r>
        <w:t>ru</w:t>
      </w:r>
      <w:r>
        <w:t>/</w:t>
      </w:r>
      <w:r>
        <w:t>document</w:t>
      </w:r>
      <w:r>
        <w:t>/</w:t>
      </w:r>
      <w:r>
        <w:t>cons</w:t>
      </w:r>
      <w:r>
        <w:t>_</w:t>
      </w:r>
      <w:r>
        <w:t>doc</w:t>
      </w:r>
      <w:r>
        <w:t>_</w:t>
      </w:r>
      <w:r>
        <w:t>LAW</w:t>
      </w:r>
      <w:r>
        <w:t xml:space="preserve">_156555/ (дата обращения: </w:t>
      </w:r>
      <w:r>
        <w:t>01.06.2026</w:t>
      </w:r>
      <w:r>
        <w:t>).</w:t>
      </w:r>
    </w:p>
    <w:p w14:paraId="C0040000">
      <w:pPr>
        <w:pStyle w:val="Style_8"/>
        <w:numPr>
          <w:ilvl w:val="0"/>
          <w:numId w:val="1"/>
        </w:numPr>
        <w:ind w:firstLine="709" w:left="0"/>
      </w:pPr>
      <w:r>
        <w:t xml:space="preserve">Об утверждении Правил по охране труда при обработке </w:t>
      </w:r>
      <w:r>
        <w:t>металлов :</w:t>
      </w:r>
      <w:r>
        <w:t xml:space="preserve"> приказ Минтруда России от 11.12.2020 № 887н : ред. от 29.04.2025 : зарегистрирован в Минюсте России 30.12.2020 № 61951. </w:t>
      </w:r>
      <w:r>
        <w:t>-</w:t>
      </w:r>
      <w:r>
        <w:t xml:space="preserve"> </w:t>
      </w:r>
      <w:r>
        <w:t>Текст :</w:t>
      </w:r>
      <w:r>
        <w:t xml:space="preserve"> электронный // КонсультантПлюс : справочная правовая система. </w:t>
      </w:r>
      <w:r>
        <w:t>-</w:t>
      </w:r>
      <w:r>
        <w:t xml:space="preserve"> </w:t>
      </w:r>
      <w:r>
        <w:t>URL</w:t>
      </w:r>
      <w:r>
        <w:t xml:space="preserve">: </w:t>
      </w:r>
      <w:r>
        <w:t>https</w:t>
      </w:r>
      <w:r>
        <w:t>://</w:t>
      </w:r>
      <w:r>
        <w:t>www</w:t>
      </w:r>
      <w:r>
        <w:t>.</w:t>
      </w:r>
      <w:r>
        <w:t>consultant</w:t>
      </w:r>
      <w:r>
        <w:t>.</w:t>
      </w:r>
      <w:r>
        <w:t>ru</w:t>
      </w:r>
      <w:r>
        <w:t>/</w:t>
      </w:r>
      <w:r>
        <w:t>document</w:t>
      </w:r>
      <w:r>
        <w:t>/</w:t>
      </w:r>
      <w:r>
        <w:t>cons</w:t>
      </w:r>
      <w:r>
        <w:t>_</w:t>
      </w:r>
      <w:r>
        <w:t>doc</w:t>
      </w:r>
      <w:r>
        <w:t>_</w:t>
      </w:r>
      <w:r>
        <w:t>LAW</w:t>
      </w:r>
      <w:r>
        <w:t xml:space="preserve">_373426/ (дата обращения: </w:t>
      </w:r>
      <w:r>
        <w:t>01.06.2026</w:t>
      </w:r>
      <w:r>
        <w:t>).</w:t>
      </w:r>
    </w:p>
    <w:p w14:paraId="C1040000">
      <w:pPr>
        <w:pStyle w:val="Style_8"/>
        <w:numPr>
          <w:ilvl w:val="0"/>
          <w:numId w:val="1"/>
        </w:numPr>
        <w:ind w:firstLine="709" w:left="0"/>
      </w:pPr>
      <w:r>
        <w:t xml:space="preserve">О порядке обучения по охране труда и проверки знания требований охраны </w:t>
      </w:r>
      <w:r>
        <w:t>труда :</w:t>
      </w:r>
      <w:r>
        <w:t xml:space="preserve"> постановление Правительства Российской Федерации от 24.12.2021 № 2464 : ред. от 12.06.2024, с изм., вступ. в силу с 31.08.2026. </w:t>
      </w:r>
      <w:r>
        <w:t>-</w:t>
      </w:r>
      <w:r>
        <w:t xml:space="preserve"> </w:t>
      </w:r>
      <w:r>
        <w:t>Текст :</w:t>
      </w:r>
      <w:r>
        <w:t xml:space="preserve"> электронный // КонсультантПлюс : справочная правовая система. </w:t>
      </w:r>
      <w:r>
        <w:t>-</w:t>
      </w:r>
      <w:r>
        <w:t xml:space="preserve"> </w:t>
      </w:r>
      <w:r>
        <w:t>URL</w:t>
      </w:r>
      <w:r>
        <w:t xml:space="preserve">: </w:t>
      </w:r>
      <w:r>
        <w:t>https</w:t>
      </w:r>
      <w:r>
        <w:t>://</w:t>
      </w:r>
      <w:r>
        <w:t>www</w:t>
      </w:r>
      <w:r>
        <w:t>.</w:t>
      </w:r>
      <w:r>
        <w:t>consultant</w:t>
      </w:r>
      <w:r>
        <w:t>.</w:t>
      </w:r>
      <w:r>
        <w:t>ru</w:t>
      </w:r>
      <w:r>
        <w:t>/</w:t>
      </w:r>
      <w:r>
        <w:t>document</w:t>
      </w:r>
      <w:r>
        <w:t>/</w:t>
      </w:r>
      <w:r>
        <w:t>cons</w:t>
      </w:r>
      <w:r>
        <w:t>_</w:t>
      </w:r>
      <w:r>
        <w:t>doc</w:t>
      </w:r>
      <w:r>
        <w:t>_</w:t>
      </w:r>
      <w:r>
        <w:t>LAW</w:t>
      </w:r>
      <w:r>
        <w:t xml:space="preserve">_405174/ (дата обращения: </w:t>
      </w:r>
      <w:r>
        <w:t>01.06.2026</w:t>
      </w:r>
      <w:r>
        <w:t>).</w:t>
      </w:r>
    </w:p>
    <w:p w14:paraId="C2040000">
      <w:pPr>
        <w:pStyle w:val="Style_8"/>
        <w:numPr>
          <w:ilvl w:val="0"/>
          <w:numId w:val="1"/>
        </w:numPr>
        <w:ind w:firstLine="709" w:left="0"/>
      </w:pPr>
      <w:r>
        <w:t xml:space="preserve">Об утверждении основных требований к порядку разработки и содержанию правил и инструкций по охране труда, разрабатываемых </w:t>
      </w:r>
      <w:r>
        <w:t>работодателем :</w:t>
      </w:r>
      <w:r>
        <w:t xml:space="preserve"> приказ Минтруда России от 29.10.2021 № 772н : с изм. от 17.03.2022 : зарегистрирован в Минюсте России 26.11.2021 № 66015. </w:t>
      </w:r>
      <w:r>
        <w:t>-</w:t>
      </w:r>
      <w:r>
        <w:t xml:space="preserve"> </w:t>
      </w:r>
      <w:r>
        <w:t>Текст :</w:t>
      </w:r>
      <w:r>
        <w:t xml:space="preserve"> электронный // КонсультантПлюс : справочная правовая система. </w:t>
      </w:r>
      <w:r>
        <w:t>-</w:t>
      </w:r>
      <w:r>
        <w:t xml:space="preserve"> </w:t>
      </w:r>
      <w:r>
        <w:t>URL</w:t>
      </w:r>
      <w:r>
        <w:t xml:space="preserve">: </w:t>
      </w:r>
      <w:r>
        <w:t>https</w:t>
      </w:r>
      <w:r>
        <w:t>://</w:t>
      </w:r>
      <w:r>
        <w:t>www</w:t>
      </w:r>
      <w:r>
        <w:t>.</w:t>
      </w:r>
      <w:r>
        <w:t>consultant</w:t>
      </w:r>
      <w:r>
        <w:t>.</w:t>
      </w:r>
      <w:r>
        <w:t>ru</w:t>
      </w:r>
      <w:r>
        <w:t>/</w:t>
      </w:r>
      <w:r>
        <w:t>document</w:t>
      </w:r>
      <w:r>
        <w:t>/</w:t>
      </w:r>
      <w:r>
        <w:t>cons</w:t>
      </w:r>
      <w:r>
        <w:t>_</w:t>
      </w:r>
      <w:r>
        <w:t>doc</w:t>
      </w:r>
      <w:r>
        <w:t>_</w:t>
      </w:r>
      <w:r>
        <w:t>LAW</w:t>
      </w:r>
      <w:r>
        <w:t xml:space="preserve">_401350/ (дата обращения: </w:t>
      </w:r>
      <w:r>
        <w:t>01.06.2026</w:t>
      </w:r>
      <w:r>
        <w:t>).</w:t>
      </w:r>
    </w:p>
    <w:p w14:paraId="C3040000">
      <w:pPr>
        <w:pStyle w:val="Style_8"/>
        <w:numPr>
          <w:ilvl w:val="0"/>
          <w:numId w:val="1"/>
        </w:numPr>
        <w:ind w:firstLine="709" w:left="0"/>
      </w:pPr>
      <w:r>
        <w:t xml:space="preserve">Об утверждении Правил обеспечения работников средствами индивидуальной защиты и смывающими </w:t>
      </w:r>
      <w:r>
        <w:t>средствами :</w:t>
      </w:r>
      <w:r>
        <w:t xml:space="preserve"> приказ Минтруда России от 29.10.2021 № 766н : зарегистрирован в Минюсте России 29.12.2021 </w:t>
      </w:r>
      <w:r>
        <w:t xml:space="preserve">№ 66670. </w:t>
      </w:r>
      <w:r>
        <w:t>-</w:t>
      </w:r>
      <w:r>
        <w:t xml:space="preserve"> </w:t>
      </w:r>
      <w:r>
        <w:t>Текст :</w:t>
      </w:r>
      <w:r>
        <w:t xml:space="preserve"> электронный // КонсультантПлюс : справочная правовая система. </w:t>
      </w:r>
      <w:r>
        <w:t>-</w:t>
      </w:r>
      <w:r>
        <w:t xml:space="preserve"> </w:t>
      </w:r>
      <w:r>
        <w:t>URL</w:t>
      </w:r>
      <w:r>
        <w:t xml:space="preserve">: </w:t>
      </w:r>
      <w:r>
        <w:t>https</w:t>
      </w:r>
      <w:r>
        <w:t>://</w:t>
      </w:r>
      <w:r>
        <w:t>www</w:t>
      </w:r>
      <w:r>
        <w:t>.</w:t>
      </w:r>
      <w:r>
        <w:t>consultant</w:t>
      </w:r>
      <w:r>
        <w:t>.</w:t>
      </w:r>
      <w:r>
        <w:t>ru</w:t>
      </w:r>
      <w:r>
        <w:t>/</w:t>
      </w:r>
      <w:r>
        <w:t>document</w:t>
      </w:r>
      <w:r>
        <w:t>/</w:t>
      </w:r>
      <w:r>
        <w:t>cons</w:t>
      </w:r>
      <w:r>
        <w:t>_</w:t>
      </w:r>
      <w:r>
        <w:t>doc</w:t>
      </w:r>
      <w:r>
        <w:t>_</w:t>
      </w:r>
      <w:r>
        <w:t>LAW</w:t>
      </w:r>
      <w:r>
        <w:t xml:space="preserve">_405210/ (дата обращения: </w:t>
      </w:r>
      <w:r>
        <w:t>01.06.2026</w:t>
      </w:r>
      <w:r>
        <w:t>).</w:t>
      </w:r>
    </w:p>
    <w:p w14:paraId="C4040000">
      <w:pPr>
        <w:pStyle w:val="Style_8"/>
        <w:numPr>
          <w:ilvl w:val="0"/>
          <w:numId w:val="1"/>
        </w:numPr>
        <w:ind w:firstLine="709" w:left="0"/>
      </w:pPr>
      <w:r>
        <w:t xml:space="preserve">ГОСТ 12.3.025-80. Система стандартов безопасности труда. Обработка металлов резанием. Требования </w:t>
      </w:r>
      <w:r>
        <w:t>безопасности :</w:t>
      </w:r>
      <w:r>
        <w:t xml:space="preserve"> государственный стандарт Союза ССР : утв. постановлением Госстандарта СССР от 11.12.1980 № 5771 : </w:t>
      </w:r>
      <w:r>
        <w:t>введ</w:t>
      </w:r>
      <w:r>
        <w:t xml:space="preserve">. </w:t>
      </w:r>
      <w:r>
        <w:t>01.07.1982 :</w:t>
      </w:r>
      <w:r>
        <w:t xml:space="preserve"> с Изм. № 1. </w:t>
      </w:r>
      <w:r>
        <w:t>-</w:t>
      </w:r>
      <w:r>
        <w:t xml:space="preserve"> Текст : электронный // Электронный фонд правовой и нормативно-технической документации. </w:t>
      </w:r>
      <w:r>
        <w:t>-</w:t>
      </w:r>
      <w:r>
        <w:t xml:space="preserve"> </w:t>
      </w:r>
      <w:r>
        <w:t>URL</w:t>
      </w:r>
      <w:r>
        <w:t xml:space="preserve">: </w:t>
      </w:r>
      <w:r>
        <w:t>https</w:t>
      </w:r>
      <w:r>
        <w:t>://</w:t>
      </w:r>
      <w:r>
        <w:t>docs</w:t>
      </w:r>
      <w:r>
        <w:t>.</w:t>
      </w:r>
      <w:r>
        <w:t>cntd</w:t>
      </w:r>
      <w:r>
        <w:t>.</w:t>
      </w:r>
      <w:r>
        <w:t>ru</w:t>
      </w:r>
      <w:r>
        <w:t>/</w:t>
      </w:r>
      <w:r>
        <w:t>document</w:t>
      </w:r>
      <w:r>
        <w:t xml:space="preserve">/1200008343 (дата обращения: </w:t>
      </w:r>
      <w:r>
        <w:t>01.06.2026</w:t>
      </w:r>
      <w:r>
        <w:t>).</w:t>
      </w:r>
    </w:p>
    <w:p w14:paraId="C5040000">
      <w:pPr>
        <w:pStyle w:val="Style_8"/>
        <w:numPr>
          <w:ilvl w:val="0"/>
          <w:numId w:val="1"/>
        </w:numPr>
        <w:ind w:firstLine="709" w:left="0"/>
      </w:pPr>
      <w:r>
        <w:t xml:space="preserve">ГОСТ 1412-85. Чугун с пластинчатым графитом для отливок. </w:t>
      </w:r>
      <w:r>
        <w:t>Марки :</w:t>
      </w:r>
      <w:r>
        <w:t xml:space="preserve"> межгосударственный стандарт : утв. постановлением Госстандарта СССР от 29.03.1985 № 972 : </w:t>
      </w:r>
      <w:r>
        <w:t>введ</w:t>
      </w:r>
      <w:r>
        <w:t xml:space="preserve">. 01.01.1987. </w:t>
      </w:r>
      <w:r>
        <w:t>-</w:t>
      </w:r>
      <w:r>
        <w:t xml:space="preserve"> </w:t>
      </w:r>
      <w:r>
        <w:t>Текст :</w:t>
      </w:r>
      <w:r>
        <w:t xml:space="preserve"> электронный // Электронный фонд правовой и нормативно-технической документации. </w:t>
      </w:r>
      <w:r>
        <w:t>-</w:t>
      </w:r>
      <w:r>
        <w:t xml:space="preserve"> </w:t>
      </w:r>
      <w:r>
        <w:t>URL</w:t>
      </w:r>
      <w:r>
        <w:t xml:space="preserve">: </w:t>
      </w:r>
      <w:r>
        <w:t>https</w:t>
      </w:r>
      <w:r>
        <w:t>://</w:t>
      </w:r>
      <w:r>
        <w:t>docs</w:t>
      </w:r>
      <w:r>
        <w:t>.</w:t>
      </w:r>
      <w:r>
        <w:t>cntd</w:t>
      </w:r>
      <w:r>
        <w:t>.</w:t>
      </w:r>
      <w:r>
        <w:t>ru</w:t>
      </w:r>
      <w:r>
        <w:t>/</w:t>
      </w:r>
      <w:r>
        <w:t>document</w:t>
      </w:r>
      <w:r>
        <w:t xml:space="preserve">/1200008656 (дата обращения: </w:t>
      </w:r>
      <w:r>
        <w:t>01.06.2026</w:t>
      </w:r>
      <w:r>
        <w:t>).</w:t>
      </w:r>
    </w:p>
    <w:p w14:paraId="C6040000">
      <w:pPr>
        <w:pStyle w:val="Style_8"/>
        <w:numPr>
          <w:ilvl w:val="0"/>
          <w:numId w:val="1"/>
        </w:numPr>
        <w:ind w:firstLine="709" w:left="0"/>
      </w:pPr>
      <w:r>
        <w:t xml:space="preserve">ГОСТ 25346-2013. Основные нормы взаимозаменяемости. Характеристики изделий геометрические. Система допусков на линейные размеры. // Электронный фонд правовой и нормативно-технической документации. </w:t>
      </w:r>
      <w:r>
        <w:t>-</w:t>
      </w:r>
      <w:r>
        <w:t xml:space="preserve"> </w:t>
      </w:r>
      <w:r>
        <w:t>URL</w:t>
      </w:r>
      <w:r>
        <w:t xml:space="preserve">: </w:t>
      </w:r>
      <w:r>
        <w:t>https</w:t>
      </w:r>
      <w:r>
        <w:t>://</w:t>
      </w:r>
      <w:r>
        <w:t>docs</w:t>
      </w:r>
      <w:r>
        <w:t>.</w:t>
      </w:r>
      <w:r>
        <w:t>cntd</w:t>
      </w:r>
      <w:r>
        <w:t>.</w:t>
      </w:r>
      <w:r>
        <w:t>ru</w:t>
      </w:r>
      <w:r>
        <w:t>/</w:t>
      </w:r>
      <w:r>
        <w:t>document</w:t>
      </w:r>
      <w:r>
        <w:t xml:space="preserve">/1200108840 (дата обращения: </w:t>
      </w:r>
      <w:r>
        <w:t>01.06.2026</w:t>
      </w:r>
      <w:r>
        <w:t>).</w:t>
      </w:r>
    </w:p>
    <w:p w14:paraId="C7040000">
      <w:pPr>
        <w:pStyle w:val="Style_8"/>
        <w:numPr>
          <w:ilvl w:val="0"/>
          <w:numId w:val="1"/>
        </w:numPr>
        <w:ind w:firstLine="709" w:left="0"/>
      </w:pPr>
      <w:r>
        <w:t xml:space="preserve">ГОСТ 2789-73. Шероховатость поверхности. Параметры и </w:t>
      </w:r>
      <w:r>
        <w:t>характеристики :</w:t>
      </w:r>
      <w:r>
        <w:t xml:space="preserve"> межгосударственный стандарт : утв. постановлением Госстандарта СССР от 23.04.1973 № 995 : </w:t>
      </w:r>
      <w:r>
        <w:t>введ</w:t>
      </w:r>
      <w:r>
        <w:t xml:space="preserve">. 01.01.1975. </w:t>
      </w:r>
      <w:r>
        <w:t>-</w:t>
      </w:r>
      <w:r>
        <w:t xml:space="preserve"> </w:t>
      </w:r>
      <w:r>
        <w:t>Текст :</w:t>
      </w:r>
      <w:r>
        <w:t xml:space="preserve"> электронный // Электронный фонд правовой и нормативно-технической документации. </w:t>
      </w:r>
      <w:r>
        <w:t>-</w:t>
      </w:r>
      <w:r>
        <w:t xml:space="preserve"> </w:t>
      </w:r>
      <w:r>
        <w:t>URL</w:t>
      </w:r>
      <w:r>
        <w:t xml:space="preserve">: </w:t>
      </w:r>
      <w:r>
        <w:t>https</w:t>
      </w:r>
      <w:r>
        <w:t>://</w:t>
      </w:r>
      <w:r>
        <w:t>docs</w:t>
      </w:r>
      <w:r>
        <w:t>.</w:t>
      </w:r>
      <w:r>
        <w:t>cntd</w:t>
      </w:r>
      <w:r>
        <w:t>.</w:t>
      </w:r>
      <w:r>
        <w:t>ru</w:t>
      </w:r>
      <w:r>
        <w:t>/</w:t>
      </w:r>
      <w:r>
        <w:t>document</w:t>
      </w:r>
      <w:r>
        <w:t xml:space="preserve">/1200006060 (дата обращения: </w:t>
      </w:r>
      <w:r>
        <w:t>01.06.2026</w:t>
      </w:r>
      <w:r>
        <w:t>).</w:t>
      </w:r>
    </w:p>
    <w:p w14:paraId="C8040000">
      <w:pPr>
        <w:pStyle w:val="Style_8"/>
        <w:numPr>
          <w:ilvl w:val="0"/>
          <w:numId w:val="1"/>
        </w:numPr>
        <w:ind w:firstLine="709" w:left="0"/>
      </w:pPr>
      <w:r>
        <w:t xml:space="preserve">ГОСТ Р 53464-2009. Отливки из металлов и сплавов. Допуски размеров, массы и припуски на механическую </w:t>
      </w:r>
      <w:r>
        <w:t>обработку :</w:t>
      </w:r>
      <w:r>
        <w:t xml:space="preserve"> национальный стандарт Российской Федерации : утв. и </w:t>
      </w:r>
      <w:r>
        <w:t>введ</w:t>
      </w:r>
      <w:r>
        <w:t xml:space="preserve">. в действие приказом Росстандарта от 15.12.2009 № 1051-ст : </w:t>
      </w:r>
      <w:r>
        <w:t>введ</w:t>
      </w:r>
      <w:r>
        <w:t xml:space="preserve">. 01.07.2010. </w:t>
      </w:r>
      <w:r>
        <w:t>-</w:t>
      </w:r>
      <w:r>
        <w:t xml:space="preserve"> </w:t>
      </w:r>
      <w:r>
        <w:t>Текст :</w:t>
      </w:r>
      <w:r>
        <w:t xml:space="preserve"> электронный </w:t>
      </w:r>
      <w:r>
        <w:t xml:space="preserve">// Электронный фонд правовой и нормативно-технической документации. </w:t>
      </w:r>
      <w:r>
        <w:t>-</w:t>
      </w:r>
      <w:r>
        <w:t xml:space="preserve"> </w:t>
      </w:r>
      <w:r>
        <w:t>URL</w:t>
      </w:r>
      <w:r>
        <w:t xml:space="preserve">: </w:t>
      </w:r>
      <w:r>
        <w:t>https</w:t>
      </w:r>
      <w:r>
        <w:t>://</w:t>
      </w:r>
      <w:r>
        <w:t>docs</w:t>
      </w:r>
      <w:r>
        <w:t>.</w:t>
      </w:r>
      <w:r>
        <w:t>cntd</w:t>
      </w:r>
      <w:r>
        <w:t>.</w:t>
      </w:r>
      <w:r>
        <w:t>ru</w:t>
      </w:r>
      <w:r>
        <w:t>/</w:t>
      </w:r>
      <w:r>
        <w:t>document</w:t>
      </w:r>
      <w:r>
        <w:t xml:space="preserve">/1200079567 (дата обращения: </w:t>
      </w:r>
      <w:r>
        <w:t>01.06.2026</w:t>
      </w:r>
      <w:r>
        <w:t>).</w:t>
      </w:r>
    </w:p>
    <w:p w14:paraId="C9040000">
      <w:pPr>
        <w:pStyle w:val="Style_8"/>
        <w:numPr>
          <w:ilvl w:val="0"/>
          <w:numId w:val="1"/>
        </w:numPr>
        <w:ind w:firstLine="709" w:left="0"/>
      </w:pPr>
      <w:r>
        <w:t xml:space="preserve">ГОСТ 3.1118-82. Единая система технологической документации. Формы и правила оформления маршрутных </w:t>
      </w:r>
      <w:r>
        <w:t>карт :</w:t>
      </w:r>
      <w:r>
        <w:t xml:space="preserve"> государственный стандарт Союза ССР : утв. постановлением Госстандарта СССР от 30.12.1982 № 5311 : </w:t>
      </w:r>
      <w:r>
        <w:t>введ</w:t>
      </w:r>
      <w:r>
        <w:t xml:space="preserve">. 01.01.1984. </w:t>
      </w:r>
      <w:r>
        <w:t>-</w:t>
      </w:r>
      <w:r>
        <w:t xml:space="preserve"> </w:t>
      </w:r>
      <w:r>
        <w:t>Текст :</w:t>
      </w:r>
      <w:r>
        <w:t xml:space="preserve"> электронный // Электронный фонд правовой и нормативно-технической документации. </w:t>
      </w:r>
      <w:r>
        <w:t>-</w:t>
      </w:r>
      <w:r>
        <w:t xml:space="preserve"> </w:t>
      </w:r>
      <w:r>
        <w:t>URL</w:t>
      </w:r>
      <w:r>
        <w:t xml:space="preserve">: </w:t>
      </w:r>
      <w:r>
        <w:t>https</w:t>
      </w:r>
      <w:r>
        <w:t>://</w:t>
      </w:r>
      <w:r>
        <w:t>docs</w:t>
      </w:r>
      <w:r>
        <w:t>.</w:t>
      </w:r>
      <w:r>
        <w:t>cntd</w:t>
      </w:r>
      <w:r>
        <w:t>.</w:t>
      </w:r>
      <w:r>
        <w:t>ru</w:t>
      </w:r>
      <w:r>
        <w:t>/</w:t>
      </w:r>
      <w:r>
        <w:t>document</w:t>
      </w:r>
      <w:r>
        <w:t xml:space="preserve">/1200012112 (дата обращения: </w:t>
      </w:r>
      <w:r>
        <w:t>01.06.2026</w:t>
      </w:r>
      <w:r>
        <w:t>).</w:t>
      </w:r>
    </w:p>
    <w:p w14:paraId="CA040000">
      <w:pPr>
        <w:pStyle w:val="Style_8"/>
        <w:numPr>
          <w:ilvl w:val="0"/>
          <w:numId w:val="1"/>
        </w:numPr>
        <w:ind w:firstLine="709" w:left="0"/>
      </w:pPr>
      <w:r>
        <w:t xml:space="preserve">ГОСТ 3.1404-86. Единая система технологической документации. Формы и правила оформления документов на технологические процессы и операции обработки </w:t>
      </w:r>
      <w:r>
        <w:t>резанием :</w:t>
      </w:r>
      <w:r>
        <w:t xml:space="preserve"> государственный стандарт Союза ССР : утв. постановлением Госстандарта СССР от 28.03.1986 № 819 : </w:t>
      </w:r>
      <w:r>
        <w:t>введ</w:t>
      </w:r>
      <w:r>
        <w:t xml:space="preserve">. 01.07.1987. </w:t>
      </w:r>
      <w:r>
        <w:t>-</w:t>
      </w:r>
      <w:r>
        <w:t xml:space="preserve"> </w:t>
      </w:r>
      <w:r>
        <w:t>Текст :</w:t>
      </w:r>
      <w:r>
        <w:t xml:space="preserve"> электронный // Электронный фонд правовой и нормативно-технической документации. </w:t>
      </w:r>
      <w:r>
        <w:t>-</w:t>
      </w:r>
      <w:r>
        <w:t xml:space="preserve"> </w:t>
      </w:r>
      <w:r>
        <w:t>URL</w:t>
      </w:r>
      <w:r>
        <w:t xml:space="preserve">: </w:t>
      </w:r>
      <w:r>
        <w:t>https</w:t>
      </w:r>
      <w:r>
        <w:t>://</w:t>
      </w:r>
      <w:r>
        <w:t>docs</w:t>
      </w:r>
      <w:r>
        <w:t>.</w:t>
      </w:r>
      <w:r>
        <w:t>cntd</w:t>
      </w:r>
      <w:r>
        <w:t>.</w:t>
      </w:r>
      <w:r>
        <w:t>ru</w:t>
      </w:r>
      <w:r>
        <w:t>/</w:t>
      </w:r>
      <w:r>
        <w:t>document</w:t>
      </w:r>
      <w:r>
        <w:t xml:space="preserve">/1200012135 (дата обращения: </w:t>
      </w:r>
      <w:r>
        <w:t>01.06.2026</w:t>
      </w:r>
      <w:r>
        <w:t>).</w:t>
      </w:r>
    </w:p>
    <w:p w14:paraId="CB040000">
      <w:pPr>
        <w:pStyle w:val="Style_8"/>
        <w:numPr>
          <w:ilvl w:val="0"/>
          <w:numId w:val="1"/>
        </w:numPr>
        <w:ind w:firstLine="709" w:left="0"/>
      </w:pPr>
      <w:r>
        <w:t xml:space="preserve">ГОСТ 2.307-2011. Единая система конструкторской документации. Нанесение размеров и предельных </w:t>
      </w:r>
      <w:r>
        <w:t>отклонений :</w:t>
      </w:r>
      <w:r>
        <w:t xml:space="preserve"> межгосударственный стандарт : </w:t>
      </w:r>
      <w:r>
        <w:t>введ</w:t>
      </w:r>
      <w:r>
        <w:t xml:space="preserve">. 01.01.2012. </w:t>
      </w:r>
      <w:r>
        <w:t>-</w:t>
      </w:r>
      <w:r>
        <w:t xml:space="preserve"> </w:t>
      </w:r>
      <w:r>
        <w:t>Текст :</w:t>
      </w:r>
      <w:r>
        <w:t xml:space="preserve"> электронный // Электронный фонд правовой и нормативно-технической документации. </w:t>
      </w:r>
      <w:r>
        <w:t>-</w:t>
      </w:r>
      <w:r>
        <w:t xml:space="preserve"> </w:t>
      </w:r>
      <w:r>
        <w:t>URL</w:t>
      </w:r>
      <w:r>
        <w:t xml:space="preserve">: </w:t>
      </w:r>
      <w:r>
        <w:t>https</w:t>
      </w:r>
      <w:r>
        <w:t>://</w:t>
      </w:r>
      <w:r>
        <w:t>docs</w:t>
      </w:r>
      <w:r>
        <w:t>.</w:t>
      </w:r>
      <w:r>
        <w:t>cntd</w:t>
      </w:r>
      <w:r>
        <w:t>.</w:t>
      </w:r>
      <w:r>
        <w:t>ru</w:t>
      </w:r>
      <w:r>
        <w:t>/</w:t>
      </w:r>
      <w:r>
        <w:t>document</w:t>
      </w:r>
      <w:r>
        <w:t xml:space="preserve">/1200086238 (дата обращения: </w:t>
      </w:r>
      <w:r>
        <w:t>01.06.2026</w:t>
      </w:r>
      <w:r>
        <w:t>).</w:t>
      </w:r>
    </w:p>
    <w:p w14:paraId="CC040000">
      <w:pPr>
        <w:pStyle w:val="Style_8"/>
        <w:numPr>
          <w:ilvl w:val="0"/>
          <w:numId w:val="1"/>
        </w:numPr>
        <w:ind w:firstLine="709" w:left="0"/>
      </w:pPr>
      <w:r>
        <w:t xml:space="preserve">ГОСТ 2.309-73. Единая система конструкторской документации. Обозначения шероховатости </w:t>
      </w:r>
      <w:r>
        <w:t>поверхностей :</w:t>
      </w:r>
      <w:r>
        <w:t xml:space="preserve"> межгосударственный стандарт : утв. постановлением Госстандарта СССР от 09.11.1973 № 2604 : </w:t>
      </w:r>
      <w:r>
        <w:t>введ</w:t>
      </w:r>
      <w:r>
        <w:t xml:space="preserve">. </w:t>
      </w:r>
      <w:r>
        <w:t>01.01.1975 :</w:t>
      </w:r>
      <w:r>
        <w:t xml:space="preserve"> с Изм. № 1, 2, 3. </w:t>
      </w:r>
      <w:r>
        <w:t>-</w:t>
      </w:r>
      <w:r>
        <w:t xml:space="preserve"> Текст : электронный // Электронный фонд правовой и нормативно-технической документации. </w:t>
      </w:r>
      <w:r>
        <w:t>-</w:t>
      </w:r>
      <w:r>
        <w:t xml:space="preserve"> </w:t>
      </w:r>
      <w:r>
        <w:t>URL</w:t>
      </w:r>
      <w:r>
        <w:t xml:space="preserve">: </w:t>
      </w:r>
      <w:r>
        <w:t>https</w:t>
      </w:r>
      <w:r>
        <w:t>://</w:t>
      </w:r>
      <w:r>
        <w:t>docs</w:t>
      </w:r>
      <w:r>
        <w:t>.</w:t>
      </w:r>
      <w:r>
        <w:t>cntd</w:t>
      </w:r>
      <w:r>
        <w:t>.</w:t>
      </w:r>
      <w:r>
        <w:t>ru</w:t>
      </w:r>
      <w:r>
        <w:t>/</w:t>
      </w:r>
      <w:r>
        <w:t>document</w:t>
      </w:r>
      <w:r>
        <w:t xml:space="preserve">/1200005419 (дата обращения: </w:t>
      </w:r>
      <w:r>
        <w:t>01.06.2026</w:t>
      </w:r>
      <w:r>
        <w:t>).</w:t>
      </w:r>
    </w:p>
    <w:p w14:paraId="CD040000">
      <w:pPr>
        <w:pStyle w:val="Style_8"/>
        <w:numPr>
          <w:ilvl w:val="0"/>
          <w:numId w:val="1"/>
        </w:numPr>
        <w:ind w:firstLine="709" w:left="0"/>
      </w:pPr>
      <w:r>
        <w:t xml:space="preserve">Балла, О. М. Инструментообеспечение современных станков с </w:t>
      </w:r>
      <w:r>
        <w:t>ЧПУ :</w:t>
      </w:r>
      <w:r>
        <w:t xml:space="preserve"> учебное пособие для вузов / О. М. Балла. </w:t>
      </w:r>
      <w:r>
        <w:t>-</w:t>
      </w:r>
      <w:r>
        <w:t xml:space="preserve"> 2-е изд., стер. </w:t>
      </w:r>
      <w:r>
        <w:t>-</w:t>
      </w:r>
      <w:r>
        <w:t xml:space="preserve"> Санкт-</w:t>
      </w:r>
      <w:r>
        <w:t>Петербург :</w:t>
      </w:r>
      <w:r>
        <w:t xml:space="preserve"> Лань, 2021. </w:t>
      </w:r>
      <w:r>
        <w:t>-</w:t>
      </w:r>
      <w:r>
        <w:t xml:space="preserve"> 200 с. </w:t>
      </w:r>
      <w:r>
        <w:t>-</w:t>
      </w:r>
      <w:r>
        <w:t xml:space="preserve"> </w:t>
      </w:r>
      <w:r>
        <w:t>ISBN</w:t>
      </w:r>
      <w:r>
        <w:t xml:space="preserve"> 978-5-8114-8609-0. </w:t>
      </w:r>
      <w:r>
        <w:t>-</w:t>
      </w:r>
      <w:r>
        <w:t xml:space="preserve"> </w:t>
      </w:r>
      <w:r>
        <w:t>Текст :</w:t>
      </w:r>
      <w:r>
        <w:t xml:space="preserve"> непосредственный.</w:t>
      </w:r>
    </w:p>
    <w:p w14:paraId="CE040000">
      <w:pPr>
        <w:pStyle w:val="Style_8"/>
        <w:numPr>
          <w:ilvl w:val="0"/>
          <w:numId w:val="1"/>
        </w:numPr>
        <w:ind w:firstLine="709" w:left="0"/>
      </w:pPr>
      <w:r>
        <w:t xml:space="preserve">Звонцов, И. Ф. Разработка управляющих программ для оборудования с </w:t>
      </w:r>
      <w:r>
        <w:t>ЧПУ :</w:t>
      </w:r>
      <w:r>
        <w:t xml:space="preserve"> учебное пособие / И. Ф. Звонцов, К. М. Иванов, П. П. </w:t>
      </w:r>
      <w:r>
        <w:t>Серебреницкий</w:t>
      </w:r>
      <w:r>
        <w:t xml:space="preserve">. </w:t>
      </w:r>
      <w:r>
        <w:t>-</w:t>
      </w:r>
      <w:r>
        <w:t xml:space="preserve"> 4-е изд., стер. </w:t>
      </w:r>
      <w:r>
        <w:t>-</w:t>
      </w:r>
      <w:r>
        <w:t xml:space="preserve"> Санкт-</w:t>
      </w:r>
      <w:r>
        <w:t>Петербург :</w:t>
      </w:r>
      <w:r>
        <w:t xml:space="preserve"> Лань, 2024. </w:t>
      </w:r>
      <w:r>
        <w:t>-</w:t>
      </w:r>
      <w:r>
        <w:t xml:space="preserve"> 588 с. </w:t>
      </w:r>
      <w:r>
        <w:t>-</w:t>
      </w:r>
      <w:r>
        <w:t xml:space="preserve"> </w:t>
      </w:r>
      <w:r>
        <w:t>ISBN</w:t>
      </w:r>
      <w:r>
        <w:t xml:space="preserve"> 978-5-507-48581-9. </w:t>
      </w:r>
      <w:r>
        <w:t>-</w:t>
      </w:r>
      <w:r>
        <w:t xml:space="preserve"> </w:t>
      </w:r>
      <w:r>
        <w:t>Текст :</w:t>
      </w:r>
      <w:r>
        <w:t xml:space="preserve"> непосредственный.</w:t>
      </w:r>
    </w:p>
    <w:p w14:paraId="CF040000">
      <w:pPr>
        <w:pStyle w:val="Style_8"/>
        <w:numPr>
          <w:ilvl w:val="0"/>
          <w:numId w:val="1"/>
        </w:numPr>
        <w:ind w:firstLine="709" w:left="0"/>
      </w:pPr>
      <w:r>
        <w:t xml:space="preserve">Ковшов, А. Н. Технология </w:t>
      </w:r>
      <w:r>
        <w:t>машиностроения :</w:t>
      </w:r>
      <w:r>
        <w:t xml:space="preserve"> учебник / А. Н. Ковшов. </w:t>
      </w:r>
      <w:r>
        <w:t>-</w:t>
      </w:r>
      <w:r>
        <w:t xml:space="preserve"> 3-е изд., стер. </w:t>
      </w:r>
      <w:r>
        <w:t>-</w:t>
      </w:r>
      <w:r>
        <w:t xml:space="preserve"> Санкт-</w:t>
      </w:r>
      <w:r>
        <w:t>Петербург :</w:t>
      </w:r>
      <w:r>
        <w:t xml:space="preserve"> Лань, 2022. </w:t>
      </w:r>
      <w:r>
        <w:t>-</w:t>
      </w:r>
      <w:r>
        <w:t xml:space="preserve"> 320 с. </w:t>
      </w:r>
      <w:r>
        <w:t>-</w:t>
      </w:r>
      <w:r>
        <w:t xml:space="preserve"> </w:t>
      </w:r>
      <w:r>
        <w:t>ISBN</w:t>
      </w:r>
      <w:r>
        <w:t xml:space="preserve"> 978-5-8114-0833-7. </w:t>
      </w:r>
      <w:r>
        <w:t>-</w:t>
      </w:r>
      <w:r>
        <w:t xml:space="preserve"> </w:t>
      </w:r>
      <w:r>
        <w:t>Текст :</w:t>
      </w:r>
      <w:r>
        <w:t xml:space="preserve"> электронный // ЭБС «Лань». </w:t>
      </w:r>
      <w:r>
        <w:t>-</w:t>
      </w:r>
      <w:r>
        <w:t xml:space="preserve"> </w:t>
      </w:r>
      <w:r>
        <w:t>URL</w:t>
      </w:r>
      <w:r>
        <w:t xml:space="preserve">: </w:t>
      </w:r>
      <w:r>
        <w:t>https</w:t>
      </w:r>
      <w:r>
        <w:t>://</w:t>
      </w:r>
      <w:r>
        <w:t>e</w:t>
      </w:r>
      <w:r>
        <w:t>.</w:t>
      </w:r>
      <w:r>
        <w:t>lanbook</w:t>
      </w:r>
      <w:r>
        <w:t>.</w:t>
      </w:r>
      <w:r>
        <w:t>com</w:t>
      </w:r>
      <w:r>
        <w:t>/</w:t>
      </w:r>
      <w:r>
        <w:t>book</w:t>
      </w:r>
      <w:r>
        <w:t xml:space="preserve">/206120 (дата обращения: </w:t>
      </w:r>
      <w:r>
        <w:t>01.06.2026</w:t>
      </w:r>
      <w:r>
        <w:t>).</w:t>
      </w:r>
    </w:p>
    <w:p w14:paraId="D0040000">
      <w:pPr>
        <w:pStyle w:val="Style_8"/>
        <w:numPr>
          <w:ilvl w:val="0"/>
          <w:numId w:val="1"/>
        </w:numPr>
        <w:ind w:firstLine="709" w:left="0"/>
      </w:pPr>
      <w:r>
        <w:t xml:space="preserve">Кондратенко, Л. А. Основы проектирования технологических процессов изготовления деталей </w:t>
      </w:r>
      <w:r>
        <w:t>машин :</w:t>
      </w:r>
      <w:r>
        <w:t xml:space="preserve"> учебное пособие / Л. А. Кондратенко, Л. И. Миронова. </w:t>
      </w:r>
      <w:r>
        <w:t>-</w:t>
      </w:r>
      <w:r>
        <w:t xml:space="preserve"> </w:t>
      </w:r>
      <w:r>
        <w:t>Ростов</w:t>
      </w:r>
      <w:r>
        <w:t>-на-</w:t>
      </w:r>
      <w:r>
        <w:t>Дону :</w:t>
      </w:r>
      <w:r>
        <w:t xml:space="preserve"> Феникс, 2021. </w:t>
      </w:r>
      <w:r>
        <w:t>-</w:t>
      </w:r>
      <w:r>
        <w:t xml:space="preserve"> 255 с. </w:t>
      </w:r>
      <w:r>
        <w:t>-</w:t>
      </w:r>
      <w:r>
        <w:t xml:space="preserve"> </w:t>
      </w:r>
      <w:r>
        <w:t>Текст :</w:t>
      </w:r>
      <w:r>
        <w:t xml:space="preserve"> непосредственный.</w:t>
      </w:r>
    </w:p>
    <w:p w14:paraId="D1040000">
      <w:pPr>
        <w:pStyle w:val="Style_8"/>
        <w:numPr>
          <w:ilvl w:val="0"/>
          <w:numId w:val="1"/>
        </w:numPr>
        <w:ind w:firstLine="709" w:left="0"/>
      </w:pPr>
      <w:r>
        <w:t xml:space="preserve">Константинов, В. Ф. Детали машин и основы конструирования. Проектирование механического </w:t>
      </w:r>
      <w:r>
        <w:t>привода :</w:t>
      </w:r>
      <w:r>
        <w:t xml:space="preserve"> учебное пособие для СПО / В. Ф. Константинов. </w:t>
      </w:r>
      <w:r>
        <w:t>-</w:t>
      </w:r>
      <w:r>
        <w:t xml:space="preserve"> 2-е изд., стер. </w:t>
      </w:r>
      <w:r>
        <w:t>-</w:t>
      </w:r>
      <w:r>
        <w:t xml:space="preserve"> Санкт-</w:t>
      </w:r>
      <w:r>
        <w:t>Петербург :</w:t>
      </w:r>
      <w:r>
        <w:t xml:space="preserve"> Лань, 2024. </w:t>
      </w:r>
      <w:r>
        <w:t>-</w:t>
      </w:r>
      <w:r>
        <w:t xml:space="preserve"> 124 </w:t>
      </w:r>
      <w:r>
        <w:t>с. :</w:t>
      </w:r>
      <w:r>
        <w:t xml:space="preserve"> ил. </w:t>
      </w:r>
      <w:r>
        <w:t>-</w:t>
      </w:r>
      <w:r>
        <w:t xml:space="preserve"> </w:t>
      </w:r>
      <w:r>
        <w:t>ISBN</w:t>
      </w:r>
      <w:r>
        <w:t xml:space="preserve"> 978-5-507-48074-6. </w:t>
      </w:r>
      <w:r>
        <w:t>-</w:t>
      </w:r>
      <w:r>
        <w:t xml:space="preserve"> Текст : непосредственный.</w:t>
      </w:r>
    </w:p>
    <w:p w14:paraId="D2040000">
      <w:pPr>
        <w:pStyle w:val="Style_8"/>
        <w:numPr>
          <w:ilvl w:val="0"/>
          <w:numId w:val="1"/>
        </w:numPr>
        <w:ind w:firstLine="709" w:left="0"/>
      </w:pPr>
      <w:r>
        <w:t xml:space="preserve">Корнеев, С. С. Проектирование технологических процессов механической обработки резанием : учебник / С. С. Корнеев, А. Л. </w:t>
      </w:r>
      <w:r>
        <w:t>Галиновский</w:t>
      </w:r>
      <w:r>
        <w:t xml:space="preserve">, И. С. Корнеев. </w:t>
      </w:r>
      <w:r>
        <w:t>-</w:t>
      </w:r>
      <w:r>
        <w:t xml:space="preserve"> </w:t>
      </w:r>
      <w:r>
        <w:t>Москва :</w:t>
      </w:r>
      <w:r>
        <w:t xml:space="preserve"> </w:t>
      </w:r>
      <w:r>
        <w:t>КноРус</w:t>
      </w:r>
      <w:r>
        <w:t xml:space="preserve">, 2026. </w:t>
      </w:r>
      <w:r>
        <w:t>-</w:t>
      </w:r>
      <w:r>
        <w:t xml:space="preserve"> 512 с. </w:t>
      </w:r>
      <w:r>
        <w:t>-</w:t>
      </w:r>
      <w:r>
        <w:t xml:space="preserve"> </w:t>
      </w:r>
      <w:r>
        <w:t>ISBN</w:t>
      </w:r>
      <w:r>
        <w:t xml:space="preserve"> 978-5-406-14802-0. </w:t>
      </w:r>
      <w:r>
        <w:t>-</w:t>
      </w:r>
      <w:r>
        <w:t xml:space="preserve"> </w:t>
      </w:r>
      <w:r>
        <w:t>Текст :</w:t>
      </w:r>
      <w:r>
        <w:t xml:space="preserve"> непосредственный.</w:t>
      </w:r>
    </w:p>
    <w:p w14:paraId="D3040000">
      <w:pPr>
        <w:pStyle w:val="Style_8"/>
        <w:numPr>
          <w:ilvl w:val="0"/>
          <w:numId w:val="1"/>
        </w:numPr>
        <w:ind w:firstLine="709" w:left="0"/>
      </w:pPr>
      <w:r>
        <w:t xml:space="preserve">Левшин, Г. Е. Основы технологии </w:t>
      </w:r>
      <w:r>
        <w:t>машиностроения :</w:t>
      </w:r>
      <w:r>
        <w:t xml:space="preserve"> учебное пособие / Г. Е. Левшин. </w:t>
      </w:r>
      <w:r>
        <w:t>-</w:t>
      </w:r>
      <w:r>
        <w:t xml:space="preserve"> </w:t>
      </w:r>
      <w:r>
        <w:t>Москва :</w:t>
      </w:r>
      <w:r>
        <w:t xml:space="preserve"> Инфра-Инженерия, 2022. </w:t>
      </w:r>
      <w:r>
        <w:t>-</w:t>
      </w:r>
      <w:r>
        <w:t xml:space="preserve"> 216 с. </w:t>
      </w:r>
      <w:r>
        <w:t>-</w:t>
      </w:r>
      <w:r>
        <w:t xml:space="preserve"> </w:t>
      </w:r>
      <w:r>
        <w:t>ISBN</w:t>
      </w:r>
      <w:r>
        <w:t xml:space="preserve"> 978-5-9729-0803-5. </w:t>
      </w:r>
      <w:r>
        <w:t>-</w:t>
      </w:r>
      <w:r>
        <w:t xml:space="preserve"> </w:t>
      </w:r>
      <w:r>
        <w:t>Текст :</w:t>
      </w:r>
      <w:r>
        <w:t xml:space="preserve"> электронный // ЭБС «Консультант студента». </w:t>
      </w:r>
      <w:r>
        <w:t>-</w:t>
      </w:r>
      <w:r>
        <w:t xml:space="preserve"> </w:t>
      </w:r>
      <w:r>
        <w:t>URL</w:t>
      </w:r>
      <w:r>
        <w:t xml:space="preserve">: </w:t>
      </w:r>
      <w:r>
        <w:t>https</w:t>
      </w:r>
      <w:r>
        <w:t>://</w:t>
      </w:r>
      <w:r>
        <w:t>www</w:t>
      </w:r>
      <w:r>
        <w:t>.</w:t>
      </w:r>
      <w:r>
        <w:t>studentlibrary</w:t>
      </w:r>
      <w:r>
        <w:t>.</w:t>
      </w:r>
      <w:r>
        <w:t>ru</w:t>
      </w:r>
      <w:r>
        <w:t>/</w:t>
      </w:r>
      <w:r>
        <w:t>book</w:t>
      </w:r>
      <w:r>
        <w:t>/</w:t>
      </w:r>
      <w:r>
        <w:t>ISBN</w:t>
      </w:r>
      <w:r>
        <w:t>9785972908035.</w:t>
      </w:r>
      <w:r>
        <w:t>html</w:t>
      </w:r>
      <w:r>
        <w:t xml:space="preserve"> (дата обращения: </w:t>
      </w:r>
      <w:r>
        <w:t>01.06.2026</w:t>
      </w:r>
      <w:r>
        <w:t>).</w:t>
      </w:r>
    </w:p>
    <w:p w14:paraId="D4040000">
      <w:pPr>
        <w:pStyle w:val="Style_8"/>
        <w:numPr>
          <w:ilvl w:val="0"/>
          <w:numId w:val="1"/>
        </w:numPr>
        <w:ind w:firstLine="709" w:left="0"/>
      </w:pPr>
      <w:r>
        <w:t>ООО «</w:t>
      </w:r>
      <w:r>
        <w:t>Четвертый подшипниковый завод</w:t>
      </w:r>
      <w:r>
        <w:t xml:space="preserve">» </w:t>
      </w:r>
      <w:r>
        <w:t>-</w:t>
      </w:r>
      <w:r>
        <w:t xml:space="preserve"> </w:t>
      </w:r>
      <w:r>
        <w:t>Самара :</w:t>
      </w:r>
      <w:r>
        <w:t xml:space="preserve"> сведения о юридическом лице, ОГРН 1126318007562, ИНН 6318227043, КПП 631801001. </w:t>
      </w:r>
      <w:r>
        <w:t>-</w:t>
      </w:r>
      <w:r>
        <w:t xml:space="preserve"> </w:t>
      </w:r>
      <w:r>
        <w:t>Текст :</w:t>
      </w:r>
      <w:r>
        <w:t xml:space="preserve"> электронный // РБК Компании. </w:t>
      </w:r>
      <w:r>
        <w:t>-</w:t>
      </w:r>
      <w:r>
        <w:t xml:space="preserve"> </w:t>
      </w:r>
      <w:r>
        <w:t>URL</w:t>
      </w:r>
      <w:r>
        <w:t xml:space="preserve">: </w:t>
      </w:r>
      <w:r>
        <w:t>https</w:t>
      </w:r>
      <w:r>
        <w:t>://</w:t>
      </w:r>
      <w:r>
        <w:t>companies</w:t>
      </w:r>
      <w:r>
        <w:t>.</w:t>
      </w:r>
      <w:r>
        <w:t>rbc</w:t>
      </w:r>
      <w:r>
        <w:t>.</w:t>
      </w:r>
      <w:r>
        <w:t>ru</w:t>
      </w:r>
      <w:r>
        <w:t>/</w:t>
      </w:r>
      <w:r>
        <w:t>id</w:t>
      </w:r>
      <w:r>
        <w:t>/1126318007562-</w:t>
      </w:r>
      <w:r>
        <w:t>ooo</w:t>
      </w:r>
      <w:r>
        <w:t>-</w:t>
      </w:r>
      <w:r>
        <w:t>td</w:t>
      </w:r>
      <w:r>
        <w:t>-</w:t>
      </w:r>
      <w:r>
        <w:t>gpz</w:t>
      </w:r>
      <w:r>
        <w:t>-</w:t>
      </w:r>
      <w:r>
        <w:t>samara</w:t>
      </w:r>
      <w:r>
        <w:t xml:space="preserve">/ (дата обращения: </w:t>
      </w:r>
      <w:r>
        <w:t>01.06.2026</w:t>
      </w:r>
      <w:r>
        <w:t>).</w:t>
      </w:r>
    </w:p>
    <w:p w14:paraId="D5040000">
      <w:bookmarkStart w:id="17" w:name="__RefHeading___17"/>
      <w:bookmarkEnd w:id="17"/>
      <w:pPr>
        <w:pStyle w:val="Style_5"/>
      </w:pPr>
      <w:r>
        <w:t>ПРИЛОЖЕНИЕ</w:t>
      </w:r>
      <w:r>
        <w:t xml:space="preserve"> 1</w:t>
      </w:r>
    </w:p>
    <w:p w14:paraId="D6040000">
      <w:bookmarkStart w:id="18" w:name="__RefHeading___18"/>
      <w:bookmarkEnd w:id="18"/>
      <w:pPr>
        <w:pStyle w:val="Style_5"/>
      </w:pPr>
      <w:r>
        <w:t>Технологический маршрут обработки</w:t>
      </w:r>
    </w:p>
    <w:p w14:paraId="D7040000">
      <w:pPr>
        <w:ind w:firstLine="0" w:left="0"/>
      </w:pPr>
      <w:r>
        <w:drawing>
          <wp:inline>
            <wp:extent cx="5940425" cy="7810439"/>
            <wp:effectExtent b="0" l="0" r="0" t="0"/>
            <wp:docPr hidden="false" id="22" name="Picture 22"/>
            <a:graphic>
              <a:graphicData uri="http://schemas.openxmlformats.org/drawingml/2006/picture">
                <pic:pic>
                  <pic:nvPicPr>
                    <pic:cNvPr hidden="false" id="21" name="Picture 21"/>
                    <pic:cNvPicPr preferRelativeResize="true"/>
                  </pic:nvPicPr>
                  <pic:blipFill>
                    <a:blip r:embed="rId16"/>
                    <a:srcRect b="0" l="0" r="0" t="839"/>
                    <a:stretch/>
                  </pic:blipFill>
                  <pic:spPr>
                    <a:xfrm flipH="false" flipV="false" rot="0">
                      <a:ext cx="5940425" cy="7810439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D8040000">
      <w:pPr>
        <w:ind w:firstLine="0" w:left="0"/>
      </w:pPr>
    </w:p>
    <w:p w14:paraId="D9040000">
      <w:pPr>
        <w:ind w:firstLine="0" w:left="0"/>
      </w:pPr>
    </w:p>
    <w:p w14:paraId="DA040000">
      <w:pPr>
        <w:ind w:firstLine="0" w:left="0"/>
      </w:pPr>
      <w:r>
        <w:drawing>
          <wp:inline>
            <wp:extent cx="5940425" cy="7272655"/>
            <wp:effectExtent b="0" l="0" r="0" t="0"/>
            <wp:docPr hidden="false" id="24" name="Picture 24"/>
            <a:graphic>
              <a:graphicData uri="http://schemas.openxmlformats.org/drawingml/2006/picture">
                <pic:pic>
                  <pic:nvPicPr>
                    <pic:cNvPr hidden="false" id="23" name="Picture 23"/>
                    <pic:cNvPicPr preferRelativeResize="true"/>
                  </pic:nvPicPr>
                  <pic:blipFill>
                    <a:blip r:embed="rId17"/>
                    <a:stretch/>
                  </pic:blipFill>
                  <pic:spPr>
                    <a:xfrm flipH="false" flipV="false" rot="0">
                      <a:ext cx="5940425" cy="727265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DB040000">
      <w:pPr>
        <w:ind w:firstLine="0" w:left="0"/>
      </w:pPr>
      <w:r>
        <w:drawing>
          <wp:inline>
            <wp:extent cx="5940425" cy="8546465"/>
            <wp:effectExtent b="0" l="0" r="0" t="0"/>
            <wp:docPr hidden="false" id="26" name="Picture 26"/>
            <a:graphic>
              <a:graphicData uri="http://schemas.openxmlformats.org/drawingml/2006/picture">
                <pic:pic>
                  <pic:nvPicPr>
                    <pic:cNvPr hidden="false" id="25" name="Picture 25"/>
                    <pic:cNvPicPr preferRelativeResize="true"/>
                  </pic:nvPicPr>
                  <pic:blipFill>
                    <a:blip r:embed="rId18"/>
                    <a:stretch/>
                  </pic:blipFill>
                  <pic:spPr>
                    <a:xfrm flipH="false" flipV="false" rot="0">
                      <a:ext cx="5940425" cy="854646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DC040000">
      <w:pPr>
        <w:ind w:firstLine="0" w:left="0"/>
      </w:pPr>
      <w:r>
        <w:drawing>
          <wp:inline>
            <wp:extent cx="5940425" cy="8376919"/>
            <wp:effectExtent b="0" l="0" r="0" t="0"/>
            <wp:docPr hidden="false" id="28" name="Picture 28"/>
            <a:graphic>
              <a:graphicData uri="http://schemas.openxmlformats.org/drawingml/2006/picture">
                <pic:pic>
                  <pic:nvPicPr>
                    <pic:cNvPr hidden="false" id="27" name="Picture 27"/>
                    <pic:cNvPicPr preferRelativeResize="true"/>
                  </pic:nvPicPr>
                  <pic:blipFill>
                    <a:blip r:embed="rId19"/>
                    <a:stretch/>
                  </pic:blipFill>
                  <pic:spPr>
                    <a:xfrm flipH="false" flipV="false" rot="0">
                      <a:ext cx="5940425" cy="8376919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DD040000">
      <w:pPr>
        <w:ind w:firstLine="0" w:left="0"/>
      </w:pPr>
      <w:r>
        <w:drawing>
          <wp:inline>
            <wp:extent cx="5940425" cy="5844540"/>
            <wp:effectExtent b="0" l="0" r="0" t="0"/>
            <wp:docPr hidden="false" id="30" name="Picture 30"/>
            <a:graphic>
              <a:graphicData uri="http://schemas.openxmlformats.org/drawingml/2006/picture">
                <pic:pic>
                  <pic:nvPicPr>
                    <pic:cNvPr hidden="false" id="29" name="Picture 29"/>
                    <pic:cNvPicPr preferRelativeResize="true"/>
                  </pic:nvPicPr>
                  <pic:blipFill>
                    <a:blip r:embed="rId20"/>
                    <a:stretch/>
                  </pic:blipFill>
                  <pic:spPr>
                    <a:xfrm flipH="false" flipV="false" rot="0">
                      <a:ext cx="5940425" cy="584454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DE040000">
      <w:pPr>
        <w:ind w:firstLine="0" w:left="0"/>
      </w:pPr>
    </w:p>
    <w:p w14:paraId="DF040000">
      <w:pPr>
        <w:spacing w:line="240" w:lineRule="auto"/>
        <w:ind w:firstLine="0" w:left="0"/>
        <w:jc w:val="left"/>
      </w:pPr>
      <w:r>
        <w:br w:type="page"/>
      </w:r>
    </w:p>
    <w:p w14:paraId="E0040000">
      <w:bookmarkStart w:id="19" w:name="__RefHeading___19"/>
      <w:bookmarkEnd w:id="19"/>
      <w:pPr>
        <w:pStyle w:val="Style_5"/>
      </w:pPr>
      <w:r>
        <w:t>ПРИЛОЖЕНИЕ 2</w:t>
      </w:r>
    </w:p>
    <w:p w14:paraId="E1040000">
      <w:bookmarkStart w:id="20" w:name="__RefHeading___20"/>
      <w:bookmarkEnd w:id="20"/>
      <w:pPr>
        <w:pStyle w:val="Style_5"/>
      </w:pPr>
      <w:r>
        <w:t>Блок-схема действий оператора при возникновении аварийной ситуации</w:t>
      </w:r>
    </w:p>
    <w:p w14:paraId="E2040000">
      <w:pPr>
        <w:ind w:firstLine="0" w:left="0"/>
        <w:jc w:val="center"/>
      </w:pPr>
      <w:r>
        <w:drawing>
          <wp:anchor allowOverlap="true" behindDoc="true" distB="0" distL="114300" distR="114300" distT="0" layoutInCell="true" locked="false" relativeHeight="251658240" simplePos="false">
            <wp:simplePos x="0" y="0"/>
            <wp:positionH relativeFrom="column">
              <wp:posOffset>901064</wp:posOffset>
            </wp:positionH>
            <wp:positionV relativeFrom="paragraph">
              <wp:posOffset>42429</wp:posOffset>
            </wp:positionV>
            <wp:extent cx="3463635" cy="8183689"/>
            <wp:effectExtent b="0" l="0" r="0" t="0"/>
            <wp:wrapNone/>
            <wp:docPr hidden="false" id="32" name="Picture 32"/>
            <a:graphic>
              <a:graphicData uri="http://schemas.openxmlformats.org/drawingml/2006/picture">
                <pic:pic>
                  <pic:nvPicPr>
                    <pic:cNvPr hidden="false" id="31" name="Picture 31"/>
                    <pic:cNvPicPr preferRelativeResize="true"/>
                  </pic:nvPicPr>
                  <pic:blipFill>
                    <a:blip>
                      <a:extLst>
                        <a:ext uri="{96DAC541-7B7A-43D3-8B79-37D633B846F1}">
                          <asvg:svgBlip r:embed="rId21"/>
                        </a:ext>
                      </a:extLst>
                    </a:blip>
                    <a:stretch/>
                  </pic:blipFill>
                  <pic:spPr>
                    <a:xfrm flipH="false" flipV="false" rot="0">
                      <a:ext cx="3463635" cy="8183689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E3040000">
      <w:pPr>
        <w:ind w:firstLine="0" w:left="0"/>
      </w:pPr>
    </w:p>
    <w:p w14:paraId="E4040000">
      <w:pPr>
        <w:sectPr>
          <w:footerReference r:id="rId5" w:type="default"/>
          <w:pgSz w:h="16838" w:orient="portrait" w:w="11906"/>
          <w:pgMar w:bottom="1134" w:footer="708" w:gutter="0" w:header="708" w:left="1701" w:right="850" w:top="1134"/>
          <w:titlePg/>
        </w:sectPr>
      </w:pPr>
    </w:p>
    <w:p w14:paraId="E5040000">
      <w:pPr>
        <w:spacing w:line="240" w:lineRule="auto"/>
        <w:ind w:firstLine="0" w:left="0"/>
        <w:jc w:val="center"/>
        <w:rPr>
          <w:b w:val="1"/>
          <w:color w:val="000000"/>
          <w:sz w:val="32"/>
        </w:rPr>
      </w:pPr>
      <w:r>
        <w:rPr>
          <w:b w:val="1"/>
          <w:color w:val="000000"/>
          <w:sz w:val="32"/>
        </w:rPr>
        <w:t>ПОСЛЕДНИЙ</w:t>
      </w:r>
      <w:r>
        <w:rPr>
          <w:b w:val="1"/>
          <w:color w:val="000000"/>
          <w:sz w:val="32"/>
        </w:rPr>
        <w:t xml:space="preserve"> </w:t>
      </w:r>
      <w:r>
        <w:rPr>
          <w:b w:val="1"/>
          <w:color w:val="000000"/>
          <w:sz w:val="32"/>
        </w:rPr>
        <w:t>ЛИСТ</w:t>
      </w:r>
      <w:r>
        <w:rPr>
          <w:b w:val="1"/>
          <w:color w:val="000000"/>
          <w:sz w:val="32"/>
        </w:rPr>
        <w:t xml:space="preserve"> </w:t>
      </w:r>
      <w:r>
        <w:rPr>
          <w:b w:val="1"/>
          <w:color w:val="000000"/>
          <w:sz w:val="32"/>
        </w:rPr>
        <w:t>ВЫПУСКНОЙ</w:t>
      </w:r>
      <w:r>
        <w:rPr>
          <w:b w:val="1"/>
          <w:color w:val="000000"/>
          <w:sz w:val="32"/>
        </w:rPr>
        <w:t xml:space="preserve"> </w:t>
      </w:r>
      <w:r>
        <w:rPr>
          <w:b w:val="1"/>
          <w:color w:val="000000"/>
          <w:sz w:val="32"/>
        </w:rPr>
        <w:t>КВАЛИФИКАЦИОННОЙ</w:t>
      </w:r>
      <w:r>
        <w:rPr>
          <w:b w:val="1"/>
          <w:color w:val="000000"/>
          <w:sz w:val="32"/>
        </w:rPr>
        <w:t xml:space="preserve"> </w:t>
      </w:r>
      <w:r>
        <w:rPr>
          <w:b w:val="1"/>
          <w:color w:val="000000"/>
          <w:sz w:val="32"/>
        </w:rPr>
        <w:t>РАБОТЫ</w:t>
      </w:r>
    </w:p>
    <w:p w14:paraId="E6040000">
      <w:pPr>
        <w:spacing w:line="240" w:lineRule="auto"/>
        <w:ind w:firstLine="708" w:left="993"/>
        <w:jc w:val="center"/>
        <w:rPr>
          <w:b w:val="1"/>
          <w:color w:val="000000"/>
        </w:rPr>
      </w:pPr>
    </w:p>
    <w:p w14:paraId="E7040000">
      <w:pPr>
        <w:spacing w:line="240" w:lineRule="auto"/>
        <w:ind w:firstLine="708" w:left="993"/>
        <w:jc w:val="center"/>
        <w:rPr>
          <w:b w:val="1"/>
          <w:color w:val="000000"/>
        </w:rPr>
      </w:pPr>
    </w:p>
    <w:p w14:paraId="E8040000">
      <w:pPr>
        <w:spacing w:line="240" w:lineRule="auto"/>
        <w:ind w:firstLine="708" w:left="993"/>
        <w:jc w:val="center"/>
        <w:rPr>
          <w:b w:val="1"/>
          <w:color w:val="000000"/>
        </w:rPr>
      </w:pPr>
    </w:p>
    <w:p w14:paraId="E9040000">
      <w:pPr>
        <w:ind w:firstLine="708" w:left="0"/>
        <w:rPr>
          <w:color w:val="000000"/>
        </w:rPr>
      </w:pPr>
      <w:r>
        <w:rPr>
          <w:color w:val="000000"/>
        </w:rPr>
        <w:t>Выпускная</w:t>
      </w:r>
      <w:r>
        <w:rPr>
          <w:color w:val="000000"/>
        </w:rPr>
        <w:t xml:space="preserve"> </w:t>
      </w:r>
      <w:r>
        <w:rPr>
          <w:color w:val="000000"/>
        </w:rPr>
        <w:t>квалификационная</w:t>
      </w:r>
      <w:r>
        <w:rPr>
          <w:color w:val="000000"/>
        </w:rPr>
        <w:t xml:space="preserve"> </w:t>
      </w:r>
      <w:r>
        <w:rPr>
          <w:color w:val="000000"/>
        </w:rPr>
        <w:t>работа</w:t>
      </w:r>
      <w:r>
        <w:rPr>
          <w:color w:val="000000"/>
        </w:rPr>
        <w:t xml:space="preserve"> </w:t>
      </w:r>
      <w:r>
        <w:rPr>
          <w:color w:val="000000"/>
        </w:rPr>
        <w:t>выполнена</w:t>
      </w:r>
      <w:r>
        <w:rPr>
          <w:color w:val="000000"/>
        </w:rPr>
        <w:t xml:space="preserve"> </w:t>
      </w:r>
      <w:r>
        <w:rPr>
          <w:color w:val="000000"/>
        </w:rPr>
        <w:t>мной</w:t>
      </w:r>
      <w:r>
        <w:rPr>
          <w:color w:val="000000"/>
        </w:rPr>
        <w:t xml:space="preserve"> </w:t>
      </w:r>
      <w:r>
        <w:rPr>
          <w:color w:val="000000"/>
        </w:rPr>
        <w:t>совершенно</w:t>
      </w:r>
      <w:r>
        <w:rPr>
          <w:color w:val="000000"/>
        </w:rPr>
        <w:t xml:space="preserve"> </w:t>
      </w:r>
      <w:r>
        <w:rPr>
          <w:color w:val="000000"/>
        </w:rPr>
        <w:t>самостоятельно.</w:t>
      </w:r>
      <w:r>
        <w:rPr>
          <w:color w:val="000000"/>
        </w:rPr>
        <w:t xml:space="preserve"> </w:t>
      </w:r>
      <w:r>
        <w:rPr>
          <w:color w:val="000000"/>
        </w:rPr>
        <w:t>Все</w:t>
      </w:r>
      <w:r>
        <w:rPr>
          <w:color w:val="000000"/>
        </w:rPr>
        <w:t xml:space="preserve"> </w:t>
      </w:r>
      <w:r>
        <w:rPr>
          <w:color w:val="000000"/>
        </w:rPr>
        <w:t>использованные</w:t>
      </w:r>
      <w:r>
        <w:rPr>
          <w:color w:val="000000"/>
        </w:rPr>
        <w:t xml:space="preserve"> </w:t>
      </w:r>
      <w:r>
        <w:rPr>
          <w:color w:val="000000"/>
        </w:rPr>
        <w:t>в</w:t>
      </w:r>
      <w:r>
        <w:rPr>
          <w:color w:val="000000"/>
        </w:rPr>
        <w:t xml:space="preserve"> </w:t>
      </w:r>
      <w:r>
        <w:rPr>
          <w:color w:val="000000"/>
        </w:rPr>
        <w:t>работе</w:t>
      </w:r>
      <w:r>
        <w:rPr>
          <w:color w:val="000000"/>
        </w:rPr>
        <w:t xml:space="preserve"> </w:t>
      </w:r>
      <w:r>
        <w:rPr>
          <w:color w:val="000000"/>
        </w:rPr>
        <w:t>материалы</w:t>
      </w:r>
      <w:r>
        <w:rPr>
          <w:color w:val="000000"/>
        </w:rPr>
        <w:t xml:space="preserve"> </w:t>
      </w:r>
      <w:r>
        <w:rPr>
          <w:color w:val="000000"/>
        </w:rPr>
        <w:t>и</w:t>
      </w:r>
      <w:r>
        <w:rPr>
          <w:color w:val="000000"/>
        </w:rPr>
        <w:t xml:space="preserve"> </w:t>
      </w:r>
      <w:r>
        <w:rPr>
          <w:color w:val="000000"/>
        </w:rPr>
        <w:t>концепции</w:t>
      </w:r>
      <w:r>
        <w:rPr>
          <w:color w:val="000000"/>
        </w:rPr>
        <w:t xml:space="preserve"> </w:t>
      </w:r>
      <w:r>
        <w:rPr>
          <w:color w:val="000000"/>
        </w:rPr>
        <w:t>из</w:t>
      </w:r>
      <w:r>
        <w:rPr>
          <w:color w:val="000000"/>
        </w:rPr>
        <w:t xml:space="preserve"> </w:t>
      </w:r>
      <w:r>
        <w:rPr>
          <w:color w:val="000000"/>
        </w:rPr>
        <w:t>опубликованной</w:t>
      </w:r>
      <w:r>
        <w:rPr>
          <w:color w:val="000000"/>
        </w:rPr>
        <w:t xml:space="preserve"> </w:t>
      </w:r>
      <w:r>
        <w:rPr>
          <w:color w:val="000000"/>
        </w:rPr>
        <w:t>научной</w:t>
      </w:r>
      <w:r>
        <w:rPr>
          <w:color w:val="000000"/>
        </w:rPr>
        <w:t xml:space="preserve"> </w:t>
      </w:r>
      <w:r>
        <w:rPr>
          <w:color w:val="000000"/>
        </w:rPr>
        <w:t>литературы</w:t>
      </w:r>
      <w:r>
        <w:rPr>
          <w:color w:val="000000"/>
        </w:rPr>
        <w:t xml:space="preserve"> </w:t>
      </w:r>
      <w:r>
        <w:rPr>
          <w:color w:val="000000"/>
        </w:rPr>
        <w:t>и</w:t>
      </w:r>
      <w:r>
        <w:rPr>
          <w:color w:val="000000"/>
        </w:rPr>
        <w:t xml:space="preserve"> </w:t>
      </w:r>
      <w:r>
        <w:rPr>
          <w:color w:val="000000"/>
        </w:rPr>
        <w:t>других</w:t>
      </w:r>
      <w:r>
        <w:rPr>
          <w:color w:val="000000"/>
        </w:rPr>
        <w:t xml:space="preserve"> </w:t>
      </w:r>
      <w:r>
        <w:rPr>
          <w:color w:val="000000"/>
        </w:rPr>
        <w:t>источников</w:t>
      </w:r>
      <w:r>
        <w:rPr>
          <w:color w:val="000000"/>
        </w:rPr>
        <w:t xml:space="preserve"> </w:t>
      </w:r>
      <w:r>
        <w:rPr>
          <w:color w:val="000000"/>
        </w:rPr>
        <w:t>имеют</w:t>
      </w:r>
      <w:r>
        <w:rPr>
          <w:color w:val="000000"/>
        </w:rPr>
        <w:t xml:space="preserve"> </w:t>
      </w:r>
      <w:r>
        <w:rPr>
          <w:color w:val="000000"/>
        </w:rPr>
        <w:t>ссылки</w:t>
      </w:r>
      <w:r>
        <w:rPr>
          <w:color w:val="000000"/>
        </w:rPr>
        <w:t xml:space="preserve"> </w:t>
      </w:r>
      <w:r>
        <w:rPr>
          <w:color w:val="000000"/>
        </w:rPr>
        <w:t>на</w:t>
      </w:r>
      <w:r>
        <w:rPr>
          <w:color w:val="000000"/>
        </w:rPr>
        <w:t xml:space="preserve"> </w:t>
      </w:r>
      <w:r>
        <w:rPr>
          <w:color w:val="000000"/>
        </w:rPr>
        <w:t>них.</w:t>
      </w:r>
    </w:p>
    <w:p w14:paraId="EA040000">
      <w:pPr>
        <w:spacing w:line="240" w:lineRule="auto"/>
        <w:ind w:firstLine="0" w:left="0"/>
        <w:rPr>
          <w:color w:val="000000"/>
        </w:rPr>
      </w:pPr>
      <w:r>
        <w:rPr>
          <w:color w:val="000000"/>
        </w:rPr>
        <w:t xml:space="preserve">  </w:t>
      </w:r>
      <w:r>
        <w:rPr>
          <w:color w:val="000000"/>
        </w:rPr>
        <w:t xml:space="preserve"> </w:t>
      </w:r>
    </w:p>
    <w:p w14:paraId="EB040000">
      <w:pPr>
        <w:spacing w:line="240" w:lineRule="auto"/>
        <w:ind w:firstLine="0" w:left="0"/>
        <w:rPr>
          <w:color w:val="000000"/>
        </w:rPr>
      </w:pPr>
    </w:p>
    <w:p w14:paraId="EC040000">
      <w:pPr>
        <w:spacing w:line="240" w:lineRule="auto"/>
        <w:ind w:firstLine="0" w:left="0"/>
        <w:rPr>
          <w:color w:val="000000"/>
        </w:rPr>
      </w:pP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>8</w:t>
      </w:r>
      <w:r>
        <w:rPr>
          <w:color w:val="000000"/>
        </w:rPr>
        <w:t xml:space="preserve"> </w:t>
      </w:r>
      <w:r>
        <w:rPr>
          <w:color w:val="000000"/>
        </w:rPr>
        <w:t>июля</w:t>
      </w:r>
      <w:r>
        <w:rPr>
          <w:color w:val="000000"/>
        </w:rPr>
        <w:t xml:space="preserve"> 202</w:t>
      </w:r>
      <w:r>
        <w:rPr>
          <w:color w:val="000000"/>
        </w:rPr>
        <w:t>6</w:t>
      </w:r>
      <w:r>
        <w:rPr>
          <w:color w:val="000000"/>
        </w:rPr>
        <w:t xml:space="preserve"> г.</w:t>
      </w:r>
    </w:p>
    <w:p w14:paraId="ED040000">
      <w:pPr>
        <w:spacing w:line="240" w:lineRule="auto"/>
        <w:ind w:firstLine="0" w:left="0"/>
        <w:rPr>
          <w:color w:val="000000"/>
        </w:rPr>
      </w:pPr>
    </w:p>
    <w:p w14:paraId="EE040000">
      <w:pPr>
        <w:spacing w:line="240" w:lineRule="auto"/>
        <w:ind w:firstLine="0" w:left="0"/>
        <w:rPr>
          <w:color w:val="000000"/>
        </w:rPr>
      </w:pPr>
    </w:p>
    <w:p w14:paraId="EF040000">
      <w:pPr>
        <w:spacing w:line="240" w:lineRule="auto"/>
        <w:ind w:firstLine="0" w:left="0"/>
        <w:rPr>
          <w:color w:val="000000"/>
        </w:rPr>
      </w:pPr>
    </w:p>
    <w:p w14:paraId="F0040000">
      <w:pPr>
        <w:spacing w:line="240" w:lineRule="auto"/>
        <w:ind w:firstLine="0" w:left="0"/>
        <w:rPr>
          <w:color w:val="000000"/>
          <w:u w:val="single"/>
        </w:rPr>
      </w:pPr>
      <w:r>
        <w:rPr>
          <w:color w:val="000000"/>
        </w:rPr>
        <w:t>__________</w:t>
      </w:r>
      <w:r>
        <w:rPr>
          <w:color w:val="000000"/>
          <w:sz w:val="24"/>
        </w:rPr>
        <w:drawing>
          <wp:anchor allowOverlap="true" behindDoc="true" distB="0" distL="114300" distR="114300" distT="0" layoutInCell="true" locked="false" relativeHeight="251658240" simplePos="false">
            <wp:simplePos x="0" y="0"/>
            <wp:positionH relativeFrom="column">
              <wp:posOffset>5667375</wp:posOffset>
            </wp:positionH>
            <wp:positionV relativeFrom="paragraph">
              <wp:posOffset>9363075</wp:posOffset>
            </wp:positionV>
            <wp:extent cx="952500" cy="621665"/>
            <wp:effectExtent b="0" l="0" r="0" t="0"/>
            <wp:wrapNone/>
            <wp:docPr hidden="false" id="34" name="Picture 34"/>
            <a:graphic>
              <a:graphicData uri="http://schemas.openxmlformats.org/drawingml/2006/picture">
                <pic:pic>
                  <pic:nvPicPr>
                    <pic:cNvPr hidden="false" id="33" name="Picture 33"/>
                    <pic:cNvPicPr preferRelativeResize="true"/>
                  </pic:nvPicPr>
                  <pic:blipFill>
                    <a:blip r:embed="rId22"/>
                    <a:srcRect b="41997" l="72234" r="15804" t="44112"/>
                    <a:stretch/>
                  </pic:blipFill>
                  <pic:spPr>
                    <a:xfrm flipH="false" flipV="false" rot="0">
                      <a:ext cx="952500" cy="62166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color w:val="000000"/>
        </w:rPr>
        <w:t>__</w:t>
      </w:r>
      <w:r>
        <w:rPr>
          <w:color w:val="000000"/>
          <w:sz w:val="24"/>
        </w:rPr>
        <w:drawing>
          <wp:anchor allowOverlap="true" behindDoc="true" distB="0" distL="114300" distR="114300" distT="0" layoutInCell="true" locked="false" relativeHeight="251658240" simplePos="false">
            <wp:simplePos x="0" y="0"/>
            <wp:positionH relativeFrom="column">
              <wp:posOffset>5667375</wp:posOffset>
            </wp:positionH>
            <wp:positionV relativeFrom="paragraph">
              <wp:posOffset>9363075</wp:posOffset>
            </wp:positionV>
            <wp:extent cx="952500" cy="621665"/>
            <wp:effectExtent b="0" l="0" r="0" t="0"/>
            <wp:wrapNone/>
            <wp:docPr hidden="false" id="36" name="Picture 36"/>
            <a:graphic>
              <a:graphicData uri="http://schemas.openxmlformats.org/drawingml/2006/picture">
                <pic:pic>
                  <pic:nvPicPr>
                    <pic:cNvPr hidden="false" id="35" name="Picture 35"/>
                    <pic:cNvPicPr preferRelativeResize="true"/>
                  </pic:nvPicPr>
                  <pic:blipFill>
                    <a:blip r:embed="rId23"/>
                    <a:srcRect b="41997" l="72234" r="15804" t="44112"/>
                    <a:stretch/>
                  </pic:blipFill>
                  <pic:spPr>
                    <a:xfrm flipH="false" flipV="false" rot="0">
                      <a:ext cx="952500" cy="62166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color w:val="000000"/>
        </w:rPr>
        <w:t>____________/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14:paraId="F1040000">
      <w:pPr>
        <w:spacing w:line="240" w:lineRule="auto"/>
        <w:ind w:firstLine="720" w:left="283"/>
        <w:rPr>
          <w:color w:val="000000"/>
        </w:rPr>
      </w:pPr>
      <w:r>
        <w:rPr>
          <w:color w:val="000000"/>
        </w:rPr>
        <w:t xml:space="preserve">  </w:t>
      </w:r>
      <w:r>
        <w:rPr>
          <w:color w:val="000000"/>
        </w:rPr>
        <w:t xml:space="preserve"> </w:t>
      </w:r>
      <w:r>
        <w:rPr>
          <w:color w:val="000000"/>
        </w:rPr>
        <w:t>(подпись)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>(Ф.И.О.)</w:t>
      </w:r>
    </w:p>
    <w:p w14:paraId="F2040000">
      <w:pPr>
        <w:spacing w:line="240" w:lineRule="auto"/>
        <w:ind w:firstLine="720" w:left="283"/>
        <w:rPr>
          <w:color w:val="000000"/>
        </w:rPr>
      </w:pPr>
    </w:p>
    <w:p w14:paraId="F3040000">
      <w:pPr>
        <w:widowControl w:val="0"/>
        <w:spacing w:line="240" w:lineRule="auto"/>
        <w:ind w:firstLine="0" w:left="0"/>
        <w:jc w:val="left"/>
        <w:rPr>
          <w:color w:val="000000"/>
          <w:sz w:val="24"/>
        </w:rPr>
      </w:pPr>
    </w:p>
    <w:p w14:paraId="F4040000">
      <w:pPr>
        <w:spacing w:after="160" w:line="264" w:lineRule="auto"/>
        <w:ind w:firstLine="0" w:left="0"/>
        <w:jc w:val="left"/>
        <w:rPr>
          <w:color w:val="000000"/>
          <w:sz w:val="24"/>
        </w:rPr>
      </w:pPr>
    </w:p>
    <w:sectPr>
      <w:footerReference r:id="rId5" w:type="default"/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rPr>
        <w:rStyle w:val="Style_1_ch"/>
      </w:rPr>
      <w:fldChar w:fldCharType="begin"/>
    </w:r>
    <w:r>
      <w:rPr>
        <w:rStyle w:val="Style_1_ch"/>
      </w:rPr>
      <w:instrText xml:space="preserve">PAGE </w:instrText>
    </w:r>
    <w:r>
      <w:rPr>
        <w:rStyle w:val="Style_1_ch"/>
      </w:rPr>
      <w:fldChar w:fldCharType="separate"/>
    </w:r>
    <w:r>
      <w:rPr>
        <w:rStyle w:val="Style_1_ch"/>
      </w:rPr>
      <w:fldChar w:fldCharType="end"/>
    </w:r>
  </w:p>
  <w:p w14:paraId="01000000"/>
  <w:p w14:paraId="02000000">
    <w:pPr>
      <w:pStyle w:val="Style_2"/>
    </w:pPr>
  </w:p>
</w:ftr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rPr>
        <w:rStyle w:val="Style_1_ch"/>
      </w:rPr>
      <w:fldChar w:fldCharType="begin"/>
    </w:r>
    <w:r>
      <w:rPr>
        <w:rStyle w:val="Style_1_ch"/>
      </w:rPr>
      <w:instrText xml:space="preserve">PAGE </w:instrText>
    </w:r>
    <w:r>
      <w:rPr>
        <w:rStyle w:val="Style_1_ch"/>
      </w:rPr>
      <w:fldChar w:fldCharType="separate"/>
    </w:r>
    <w:r>
      <w:rPr>
        <w:rStyle w:val="Style_1_ch"/>
      </w:rPr>
      <w:fldChar w:fldCharType="end"/>
    </w:r>
  </w:p>
  <w:p w14:paraId="03000000"/>
  <w:p w14:paraId="04000000">
    <w:pPr>
      <w:pStyle w:val="Style_2"/>
    </w:pPr>
  </w:p>
</w:ftr>
</file>

<file path=word/footer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rPr>
        <w:rStyle w:val="Style_1_ch"/>
      </w:rPr>
      <w:fldChar w:fldCharType="begin"/>
    </w:r>
    <w:r>
      <w:rPr>
        <w:rStyle w:val="Style_1_ch"/>
      </w:rPr>
      <w:instrText xml:space="preserve">PAGE </w:instrText>
    </w:r>
    <w:r>
      <w:rPr>
        <w:rStyle w:val="Style_1_ch"/>
      </w:rPr>
      <w:fldChar w:fldCharType="separate"/>
    </w:r>
    <w:r>
      <w:rPr>
        <w:rStyle w:val="Style_1_ch"/>
      </w:rPr>
      <w:fldChar w:fldCharType="end"/>
    </w:r>
  </w:p>
  <w:p w14:paraId="05000000"/>
  <w:p w14:paraId="06000000">
    <w:pPr>
      <w:pStyle w:val="Style_2"/>
    </w:pP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rPr>
        <w:rStyle w:val="Style_1_ch"/>
      </w:rPr>
      <w:fldChar w:fldCharType="begin"/>
    </w:r>
    <w:r>
      <w:rPr>
        <w:rStyle w:val="Style_1_ch"/>
      </w:rPr>
      <w:instrText xml:space="preserve">PAGE </w:instrText>
    </w:r>
    <w:r>
      <w:rPr>
        <w:rStyle w:val="Style_1_ch"/>
      </w:rPr>
      <w:fldChar w:fldCharType="separate"/>
    </w:r>
    <w:r>
      <w:rPr>
        <w:rStyle w:val="Style_1_ch"/>
      </w:rPr>
      <w:fldChar w:fldCharType="end"/>
    </w:r>
  </w:p>
  <w:p w14:paraId="07000000"/>
  <w:p w14:paraId="08000000">
    <w:pPr>
      <w:pStyle w:val="Style_2"/>
    </w:pPr>
  </w:p>
</w:ftr>
</file>

<file path=word/footer5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rPr>
        <w:rStyle w:val="Style_1_ch"/>
      </w:rPr>
      <w:fldChar w:fldCharType="begin"/>
    </w:r>
    <w:r>
      <w:rPr>
        <w:rStyle w:val="Style_1_ch"/>
      </w:rPr>
      <w:instrText xml:space="preserve">PAGE </w:instrText>
    </w:r>
    <w:r>
      <w:rPr>
        <w:rStyle w:val="Style_1_ch"/>
      </w:rPr>
      <w:fldChar w:fldCharType="separate"/>
    </w:r>
    <w:r>
      <w:rPr>
        <w:rStyle w:val="Style_1_ch"/>
      </w:rPr>
      <w:fldChar w:fldCharType="end"/>
    </w:r>
  </w:p>
  <w:p w14:paraId="09000000"/>
  <w:p w14:paraId="0A000000">
    <w:pPr>
      <w:pStyle w:val="Style_2"/>
    </w:pPr>
  </w:p>
</w:ft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360" w:left="1429"/>
      </w:pPr>
    </w:lvl>
    <w:lvl w:ilvl="1">
      <w:start w:val="1"/>
      <w:numFmt w:val="lowerLetter"/>
      <w:lvlText w:val="%2."/>
      <w:lvlJc w:val="left"/>
      <w:pPr>
        <w:ind w:hanging="360" w:left="2149"/>
      </w:pPr>
    </w:lvl>
    <w:lvl w:ilvl="2">
      <w:start w:val="1"/>
      <w:numFmt w:val="lowerRoman"/>
      <w:lvlText w:val="%3."/>
      <w:lvlJc w:val="right"/>
      <w:pPr>
        <w:ind w:hanging="180" w:left="2869"/>
      </w:pPr>
    </w:lvl>
    <w:lvl w:ilvl="3">
      <w:start w:val="1"/>
      <w:numFmt w:val="decimal"/>
      <w:lvlText w:val="%4."/>
      <w:lvlJc w:val="left"/>
      <w:pPr>
        <w:ind w:hanging="360" w:left="3589"/>
      </w:pPr>
    </w:lvl>
    <w:lvl w:ilvl="4">
      <w:start w:val="1"/>
      <w:numFmt w:val="lowerLetter"/>
      <w:lvlText w:val="%5."/>
      <w:lvlJc w:val="left"/>
      <w:pPr>
        <w:ind w:hanging="360" w:left="4309"/>
      </w:pPr>
    </w:lvl>
    <w:lvl w:ilvl="5">
      <w:start w:val="1"/>
      <w:numFmt w:val="lowerRoman"/>
      <w:lvlText w:val="%6."/>
      <w:lvlJc w:val="right"/>
      <w:pPr>
        <w:ind w:hanging="180" w:left="5029"/>
      </w:pPr>
    </w:lvl>
    <w:lvl w:ilvl="6">
      <w:start w:val="1"/>
      <w:numFmt w:val="decimal"/>
      <w:lvlText w:val="%7."/>
      <w:lvlJc w:val="left"/>
      <w:pPr>
        <w:ind w:hanging="360" w:left="5749"/>
      </w:pPr>
    </w:lvl>
    <w:lvl w:ilvl="7">
      <w:start w:val="1"/>
      <w:numFmt w:val="lowerLetter"/>
      <w:lvlText w:val="%8."/>
      <w:lvlJc w:val="left"/>
      <w:pPr>
        <w:ind w:hanging="360" w:left="6469"/>
      </w:pPr>
    </w:lvl>
    <w:lvl w:ilvl="8">
      <w:start w:val="1"/>
      <w:numFmt w:val="lowerRoman"/>
      <w:lvlText w:val="%9."/>
      <w:lvlJc w:val="right"/>
      <w:pPr>
        <w:ind w:hanging="180" w:left="7189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9" w:type="paragraph">
    <w:name w:val="Normal"/>
    <w:link w:val="Style_9_ch"/>
    <w:uiPriority w:val="0"/>
    <w:qFormat/>
    <w:pPr>
      <w:spacing w:line="360" w:lineRule="auto"/>
      <w:ind w:firstLine="709" w:left="0"/>
      <w:jc w:val="both"/>
    </w:pPr>
    <w:rPr>
      <w:rFonts w:ascii="Times New Roman" w:hAnsi="Times New Roman"/>
      <w:sz w:val="28"/>
    </w:rPr>
  </w:style>
  <w:style w:default="1" w:styleId="Style_9_ch" w:type="character">
    <w:name w:val="Normal"/>
    <w:link w:val="Style_9"/>
    <w:rPr>
      <w:rFonts w:ascii="Times New Roman" w:hAnsi="Times New Roman"/>
      <w:sz w:val="28"/>
    </w:rPr>
  </w:style>
  <w:style w:styleId="Style_10" w:type="paragraph">
    <w:name w:val="toc 2"/>
    <w:basedOn w:val="Style_9"/>
    <w:next w:val="Style_9"/>
    <w:link w:val="Style_10_ch"/>
    <w:uiPriority w:val="39"/>
    <w:pPr>
      <w:spacing w:before="120"/>
      <w:ind w:firstLine="0" w:left="280"/>
      <w:jc w:val="left"/>
    </w:pPr>
    <w:rPr>
      <w:rFonts w:asciiTheme="minorAscii" w:hAnsiTheme="minorHAnsi"/>
      <w:b w:val="1"/>
      <w:sz w:val="22"/>
    </w:rPr>
  </w:style>
  <w:style w:styleId="Style_10_ch" w:type="character">
    <w:name w:val="toc 2"/>
    <w:basedOn w:val="Style_9_ch"/>
    <w:link w:val="Style_10"/>
    <w:rPr>
      <w:rFonts w:asciiTheme="minorAscii" w:hAnsiTheme="minorHAnsi"/>
      <w:b w:val="1"/>
      <w:sz w:val="22"/>
    </w:rPr>
  </w:style>
  <w:style w:styleId="Style_11" w:type="paragraph">
    <w:name w:val="toc 4"/>
    <w:basedOn w:val="Style_9"/>
    <w:next w:val="Style_9"/>
    <w:link w:val="Style_11_ch"/>
    <w:uiPriority w:val="39"/>
    <w:pPr>
      <w:ind w:firstLine="0" w:left="840"/>
      <w:jc w:val="left"/>
    </w:pPr>
    <w:rPr>
      <w:rFonts w:asciiTheme="minorAscii" w:hAnsiTheme="minorHAnsi"/>
      <w:sz w:val="20"/>
    </w:rPr>
  </w:style>
  <w:style w:styleId="Style_11_ch" w:type="character">
    <w:name w:val="toc 4"/>
    <w:basedOn w:val="Style_9_ch"/>
    <w:link w:val="Style_11"/>
    <w:rPr>
      <w:rFonts w:asciiTheme="minorAscii" w:hAnsiTheme="minorHAnsi"/>
      <w:sz w:val="20"/>
    </w:rPr>
  </w:style>
  <w:style w:styleId="Style_12" w:type="paragraph">
    <w:name w:val="heading 7"/>
    <w:basedOn w:val="Style_9"/>
    <w:next w:val="Style_9"/>
    <w:link w:val="Style_12_ch"/>
    <w:uiPriority w:val="9"/>
    <w:qFormat/>
    <w:pPr>
      <w:keepNext w:val="1"/>
      <w:keepLines w:val="1"/>
      <w:spacing w:before="40"/>
      <w:ind/>
      <w:outlineLvl w:val="6"/>
    </w:pPr>
    <w:rPr>
      <w:rFonts w:asciiTheme="minorAscii" w:hAnsiTheme="minorHAnsi"/>
      <w:color w:themeColor="text1" w:themeTint="A6" w:val="595959"/>
    </w:rPr>
  </w:style>
  <w:style w:styleId="Style_12_ch" w:type="character">
    <w:name w:val="heading 7"/>
    <w:basedOn w:val="Style_9_ch"/>
    <w:link w:val="Style_12"/>
    <w:rPr>
      <w:rFonts w:asciiTheme="minorAscii" w:hAnsiTheme="minorHAnsi"/>
      <w:color w:themeColor="text1" w:themeTint="A6" w:val="595959"/>
    </w:rPr>
  </w:style>
  <w:style w:styleId="Style_13" w:type="paragraph">
    <w:name w:val="toc 6"/>
    <w:basedOn w:val="Style_9"/>
    <w:next w:val="Style_9"/>
    <w:link w:val="Style_13_ch"/>
    <w:uiPriority w:val="39"/>
    <w:pPr>
      <w:ind w:firstLine="0" w:left="1400"/>
      <w:jc w:val="left"/>
    </w:pPr>
    <w:rPr>
      <w:rFonts w:asciiTheme="minorAscii" w:hAnsiTheme="minorHAnsi"/>
      <w:sz w:val="20"/>
    </w:rPr>
  </w:style>
  <w:style w:styleId="Style_13_ch" w:type="character">
    <w:name w:val="toc 6"/>
    <w:basedOn w:val="Style_9_ch"/>
    <w:link w:val="Style_13"/>
    <w:rPr>
      <w:rFonts w:asciiTheme="minorAscii" w:hAnsiTheme="minorHAnsi"/>
      <w:sz w:val="20"/>
    </w:rPr>
  </w:style>
  <w:style w:styleId="Style_14" w:type="paragraph">
    <w:name w:val="toc 7"/>
    <w:basedOn w:val="Style_9"/>
    <w:next w:val="Style_9"/>
    <w:link w:val="Style_14_ch"/>
    <w:uiPriority w:val="39"/>
    <w:pPr>
      <w:ind w:firstLine="0" w:left="1680"/>
      <w:jc w:val="left"/>
    </w:pPr>
    <w:rPr>
      <w:rFonts w:asciiTheme="minorAscii" w:hAnsiTheme="minorHAnsi"/>
      <w:sz w:val="20"/>
    </w:rPr>
  </w:style>
  <w:style w:styleId="Style_14_ch" w:type="character">
    <w:name w:val="toc 7"/>
    <w:basedOn w:val="Style_9_ch"/>
    <w:link w:val="Style_14"/>
    <w:rPr>
      <w:rFonts w:asciiTheme="minorAscii" w:hAnsiTheme="minorHAnsi"/>
      <w:sz w:val="20"/>
    </w:rPr>
  </w:style>
  <w:style w:styleId="Style_15" w:type="paragraph">
    <w:name w:val="heading 3"/>
    <w:basedOn w:val="Style_9"/>
    <w:next w:val="Style_9"/>
    <w:link w:val="Style_15_ch"/>
    <w:uiPriority w:val="9"/>
    <w:qFormat/>
    <w:pPr>
      <w:keepNext w:val="1"/>
      <w:keepLines w:val="1"/>
      <w:spacing w:after="80" w:before="160"/>
      <w:ind/>
      <w:outlineLvl w:val="2"/>
    </w:pPr>
    <w:rPr>
      <w:rFonts w:asciiTheme="minorAscii" w:hAnsiTheme="minorHAnsi"/>
      <w:color w:themeColor="accent1" w:themeShade="BF" w:val="2F5496"/>
    </w:rPr>
  </w:style>
  <w:style w:styleId="Style_15_ch" w:type="character">
    <w:name w:val="heading 3"/>
    <w:basedOn w:val="Style_9_ch"/>
    <w:link w:val="Style_15"/>
    <w:rPr>
      <w:rFonts w:asciiTheme="minorAscii" w:hAnsiTheme="minorHAnsi"/>
      <w:color w:themeColor="accent1" w:themeShade="BF" w:val="2F5496"/>
    </w:rPr>
  </w:style>
  <w:style w:styleId="Style_16" w:type="paragraph">
    <w:name w:val="No Spacing"/>
    <w:link w:val="Style_16_ch"/>
    <w:pPr>
      <w:ind w:firstLine="709" w:left="0"/>
      <w:jc w:val="both"/>
    </w:pPr>
    <w:rPr>
      <w:rFonts w:ascii="Times New Roman" w:hAnsi="Times New Roman"/>
      <w:color w:val="000000"/>
      <w:sz w:val="28"/>
    </w:rPr>
  </w:style>
  <w:style w:styleId="Style_16_ch" w:type="character">
    <w:name w:val="No Spacing"/>
    <w:link w:val="Style_16"/>
    <w:rPr>
      <w:rFonts w:ascii="Times New Roman" w:hAnsi="Times New Roman"/>
      <w:color w:val="000000"/>
      <w:sz w:val="28"/>
    </w:rPr>
  </w:style>
  <w:style w:styleId="Style_17" w:type="paragraph">
    <w:name w:val="Intense Quote"/>
    <w:basedOn w:val="Style_9"/>
    <w:next w:val="Style_9"/>
    <w:link w:val="Style_17_ch"/>
    <w:pPr>
      <w:spacing w:after="360" w:before="360"/>
      <w:ind w:firstLine="0" w:left="864" w:right="864"/>
      <w:jc w:val="center"/>
    </w:pPr>
    <w:rPr>
      <w:i w:val="1"/>
      <w:color w:themeColor="accent1" w:themeShade="BF" w:val="2F5496"/>
    </w:rPr>
  </w:style>
  <w:style w:styleId="Style_17_ch" w:type="character">
    <w:name w:val="Intense Quote"/>
    <w:basedOn w:val="Style_9_ch"/>
    <w:link w:val="Style_17"/>
    <w:rPr>
      <w:i w:val="1"/>
      <w:color w:themeColor="accent1" w:themeShade="BF" w:val="2F5496"/>
    </w:rPr>
  </w:style>
  <w:style w:styleId="Style_18" w:type="paragraph">
    <w:name w:val="heading 9"/>
    <w:basedOn w:val="Style_9"/>
    <w:next w:val="Style_9"/>
    <w:link w:val="Style_18_ch"/>
    <w:uiPriority w:val="9"/>
    <w:qFormat/>
    <w:pPr>
      <w:keepNext w:val="1"/>
      <w:keepLines w:val="1"/>
      <w:ind/>
      <w:outlineLvl w:val="8"/>
    </w:pPr>
    <w:rPr>
      <w:rFonts w:asciiTheme="minorAscii" w:hAnsiTheme="minorHAnsi"/>
      <w:color w:themeColor="text1" w:themeTint="D8" w:val="272727"/>
    </w:rPr>
  </w:style>
  <w:style w:styleId="Style_18_ch" w:type="character">
    <w:name w:val="heading 9"/>
    <w:basedOn w:val="Style_9_ch"/>
    <w:link w:val="Style_18"/>
    <w:rPr>
      <w:rFonts w:asciiTheme="minorAscii" w:hAnsiTheme="minorHAnsi"/>
      <w:color w:themeColor="text1" w:themeTint="D8" w:val="272727"/>
    </w:rPr>
  </w:style>
  <w:style w:styleId="Style_8" w:type="paragraph">
    <w:name w:val="List Paragraph"/>
    <w:basedOn w:val="Style_9"/>
    <w:link w:val="Style_8_ch"/>
    <w:pPr>
      <w:ind w:firstLine="0" w:left="720"/>
      <w:contextualSpacing w:val="1"/>
    </w:pPr>
  </w:style>
  <w:style w:styleId="Style_8_ch" w:type="character">
    <w:name w:val="List Paragraph"/>
    <w:basedOn w:val="Style_9_ch"/>
    <w:link w:val="Style_8"/>
  </w:style>
  <w:style w:styleId="Style_19" w:type="paragraph">
    <w:name w:val="Default Paragraph Font"/>
    <w:link w:val="Style_19_ch"/>
  </w:style>
  <w:style w:styleId="Style_19_ch" w:type="character">
    <w:name w:val="Default Paragraph Font"/>
    <w:link w:val="Style_19"/>
  </w:style>
  <w:style w:styleId="Style_20" w:type="paragraph">
    <w:name w:val="Intense Reference"/>
    <w:basedOn w:val="Style_19"/>
    <w:link w:val="Style_20_ch"/>
    <w:rPr>
      <w:b w:val="1"/>
      <w:smallCaps w:val="1"/>
      <w:color w:themeColor="accent1" w:themeShade="BF" w:val="2F5496"/>
      <w:spacing w:val="5"/>
    </w:rPr>
  </w:style>
  <w:style w:styleId="Style_20_ch" w:type="character">
    <w:name w:val="Intense Reference"/>
    <w:basedOn w:val="Style_19_ch"/>
    <w:link w:val="Style_20"/>
    <w:rPr>
      <w:b w:val="1"/>
      <w:smallCaps w:val="1"/>
      <w:color w:themeColor="accent1" w:themeShade="BF" w:val="2F5496"/>
      <w:spacing w:val="5"/>
    </w:rPr>
  </w:style>
  <w:style w:styleId="Style_21" w:type="paragraph">
    <w:name w:val="нумерация 1)"/>
    <w:basedOn w:val="Style_9"/>
    <w:next w:val="Style_9"/>
    <w:link w:val="Style_21_ch"/>
  </w:style>
  <w:style w:styleId="Style_21_ch" w:type="character">
    <w:name w:val="нумерация 1)"/>
    <w:basedOn w:val="Style_9_ch"/>
    <w:link w:val="Style_21"/>
  </w:style>
  <w:style w:styleId="Style_22" w:type="paragraph">
    <w:name w:val="toc 3"/>
    <w:basedOn w:val="Style_9"/>
    <w:next w:val="Style_9"/>
    <w:link w:val="Style_22_ch"/>
    <w:uiPriority w:val="39"/>
    <w:pPr>
      <w:ind w:firstLine="0" w:left="560"/>
      <w:jc w:val="left"/>
    </w:pPr>
    <w:rPr>
      <w:rFonts w:asciiTheme="minorAscii" w:hAnsiTheme="minorHAnsi"/>
      <w:sz w:val="20"/>
    </w:rPr>
  </w:style>
  <w:style w:styleId="Style_22_ch" w:type="character">
    <w:name w:val="toc 3"/>
    <w:basedOn w:val="Style_9_ch"/>
    <w:link w:val="Style_22"/>
    <w:rPr>
      <w:rFonts w:asciiTheme="minorAscii" w:hAnsiTheme="minorHAnsi"/>
      <w:sz w:val="20"/>
    </w:rPr>
  </w:style>
  <w:style w:styleId="Style_23" w:type="paragraph">
    <w:name w:val="heading 5"/>
    <w:basedOn w:val="Style_9"/>
    <w:next w:val="Style_9"/>
    <w:link w:val="Style_23_ch"/>
    <w:uiPriority w:val="9"/>
    <w:qFormat/>
    <w:pPr>
      <w:keepNext w:val="1"/>
      <w:keepLines w:val="1"/>
      <w:spacing w:after="40" w:before="80"/>
      <w:ind/>
      <w:outlineLvl w:val="4"/>
    </w:pPr>
    <w:rPr>
      <w:rFonts w:asciiTheme="minorAscii" w:hAnsiTheme="minorHAnsi"/>
      <w:color w:themeColor="accent1" w:themeShade="BF" w:val="2F5496"/>
    </w:rPr>
  </w:style>
  <w:style w:styleId="Style_23_ch" w:type="character">
    <w:name w:val="heading 5"/>
    <w:basedOn w:val="Style_9_ch"/>
    <w:link w:val="Style_23"/>
    <w:rPr>
      <w:rFonts w:asciiTheme="minorAscii" w:hAnsiTheme="minorHAnsi"/>
      <w:color w:themeColor="accent1" w:themeShade="BF" w:val="2F5496"/>
    </w:rPr>
  </w:style>
  <w:style w:styleId="Style_5" w:type="paragraph">
    <w:name w:val="heading 1"/>
    <w:basedOn w:val="Style_9"/>
    <w:next w:val="Style_9"/>
    <w:link w:val="Style_5_ch"/>
    <w:uiPriority w:val="9"/>
    <w:qFormat/>
    <w:pPr>
      <w:keepNext w:val="1"/>
      <w:keepLines w:val="1"/>
      <w:ind w:firstLine="0" w:left="0"/>
      <w:jc w:val="center"/>
      <w:outlineLvl w:val="0"/>
    </w:pPr>
    <w:rPr>
      <w:b w:val="1"/>
      <w:color w:val="000000"/>
      <w:sz w:val="32"/>
    </w:rPr>
  </w:style>
  <w:style w:styleId="Style_5_ch" w:type="character">
    <w:name w:val="heading 1"/>
    <w:basedOn w:val="Style_9_ch"/>
    <w:link w:val="Style_5"/>
    <w:rPr>
      <w:b w:val="1"/>
      <w:color w:val="000000"/>
      <w:sz w:val="32"/>
    </w:rPr>
  </w:style>
  <w:style w:styleId="Style_1" w:type="paragraph">
    <w:name w:val="page number"/>
    <w:basedOn w:val="Style_19"/>
    <w:link w:val="Style_1_ch"/>
  </w:style>
  <w:style w:styleId="Style_1_ch" w:type="character">
    <w:name w:val="page number"/>
    <w:basedOn w:val="Style_19_ch"/>
    <w:link w:val="Style_1"/>
  </w:style>
  <w:style w:styleId="Style_24" w:type="paragraph">
    <w:name w:val="Hyperlink"/>
    <w:basedOn w:val="Style_19"/>
    <w:link w:val="Style_24_ch"/>
    <w:rPr>
      <w:color w:themeColor="hyperlink" w:val="0563C1"/>
      <w:u w:val="single"/>
    </w:rPr>
  </w:style>
  <w:style w:styleId="Style_24_ch" w:type="character">
    <w:name w:val="Hyperlink"/>
    <w:basedOn w:val="Style_19_ch"/>
    <w:link w:val="Style_24"/>
    <w:rPr>
      <w:color w:themeColor="hyperlink" w:val="0563C1"/>
      <w:u w:val="single"/>
    </w:rPr>
  </w:style>
  <w:style w:styleId="Style_25" w:type="paragraph">
    <w:name w:val="Footnote"/>
    <w:link w:val="Style_25_ch"/>
    <w:pPr>
      <w:ind w:firstLine="851" w:left="0"/>
      <w:jc w:val="both"/>
    </w:pPr>
    <w:rPr>
      <w:rFonts w:ascii="XO Thames" w:hAnsi="XO Thames"/>
      <w:sz w:val="22"/>
    </w:rPr>
  </w:style>
  <w:style w:styleId="Style_25_ch" w:type="character">
    <w:name w:val="Footnote"/>
    <w:link w:val="Style_25"/>
    <w:rPr>
      <w:rFonts w:ascii="XO Thames" w:hAnsi="XO Thames"/>
      <w:sz w:val="22"/>
    </w:rPr>
  </w:style>
  <w:style w:styleId="Style_26" w:type="paragraph">
    <w:name w:val="heading 8"/>
    <w:basedOn w:val="Style_9"/>
    <w:next w:val="Style_9"/>
    <w:link w:val="Style_26_ch"/>
    <w:uiPriority w:val="9"/>
    <w:qFormat/>
    <w:pPr>
      <w:keepNext w:val="1"/>
      <w:keepLines w:val="1"/>
      <w:ind/>
      <w:outlineLvl w:val="7"/>
    </w:pPr>
    <w:rPr>
      <w:rFonts w:asciiTheme="minorAscii" w:hAnsiTheme="minorHAnsi"/>
      <w:i w:val="1"/>
      <w:color w:themeColor="text1" w:themeTint="D8" w:val="272727"/>
    </w:rPr>
  </w:style>
  <w:style w:styleId="Style_26_ch" w:type="character">
    <w:name w:val="heading 8"/>
    <w:basedOn w:val="Style_9_ch"/>
    <w:link w:val="Style_26"/>
    <w:rPr>
      <w:rFonts w:asciiTheme="minorAscii" w:hAnsiTheme="minorHAnsi"/>
      <w:i w:val="1"/>
      <w:color w:themeColor="text1" w:themeTint="D8" w:val="272727"/>
    </w:rPr>
  </w:style>
  <w:style w:styleId="Style_27" w:type="paragraph">
    <w:name w:val="Intense Emphasis"/>
    <w:basedOn w:val="Style_19"/>
    <w:link w:val="Style_27_ch"/>
    <w:rPr>
      <w:i w:val="1"/>
      <w:color w:themeColor="accent1" w:themeShade="BF" w:val="2F5496"/>
    </w:rPr>
  </w:style>
  <w:style w:styleId="Style_27_ch" w:type="character">
    <w:name w:val="Intense Emphasis"/>
    <w:basedOn w:val="Style_19_ch"/>
    <w:link w:val="Style_27"/>
    <w:rPr>
      <w:i w:val="1"/>
      <w:color w:themeColor="accent1" w:themeShade="BF" w:val="2F5496"/>
    </w:rPr>
  </w:style>
  <w:style w:styleId="Style_6" w:type="paragraph">
    <w:name w:val="toc 1"/>
    <w:basedOn w:val="Style_9"/>
    <w:next w:val="Style_9"/>
    <w:link w:val="Style_6_ch"/>
    <w:uiPriority w:val="39"/>
    <w:pPr>
      <w:tabs>
        <w:tab w:leader="dot" w:pos="9345" w:val="right"/>
      </w:tabs>
      <w:spacing w:line="336" w:lineRule="auto"/>
      <w:ind w:firstLine="0" w:left="0"/>
      <w:jc w:val="left"/>
    </w:pPr>
    <w:rPr>
      <w:rFonts w:asciiTheme="minorAscii" w:hAnsiTheme="minorHAnsi"/>
      <w:b w:val="1"/>
      <w:i w:val="1"/>
      <w:sz w:val="24"/>
    </w:rPr>
  </w:style>
  <w:style w:styleId="Style_6_ch" w:type="character">
    <w:name w:val="toc 1"/>
    <w:basedOn w:val="Style_9_ch"/>
    <w:link w:val="Style_6"/>
    <w:rPr>
      <w:rFonts w:asciiTheme="minorAscii" w:hAnsiTheme="minorHAnsi"/>
      <w:b w:val="1"/>
      <w:i w:val="1"/>
      <w:sz w:val="24"/>
    </w:rPr>
  </w:style>
  <w:style w:styleId="Style_28" w:type="paragraph">
    <w:name w:val="Header and Footer"/>
    <w:link w:val="Style_28_ch"/>
    <w:pPr>
      <w:spacing w:line="240" w:lineRule="auto"/>
      <w:ind/>
      <w:jc w:val="both"/>
    </w:pPr>
    <w:rPr>
      <w:rFonts w:ascii="XO Thames" w:hAnsi="XO Thames"/>
      <w:sz w:val="20"/>
    </w:rPr>
  </w:style>
  <w:style w:styleId="Style_28_ch" w:type="character">
    <w:name w:val="Header and Footer"/>
    <w:link w:val="Style_28"/>
    <w:rPr>
      <w:rFonts w:ascii="XO Thames" w:hAnsi="XO Thames"/>
      <w:sz w:val="20"/>
    </w:rPr>
  </w:style>
  <w:style w:styleId="Style_29" w:type="paragraph">
    <w:name w:val="Quote"/>
    <w:basedOn w:val="Style_9"/>
    <w:next w:val="Style_9"/>
    <w:link w:val="Style_29_ch"/>
    <w:pPr>
      <w:spacing w:after="160" w:before="160"/>
      <w:ind/>
      <w:jc w:val="center"/>
    </w:pPr>
    <w:rPr>
      <w:i w:val="1"/>
      <w:color w:themeColor="text1" w:themeTint="BF" w:val="404040"/>
    </w:rPr>
  </w:style>
  <w:style w:styleId="Style_29_ch" w:type="character">
    <w:name w:val="Quote"/>
    <w:basedOn w:val="Style_9_ch"/>
    <w:link w:val="Style_29"/>
    <w:rPr>
      <w:i w:val="1"/>
      <w:color w:themeColor="text1" w:themeTint="BF" w:val="404040"/>
    </w:rPr>
  </w:style>
  <w:style w:styleId="Style_30" w:type="paragraph">
    <w:name w:val="toc 9"/>
    <w:basedOn w:val="Style_9"/>
    <w:next w:val="Style_9"/>
    <w:link w:val="Style_30_ch"/>
    <w:uiPriority w:val="39"/>
    <w:pPr>
      <w:ind w:firstLine="0" w:left="2240"/>
      <w:jc w:val="left"/>
    </w:pPr>
    <w:rPr>
      <w:rFonts w:asciiTheme="minorAscii" w:hAnsiTheme="minorHAnsi"/>
      <w:sz w:val="20"/>
    </w:rPr>
  </w:style>
  <w:style w:styleId="Style_30_ch" w:type="character">
    <w:name w:val="toc 9"/>
    <w:basedOn w:val="Style_9_ch"/>
    <w:link w:val="Style_30"/>
    <w:rPr>
      <w:rFonts w:asciiTheme="minorAscii" w:hAnsiTheme="minorHAnsi"/>
      <w:sz w:val="20"/>
    </w:rPr>
  </w:style>
  <w:style w:styleId="Style_31" w:type="paragraph">
    <w:name w:val="FollowedHyperlink"/>
    <w:basedOn w:val="Style_19"/>
    <w:link w:val="Style_31_ch"/>
    <w:rPr>
      <w:color w:themeColor="followedHyperlink" w:val="954F72"/>
      <w:u w:val="single"/>
    </w:rPr>
  </w:style>
  <w:style w:styleId="Style_31_ch" w:type="character">
    <w:name w:val="FollowedHyperlink"/>
    <w:basedOn w:val="Style_19_ch"/>
    <w:link w:val="Style_31"/>
    <w:rPr>
      <w:color w:themeColor="followedHyperlink" w:val="954F72"/>
      <w:u w:val="single"/>
    </w:rPr>
  </w:style>
  <w:style w:styleId="Style_32" w:type="paragraph">
    <w:name w:val="Emphasis"/>
    <w:basedOn w:val="Style_19"/>
    <w:link w:val="Style_32_ch"/>
    <w:rPr>
      <w:i w:val="1"/>
    </w:rPr>
  </w:style>
  <w:style w:styleId="Style_32_ch" w:type="character">
    <w:name w:val="Emphasis"/>
    <w:basedOn w:val="Style_19_ch"/>
    <w:link w:val="Style_32"/>
    <w:rPr>
      <w:i w:val="1"/>
    </w:rPr>
  </w:style>
  <w:style w:styleId="Style_33" w:type="paragraph">
    <w:name w:val="katex"/>
    <w:basedOn w:val="Style_19"/>
    <w:link w:val="Style_33_ch"/>
  </w:style>
  <w:style w:styleId="Style_33_ch" w:type="character">
    <w:name w:val="katex"/>
    <w:basedOn w:val="Style_19_ch"/>
    <w:link w:val="Style_33"/>
  </w:style>
  <w:style w:styleId="Style_2" w:type="paragraph">
    <w:name w:val="footer"/>
    <w:basedOn w:val="Style_9"/>
    <w:link w:val="Style_2_ch"/>
    <w:pPr>
      <w:tabs>
        <w:tab w:leader="none" w:pos="4677" w:val="center"/>
        <w:tab w:leader="none" w:pos="9355" w:val="right"/>
      </w:tabs>
      <w:spacing w:line="240" w:lineRule="auto"/>
      <w:ind/>
    </w:pPr>
  </w:style>
  <w:style w:styleId="Style_2_ch" w:type="character">
    <w:name w:val="footer"/>
    <w:basedOn w:val="Style_9_ch"/>
    <w:link w:val="Style_2"/>
  </w:style>
  <w:style w:styleId="Style_34" w:type="paragraph">
    <w:name w:val="toc 8"/>
    <w:basedOn w:val="Style_9"/>
    <w:next w:val="Style_9"/>
    <w:link w:val="Style_34_ch"/>
    <w:uiPriority w:val="39"/>
    <w:pPr>
      <w:ind w:firstLine="0" w:left="1960"/>
      <w:jc w:val="left"/>
    </w:pPr>
    <w:rPr>
      <w:rFonts w:asciiTheme="minorAscii" w:hAnsiTheme="minorHAnsi"/>
      <w:sz w:val="20"/>
    </w:rPr>
  </w:style>
  <w:style w:styleId="Style_34_ch" w:type="character">
    <w:name w:val="toc 8"/>
    <w:basedOn w:val="Style_9_ch"/>
    <w:link w:val="Style_34"/>
    <w:rPr>
      <w:rFonts w:asciiTheme="minorAscii" w:hAnsiTheme="minorHAnsi"/>
      <w:sz w:val="20"/>
    </w:rPr>
  </w:style>
  <w:style w:styleId="Style_35" w:type="paragraph">
    <w:name w:val="TOC Heading"/>
    <w:basedOn w:val="Style_5"/>
    <w:next w:val="Style_9"/>
    <w:link w:val="Style_35_ch"/>
    <w:pPr>
      <w:spacing w:before="480" w:line="276" w:lineRule="auto"/>
      <w:ind/>
      <w:jc w:val="left"/>
      <w:outlineLvl w:val="8"/>
    </w:pPr>
    <w:rPr>
      <w:rFonts w:asciiTheme="majorAscii" w:hAnsiTheme="majorHAnsi"/>
      <w:color w:themeColor="accent1" w:themeShade="BF" w:val="2F5496"/>
      <w:sz w:val="28"/>
    </w:rPr>
  </w:style>
  <w:style w:styleId="Style_35_ch" w:type="character">
    <w:name w:val="TOC Heading"/>
    <w:basedOn w:val="Style_5_ch"/>
    <w:link w:val="Style_35"/>
    <w:rPr>
      <w:rFonts w:asciiTheme="majorAscii" w:hAnsiTheme="majorHAnsi"/>
      <w:color w:themeColor="accent1" w:themeShade="BF" w:val="2F5496"/>
      <w:sz w:val="28"/>
    </w:rPr>
  </w:style>
  <w:style w:styleId="Style_36" w:type="paragraph">
    <w:name w:val="toc 5"/>
    <w:basedOn w:val="Style_9"/>
    <w:next w:val="Style_9"/>
    <w:link w:val="Style_36_ch"/>
    <w:uiPriority w:val="39"/>
    <w:pPr>
      <w:ind w:firstLine="0" w:left="1120"/>
      <w:jc w:val="left"/>
    </w:pPr>
    <w:rPr>
      <w:rFonts w:asciiTheme="minorAscii" w:hAnsiTheme="minorHAnsi"/>
      <w:sz w:val="20"/>
    </w:rPr>
  </w:style>
  <w:style w:styleId="Style_36_ch" w:type="character">
    <w:name w:val="toc 5"/>
    <w:basedOn w:val="Style_9_ch"/>
    <w:link w:val="Style_36"/>
    <w:rPr>
      <w:rFonts w:asciiTheme="minorAscii" w:hAnsiTheme="minorHAnsi"/>
      <w:sz w:val="20"/>
    </w:rPr>
  </w:style>
  <w:style w:styleId="Style_37" w:type="paragraph">
    <w:name w:val="Unresolved Mention"/>
    <w:basedOn w:val="Style_19"/>
    <w:link w:val="Style_37_ch"/>
    <w:rPr>
      <w:color w:val="605E5C"/>
      <w:shd w:fill="E1DFDD" w:val="clear"/>
    </w:rPr>
  </w:style>
  <w:style w:styleId="Style_37_ch" w:type="character">
    <w:name w:val="Unresolved Mention"/>
    <w:basedOn w:val="Style_19_ch"/>
    <w:link w:val="Style_37"/>
    <w:rPr>
      <w:color w:val="605E5C"/>
      <w:shd w:fill="E1DFDD" w:val="clear"/>
    </w:rPr>
  </w:style>
  <w:style w:styleId="Style_38" w:type="paragraph">
    <w:name w:val="Placeholder Text"/>
    <w:basedOn w:val="Style_19"/>
    <w:link w:val="Style_38_ch"/>
    <w:rPr>
      <w:color w:val="666666"/>
    </w:rPr>
  </w:style>
  <w:style w:styleId="Style_38_ch" w:type="character">
    <w:name w:val="Placeholder Text"/>
    <w:basedOn w:val="Style_19_ch"/>
    <w:link w:val="Style_38"/>
    <w:rPr>
      <w:color w:val="666666"/>
    </w:rPr>
  </w:style>
  <w:style w:styleId="Style_39" w:type="paragraph">
    <w:name w:val="_fadein_4f9by_7"/>
    <w:basedOn w:val="Style_19"/>
    <w:link w:val="Style_39_ch"/>
  </w:style>
  <w:style w:styleId="Style_39_ch" w:type="character">
    <w:name w:val="_fadein_4f9by_7"/>
    <w:basedOn w:val="Style_19_ch"/>
    <w:link w:val="Style_39"/>
  </w:style>
  <w:style w:styleId="Style_40" w:type="paragraph">
    <w:name w:val="Subtitle"/>
    <w:basedOn w:val="Style_9"/>
    <w:next w:val="Style_9"/>
    <w:link w:val="Style_40_ch"/>
    <w:uiPriority w:val="11"/>
    <w:qFormat/>
    <w:pPr>
      <w:numPr>
        <w:ilvl w:val="1"/>
      </w:numPr>
      <w:spacing w:after="160"/>
      <w:ind w:firstLine="709" w:left="0"/>
    </w:pPr>
    <w:rPr>
      <w:rFonts w:asciiTheme="minorAscii" w:hAnsiTheme="minorHAnsi"/>
      <w:color w:themeColor="text1" w:themeTint="A6" w:val="595959"/>
      <w:spacing w:val="15"/>
    </w:rPr>
  </w:style>
  <w:style w:styleId="Style_40_ch" w:type="character">
    <w:name w:val="Subtitle"/>
    <w:basedOn w:val="Style_9_ch"/>
    <w:link w:val="Style_40"/>
    <w:rPr>
      <w:rFonts w:asciiTheme="minorAscii" w:hAnsiTheme="minorHAnsi"/>
      <w:color w:themeColor="text1" w:themeTint="A6" w:val="595959"/>
      <w:spacing w:val="15"/>
    </w:rPr>
  </w:style>
  <w:style w:styleId="Style_41" w:type="paragraph">
    <w:name w:val="Strong"/>
    <w:basedOn w:val="Style_19"/>
    <w:link w:val="Style_41_ch"/>
    <w:rPr>
      <w:b w:val="1"/>
    </w:rPr>
  </w:style>
  <w:style w:styleId="Style_41_ch" w:type="character">
    <w:name w:val="Strong"/>
    <w:basedOn w:val="Style_19_ch"/>
    <w:link w:val="Style_41"/>
    <w:rPr>
      <w:b w:val="1"/>
    </w:rPr>
  </w:style>
  <w:style w:styleId="Style_42" w:type="paragraph">
    <w:name w:val="Title"/>
    <w:basedOn w:val="Style_9"/>
    <w:next w:val="Style_9"/>
    <w:link w:val="Style_42_ch"/>
    <w:uiPriority w:val="10"/>
    <w:qFormat/>
    <w:pPr>
      <w:spacing w:after="80" w:line="240" w:lineRule="auto"/>
      <w:ind/>
      <w:contextualSpacing w:val="1"/>
    </w:pPr>
    <w:rPr>
      <w:rFonts w:asciiTheme="majorAscii" w:hAnsiTheme="majorHAnsi"/>
      <w:spacing w:val="-10"/>
      <w:sz w:val="56"/>
    </w:rPr>
  </w:style>
  <w:style w:styleId="Style_42_ch" w:type="character">
    <w:name w:val="Title"/>
    <w:basedOn w:val="Style_9_ch"/>
    <w:link w:val="Style_42"/>
    <w:rPr>
      <w:rFonts w:asciiTheme="majorAscii" w:hAnsiTheme="majorHAnsi"/>
      <w:spacing w:val="-10"/>
      <w:sz w:val="56"/>
    </w:rPr>
  </w:style>
  <w:style w:styleId="Style_43" w:type="paragraph">
    <w:name w:val="heading 4"/>
    <w:basedOn w:val="Style_9"/>
    <w:next w:val="Style_9"/>
    <w:link w:val="Style_43_ch"/>
    <w:uiPriority w:val="9"/>
    <w:qFormat/>
    <w:pPr>
      <w:keepNext w:val="1"/>
      <w:keepLines w:val="1"/>
      <w:spacing w:after="40" w:before="80"/>
      <w:ind/>
      <w:outlineLvl w:val="3"/>
    </w:pPr>
    <w:rPr>
      <w:rFonts w:asciiTheme="minorAscii" w:hAnsiTheme="minorHAnsi"/>
      <w:i w:val="1"/>
      <w:color w:themeColor="accent1" w:themeShade="BF" w:val="2F5496"/>
    </w:rPr>
  </w:style>
  <w:style w:styleId="Style_43_ch" w:type="character">
    <w:name w:val="heading 4"/>
    <w:basedOn w:val="Style_9_ch"/>
    <w:link w:val="Style_43"/>
    <w:rPr>
      <w:rFonts w:asciiTheme="minorAscii" w:hAnsiTheme="minorHAnsi"/>
      <w:i w:val="1"/>
      <w:color w:themeColor="accent1" w:themeShade="BF" w:val="2F5496"/>
    </w:rPr>
  </w:style>
  <w:style w:styleId="Style_44" w:type="paragraph">
    <w:name w:val="heading 2"/>
    <w:basedOn w:val="Style_9"/>
    <w:next w:val="Style_9"/>
    <w:link w:val="Style_44_ch"/>
    <w:uiPriority w:val="9"/>
    <w:qFormat/>
    <w:pPr>
      <w:keepNext w:val="1"/>
      <w:keepLines w:val="1"/>
      <w:ind w:firstLine="0" w:left="0"/>
      <w:jc w:val="center"/>
      <w:outlineLvl w:val="1"/>
    </w:pPr>
    <w:rPr>
      <w:b w:val="1"/>
    </w:rPr>
  </w:style>
  <w:style w:styleId="Style_44_ch" w:type="character">
    <w:name w:val="heading 2"/>
    <w:basedOn w:val="Style_9_ch"/>
    <w:link w:val="Style_44"/>
    <w:rPr>
      <w:b w:val="1"/>
    </w:rPr>
  </w:style>
  <w:style w:styleId="Style_45" w:type="paragraph">
    <w:name w:val="heading 6"/>
    <w:basedOn w:val="Style_9"/>
    <w:next w:val="Style_9"/>
    <w:link w:val="Style_45_ch"/>
    <w:uiPriority w:val="9"/>
    <w:qFormat/>
    <w:pPr>
      <w:keepNext w:val="1"/>
      <w:keepLines w:val="1"/>
      <w:spacing w:before="40"/>
      <w:ind/>
      <w:outlineLvl w:val="5"/>
    </w:pPr>
    <w:rPr>
      <w:rFonts w:asciiTheme="minorAscii" w:hAnsiTheme="minorHAnsi"/>
      <w:i w:val="1"/>
      <w:color w:themeColor="text1" w:themeTint="A6" w:val="595959"/>
    </w:rPr>
  </w:style>
  <w:style w:styleId="Style_45_ch" w:type="character">
    <w:name w:val="heading 6"/>
    <w:basedOn w:val="Style_9_ch"/>
    <w:link w:val="Style_45"/>
    <w:rPr>
      <w:rFonts w:asciiTheme="minorAscii" w:hAnsiTheme="minorHAnsi"/>
      <w:i w:val="1"/>
      <w:color w:themeColor="text1" w:themeTint="A6" w:val="595959"/>
    </w:rPr>
  </w:style>
  <w:style w:styleId="Style_46" w:type="table">
    <w:name w:val="Сетка таблицы1"/>
    <w:rPr>
      <w:rFonts w:ascii="Constantia" w:hAnsi="Constantia"/>
      <w:sz w:val="20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7" w:type="table">
    <w:name w:val="Сетка таблицы11"/>
    <w:basedOn w:val="Style_4"/>
    <w:rPr>
      <w:rFonts w:ascii="Constantia" w:hAnsi="Constantia"/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7" w:type="table">
    <w:name w:val="Table Grid"/>
    <w:basedOn w:val="Style_4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48" w:type="table">
    <w:name w:val="Сетка таблицы12"/>
    <w:basedOn w:val="Style_4"/>
    <w:rPr>
      <w:rFonts w:ascii="Constantia" w:hAnsi="Constantia"/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" w:type="table">
    <w:name w:val="Сетка таблицы112"/>
    <w:basedOn w:val="Style_4"/>
    <w:rPr>
      <w:rFonts w:ascii="Constantia" w:hAnsi="Constantia"/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49" w:type="table">
    <w:name w:val="Сетка таблицы111"/>
    <w:basedOn w:val="Style_4"/>
    <w:rPr>
      <w:rFonts w:ascii="Constantia" w:hAnsi="Constantia"/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29" Target="theme/theme1.xml" Type="http://schemas.openxmlformats.org/officeDocument/2006/relationships/theme"/>
  <Relationship Id="rId28" Target="webSettings.xml" Type="http://schemas.openxmlformats.org/officeDocument/2006/relationships/webSettings"/>
  <Relationship Id="rId27" Target="stylesWithEffects.xml" Type="http://schemas.microsoft.com/office/2007/relationships/stylesWithEffects"/>
  <Relationship Id="rId23" Target="media/18.png" Type="http://schemas.openxmlformats.org/officeDocument/2006/relationships/image"/>
  <Relationship Id="rId22" Target="media/17.png" Type="http://schemas.openxmlformats.org/officeDocument/2006/relationships/image"/>
  <Relationship Id="rId25" Target="settings.xml" Type="http://schemas.openxmlformats.org/officeDocument/2006/relationships/settings"/>
  <Relationship Id="rId21" Target="media/16.svg" Type="http://schemas.openxmlformats.org/officeDocument/2006/relationships/image"/>
  <Relationship Id="rId13" Target="media/8.png" Type="http://schemas.openxmlformats.org/officeDocument/2006/relationships/image"/>
  <Relationship Id="rId24" Target="fontTable.xml" Type="http://schemas.openxmlformats.org/officeDocument/2006/relationships/fontTable"/>
  <Relationship Id="rId11" Target="media/6.png" Type="http://schemas.openxmlformats.org/officeDocument/2006/relationships/image"/>
  <Relationship Id="rId18" Target="media/13.png" Type="http://schemas.openxmlformats.org/officeDocument/2006/relationships/image"/>
  <Relationship Id="rId17" Target="media/12.png" Type="http://schemas.openxmlformats.org/officeDocument/2006/relationships/image"/>
  <Relationship Id="rId10" Target="media/5.png" Type="http://schemas.openxmlformats.org/officeDocument/2006/relationships/image"/>
  <Relationship Id="rId26" Target="styles.xml" Type="http://schemas.openxmlformats.org/officeDocument/2006/relationships/styles"/>
  <Relationship Id="rId15" Target="media/10.svg" Type="http://schemas.openxmlformats.org/officeDocument/2006/relationships/image"/>
  <Relationship Id="rId9" Target="media/4.png" Type="http://schemas.openxmlformats.org/officeDocument/2006/relationships/image"/>
  <Relationship Id="rId20" Target="media/15.png" Type="http://schemas.openxmlformats.org/officeDocument/2006/relationships/image"/>
  <Relationship Id="rId19" Target="media/14.png" Type="http://schemas.openxmlformats.org/officeDocument/2006/relationships/image"/>
  <Relationship Id="rId8" Target="media/3.png" Type="http://schemas.openxmlformats.org/officeDocument/2006/relationships/image"/>
  <Relationship Id="rId7" Target="media/2.png" Type="http://schemas.openxmlformats.org/officeDocument/2006/relationships/image"/>
  <Relationship Id="rId14" Target="media/9.png" Type="http://schemas.openxmlformats.org/officeDocument/2006/relationships/image"/>
  <Relationship Id="rId6" Target="media/1.svg" Type="http://schemas.openxmlformats.org/officeDocument/2006/relationships/image"/>
  <Relationship Id="rId5" Target="footer5.xml" Type="http://schemas.openxmlformats.org/officeDocument/2006/relationships/footer"/>
  <Relationship Id="rId4" Target="footer4.xml" Type="http://schemas.openxmlformats.org/officeDocument/2006/relationships/footer"/>
  <Relationship Id="rId16" Target="media/11.png" Type="http://schemas.openxmlformats.org/officeDocument/2006/relationships/image"/>
  <Relationship Id="rId12" Target="media/7.svg" Type="http://schemas.openxmlformats.org/officeDocument/2006/relationships/image"/>
  <Relationship Id="rId30" Target="numbering.xml" Type="http://schemas.openxmlformats.org/officeDocument/2006/relationships/numbering"/>
  <Relationship Id="rId3" Target="footer3.xml" Type="http://schemas.openxmlformats.org/officeDocument/2006/relationships/footer"/>
  <Relationship Id="rId2" Target="footer2.xml" Type="http://schemas.openxmlformats.org/officeDocument/2006/relationships/footer"/>
  <Relationship Id="rId1" Target="footer1.xml" Type="http://schemas.openxmlformats.org/officeDocument/2006/relationships/foot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2026-09-01T07:57:12Z</dcterms:modified>
</cp:coreProperties>
</file>