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spacing w:line="240" w:lineRule="auto"/>
        <w:ind w:hanging="10" w:left="-567"/>
        <w:jc w:val="center"/>
        <w:rPr>
          <w:b w:val="1"/>
          <w:color w:val="000000"/>
          <w:spacing w:val="40"/>
        </w:rPr>
      </w:pPr>
      <w:r>
        <w:rPr>
          <w:b w:val="1"/>
          <w:color w:val="000000"/>
          <w:spacing w:val="30"/>
        </w:rPr>
        <w:t>Образовательная автономная некоммерческая организация в</w:t>
      </w:r>
      <w:r>
        <w:rPr>
          <w:b w:val="1"/>
          <w:color w:val="000000"/>
          <w:spacing w:val="40"/>
        </w:rPr>
        <w:t>ысшего образования</w:t>
      </w:r>
    </w:p>
    <w:p w14:paraId="0A000000">
      <w:pPr>
        <w:spacing w:line="240" w:lineRule="auto"/>
        <w:ind w:hanging="10" w:left="89"/>
        <w:jc w:val="center"/>
        <w:rPr>
          <w:b w:val="1"/>
          <w:color w:val="000000"/>
          <w:spacing w:val="40"/>
        </w:rPr>
      </w:pPr>
    </w:p>
    <w:p w14:paraId="0B000000">
      <w:pPr>
        <w:spacing w:line="240" w:lineRule="auto"/>
        <w:ind w:hanging="10" w:left="-142"/>
        <w:jc w:val="center"/>
        <w:rPr>
          <w:b w:val="1"/>
          <w:color w:val="000000"/>
          <w:spacing w:val="40"/>
        </w:rPr>
      </w:pPr>
      <w:r>
        <w:rPr>
          <w:b w:val="1"/>
          <w:color w:val="000000"/>
          <w:spacing w:val="40"/>
        </w:rPr>
        <w:t>«МОСКОВСКИЙ ТЕХНОЛОГИЧЕСКИЙ ИНСТИТУТ»</w:t>
      </w:r>
    </w:p>
    <w:tbl>
      <w:tblPr>
        <w:tblStyle w:val="Style_3"/>
        <w:tblBorders>
          <w:top w:color="000000" w:sz="4" w:val="double"/>
        </w:tblBorders>
        <w:tblLayout w:type="fixed"/>
      </w:tblPr>
      <w:tblGrid>
        <w:gridCol w:w="4679"/>
        <w:gridCol w:w="4675"/>
      </w:tblGrid>
      <w:tr>
        <w:trPr>
          <w:trHeight w:hRule="atLeast" w:val="117"/>
        </w:trPr>
        <w:tc>
          <w:tcPr>
            <w:tcW w:type="dxa" w:w="4679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C000000">
            <w:pPr>
              <w:rPr>
                <w:b w:val="1"/>
                <w:color w:val="000000"/>
              </w:rPr>
            </w:pPr>
          </w:p>
        </w:tc>
        <w:tc>
          <w:tcPr>
            <w:tcW w:type="dxa" w:w="467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D000000">
            <w:pPr>
              <w:ind w:hanging="10" w:left="89"/>
              <w:rPr>
                <w:color w:val="000000"/>
              </w:rPr>
            </w:pPr>
          </w:p>
        </w:tc>
      </w:tr>
    </w:tbl>
    <w:p w14:paraId="0E000000">
      <w:pPr>
        <w:spacing w:line="276" w:lineRule="auto"/>
        <w:ind w:firstLine="0" w:left="0"/>
        <w:rPr>
          <w:sz w:val="24"/>
        </w:rPr>
      </w:pPr>
    </w:p>
    <w:p w14:paraId="0F000000">
      <w:pPr>
        <w:spacing w:line="276" w:lineRule="auto"/>
        <w:ind w:firstLine="0" w:left="0"/>
        <w:rPr>
          <w:sz w:val="24"/>
        </w:rPr>
      </w:pPr>
    </w:p>
    <w:tbl>
      <w:tblPr>
        <w:tblStyle w:val="Style_3"/>
        <w:tblLayout w:type="fixed"/>
      </w:tblPr>
      <w:tblGrid>
        <w:gridCol w:w="1762"/>
        <w:gridCol w:w="986"/>
        <w:gridCol w:w="1671"/>
        <w:gridCol w:w="4935"/>
      </w:tblGrid>
      <w:tr>
        <w:trPr>
          <w:trHeight w:hRule="atLeast" w:val="338"/>
        </w:trPr>
        <w:tc>
          <w:tcPr>
            <w:tcW w:type="dxa" w:w="1762"/>
          </w:tcPr>
          <w:p w14:paraId="10000000">
            <w:pPr>
              <w:spacing w:line="240" w:lineRule="auto"/>
              <w:ind w:firstLine="0" w:left="0"/>
              <w:jc w:val="lef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Специальность</w:t>
            </w:r>
          </w:p>
        </w:tc>
        <w:tc>
          <w:tcPr>
            <w:tcW w:type="dxa" w:w="986"/>
            <w:tcBorders>
              <w:bottom w:color="000000" w:sz="4" w:val="single"/>
            </w:tcBorders>
          </w:tcPr>
          <w:p w14:paraId="11000000">
            <w:pPr>
              <w:spacing w:line="240" w:lineRule="auto"/>
              <w:ind w:firstLine="0" w:left="0"/>
              <w:jc w:val="center"/>
              <w:rPr>
                <w:b w:val="1"/>
                <w:i w:val="1"/>
                <w:color w:val="000080"/>
                <w:sz w:val="22"/>
              </w:rPr>
            </w:pPr>
            <w:r>
              <w:rPr>
                <w:b w:val="1"/>
                <w:sz w:val="22"/>
              </w:rPr>
              <w:t>15.01.22</w:t>
            </w:r>
          </w:p>
        </w:tc>
        <w:tc>
          <w:tcPr>
            <w:tcW w:type="dxa" w:w="1671"/>
          </w:tcPr>
          <w:p w14:paraId="12000000">
            <w:pPr>
              <w:spacing w:line="240" w:lineRule="auto"/>
              <w:ind w:firstLine="0" w:left="0"/>
              <w:jc w:val="center"/>
              <w:rPr>
                <w:b w:val="1"/>
                <w:sz w:val="22"/>
              </w:rPr>
            </w:pPr>
          </w:p>
        </w:tc>
        <w:tc>
          <w:tcPr>
            <w:tcW w:type="dxa" w:w="4935"/>
            <w:tcBorders>
              <w:bottom w:color="000000" w:sz="4" w:val="single"/>
            </w:tcBorders>
          </w:tcPr>
          <w:p w14:paraId="13000000">
            <w:pPr>
              <w:spacing w:line="240" w:lineRule="auto"/>
              <w:ind w:firstLine="0" w:left="0"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Чертежник-конструктор</w:t>
            </w:r>
          </w:p>
        </w:tc>
      </w:tr>
      <w:tr>
        <w:trPr>
          <w:trHeight w:hRule="atLeast" w:val="291"/>
        </w:trPr>
        <w:tc>
          <w:tcPr>
            <w:tcW w:type="dxa" w:w="1762"/>
          </w:tcPr>
          <w:p w14:paraId="14000000">
            <w:pPr>
              <w:spacing w:line="240" w:lineRule="auto"/>
              <w:ind w:firstLine="0" w:left="0"/>
              <w:jc w:val="left"/>
              <w:rPr>
                <w:b w:val="1"/>
                <w:sz w:val="22"/>
              </w:rPr>
            </w:pPr>
          </w:p>
        </w:tc>
        <w:tc>
          <w:tcPr>
            <w:tcW w:type="dxa" w:w="986"/>
            <w:tcBorders>
              <w:top w:color="000000" w:sz="4" w:val="single"/>
            </w:tcBorders>
          </w:tcPr>
          <w:p w14:paraId="15000000">
            <w:pPr>
              <w:spacing w:line="240" w:lineRule="auto"/>
              <w:ind w:firstLine="0" w:left="0"/>
              <w:jc w:val="center"/>
              <w:rPr>
                <w:sz w:val="22"/>
              </w:rPr>
            </w:pPr>
            <w:r>
              <w:rPr>
                <w:i w:val="1"/>
                <w:sz w:val="22"/>
                <w:vertAlign w:val="superscript"/>
              </w:rPr>
              <w:t>(код)</w:t>
            </w:r>
          </w:p>
        </w:tc>
        <w:tc>
          <w:tcPr>
            <w:tcW w:type="dxa" w:w="1671"/>
          </w:tcPr>
          <w:p w14:paraId="16000000">
            <w:pPr>
              <w:spacing w:line="240" w:lineRule="auto"/>
              <w:ind w:firstLine="0" w:left="0"/>
              <w:jc w:val="left"/>
              <w:rPr>
                <w:b w:val="1"/>
                <w:sz w:val="22"/>
              </w:rPr>
            </w:pPr>
          </w:p>
        </w:tc>
        <w:tc>
          <w:tcPr>
            <w:tcW w:type="dxa" w:w="4935"/>
            <w:tcBorders>
              <w:top w:color="000000" w:sz="4" w:val="single"/>
            </w:tcBorders>
          </w:tcPr>
          <w:p w14:paraId="17000000">
            <w:pPr>
              <w:spacing w:line="240" w:lineRule="auto"/>
              <w:ind w:firstLine="0" w:left="0"/>
              <w:jc w:val="center"/>
              <w:rPr>
                <w:sz w:val="22"/>
              </w:rPr>
            </w:pPr>
            <w:r>
              <w:rPr>
                <w:i w:val="1"/>
                <w:sz w:val="22"/>
                <w:vertAlign w:val="superscript"/>
              </w:rPr>
              <w:t>(наименование)</w:t>
            </w:r>
          </w:p>
        </w:tc>
      </w:tr>
    </w:tbl>
    <w:p w14:paraId="18000000">
      <w:pPr>
        <w:spacing w:line="276" w:lineRule="auto"/>
        <w:ind w:firstLine="0" w:left="0"/>
        <w:jc w:val="center"/>
        <w:rPr>
          <w:sz w:val="24"/>
        </w:rPr>
      </w:pPr>
    </w:p>
    <w:p w14:paraId="19000000">
      <w:pPr>
        <w:spacing w:line="276" w:lineRule="auto"/>
        <w:ind w:firstLine="0" w:left="0"/>
        <w:jc w:val="center"/>
        <w:rPr>
          <w:sz w:val="24"/>
        </w:rPr>
      </w:pPr>
    </w:p>
    <w:p w14:paraId="1A000000">
      <w:pPr>
        <w:spacing w:line="276" w:lineRule="auto"/>
        <w:ind w:firstLine="0" w:left="0"/>
        <w:jc w:val="center"/>
        <w:rPr>
          <w:sz w:val="32"/>
        </w:rPr>
      </w:pPr>
    </w:p>
    <w:p w14:paraId="1B000000">
      <w:pPr>
        <w:widowControl w:val="0"/>
        <w:spacing w:line="240" w:lineRule="auto"/>
        <w:ind w:firstLine="0" w:left="0"/>
        <w:jc w:val="center"/>
        <w:rPr>
          <w:b w:val="1"/>
          <w:sz w:val="32"/>
        </w:rPr>
      </w:pPr>
      <w:r>
        <w:rPr>
          <w:b w:val="1"/>
          <w:sz w:val="32"/>
        </w:rPr>
        <w:t>ВЫПУСКНАЯ КВАЛИФИКАЦИОННАЯ РАБОТА</w:t>
      </w:r>
    </w:p>
    <w:p w14:paraId="1C000000">
      <w:pPr>
        <w:widowControl w:val="0"/>
        <w:spacing w:line="240" w:lineRule="auto"/>
        <w:ind w:firstLine="0" w:left="0"/>
        <w:jc w:val="center"/>
        <w:rPr>
          <w:b w:val="1"/>
          <w:sz w:val="32"/>
        </w:rPr>
      </w:pPr>
    </w:p>
    <w:tbl>
      <w:tblPr>
        <w:tblStyle w:val="Style_3"/>
        <w:tblLayout w:type="fixed"/>
      </w:tblPr>
      <w:tblGrid>
        <w:gridCol w:w="1171"/>
        <w:gridCol w:w="8183"/>
      </w:tblGrid>
      <w:tr>
        <w:trPr>
          <w:trHeight w:hRule="atLeast" w:val="20"/>
        </w:trPr>
        <w:tc>
          <w:tcPr>
            <w:tcW w:type="dxa" w:w="1171"/>
            <w:vAlign w:val="center"/>
          </w:tcPr>
          <w:p w14:paraId="1D000000">
            <w:pPr>
              <w:keepNext w:val="1"/>
              <w:widowControl w:val="0"/>
              <w:spacing w:line="240" w:lineRule="auto"/>
              <w:ind w:firstLine="0" w:left="0"/>
              <w:jc w:val="center"/>
              <w:outlineLvl w:val="3"/>
              <w:rPr>
                <w:b w:val="1"/>
                <w:caps w:val="1"/>
                <w:sz w:val="24"/>
              </w:rPr>
            </w:pPr>
            <w:r>
              <w:rPr>
                <w:b w:val="1"/>
                <w:sz w:val="24"/>
              </w:rPr>
              <w:t>на тему:</w:t>
            </w:r>
          </w:p>
        </w:tc>
        <w:tc>
          <w:tcPr>
            <w:tcW w:type="dxa" w:w="8183"/>
            <w:tcBorders>
              <w:bottom w:color="000000" w:sz="4" w:val="single"/>
            </w:tcBorders>
            <w:vAlign w:val="center"/>
          </w:tcPr>
          <w:p w14:paraId="1E000000">
            <w:pPr>
              <w:keepNext w:val="1"/>
              <w:widowControl w:val="0"/>
              <w:spacing w:line="240" w:lineRule="auto"/>
              <w:ind w:firstLine="0" w:left="0"/>
              <w:jc w:val="center"/>
              <w:outlineLvl w:val="3"/>
              <w:rPr>
                <w:b w:val="1"/>
                <w:caps w:val="1"/>
                <w:color w:val="FF0000"/>
              </w:rPr>
            </w:pPr>
            <w:r>
              <w:rPr>
                <w:b w:val="1"/>
              </w:rPr>
              <w:t xml:space="preserve">Совершенствование технологического процесса механической </w:t>
            </w:r>
          </w:p>
        </w:tc>
      </w:tr>
      <w:tr>
        <w:trPr>
          <w:trHeight w:hRule="atLeast" w:val="20"/>
        </w:trPr>
        <w:tc>
          <w:tcPr>
            <w:tcW w:type="dxa" w:w="9354"/>
            <w:gridSpan w:val="2"/>
            <w:tcBorders>
              <w:bottom w:color="000000" w:sz="4" w:val="single"/>
            </w:tcBorders>
            <w:vAlign w:val="center"/>
          </w:tcPr>
          <w:p w14:paraId="1F000000">
            <w:pPr>
              <w:tabs>
                <w:tab w:leader="none" w:pos="284" w:val="left"/>
              </w:tabs>
              <w:spacing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 xml:space="preserve">обработки </w:t>
            </w:r>
            <w:r>
              <w:rPr>
                <w:b w:val="1"/>
              </w:rPr>
              <w:t xml:space="preserve">детали «Угловой корпус подшипника» </w:t>
            </w:r>
            <w:r>
              <w:rPr>
                <w:b w:val="1"/>
              </w:rPr>
              <w:t>на станках с ЧПУ</w:t>
            </w:r>
          </w:p>
        </w:tc>
      </w:tr>
      <w:tr>
        <w:trPr>
          <w:trHeight w:hRule="atLeast" w:val="20"/>
        </w:trPr>
        <w:tc>
          <w:tcPr>
            <w:tcW w:type="dxa" w:w="9354"/>
            <w:gridSpan w:val="2"/>
            <w:tcBorders>
              <w:bottom w:color="000000" w:sz="4" w:val="single"/>
            </w:tcBorders>
            <w:vAlign w:val="center"/>
          </w:tcPr>
          <w:p w14:paraId="20000000">
            <w:pPr>
              <w:tabs>
                <w:tab w:leader="none" w:pos="284" w:val="left"/>
              </w:tabs>
              <w:spacing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на базе ООО «Инженерные системы»</w:t>
            </w:r>
          </w:p>
        </w:tc>
      </w:tr>
    </w:tbl>
    <w:p w14:paraId="21000000">
      <w:pPr>
        <w:spacing w:line="276" w:lineRule="auto"/>
        <w:ind w:firstLine="0" w:left="0"/>
        <w:jc w:val="center"/>
        <w:rPr>
          <w:sz w:val="24"/>
        </w:rPr>
      </w:pPr>
    </w:p>
    <w:p w14:paraId="22000000">
      <w:pPr>
        <w:spacing w:line="276" w:lineRule="auto"/>
        <w:ind w:firstLine="0" w:left="0"/>
        <w:jc w:val="center"/>
        <w:rPr>
          <w:sz w:val="24"/>
        </w:rPr>
      </w:pPr>
    </w:p>
    <w:p w14:paraId="23000000">
      <w:pPr>
        <w:spacing w:line="276" w:lineRule="auto"/>
        <w:ind w:firstLine="0" w:left="0"/>
        <w:jc w:val="center"/>
        <w:rPr>
          <w:sz w:val="24"/>
        </w:rPr>
      </w:pPr>
    </w:p>
    <w:p w14:paraId="24000000">
      <w:pPr>
        <w:spacing w:line="276" w:lineRule="auto"/>
        <w:ind w:firstLine="0" w:left="0"/>
        <w:rPr>
          <w:sz w:val="24"/>
        </w:rPr>
      </w:pPr>
    </w:p>
    <w:p w14:paraId="25000000">
      <w:pPr>
        <w:spacing w:line="276" w:lineRule="auto"/>
        <w:ind w:firstLine="0" w:left="0"/>
        <w:rPr>
          <w:sz w:val="24"/>
        </w:rPr>
      </w:pPr>
    </w:p>
    <w:tbl>
      <w:tblPr>
        <w:tblStyle w:val="Style_3"/>
        <w:tblLayout w:type="fixed"/>
      </w:tblPr>
      <w:tblGrid>
        <w:gridCol w:w="2629"/>
        <w:gridCol w:w="3889"/>
        <w:gridCol w:w="567"/>
        <w:gridCol w:w="2269"/>
      </w:tblGrid>
      <w:tr>
        <w:trPr>
          <w:trHeight w:hRule="atLeast" w:val="629"/>
        </w:trPr>
        <w:tc>
          <w:tcPr>
            <w:tcW w:type="dxa" w:w="2629"/>
            <w:vAlign w:val="bottom"/>
          </w:tcPr>
          <w:p w14:paraId="26000000">
            <w:pPr>
              <w:spacing w:line="240" w:lineRule="auto"/>
              <w:ind w:firstLine="0" w:left="0"/>
              <w:jc w:val="center"/>
            </w:pPr>
            <w:r>
              <w:t xml:space="preserve">Обучающийся </w:t>
            </w:r>
          </w:p>
        </w:tc>
        <w:tc>
          <w:tcPr>
            <w:tcW w:type="dxa" w:w="3889"/>
            <w:tcBorders>
              <w:bottom w:color="000000" w:sz="4" w:val="single"/>
            </w:tcBorders>
            <w:vAlign w:val="bottom"/>
          </w:tcPr>
          <w:p w14:paraId="27000000">
            <w:pPr>
              <w:spacing w:line="240" w:lineRule="auto"/>
              <w:ind w:firstLine="0" w:left="0"/>
              <w:jc w:val="center"/>
              <w:rPr>
                <w:b w:val="1"/>
              </w:rPr>
            </w:pPr>
          </w:p>
          <w:p w14:paraId="28000000">
            <w:pPr>
              <w:spacing w:line="240" w:lineRule="auto"/>
              <w:ind w:firstLine="0" w:left="0"/>
              <w:rPr>
                <w:b w:val="1"/>
              </w:rPr>
            </w:pPr>
          </w:p>
        </w:tc>
        <w:tc>
          <w:tcPr>
            <w:tcW w:type="dxa" w:w="567"/>
            <w:vAlign w:val="bottom"/>
          </w:tcPr>
          <w:p w14:paraId="29000000">
            <w:pPr>
              <w:spacing w:line="240" w:lineRule="auto"/>
              <w:ind w:firstLine="280" w:left="0"/>
              <w:jc w:val="left"/>
              <w:rPr>
                <w:i w:val="1"/>
              </w:rPr>
            </w:pPr>
            <w:r>
              <w:rPr>
                <w:i w:val="1"/>
              </w:rPr>
              <w:t> </w:t>
            </w:r>
          </w:p>
        </w:tc>
        <w:tc>
          <w:tcPr>
            <w:tcW w:type="dxa" w:w="2269"/>
            <w:vAlign w:val="bottom"/>
          </w:tcPr>
          <w:p w14:paraId="2A000000">
            <w:pPr>
              <w:spacing w:line="240" w:lineRule="auto"/>
              <w:ind w:firstLine="0" w:left="0"/>
              <w:jc w:val="center"/>
              <w:rPr>
                <w:b w:val="1"/>
                <w:i w:val="1"/>
              </w:rPr>
            </w:pPr>
          </w:p>
        </w:tc>
      </w:tr>
      <w:tr>
        <w:trPr>
          <w:trHeight w:hRule="atLeast" w:val="195"/>
        </w:trPr>
        <w:tc>
          <w:tcPr>
            <w:tcW w:type="dxa" w:w="2629"/>
            <w:vAlign w:val="bottom"/>
          </w:tcPr>
          <w:p w14:paraId="2B000000">
            <w:pPr>
              <w:spacing w:line="240" w:lineRule="auto"/>
              <w:ind w:firstLine="0" w:left="0"/>
              <w:jc w:val="right"/>
            </w:pPr>
          </w:p>
        </w:tc>
        <w:tc>
          <w:tcPr>
            <w:tcW w:type="dxa" w:w="3889"/>
            <w:tcBorders>
              <w:top w:color="000000" w:sz="4" w:val="single"/>
            </w:tcBorders>
          </w:tcPr>
          <w:p w14:paraId="2C000000">
            <w:pPr>
              <w:spacing w:line="240" w:lineRule="auto"/>
              <w:ind w:firstLine="0" w:left="0"/>
              <w:jc w:val="center"/>
              <w:rPr>
                <w:i w:val="1"/>
                <w:sz w:val="16"/>
              </w:rPr>
            </w:pPr>
          </w:p>
        </w:tc>
        <w:tc>
          <w:tcPr>
            <w:tcW w:type="dxa" w:w="567"/>
          </w:tcPr>
          <w:p w14:paraId="2D000000">
            <w:pPr>
              <w:spacing w:line="240" w:lineRule="auto"/>
              <w:ind w:firstLine="0" w:left="0"/>
              <w:jc w:val="center"/>
              <w:rPr>
                <w:i w:val="1"/>
                <w:sz w:val="16"/>
              </w:rPr>
            </w:pPr>
          </w:p>
        </w:tc>
        <w:tc>
          <w:tcPr>
            <w:tcW w:type="dxa" w:w="2269"/>
          </w:tcPr>
          <w:p w14:paraId="2E000000">
            <w:pPr>
              <w:spacing w:line="240" w:lineRule="auto"/>
              <w:ind w:firstLine="0" w:left="0"/>
              <w:jc w:val="center"/>
              <w:rPr>
                <w:i w:val="1"/>
                <w:sz w:val="16"/>
              </w:rPr>
            </w:pPr>
          </w:p>
        </w:tc>
      </w:tr>
      <w:tr>
        <w:trPr>
          <w:trHeight w:hRule="atLeast" w:val="629"/>
        </w:trPr>
        <w:tc>
          <w:tcPr>
            <w:tcW w:type="dxa" w:w="2629"/>
            <w:vAlign w:val="bottom"/>
          </w:tcPr>
          <w:p w14:paraId="2F000000">
            <w:pPr>
              <w:spacing w:line="240" w:lineRule="auto"/>
              <w:ind w:firstLine="0" w:left="0"/>
              <w:jc w:val="center"/>
            </w:pPr>
            <w:r>
              <w:t xml:space="preserve">Руководитель </w:t>
            </w:r>
          </w:p>
        </w:tc>
        <w:tc>
          <w:tcPr>
            <w:tcW w:type="dxa" w:w="3889"/>
            <w:tcBorders>
              <w:bottom w:color="000000" w:sz="4" w:val="single"/>
            </w:tcBorders>
            <w:vAlign w:val="bottom"/>
          </w:tcPr>
          <w:p w14:paraId="30000000">
            <w:pPr>
              <w:spacing w:line="240" w:lineRule="auto"/>
              <w:ind w:firstLine="0" w:left="0"/>
              <w:rPr>
                <w:b w:val="1"/>
              </w:rPr>
            </w:pPr>
          </w:p>
        </w:tc>
        <w:tc>
          <w:tcPr>
            <w:tcW w:type="dxa" w:w="567"/>
            <w:vAlign w:val="bottom"/>
          </w:tcPr>
          <w:p w14:paraId="31000000">
            <w:pPr>
              <w:spacing w:line="240" w:lineRule="auto"/>
              <w:ind w:firstLine="280" w:left="0"/>
              <w:jc w:val="left"/>
            </w:pPr>
            <w:r>
              <w:t> </w:t>
            </w:r>
          </w:p>
        </w:tc>
        <w:tc>
          <w:tcPr>
            <w:tcW w:type="dxa" w:w="2269"/>
            <w:vAlign w:val="bottom"/>
          </w:tcPr>
          <w:p w14:paraId="32000000">
            <w:pPr>
              <w:spacing w:line="240" w:lineRule="auto"/>
              <w:ind w:firstLine="0" w:left="0"/>
              <w:jc w:val="center"/>
              <w:rPr>
                <w:b w:val="1"/>
                <w:i w:val="1"/>
                <w:sz w:val="16"/>
              </w:rPr>
            </w:pPr>
            <w:r>
              <w:rPr>
                <w:b w:val="1"/>
                <w:i w:val="1"/>
                <w:sz w:val="16"/>
              </w:rPr>
              <w:t>_____________</w:t>
            </w:r>
          </w:p>
        </w:tc>
      </w:tr>
    </w:tbl>
    <w:p w14:paraId="33000000">
      <w:pPr>
        <w:spacing w:line="276" w:lineRule="auto"/>
        <w:ind w:firstLine="0" w:left="0"/>
        <w:jc w:val="center"/>
        <w:rPr>
          <w:sz w:val="24"/>
        </w:rPr>
      </w:pPr>
    </w:p>
    <w:p w14:paraId="34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5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6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7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8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9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A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B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C000000">
      <w:pPr>
        <w:spacing w:line="276" w:lineRule="auto"/>
        <w:ind w:firstLine="0" w:left="0"/>
        <w:rPr>
          <w:b w:val="1"/>
          <w:sz w:val="24"/>
        </w:rPr>
      </w:pPr>
    </w:p>
    <w:p w14:paraId="3D000000">
      <w:pPr>
        <w:spacing w:line="276" w:lineRule="auto"/>
        <w:ind w:firstLine="0" w:left="0"/>
        <w:rPr>
          <w:b w:val="1"/>
          <w:sz w:val="24"/>
        </w:rPr>
      </w:pPr>
    </w:p>
    <w:p w14:paraId="3E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3F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40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41000000">
      <w:pPr>
        <w:spacing w:line="276" w:lineRule="auto"/>
        <w:ind w:firstLine="0" w:left="0"/>
        <w:jc w:val="center"/>
        <w:rPr>
          <w:b w:val="1"/>
          <w:sz w:val="24"/>
        </w:rPr>
      </w:pPr>
    </w:p>
    <w:p w14:paraId="42000000">
      <w:pPr>
        <w:spacing w:line="276" w:lineRule="auto"/>
        <w:ind w:firstLine="0" w:left="0"/>
        <w:jc w:val="center"/>
        <w:rPr>
          <w:b w:val="1"/>
          <w:sz w:val="32"/>
        </w:rPr>
      </w:pPr>
      <w:r>
        <w:rPr>
          <w:b w:val="1"/>
          <w:sz w:val="32"/>
        </w:rPr>
        <w:t>МОСКВА 202</w:t>
      </w:r>
      <w:r>
        <w:rPr>
          <w:b w:val="1"/>
          <w:sz w:val="32"/>
        </w:rPr>
        <w:t>6</w:t>
      </w:r>
      <w:r>
        <w:rPr>
          <w:b w:val="1"/>
          <w:sz w:val="32"/>
        </w:rPr>
        <w:t xml:space="preserve"> г.</w:t>
      </w:r>
    </w:p>
    <w:p w14:paraId="43000000">
      <w:pPr>
        <w:sectPr>
          <w:headerReference r:id="rId1" w:type="default"/>
          <w:footerReference r:id="rId4" w:type="first"/>
          <w:footerReference r:id="rId2" w:type="default"/>
          <w:pgSz w:h="16838" w:orient="portrait" w:w="11906"/>
          <w:pgMar w:bottom="1134" w:footer="708" w:gutter="0" w:header="708" w:left="1701" w:right="851" w:top="1134"/>
          <w:titlePg/>
        </w:sectPr>
      </w:pPr>
    </w:p>
    <w:p w14:paraId="44000000">
      <w:pPr>
        <w:ind w:hanging="10" w:left="-567"/>
        <w:jc w:val="center"/>
        <w:rPr>
          <w:b w:val="1"/>
          <w:color w:val="000000"/>
          <w:spacing w:val="40"/>
        </w:rPr>
      </w:pPr>
      <w:r>
        <w:rPr>
          <w:b w:val="1"/>
          <w:color w:val="000000"/>
          <w:spacing w:val="30"/>
        </w:rPr>
        <w:t>Образовательная автономная некоммерческая организация в</w:t>
      </w:r>
      <w:r>
        <w:rPr>
          <w:b w:val="1"/>
          <w:color w:val="000000"/>
          <w:spacing w:val="40"/>
        </w:rPr>
        <w:t>ысшего образования</w:t>
      </w:r>
    </w:p>
    <w:p w14:paraId="45000000">
      <w:pPr>
        <w:ind w:hanging="10" w:left="-142"/>
        <w:jc w:val="center"/>
        <w:rPr>
          <w:b w:val="1"/>
          <w:color w:val="000000"/>
          <w:spacing w:val="40"/>
        </w:rPr>
      </w:pPr>
      <w:r>
        <w:rPr>
          <w:b w:val="1"/>
          <w:color w:val="000000"/>
          <w:spacing w:val="40"/>
        </w:rPr>
        <w:t xml:space="preserve">«МОСКОВСКИЙ </w:t>
      </w:r>
      <w:r>
        <w:rPr>
          <w:b w:val="1"/>
          <w:spacing w:val="40"/>
        </w:rPr>
        <w:t>ТЕХНОЛОГИЧЕСКИЙ</w:t>
      </w:r>
      <w:r>
        <w:rPr>
          <w:b w:val="1"/>
          <w:color w:val="000000"/>
          <w:spacing w:val="40"/>
        </w:rPr>
        <w:t xml:space="preserve"> ИНСТИТУТ»</w:t>
      </w:r>
    </w:p>
    <w:p w14:paraId="46000000">
      <w:pPr>
        <w:ind/>
        <w:jc w:val="center"/>
        <w:rPr>
          <w:b w:val="1"/>
          <w:sz w:val="24"/>
        </w:rPr>
      </w:pPr>
    </w:p>
    <w:p w14:paraId="47000000">
      <w:pPr>
        <w:ind/>
        <w:jc w:val="center"/>
        <w:rPr>
          <w:sz w:val="24"/>
        </w:rPr>
      </w:pPr>
      <w:r>
        <w:rPr>
          <w:b w:val="1"/>
          <w:sz w:val="24"/>
        </w:rPr>
        <w:t>ЗАДАНИЕ</w:t>
      </w:r>
    </w:p>
    <w:p w14:paraId="48000000">
      <w:pPr>
        <w:spacing w:line="276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на выпускную квалификационную работу</w:t>
      </w:r>
    </w:p>
    <w:p w14:paraId="49000000">
      <w:pPr>
        <w:tabs>
          <w:tab w:leader="none" w:pos="284" w:val="left"/>
        </w:tabs>
        <w:ind/>
        <w:jc w:val="center"/>
        <w:rPr>
          <w:u w:val="single"/>
        </w:rPr>
      </w:pPr>
      <w:r>
        <w:t xml:space="preserve">обучающемуся </w:t>
      </w:r>
    </w:p>
    <w:p w14:paraId="4A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1. Тема: </w:t>
      </w:r>
      <w:r>
        <w:rPr>
          <w:sz w:val="24"/>
        </w:rPr>
        <w:t xml:space="preserve">Совершенствование технологического процесса механической обработки детали «Угловой корпус подшипника» </w:t>
      </w:r>
      <w:r>
        <w:rPr>
          <w:sz w:val="24"/>
        </w:rPr>
        <w:t>на станках с ЧПУ</w:t>
      </w:r>
      <w:r>
        <w:rPr>
          <w:sz w:val="24"/>
        </w:rPr>
        <w:t xml:space="preserve"> на базе ООО «Инженерные системы»</w:t>
      </w:r>
    </w:p>
    <w:p w14:paraId="4B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2. Срок сдачи обучающимся законченной работы «01» августа 2026 г.</w:t>
      </w:r>
    </w:p>
    <w:p w14:paraId="4C000000">
      <w:pPr>
        <w:tabs>
          <w:tab w:leader="none" w:pos="284" w:val="left"/>
        </w:tabs>
        <w:spacing w:line="276" w:lineRule="auto"/>
        <w:ind w:firstLine="0" w:left="0"/>
        <w:rPr>
          <w:sz w:val="24"/>
          <w:u w:val="single"/>
        </w:rPr>
      </w:pPr>
      <w:r>
        <w:rPr>
          <w:sz w:val="24"/>
        </w:rPr>
        <w:t>3. Исходные данные к ВКР: научная и учебная литература, интернет-ресурсы и др.</w:t>
      </w:r>
    </w:p>
    <w:p w14:paraId="4D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4. Содержание ВКР (перечень подлежащих разработке вопросов):</w:t>
      </w:r>
    </w:p>
    <w:p w14:paraId="4E000000">
      <w:pPr>
        <w:tabs>
          <w:tab w:leader="none" w:pos="284" w:val="left"/>
        </w:tabs>
        <w:spacing w:line="276" w:lineRule="auto"/>
        <w:ind w:firstLine="0" w:left="0"/>
        <w:rPr>
          <w:b w:val="1"/>
          <w:sz w:val="24"/>
        </w:rPr>
      </w:pPr>
      <w:r>
        <w:rPr>
          <w:b w:val="1"/>
          <w:sz w:val="24"/>
        </w:rPr>
        <w:t>ВВЕДЕНИЕ</w:t>
      </w:r>
    </w:p>
    <w:p w14:paraId="4F000000">
      <w:pPr>
        <w:widowControl w:val="0"/>
        <w:spacing w:line="276" w:lineRule="auto"/>
        <w:ind w:firstLine="0" w:left="0"/>
        <w:rPr>
          <w:b w:val="1"/>
          <w:sz w:val="24"/>
        </w:rPr>
      </w:pPr>
      <w:r>
        <w:rPr>
          <w:b w:val="1"/>
          <w:sz w:val="24"/>
        </w:rPr>
        <w:t xml:space="preserve">1. ОБЩАЯ ЧАСТЬ </w:t>
      </w:r>
    </w:p>
    <w:p w14:paraId="50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1.1</w:t>
      </w:r>
      <w:r>
        <w:rPr>
          <w:sz w:val="24"/>
        </w:rPr>
        <w:t xml:space="preserve"> </w:t>
      </w:r>
      <w:r>
        <w:rPr>
          <w:sz w:val="24"/>
        </w:rPr>
        <w:t xml:space="preserve">Краткая характеристика </w:t>
      </w:r>
      <w:r>
        <w:rPr>
          <w:sz w:val="24"/>
        </w:rPr>
        <w:t>ООО «Инженерные системы»</w:t>
      </w:r>
    </w:p>
    <w:p w14:paraId="51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1.2</w:t>
      </w:r>
      <w:r>
        <w:rPr>
          <w:sz w:val="24"/>
        </w:rPr>
        <w:t xml:space="preserve"> </w:t>
      </w:r>
      <w:r>
        <w:rPr>
          <w:sz w:val="24"/>
        </w:rPr>
        <w:t xml:space="preserve">Технологическое оборудование </w:t>
      </w:r>
      <w:r>
        <w:rPr>
          <w:sz w:val="24"/>
        </w:rPr>
        <w:t>ООО «Инженерные системы»</w:t>
      </w:r>
    </w:p>
    <w:p w14:paraId="52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1.3 Анализ конструкции детали «</w:t>
      </w:r>
      <w:r>
        <w:rPr>
          <w:sz w:val="24"/>
        </w:rPr>
        <w:t>Угловой корпус подшипника</w:t>
      </w:r>
      <w:r>
        <w:rPr>
          <w:sz w:val="24"/>
        </w:rPr>
        <w:t>»</w:t>
      </w:r>
    </w:p>
    <w:p w14:paraId="53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1.4 Анализ технологичности конструкции детали</w:t>
      </w:r>
    </w:p>
    <w:p w14:paraId="54000000">
      <w:pPr>
        <w:widowControl w:val="0"/>
        <w:spacing w:line="276" w:lineRule="auto"/>
        <w:ind w:firstLine="0" w:left="0"/>
        <w:rPr>
          <w:b w:val="1"/>
          <w:sz w:val="24"/>
        </w:rPr>
      </w:pPr>
      <w:r>
        <w:rPr>
          <w:b w:val="1"/>
          <w:sz w:val="24"/>
        </w:rPr>
        <w:t>2. ТЕХНОЛОГИЧЕСКАЯ ЧАСТЬ</w:t>
      </w:r>
    </w:p>
    <w:p w14:paraId="55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 xml:space="preserve">2.1. Выбор материала заготовки и способа ее получения </w:t>
      </w:r>
    </w:p>
    <w:p w14:paraId="56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2.2. Разработка маршрута обработки детали «</w:t>
      </w:r>
      <w:r>
        <w:rPr>
          <w:sz w:val="24"/>
        </w:rPr>
        <w:t>Угловой корпус подшипника</w:t>
      </w:r>
      <w:r>
        <w:rPr>
          <w:sz w:val="24"/>
        </w:rPr>
        <w:t xml:space="preserve">» </w:t>
      </w:r>
    </w:p>
    <w:p w14:paraId="57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 xml:space="preserve">2.2.1. Определение последовательности технологических операций </w:t>
      </w:r>
    </w:p>
    <w:p w14:paraId="58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 xml:space="preserve">2.2.2. Выбор технологического оборудования </w:t>
      </w:r>
    </w:p>
    <w:p w14:paraId="59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 xml:space="preserve">2.2.3. Выбор вспомогательного и режущего инструмента </w:t>
      </w:r>
    </w:p>
    <w:p w14:paraId="5A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2.3. Разработка технологических операций обработки детали «</w:t>
      </w:r>
      <w:r>
        <w:rPr>
          <w:sz w:val="24"/>
        </w:rPr>
        <w:t>Угловой корпус подшипника</w:t>
      </w:r>
      <w:r>
        <w:rPr>
          <w:sz w:val="24"/>
        </w:rPr>
        <w:t xml:space="preserve">» на станках с ЧПУ </w:t>
      </w:r>
    </w:p>
    <w:p w14:paraId="5B000000">
      <w:pPr>
        <w:spacing w:line="276" w:lineRule="auto"/>
        <w:ind w:firstLine="0" w:left="0"/>
        <w:rPr>
          <w:sz w:val="24"/>
        </w:rPr>
      </w:pPr>
      <w:r>
        <w:rPr>
          <w:sz w:val="24"/>
        </w:rPr>
        <w:t>2.4. Технологический контроль качества изготовления детали «</w:t>
      </w:r>
      <w:r>
        <w:rPr>
          <w:sz w:val="24"/>
        </w:rPr>
        <w:t>Угловой корпус подшипника</w:t>
      </w:r>
      <w:r>
        <w:rPr>
          <w:sz w:val="24"/>
        </w:rPr>
        <w:t>»</w:t>
      </w:r>
    </w:p>
    <w:p w14:paraId="5C000000">
      <w:pPr>
        <w:spacing w:line="276" w:lineRule="auto"/>
        <w:ind w:firstLine="0" w:left="0"/>
        <w:rPr>
          <w:color w:val="FF0000"/>
          <w:sz w:val="24"/>
        </w:rPr>
      </w:pPr>
      <w:r>
        <w:rPr>
          <w:sz w:val="24"/>
        </w:rPr>
        <w:t>2.</w:t>
      </w:r>
      <w:r>
        <w:rPr>
          <w:sz w:val="24"/>
        </w:rPr>
        <w:t>5</w:t>
      </w:r>
      <w:r>
        <w:rPr>
          <w:sz w:val="24"/>
        </w:rPr>
        <w:t>. Расчет кинематической схемы привода шпинделя токарного станка</w:t>
      </w:r>
    </w:p>
    <w:p w14:paraId="5D000000">
      <w:pPr>
        <w:widowControl w:val="0"/>
        <w:spacing w:line="276" w:lineRule="auto"/>
        <w:ind w:firstLine="0" w:left="0"/>
        <w:rPr>
          <w:b w:val="1"/>
          <w:sz w:val="24"/>
        </w:rPr>
      </w:pPr>
      <w:r>
        <w:rPr>
          <w:b w:val="1"/>
          <w:sz w:val="24"/>
        </w:rPr>
        <w:t>3</w:t>
      </w:r>
      <w:r>
        <w:rPr>
          <w:sz w:val="24"/>
        </w:rPr>
        <w:t>.</w:t>
      </w:r>
      <w:r>
        <w:rPr>
          <w:color w:val="FF0000"/>
          <w:sz w:val="24"/>
        </w:rPr>
        <w:t xml:space="preserve"> </w:t>
      </w:r>
      <w:r>
        <w:rPr>
          <w:b w:val="1"/>
          <w:sz w:val="24"/>
        </w:rPr>
        <w:t>ОХРАНА ТРУДА</w:t>
      </w:r>
    </w:p>
    <w:p w14:paraId="5E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3.1. Анализ опасных и вредных производственных факторов при механической обработке детали «</w:t>
      </w:r>
      <w:r>
        <w:rPr>
          <w:sz w:val="24"/>
        </w:rPr>
        <w:t>Угловой корпус подшипника</w:t>
      </w:r>
      <w:r>
        <w:rPr>
          <w:sz w:val="24"/>
        </w:rPr>
        <w:t xml:space="preserve">» на станках с ЧПУ </w:t>
      </w:r>
    </w:p>
    <w:p w14:paraId="5F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3.2. Меры предосторожности и организация безопасных условий труда при механической обработке детали «</w:t>
      </w:r>
      <w:r>
        <w:rPr>
          <w:sz w:val="24"/>
        </w:rPr>
        <w:t>Угловой корпус подшипника</w:t>
      </w:r>
      <w:r>
        <w:rPr>
          <w:sz w:val="24"/>
        </w:rPr>
        <w:t xml:space="preserve">» на станках с ЧПУ </w:t>
      </w:r>
    </w:p>
    <w:p w14:paraId="60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 xml:space="preserve">3.3. </w:t>
      </w:r>
      <w:r>
        <w:rPr>
          <w:sz w:val="24"/>
        </w:rPr>
        <w:t>Разработка инструкции по охране труда на рабочем месте</w:t>
      </w:r>
    </w:p>
    <w:p w14:paraId="61000000">
      <w:pPr>
        <w:tabs>
          <w:tab w:leader="none" w:pos="284" w:val="left"/>
        </w:tabs>
        <w:spacing w:line="276" w:lineRule="auto"/>
        <w:ind w:firstLine="0" w:left="0"/>
        <w:rPr>
          <w:b w:val="1"/>
          <w:sz w:val="24"/>
        </w:rPr>
      </w:pPr>
      <w:r>
        <w:rPr>
          <w:b w:val="1"/>
          <w:sz w:val="24"/>
        </w:rPr>
        <w:t xml:space="preserve">ЗАКЛЮЧЕНИЕ </w:t>
      </w:r>
    </w:p>
    <w:p w14:paraId="62000000">
      <w:pPr>
        <w:tabs>
          <w:tab w:leader="none" w:pos="284" w:val="left"/>
        </w:tabs>
        <w:spacing w:line="276" w:lineRule="auto"/>
        <w:ind w:firstLine="0" w:left="0"/>
        <w:rPr>
          <w:b w:val="1"/>
          <w:sz w:val="24"/>
        </w:rPr>
      </w:pPr>
      <w:r>
        <w:rPr>
          <w:b w:val="1"/>
          <w:sz w:val="24"/>
        </w:rPr>
        <w:t>СПИСОК ИСПОЛЬЗОВАННЫХ ИСТОЧНИКОВ</w:t>
      </w:r>
    </w:p>
    <w:p w14:paraId="63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 xml:space="preserve">5. Перечень графического материала </w:t>
      </w:r>
      <w:r>
        <w:rPr>
          <w:color w:val="FF0000"/>
          <w:sz w:val="24"/>
        </w:rPr>
        <w:t xml:space="preserve">__ </w:t>
      </w:r>
      <w:r>
        <w:rPr>
          <w:sz w:val="24"/>
        </w:rPr>
        <w:t xml:space="preserve">таблиц, </w:t>
      </w:r>
      <w:r>
        <w:rPr>
          <w:color w:val="FF0000"/>
          <w:sz w:val="24"/>
        </w:rPr>
        <w:t>__</w:t>
      </w:r>
      <w:r>
        <w:rPr>
          <w:sz w:val="24"/>
        </w:rPr>
        <w:t xml:space="preserve"> рисунков.</w:t>
      </w:r>
    </w:p>
    <w:p w14:paraId="64000000">
      <w:pPr>
        <w:tabs>
          <w:tab w:leader="none" w:pos="284" w:val="left"/>
        </w:tabs>
        <w:spacing w:line="276" w:lineRule="auto"/>
        <w:ind w:firstLine="0" w:left="0"/>
        <w:rPr>
          <w:color w:val="FF0000"/>
          <w:sz w:val="24"/>
        </w:rPr>
      </w:pPr>
      <w:r>
        <w:rPr>
          <w:sz w:val="24"/>
        </w:rPr>
        <w:t>6. Приложения</w:t>
      </w:r>
      <w:r>
        <w:rPr>
          <w:color w:val="FF0000"/>
          <w:sz w:val="24"/>
        </w:rPr>
        <w:t xml:space="preserve"> __.</w:t>
      </w:r>
    </w:p>
    <w:p w14:paraId="65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7. Чертежей</w:t>
      </w:r>
      <w:r>
        <w:rPr>
          <w:color w:val="FF0000"/>
          <w:sz w:val="24"/>
        </w:rPr>
        <w:t xml:space="preserve"> </w:t>
      </w:r>
      <w:r>
        <w:rPr>
          <w:sz w:val="24"/>
        </w:rPr>
        <w:t>3.</w:t>
      </w:r>
    </w:p>
    <w:p w14:paraId="66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Дата выдачи задания 15.05.2026                     </w:t>
      </w:r>
      <w:r>
        <w:rPr>
          <w:sz w:val="24"/>
        </w:rPr>
        <w:tab/>
      </w:r>
      <w:r>
        <w:rPr>
          <w:sz w:val="24"/>
        </w:rPr>
        <w:t>Задание принял (дата) 15.05.2026</w:t>
      </w:r>
    </w:p>
    <w:p w14:paraId="67000000">
      <w:pPr>
        <w:tabs>
          <w:tab w:leader="none" w:pos="284" w:val="left"/>
        </w:tabs>
        <w:spacing w:line="276" w:lineRule="auto"/>
        <w:ind w:firstLine="0" w:left="0"/>
        <w:rPr>
          <w:sz w:val="24"/>
        </w:rPr>
      </w:pPr>
      <w:r>
        <w:rPr>
          <w:sz w:val="24"/>
        </w:rPr>
        <w:t>Подпись руководителя ____________       </w:t>
      </w:r>
      <w:r>
        <w:rPr>
          <w:sz w:val="24"/>
        </w:rPr>
        <w:tab/>
      </w:r>
      <w:r>
        <w:rPr>
          <w:sz w:val="24"/>
        </w:rPr>
        <w:t xml:space="preserve">Подпись обучающегося _______________ </w:t>
      </w:r>
    </w:p>
    <w:p w14:paraId="68000000">
      <w:pPr>
        <w:sectPr>
          <w:pgSz w:h="16838" w:orient="portrait" w:w="11906"/>
          <w:pgMar w:bottom="1134" w:footer="708" w:gutter="0" w:header="708" w:left="1701" w:right="851" w:top="1134"/>
        </w:sectPr>
      </w:pPr>
    </w:p>
    <w:p w14:paraId="69000000">
      <w:pPr>
        <w:pStyle w:val="Style_4"/>
        <w:ind w:firstLine="0" w:left="0"/>
        <w:jc w:val="center"/>
        <w:rPr>
          <w:b w:val="1"/>
          <w:color w:val="FF0000"/>
        </w:rPr>
      </w:pPr>
      <w:r>
        <w:rPr>
          <w:b w:val="1"/>
        </w:rPr>
        <w:t>СОДЕРЖАНИЕ</w:t>
      </w:r>
    </w:p>
    <w:p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B000000"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 ОБЩАЯ ЧАСТЬ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1.1 Краткая характеристика ООО «Инженерные системы»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1.2 Технологическое оборудование ООО «Инженерные системы»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1.3 Анализ конструкции детали «Угловой корпус подшипника»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1.4 Анализ технологичности конструкции детали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0000000"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2. ТЕХНОЛОГИЧЕСКАЯ ЧАСТЬ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2.1. Выбор материала заготовки и способа ее получения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2.2. Разработка маршрута обработки детали «Угловой корпус подшипника»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4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2.2.1. Определение последовательности технологических операций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4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2.2.2. Выбор технологического оборудования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4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2.2.3. Выбор вспомогательного и режущего инструмента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2.3. Разработка технологических операций обработки детали «Угловой корпус подшипника» на станках с ЧПУ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2.4. Технологический контроль качества изготовления детали «Угловой корпус подшипника»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2.5. Расчет кинематической схемы привода шпинделя токарного станка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9000000"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3. ОХРАНА ТРУДА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3.1. Анализ опасных и вредных производственных факторов при механической обработке детали «Угловой корпус подшипника» на станках с ЧПУ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3.2. Меры предосторожности и организация безопасных условий труда при механической обработке детали «Угловой корпус подшипника» на станках с ЧПУ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3.3. Разработка инструкции по охране труда на рабочем месте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7D000000"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E000000"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СПИСОК ИСПОЛЬЗОВАННЫХ ИСТОЧНИКОВ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7F000000">
      <w:pPr>
        <w:pStyle w:val="Style_5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ПРИЛОЖЕНИЯ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>
      <w:r>
        <w:fldChar w:fldCharType="end"/>
      </w:r>
    </w:p>
    <w:p w14:paraId="81000000">
      <w:pPr>
        <w:sectPr>
          <w:pgSz w:h="16838" w:orient="portrait" w:w="11906"/>
          <w:pgMar w:bottom="1134" w:footer="708" w:gutter="0" w:header="708" w:left="1701" w:right="851" w:top="1134"/>
        </w:sectPr>
      </w:pPr>
    </w:p>
    <w:p w14:paraId="82000000">
      <w:bookmarkStart w:id="1" w:name="__RefHeading___1"/>
      <w:bookmarkEnd w:id="1"/>
      <w:pPr>
        <w:pStyle w:val="Style_8"/>
      </w:pPr>
      <w:r>
        <w:t>ВВЕДЕНИЕ</w:t>
      </w:r>
    </w:p>
    <w:p w14:paraId="83000000">
      <w:r>
        <w:t>Объектом исследования в рамках данной выпускной квалификационной работы выступает технологический процесс механической обработки детали «Угловой корпус подшипника» на производственной базе ООО «Инженерные системы». Предприятие специализируется на выпуске узлов и компонентов для промышленного оборудования, серийное производство которых требует стабильного поддержания заданных точностных параметров.</w:t>
      </w:r>
    </w:p>
    <w:p w14:paraId="84000000">
      <w:r>
        <w:t xml:space="preserve">Деталь представляет собой Г-образный кронштейн с посадочным буртом под подшипник. Масса детали составляет 1,37 кг. Исходный материал — серый чугун СЧ18 по ГОСТ 1412-85. Согласно чертежу, основная сложность обработки заключается в необходимости выдерживания точного отверстия Ø40H7 с допуском +0,025 мм и шероховатостью поверхности </w:t>
      </w:r>
      <w:r>
        <w:t>Ra</w:t>
      </w:r>
      <w:r>
        <w:t xml:space="preserve"> 3,2. Помимо этого, конструкцией предусмотрено отверстие Ø8H7 для точной фиксации по месту (элемент А). Габариты основания детали — 100×100 мм, что при сравнительно компактных размерах предъявляет повышенные требования к базированию и жесткости технологической системы.</w:t>
      </w:r>
    </w:p>
    <w:p w14:paraId="85000000">
      <w:r>
        <w:t>Анализ действующего на предприятии технологического маршрута показывает, что обработка данной детали организована по традиционной схеме на универсальном оборудовании с применением ручного труда. На отдельных операциях (например, при обработке внутреннего отверстия и выносного элемента) зафиксирован повышенный процент брака, вызванный сложностью точного позиционирования инструмента. Замена устаревшего парка на современные токарные и фрезерные станки с числовым программным управлением (ЧПУ) способна сократить вспомогательное время и исключить человеческий фактор при установке заготовок. Однако простое внедрение ЧПУ без пересмотра самой структуры маршрута обработки не всегда дает ожидаемый эффект.</w:t>
      </w:r>
    </w:p>
    <w:p w14:paraId="86000000">
      <w:r>
        <w:t xml:space="preserve">Цель работы — повышение эффективности производства детали «Угловой корпус подшипника» за счет разработки и внедрения усовершенствованного технологического процесса на базе станков с ЧПУ. В </w:t>
      </w:r>
      <w:r>
        <w:t xml:space="preserve">качестве критериев эффективности рассматриваются сокращение трудоемкости, повышение точности исполнения отверстий H7 и улучшение качества обработанной поверхности (достижение нормы </w:t>
      </w:r>
      <w:r>
        <w:t>Ra</w:t>
      </w:r>
      <w:r>
        <w:t xml:space="preserve"> 3,2).</w:t>
      </w:r>
    </w:p>
    <w:p w14:paraId="87000000">
      <w:r>
        <w:t>Для достижения поставленной цели в ходе выполнения ВКР предстоит решить несколько последовательных задач. Первоначально проводится анализ технологичности детали и обоснование выбора материала исходной заготовки с учетом способа ее получения. Исходя из конструктивных особенностей детали (в частности, сочетания плоских поверхностей и внутреннего отверстия), проектируется маршрут механической обработки с разбивкой на токарные и фрезерные операции. Основным этапом работы является подбор конкретного оборудования с ЧПУ для каждой операции, а также выбор вспомогательной оснастки и режущего инструмента, обеспечивающих жесткость системы и требуемую точность. В технологическом разделе также отдельно выполняется кинематический расчет привода главного движения токарного станка для проверки его мощностных характеристик. Отдельное внимание уделяется вопросам контроля качества на каждой технологической операции.</w:t>
      </w:r>
    </w:p>
    <w:p w14:paraId="88000000">
      <w:r>
        <w:t>В качестве теоретической базы при написании работы использованы профильные учебники и справочные пособия по технологии машиностроения, металлорежущим станкам и основам проектирования технологической оснастки [1, с. 120; 2, с. 94; 3, с. 50]. Практическая значимость работы заключается в возможности прямой реализации разработанного маршрута на производственных мощностях ООО «Инженерные системы» без существенных капитальных затрат.</w:t>
      </w:r>
    </w:p>
    <w:p w14:paraId="89000000">
      <w:r>
        <w:t xml:space="preserve">ВКР имеет традиционную структуру. Она состоит из введения, трех глав основной части, заключения, списка использованных источников и приложений. В первой главе дается характеристика предприятия, выполняется анализ конструкции и технологичности детали. Вторая глава включает в себя технологические расчеты и разработку маршрута с применением станков с </w:t>
      </w:r>
      <w:r>
        <w:t>ЧПУ. Третья глава посвящена вопросам охраны труда при механической обработке и мерам электробезопасности на рабочем месте.</w:t>
      </w:r>
    </w:p>
    <w:p w14:paraId="8A000000"/>
    <w:p w14:paraId="8B000000">
      <w:pPr>
        <w:spacing w:line="240" w:lineRule="auto"/>
        <w:ind w:firstLine="0" w:left="0"/>
        <w:jc w:val="left"/>
        <w:rPr>
          <w:b w:val="1"/>
          <w:color w:themeColor="text1" w:themeTint="F2" w:val="0D0D0D"/>
          <w:sz w:val="32"/>
        </w:rPr>
      </w:pPr>
      <w:r>
        <w:br w:type="page"/>
      </w:r>
    </w:p>
    <w:p w14:paraId="8C000000">
      <w:bookmarkStart w:id="2" w:name="__RefHeading___2"/>
      <w:bookmarkEnd w:id="2"/>
      <w:pPr>
        <w:pStyle w:val="Style_8"/>
      </w:pPr>
      <w:r>
        <w:t>1. ОБЩАЯ ЧАСТЬ</w:t>
      </w:r>
      <w:r>
        <w:t xml:space="preserve"> </w:t>
      </w:r>
    </w:p>
    <w:p w14:paraId="8D000000">
      <w:bookmarkStart w:id="3" w:name="__RefHeading___3"/>
      <w:bookmarkEnd w:id="3"/>
      <w:pPr>
        <w:pStyle w:val="Style_9"/>
      </w:pPr>
      <w:r>
        <w:t>1.1</w:t>
      </w:r>
      <w:r>
        <w:t xml:space="preserve"> </w:t>
      </w:r>
      <w:r>
        <w:t xml:space="preserve">Краткая характеристика </w:t>
      </w:r>
      <w:r>
        <w:t>ООО «Инженерные системы»</w:t>
      </w:r>
    </w:p>
    <w:p w14:paraId="8E000000">
      <w:pPr>
        <w:pStyle w:val="Style_10"/>
      </w:pPr>
      <w:r>
        <w:t>ООО «Инженерные системы» является машиностроительным предприятием, специализирующимся на выпуске узлов и комплектующих для промышленного оборудования и станкостроения. Основная производственная площадка расположена в промышленной зоне города. Предприятие работает в условиях мелкосерийного и среднесерийного производства, выполняя заказы как по типовым чертежам заказчиков, так и по собственным конструкторским разработкам.</w:t>
      </w:r>
    </w:p>
    <w:p w14:paraId="8F000000">
      <w:pPr>
        <w:pStyle w:val="Style_10"/>
      </w:pPr>
      <w:r>
        <w:t>Организационная структура включает в себя производственные цеха, отдел технического контроля (ОТК), инструментальный участок и конструкторско-технологическое бюро. В задачи последнего входит разработка и корректировка маршрутных карт, а также подготовка технической документации для запуска новых изделий. Производственный цикл замкнут — предприятие располагает собственным заготовительным участком для получения отливок и поковок, а также участками механической и термической обработки.</w:t>
      </w:r>
    </w:p>
    <w:p w14:paraId="90000000">
      <w:pPr>
        <w:pStyle w:val="Style_10"/>
      </w:pPr>
      <w:r>
        <w:t>Специфика производственной номенклатуры ООО «Инженерные системы» подразумевает выпуск деталей типа корпусов, кронштейнов, вилок и втулок. Для большинства этих деталей характерны сравнительно небольшие габариты (до 300-400 мм) и наличие точных посадочных поверхностей и отверстий 6–8 квалитетов. Изначально предприятие ориентировалось на тяжелое универсальное оборудование, однако с повышением требований заказчиков к качеству поверхности и точности, встал вопрос о переходе на современные методы обработки.</w:t>
      </w:r>
    </w:p>
    <w:p w14:paraId="91000000">
      <w:pPr>
        <w:pStyle w:val="Style_10"/>
      </w:pPr>
      <w:r>
        <w:t xml:space="preserve">В рамках данной выпускной квалификационной работы предприятие выбрано в качестве исследовательской базы, поскольку здесь имеется реальный запрос на совершенствование технологии изготовления конкретной детали — «Угловой корпус подшипника». Эта деталь входит в состав </w:t>
      </w:r>
      <w:r>
        <w:t>сборочного узла гидрораспределителя, и ее стабильное качество напрямую влияет на ресурс конечного изделия.</w:t>
      </w:r>
    </w:p>
    <w:p w14:paraId="92000000">
      <w:pPr>
        <w:pStyle w:val="Style_10"/>
      </w:pPr>
    </w:p>
    <w:p w14:paraId="93000000">
      <w:bookmarkStart w:id="4" w:name="__RefHeading___4"/>
      <w:bookmarkEnd w:id="4"/>
      <w:pPr>
        <w:pStyle w:val="Style_9"/>
      </w:pPr>
      <w:r>
        <w:t>1.2</w:t>
      </w:r>
      <w:r>
        <w:t xml:space="preserve"> </w:t>
      </w:r>
      <w:r>
        <w:t xml:space="preserve">Технологическое оборудование </w:t>
      </w:r>
      <w:r>
        <w:t>ООО «Инженерные системы»</w:t>
      </w:r>
    </w:p>
    <w:p w14:paraId="94000000">
      <w:pPr>
        <w:pStyle w:val="Style_10"/>
      </w:pPr>
      <w:r>
        <w:t>Технологический парк предприятия сформирован в основном в 1990-2000-е годы. Набор оборудования соответствует задаче универсальной обработки деталей средней сложности. Однако на момент написания работы значительная часть станков выработала свой нормативный ресурс и морально устарела. Износ оборудования и невысокая жесткость системы приводят к тому, что заявленный на чертежах допуск (например, на отверстия H7) не всегда выдерживается при первой установке, что вызывает необходимость в дополнительных финишных операциях (притирка, хонингование).</w:t>
      </w:r>
    </w:p>
    <w:p w14:paraId="95000000">
      <w:pPr>
        <w:pStyle w:val="Style_10"/>
      </w:pPr>
      <w:r>
        <w:t>Основной станочный парк ООО «Инженерные системы» приведен в таблице 1.</w:t>
      </w:r>
    </w:p>
    <w:p w14:paraId="96000000">
      <w:pPr>
        <w:pStyle w:val="Style_10"/>
        <w:ind/>
        <w:jc w:val="right"/>
      </w:pPr>
      <w:r>
        <w:t>Таблица 1</w:t>
      </w:r>
    </w:p>
    <w:p w14:paraId="97000000">
      <w:pPr>
        <w:pStyle w:val="Style_10"/>
        <w:ind/>
        <w:jc w:val="center"/>
      </w:pPr>
      <w:r>
        <w:t>Перечень технологического оборудования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702"/>
        <w:gridCol w:w="2816"/>
        <w:gridCol w:w="1404"/>
        <w:gridCol w:w="4423"/>
      </w:tblGrid>
      <w:tr>
        <w:trPr>
          <w:tblHeader/>
        </w:trPr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98000000">
            <w:pPr>
              <w:pStyle w:val="Style_10"/>
              <w:spacing w:line="240" w:lineRule="auto"/>
              <w:ind w:firstLine="0" w:left="0"/>
              <w:jc w:val="center"/>
            </w:pPr>
            <w:r>
              <w:t>№ п/п</w:t>
            </w:r>
          </w:p>
        </w:tc>
        <w:tc>
          <w:tcPr>
            <w:tcW w:type="dxa" w:w="2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99000000">
            <w:pPr>
              <w:pStyle w:val="Style_10"/>
              <w:spacing w:line="240" w:lineRule="auto"/>
              <w:ind w:firstLine="0" w:left="0"/>
              <w:jc w:val="center"/>
            </w:pPr>
            <w:r>
              <w:t>Наименование станка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9A000000">
            <w:pPr>
              <w:pStyle w:val="Style_10"/>
              <w:spacing w:line="240" w:lineRule="auto"/>
              <w:ind w:firstLine="0" w:left="0"/>
              <w:jc w:val="center"/>
            </w:pPr>
            <w:r>
              <w:t>Модель</w:t>
            </w:r>
          </w:p>
        </w:tc>
        <w:tc>
          <w:tcPr>
            <w:tcW w:type="dxa" w:w="4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9B000000">
            <w:pPr>
              <w:pStyle w:val="Style_10"/>
              <w:spacing w:line="240" w:lineRule="auto"/>
              <w:ind w:firstLine="0" w:left="0"/>
              <w:jc w:val="center"/>
            </w:pPr>
            <w:r>
              <w:t>Назначение</w:t>
            </w:r>
          </w:p>
        </w:tc>
      </w:tr>
      <w:tr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9C000000">
            <w:pPr>
              <w:pStyle w:val="Style_10"/>
              <w:spacing w:line="240" w:lineRule="auto"/>
              <w:ind w:firstLine="0" w:left="0"/>
              <w:jc w:val="center"/>
            </w:pPr>
            <w:r>
              <w:t>1</w:t>
            </w:r>
          </w:p>
        </w:tc>
        <w:tc>
          <w:tcPr>
            <w:tcW w:type="dxa" w:w="2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9D000000">
            <w:pPr>
              <w:pStyle w:val="Style_10"/>
              <w:spacing w:line="240" w:lineRule="auto"/>
              <w:ind w:firstLine="0" w:left="0"/>
              <w:jc w:val="center"/>
            </w:pPr>
            <w:r>
              <w:t>Токарно-винторезный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9E000000">
            <w:pPr>
              <w:pStyle w:val="Style_10"/>
              <w:spacing w:line="240" w:lineRule="auto"/>
              <w:ind w:firstLine="0" w:left="0"/>
              <w:jc w:val="center"/>
            </w:pPr>
            <w:r>
              <w:t>16К20</w:t>
            </w:r>
          </w:p>
        </w:tc>
        <w:tc>
          <w:tcPr>
            <w:tcW w:type="dxa" w:w="4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9F000000">
            <w:pPr>
              <w:pStyle w:val="Style_10"/>
              <w:spacing w:line="240" w:lineRule="auto"/>
              <w:ind w:firstLine="0" w:left="0"/>
              <w:jc w:val="center"/>
            </w:pPr>
            <w:r>
              <w:t>Точение наружных и внутренних поверхностей, нарезание резьбы</w:t>
            </w:r>
          </w:p>
        </w:tc>
      </w:tr>
      <w:tr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A0000000">
            <w:pPr>
              <w:pStyle w:val="Style_10"/>
              <w:spacing w:line="240" w:lineRule="auto"/>
              <w:ind w:firstLine="0" w:left="0"/>
              <w:jc w:val="center"/>
            </w:pPr>
            <w:r>
              <w:t>2</w:t>
            </w:r>
          </w:p>
        </w:tc>
        <w:tc>
          <w:tcPr>
            <w:tcW w:type="dxa" w:w="2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1000000">
            <w:pPr>
              <w:pStyle w:val="Style_10"/>
              <w:spacing w:line="240" w:lineRule="auto"/>
              <w:ind w:firstLine="0" w:left="0"/>
              <w:jc w:val="center"/>
            </w:pPr>
            <w:r>
              <w:t>Вертикально-фрезерный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2000000">
            <w:pPr>
              <w:pStyle w:val="Style_10"/>
              <w:spacing w:line="240" w:lineRule="auto"/>
              <w:ind w:firstLine="0" w:left="0"/>
              <w:jc w:val="center"/>
            </w:pPr>
            <w:r>
              <w:t>6Р82</w:t>
            </w:r>
          </w:p>
        </w:tc>
        <w:tc>
          <w:tcPr>
            <w:tcW w:type="dxa" w:w="4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3000000">
            <w:pPr>
              <w:pStyle w:val="Style_10"/>
              <w:spacing w:line="240" w:lineRule="auto"/>
              <w:ind w:firstLine="0" w:left="0"/>
              <w:jc w:val="center"/>
            </w:pPr>
            <w:r>
              <w:t>Обработка плоскостей, пазов, уступов в вертикальной и горизонтальной плоскостях</w:t>
            </w:r>
          </w:p>
        </w:tc>
      </w:tr>
      <w:tr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A4000000">
            <w:pPr>
              <w:pStyle w:val="Style_10"/>
              <w:spacing w:line="240" w:lineRule="auto"/>
              <w:ind w:firstLine="0" w:left="0"/>
              <w:jc w:val="center"/>
            </w:pPr>
            <w:r>
              <w:t>3</w:t>
            </w:r>
          </w:p>
        </w:tc>
        <w:tc>
          <w:tcPr>
            <w:tcW w:type="dxa" w:w="2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5000000">
            <w:pPr>
              <w:pStyle w:val="Style_10"/>
              <w:spacing w:line="240" w:lineRule="auto"/>
              <w:ind w:firstLine="0" w:left="0"/>
              <w:jc w:val="center"/>
            </w:pPr>
            <w:r>
              <w:t>Универсально-фрезерный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6000000">
            <w:pPr>
              <w:pStyle w:val="Style_10"/>
              <w:spacing w:line="240" w:lineRule="auto"/>
              <w:ind w:firstLine="0" w:left="0"/>
              <w:jc w:val="center"/>
            </w:pPr>
            <w:r>
              <w:t>6Р82Ш</w:t>
            </w:r>
          </w:p>
        </w:tc>
        <w:tc>
          <w:tcPr>
            <w:tcW w:type="dxa" w:w="4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7000000">
            <w:pPr>
              <w:pStyle w:val="Style_10"/>
              <w:spacing w:line="240" w:lineRule="auto"/>
              <w:ind w:firstLine="0" w:left="0"/>
              <w:jc w:val="center"/>
            </w:pPr>
            <w:r>
              <w:t>Фрезерование сложных контуров и угловых поверхностей</w:t>
            </w:r>
          </w:p>
        </w:tc>
      </w:tr>
    </w:tbl>
    <w:p w14:paraId="A8000000">
      <w:pPr>
        <w:ind/>
        <w:jc w:val="right"/>
      </w:pPr>
      <w:r>
        <w:br w:type="page"/>
      </w:r>
      <w:r>
        <w:t xml:space="preserve">Продолжение таблица 1 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688"/>
        <w:gridCol w:w="3465"/>
        <w:gridCol w:w="1404"/>
        <w:gridCol w:w="3788"/>
      </w:tblGrid>
      <w:tr>
        <w:tc>
          <w:tcPr>
            <w:tcW w:type="dxa" w:w="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A9000000">
            <w:pPr>
              <w:pStyle w:val="Style_10"/>
              <w:spacing w:line="240" w:lineRule="auto"/>
              <w:ind w:firstLine="0" w:left="0"/>
              <w:jc w:val="center"/>
            </w:pPr>
            <w:r>
              <w:t>№ п/п</w:t>
            </w:r>
          </w:p>
        </w:tc>
        <w:tc>
          <w:tcPr>
            <w:tcW w:type="dxa" w:w="3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A000000">
            <w:pPr>
              <w:pStyle w:val="Style_10"/>
              <w:spacing w:line="240" w:lineRule="auto"/>
              <w:ind w:firstLine="0" w:left="0"/>
              <w:jc w:val="center"/>
            </w:pPr>
            <w:r>
              <w:t>Наименование станка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B000000">
            <w:pPr>
              <w:pStyle w:val="Style_10"/>
              <w:spacing w:line="240" w:lineRule="auto"/>
              <w:ind w:firstLine="0" w:left="0"/>
              <w:jc w:val="center"/>
            </w:pPr>
            <w:r>
              <w:t>Модель</w:t>
            </w:r>
          </w:p>
        </w:tc>
        <w:tc>
          <w:tcPr>
            <w:tcW w:type="dxa" w:w="37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C000000">
            <w:pPr>
              <w:pStyle w:val="Style_10"/>
              <w:spacing w:line="240" w:lineRule="auto"/>
              <w:ind w:firstLine="0" w:left="0"/>
              <w:jc w:val="center"/>
            </w:pPr>
            <w:r>
              <w:t>Назначение</w:t>
            </w:r>
          </w:p>
        </w:tc>
      </w:tr>
      <w:tr>
        <w:tc>
          <w:tcPr>
            <w:tcW w:type="dxa" w:w="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AD000000">
            <w:pPr>
              <w:pStyle w:val="Style_10"/>
              <w:spacing w:line="240" w:lineRule="auto"/>
              <w:ind w:firstLine="0" w:left="0"/>
              <w:jc w:val="center"/>
            </w:pPr>
            <w:r>
              <w:t>4</w:t>
            </w:r>
          </w:p>
        </w:tc>
        <w:tc>
          <w:tcPr>
            <w:tcW w:type="dxa" w:w="3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E000000">
            <w:pPr>
              <w:pStyle w:val="Style_10"/>
              <w:spacing w:line="240" w:lineRule="auto"/>
              <w:ind w:firstLine="0" w:left="0"/>
              <w:jc w:val="center"/>
            </w:pPr>
            <w:r>
              <w:t>Вертикально-сверлильный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AF000000">
            <w:pPr>
              <w:pStyle w:val="Style_10"/>
              <w:spacing w:line="240" w:lineRule="auto"/>
              <w:ind w:firstLine="0" w:left="0"/>
              <w:jc w:val="center"/>
            </w:pPr>
            <w:r>
              <w:t>2Н135</w:t>
            </w:r>
          </w:p>
        </w:tc>
        <w:tc>
          <w:tcPr>
            <w:tcW w:type="dxa" w:w="37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0000000">
            <w:pPr>
              <w:pStyle w:val="Style_10"/>
              <w:spacing w:line="240" w:lineRule="auto"/>
              <w:ind w:firstLine="0" w:left="0"/>
              <w:jc w:val="center"/>
            </w:pPr>
            <w:r>
              <w:t>Сверление, зенкерование, развертывание отверстий</w:t>
            </w:r>
          </w:p>
        </w:tc>
      </w:tr>
      <w:tr>
        <w:tc>
          <w:tcPr>
            <w:tcW w:type="dxa" w:w="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B1000000">
            <w:pPr>
              <w:pStyle w:val="Style_10"/>
              <w:spacing w:line="240" w:lineRule="auto"/>
              <w:ind w:firstLine="0" w:left="0"/>
              <w:jc w:val="center"/>
            </w:pPr>
            <w:r>
              <w:t>5</w:t>
            </w:r>
          </w:p>
        </w:tc>
        <w:tc>
          <w:tcPr>
            <w:tcW w:type="dxa" w:w="3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2000000">
            <w:pPr>
              <w:pStyle w:val="Style_10"/>
              <w:spacing w:line="240" w:lineRule="auto"/>
              <w:ind w:firstLine="0" w:left="0"/>
              <w:jc w:val="center"/>
            </w:pPr>
            <w:r>
              <w:t>Круглошлифовальный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3000000">
            <w:pPr>
              <w:pStyle w:val="Style_10"/>
              <w:spacing w:line="240" w:lineRule="auto"/>
              <w:ind w:firstLine="0" w:left="0"/>
              <w:jc w:val="center"/>
            </w:pPr>
            <w:r>
              <w:t>3Б161</w:t>
            </w:r>
          </w:p>
        </w:tc>
        <w:tc>
          <w:tcPr>
            <w:tcW w:type="dxa" w:w="37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4000000">
            <w:pPr>
              <w:pStyle w:val="Style_10"/>
              <w:spacing w:line="240" w:lineRule="auto"/>
              <w:ind w:firstLine="0" w:left="0"/>
              <w:jc w:val="center"/>
            </w:pPr>
            <w:r>
              <w:t>Шлифование наружных и внутренних цилиндрических поверхностей</w:t>
            </w:r>
          </w:p>
        </w:tc>
      </w:tr>
      <w:tr>
        <w:tc>
          <w:tcPr>
            <w:tcW w:type="dxa" w:w="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B5000000">
            <w:pPr>
              <w:pStyle w:val="Style_10"/>
              <w:spacing w:line="240" w:lineRule="auto"/>
              <w:ind w:firstLine="0" w:left="0"/>
              <w:jc w:val="center"/>
            </w:pPr>
            <w:r>
              <w:t>6</w:t>
            </w:r>
          </w:p>
        </w:tc>
        <w:tc>
          <w:tcPr>
            <w:tcW w:type="dxa" w:w="3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6000000">
            <w:pPr>
              <w:pStyle w:val="Style_10"/>
              <w:spacing w:line="240" w:lineRule="auto"/>
              <w:ind w:firstLine="0" w:left="0"/>
              <w:jc w:val="center"/>
            </w:pPr>
            <w:r>
              <w:t>Горизонтально-фрезерный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7000000">
            <w:pPr>
              <w:pStyle w:val="Style_10"/>
              <w:spacing w:line="240" w:lineRule="auto"/>
              <w:ind w:firstLine="0" w:left="0"/>
              <w:jc w:val="center"/>
            </w:pPr>
            <w:r>
              <w:t>6Р83Г</w:t>
            </w:r>
          </w:p>
        </w:tc>
        <w:tc>
          <w:tcPr>
            <w:tcW w:type="dxa" w:w="37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8000000">
            <w:pPr>
              <w:pStyle w:val="Style_10"/>
              <w:spacing w:line="240" w:lineRule="auto"/>
              <w:ind w:firstLine="0" w:left="0"/>
              <w:jc w:val="center"/>
            </w:pPr>
            <w:r>
              <w:t>Фрезерование плоскостей и канавок</w:t>
            </w:r>
          </w:p>
        </w:tc>
      </w:tr>
      <w:tr>
        <w:tc>
          <w:tcPr>
            <w:tcW w:type="dxa" w:w="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B9000000">
            <w:pPr>
              <w:pStyle w:val="Style_10"/>
              <w:spacing w:line="240" w:lineRule="auto"/>
              <w:ind w:firstLine="0" w:left="0"/>
              <w:jc w:val="center"/>
            </w:pPr>
            <w:r>
              <w:t>7</w:t>
            </w:r>
          </w:p>
        </w:tc>
        <w:tc>
          <w:tcPr>
            <w:tcW w:type="dxa" w:w="3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A000000">
            <w:pPr>
              <w:pStyle w:val="Style_10"/>
              <w:spacing w:line="240" w:lineRule="auto"/>
              <w:ind w:firstLine="0" w:left="0"/>
              <w:jc w:val="center"/>
            </w:pPr>
            <w:r>
              <w:t>Заточный станок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B000000">
            <w:pPr>
              <w:pStyle w:val="Style_10"/>
              <w:spacing w:line="240" w:lineRule="auto"/>
              <w:ind w:firstLine="0" w:left="0"/>
              <w:jc w:val="center"/>
            </w:pPr>
            <w:r>
              <w:t>3Д642Е</w:t>
            </w:r>
          </w:p>
        </w:tc>
        <w:tc>
          <w:tcPr>
            <w:tcW w:type="dxa" w:w="37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BC000000">
            <w:pPr>
              <w:pStyle w:val="Style_10"/>
              <w:spacing w:line="240" w:lineRule="auto"/>
              <w:ind w:firstLine="0" w:left="0"/>
              <w:jc w:val="center"/>
            </w:pPr>
            <w:r>
              <w:t>Заточка режущего инструмента</w:t>
            </w:r>
          </w:p>
        </w:tc>
      </w:tr>
    </w:tbl>
    <w:p w14:paraId="BD000000">
      <w:pPr>
        <w:pStyle w:val="Style_10"/>
      </w:pPr>
    </w:p>
    <w:p w14:paraId="BE000000">
      <w:pPr>
        <w:pStyle w:val="Style_10"/>
      </w:pPr>
      <w:r>
        <w:t>Из представленного перечня видно, что универсальное оборудование позволяет реализовать полный цикл обработки детали. Но для изготовления «Углового корпуса подшипника» на этих станках требуется использование сложных станочных приспособлений (кондукторов, поворотных столов) и ручное перемещение заготовки. Каждая переустановка детали для обработки очередной поверхности снижает точность взаимного расположения осей, что в случае с отверстием Ø40H7 и требованием к перпендикулярности основания является принципиальным недостатком.</w:t>
      </w:r>
    </w:p>
    <w:p w14:paraId="BF000000">
      <w:pPr>
        <w:pStyle w:val="Style_10"/>
      </w:pPr>
      <w:r>
        <w:t>Собственного парка современных станков с ЧПУ предприятие на данный момент не имеет. Закупка и внедрение обрабатывающих центров с числовым программным управлением в перспективе позволит вынести обработку детали на одну установку (за счет поворотной оснастки), сократив при этом цикл производства детали в 2-2,5 раза [4, с. 105].</w:t>
      </w:r>
    </w:p>
    <w:p w14:paraId="C0000000">
      <w:pPr>
        <w:pStyle w:val="Style_10"/>
      </w:pPr>
    </w:p>
    <w:p w14:paraId="C1000000">
      <w:bookmarkStart w:id="5" w:name="__RefHeading___5"/>
      <w:bookmarkEnd w:id="5"/>
      <w:pPr>
        <w:pStyle w:val="Style_9"/>
      </w:pPr>
      <w:r>
        <w:t>1.3 Анализ конструкции детали «</w:t>
      </w:r>
      <w:r>
        <w:t>Угловой корпус подшипника</w:t>
      </w:r>
      <w:r>
        <w:t>»</w:t>
      </w:r>
    </w:p>
    <w:p w14:paraId="C2000000">
      <w:r>
        <w:t>Деталь «Угловой корпус подшипника» (шифр детали С418 по чертежу ГОСТ 14 12-85) является корпусным элементом. Она предназначена для установки и фиксации подшипника качения в механизме привода. Деталь изготавливается из серого чугуна марки СЧ18. Материал подходит для литых несущих конструкций, хорошо демпфирует вибрации и обладает достаточной износостойкостью в паре с подшипниковой сталью. Масса готовой детали составляет 1,37 кг.</w:t>
      </w:r>
    </w:p>
    <w:p w14:paraId="C3000000">
      <w:r>
        <w:t>Чертеж детали (рисунок 1) определяет ее конфигурацию как Г-образный кронштейн с выступающим опорным буртом. В плане деталь представляет собой квадратную плиту с размерами 100×100 мм. Высота вертикальной стенки корпуса, на которой расположен бурт, составляет 58 мм. В зоне верхних углов контур имеет скругления радиусом 18 мм.</w:t>
      </w:r>
    </w:p>
    <w:p w14:paraId="C4000000">
      <w:pPr>
        <w:ind w:firstLine="0" w:left="0"/>
        <w:jc w:val="center"/>
      </w:pPr>
      <w:r>
        <w:drawing>
          <wp:inline>
            <wp:extent cx="5557374" cy="39338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5557374" cy="39338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5000000">
      <w:pPr>
        <w:pStyle w:val="Style_10"/>
        <w:ind/>
        <w:jc w:val="center"/>
      </w:pPr>
      <w:r>
        <w:t>Рисунок 1 – Чертеж детали «Угловой корпус подшипника»</w:t>
      </w:r>
    </w:p>
    <w:p w14:paraId="C6000000">
      <w:r>
        <w:t xml:space="preserve">Главный конструктивный элемент — это выступающий цилиндрический бурт наружным диаметром 60 мм и высотой 7 мм. Внутри бурта выполняется сквозное посадочное отверстие диаметром 40 мм с полем допуска H7. Точность отверстия по 7-му квалитету в чугуне сложна в реализации, так как при обработке возникает эффект </w:t>
      </w:r>
      <w:r>
        <w:t>наростообразования</w:t>
      </w:r>
      <w:r>
        <w:t xml:space="preserve"> и повышенный износ режущей кромки инструмента, особенно при работе на универсальном оборудовании с ручной подачей [1, с. 124].</w:t>
      </w:r>
    </w:p>
    <w:p w14:paraId="C7000000">
      <w:r>
        <w:t>Второй функциональный элемент — нижний горизонтальный отлив, переходящий в полость с внутренним скруглением R18. Ширина горизонтальной части, от внутренней стенки до края, составляет 50 мм. Толщина стенок этой отливной части задана 7 мм. Данный размер требует осторожности на операциях фрезерования и сверления, чтобы не деформировать тонкостенный элемент.</w:t>
      </w:r>
    </w:p>
    <w:p w14:paraId="C8000000">
      <w:r>
        <w:t>Н</w:t>
      </w:r>
      <w:r>
        <w:t xml:space="preserve">а чертеже </w:t>
      </w:r>
      <w:r>
        <w:t xml:space="preserve">есть </w:t>
      </w:r>
      <w:r>
        <w:t>выносной</w:t>
      </w:r>
      <w:r>
        <w:t xml:space="preserve"> элемент А</w:t>
      </w:r>
      <w:r>
        <w:t xml:space="preserve">, </w:t>
      </w:r>
      <w:r>
        <w:t>выполненный в масштабе 2,5:1. Он представляет собой глухое отверстие диаметром 8 мм с полем допуска H7 и глубиной 4 мм. По конструктивному исполнению это отверстие имеет боковой паз шириной 2 мм. Вероятно, это посадочное место под штифт, обеспечивающий базирование корпуса при установке на станину.</w:t>
      </w:r>
    </w:p>
    <w:p w14:paraId="C9000000">
      <w:r>
        <w:t xml:space="preserve">Все поверхности, контактирующие с подшипником и крепежными элементами, имеют шероховатость </w:t>
      </w:r>
      <w:r>
        <w:t>Ra</w:t>
      </w:r>
      <w:r>
        <w:t xml:space="preserve"> 3,2. Остальные свободные поверхности детали обрабатываются с шероховатостью </w:t>
      </w:r>
      <w:r>
        <w:t>Ra</w:t>
      </w:r>
      <w:r>
        <w:t xml:space="preserve"> 12,5, что является допустимым для внешних неответственных поверхностей литых деталей машин [2, с. 198].</w:t>
      </w:r>
    </w:p>
    <w:p w14:paraId="CA000000"/>
    <w:p w14:paraId="CB000000">
      <w:bookmarkStart w:id="6" w:name="__RefHeading___6"/>
      <w:bookmarkEnd w:id="6"/>
      <w:pPr>
        <w:pStyle w:val="Style_9"/>
      </w:pPr>
      <w:r>
        <w:t>1.4 Анализ технологичности конструкции детали</w:t>
      </w:r>
    </w:p>
    <w:p w14:paraId="CC000000">
      <w:pPr>
        <w:pStyle w:val="Style_10"/>
        <w:rPr>
          <w:b w:val="1"/>
          <w:sz w:val="32"/>
        </w:rPr>
      </w:pPr>
      <w:r>
        <w:t>Оценка технологичности данной детали базируется на анализе конфигурации, проставляемых допусков и требований к поверхностям. Конструкцию «Углового корпуса подшипника» можно разделить на три блока: литая заготовка, точная механическая обработка отверстий и фрезерование плоскостей.</w:t>
      </w:r>
    </w:p>
    <w:p w14:paraId="CD000000">
      <w:pPr>
        <w:pStyle w:val="Style_10"/>
      </w:pPr>
      <w:r>
        <w:t>Конфигурация корпуса позволяет получить отливку, максимально приближенную по форме к готовой детали. Это снижает последующий объем механической обработки. Однако наличие внутренней полости с радиусом R18 требует применения специальных стержней при литье, чтобы обеспечить заданную толщину стенки 7 мм. С точки зрения металлоемкости, масса 1,37 кг для чугуна СЧ18 при таких габаритах — приемлемый показатель, коэффициент использования материала будет достаточно высоким.</w:t>
      </w:r>
    </w:p>
    <w:p w14:paraId="CE000000">
      <w:pPr>
        <w:pStyle w:val="Style_10"/>
      </w:pPr>
      <w:r>
        <w:t>Основные сложности при обработке возникают с точным отверстием Ø40H7. Для получения окончательного размера необходимо использовать комбинированный инструмент. В условиях ООО «Инженерные системы» для достижения H7 обычно применяют чистовое растачивание на токарных станках с последующим хонингованием. Допуск на это отверстие составляет всего 0,025 мм. Выдержать этот допуск на универсальном токарном станке 16К20 возможно только при высокой квалификации токаря и идеальном состоянии шпиндельной группы, что на практике вызывает проблемы.</w:t>
      </w:r>
    </w:p>
    <w:p w14:paraId="CF000000">
      <w:pPr>
        <w:pStyle w:val="Style_10"/>
      </w:pPr>
      <w:r>
        <w:t>Дополнительную трудность создает вертикальный бурт Ø60 мм. При его точении на универсальном станке необходимо выдерживать биение относительно оси отверстия. Производить эти измерения в процессе обработки без дополнительных контрольных приспособлений крайне неудобно.</w:t>
      </w:r>
    </w:p>
    <w:p w14:paraId="D0000000">
      <w:pPr>
        <w:pStyle w:val="Style_10"/>
      </w:pPr>
      <w:r>
        <w:t>Конструктивная особенность — глухое отверстие Ø8H7 с пазом 2 мм. Паз шириной 2 мм при столь малом диаметре отверстия вызывает проблему с подбором фрезы и обеспечением ее жесткости. Малая глубина отверстия (4 мм) несколько упрощает процесс, но требует высокой точности позиционирования, так как при малейшем смещении перерезается паз не в том месте.</w:t>
      </w:r>
    </w:p>
    <w:p w14:paraId="D1000000">
      <w:pPr>
        <w:pStyle w:val="Style_10"/>
      </w:pPr>
      <w:r>
        <w:t xml:space="preserve">При установке заготовки на фрезерном или токарном станке необходимо обеспечить жесткую фиксацию. Наличие только одной плоскости для базирования (опорная поверхность под подшипник) и точных отверстий требует использования оснастки с жесткими установочными пальцами. </w:t>
      </w:r>
      <w:r>
        <w:t>Применение универсальных тисочных приспособлений не всегда дает необходимое усилие зажима, так как силы резания могут сместить тонкостенную деталь [3, с. 86].</w:t>
      </w:r>
    </w:p>
    <w:p w14:paraId="D2000000">
      <w:pPr>
        <w:pStyle w:val="Style_10"/>
      </w:pPr>
      <w:r>
        <w:t>Таким образом, деталь обладает удовлетворительной конструктивной технологичностью, но требует повышенного внимания на этапах формирования отверстий. Основные проблемы на универсальном оборудовании — это накопление погрешности при каждой переустановке и недостаточная жесткость инструмента. Внедрение станков с ЧПУ с поворотными столами позволит исключить переустановку заготовки для обработки отверстия и паза, совмещая эти операции на одной позиции, что напрямую влияет на повышение точности и производительности труда.</w:t>
      </w:r>
    </w:p>
    <w:p w14:paraId="D3000000">
      <w:pPr>
        <w:pStyle w:val="Style_10"/>
      </w:pPr>
    </w:p>
    <w:p w14:paraId="D4000000">
      <w:pPr>
        <w:spacing w:line="240" w:lineRule="auto"/>
        <w:ind w:firstLine="0" w:left="0"/>
        <w:jc w:val="left"/>
        <w:rPr>
          <w:color w:themeColor="text1" w:themeTint="F2" w:val="0D0D0D"/>
        </w:rPr>
      </w:pPr>
      <w:r>
        <w:br w:type="page"/>
      </w:r>
    </w:p>
    <w:p w14:paraId="D5000000">
      <w:bookmarkStart w:id="7" w:name="__RefHeading___7"/>
      <w:bookmarkEnd w:id="7"/>
      <w:pPr>
        <w:pStyle w:val="Style_8"/>
      </w:pPr>
      <w:r>
        <w:t>2. ТЕХНОЛОГИЧЕСКАЯ ЧАСТЬ</w:t>
      </w:r>
    </w:p>
    <w:p w14:paraId="D6000000">
      <w:bookmarkStart w:id="8" w:name="__RefHeading___8"/>
      <w:bookmarkEnd w:id="8"/>
      <w:pPr>
        <w:pStyle w:val="Style_9"/>
      </w:pPr>
      <w:r>
        <w:t>2.1. Выбор материала заготовки и способа ее получения</w:t>
      </w:r>
      <w:r>
        <w:t xml:space="preserve"> </w:t>
      </w:r>
    </w:p>
    <w:p w14:paraId="D7000000">
      <w:pPr>
        <w:pStyle w:val="Style_10"/>
      </w:pPr>
      <w:r>
        <w:t>Чертеж однозначно определяет материал детали — серый чугун марки СЧ18 по ГОСТ 1412-85. Его предел прочности при растяжении составляет не менее 180 МПа, а твердость по Бринеллю лежит в пределах 170–229 НВ [18, с. 120]. Выбор этой марки для детали корпусного типа объясняется несколькими причинами.</w:t>
      </w:r>
    </w:p>
    <w:p w14:paraId="D8000000">
      <w:pPr>
        <w:pStyle w:val="Style_10"/>
      </w:pPr>
      <w:r>
        <w:t xml:space="preserve">Чугун СЧ18 обладает хорошими демпфирующими свойствами. Гашение вибраций при работе подшипникового узла — его прямая задача. Помимо этого, у него отличные литейные качества, в частности, хорошая </w:t>
      </w:r>
      <w:r>
        <w:t>жидкотекучесть</w:t>
      </w:r>
      <w:r>
        <w:t>. Величина усадки у этой марки чугуна составляет около 1%, что обеспечивает низкий риск образования усадочных раковин и внутренних трещин в теле отливки [22, с. 74]. Немаловажен и фактор обрабатываемости. Пластинчатый графит в структуре чугуна делает его очень податливым при резании, инструмент изнашивается значительно медленнее по сравнению с обработкой сталей, что критично для чистовых токарных и фрезерных операций [16, с. 145].</w:t>
      </w:r>
    </w:p>
    <w:p w14:paraId="D9000000">
      <w:pPr>
        <w:pStyle w:val="Style_10"/>
      </w:pPr>
      <w:r>
        <w:t>Использование сортового проката в качестве исходной заготовки для «Углового корпуса подшипника» абсолютно нерационально. Деталь имеет Г-образную конфигурацию с толщиной стенок всего 7 мм. При вырезании подобной формы из прямоугольной плиты или прутка, объем удаляемой в стружку массы достиг бы 60–70% от исходной [18, с. 210]. Это экономически бессмысленно, к тому же нарушило бы целостность волокон материала. Единственный оправданный метод здесь — получение отливки.</w:t>
      </w:r>
    </w:p>
    <w:p w14:paraId="DA000000">
      <w:pPr>
        <w:pStyle w:val="Style_10"/>
      </w:pPr>
      <w:r>
        <w:t xml:space="preserve">Выбор конкретного способа литья привязан к масштабам производства на ООО «Инженерные системы». Предприятие работает по мелкосерийной схеме. Внедрение литья в металлические кокиль или литья под давлением потребовало бы изготовления дорогостоящих пресс-форм. Окупаемость такой оснастки происходит только при серийном выпуске, исчисляемом тысячами </w:t>
      </w:r>
      <w:r>
        <w:t>штук. Литье по выплавляемым моделям обеспечивает высокую точность, но для отливки массой 1,37 кг с просторной внутренней полостью оно оказывается слишком затратным по технологическим причинам.</w:t>
      </w:r>
    </w:p>
    <w:p w14:paraId="DB000000">
      <w:pPr>
        <w:pStyle w:val="Style_10"/>
      </w:pPr>
      <w:r>
        <w:t>В сложившихся условиях для ООО «Инженерные системы» оптимальным вариантом является </w:t>
      </w:r>
      <w:r>
        <w:rPr>
          <w:b w:val="1"/>
        </w:rPr>
        <w:t>литье в песчано-глинистые формы</w:t>
      </w:r>
      <w:r>
        <w:t> с машинной формовкой. Для получения внутреннего пространства, а также углового перехода с радиусом R18, в процессе изготовления формы применяются песчаные стержни [22, с. 180]. Такая технология позволяет максимально приблизить конфигурацию заготовки к чертежным размерам.</w:t>
      </w:r>
    </w:p>
    <w:p w14:paraId="DC000000">
      <w:pPr>
        <w:pStyle w:val="Style_10"/>
      </w:pPr>
      <w:r>
        <w:t>Класс точности отливки назначается по ГОСТ 26645-85. Для условий машинной формовки и мелкосерийного выпуска вполне приемлем 8–9-й класс. При таком классе точности номинальные габариты корпуса получаются с отклонениями, которые впоследствии гарантируют съем требуемого слоя металла. Припуски на механическую обработку для подобных корпусных деталей назначаются в диапазоне от 2 до 5 мм на сторону [18, с. 260]. Например, наружный диаметр бурта (около 60 мм) отливается с припуском примерно 3,0 мм, чего вполне достаточно для его чистового точения с обеспечением номинала Ø60.</w:t>
      </w:r>
    </w:p>
    <w:p w14:paraId="DD000000">
      <w:pPr>
        <w:pStyle w:val="Style_10"/>
      </w:pPr>
      <w:r>
        <w:t>Геометрия отливки требует наличия литейных уклонов и радиусов. Уклоны задаются на вертикальных плоскостях для облегчения выема модели из формы без разрушения самой формы, обычно они составляют 1–3° [22, с. 200]. Все эти параметры указываются на чертеже заготовки, который выносится в графическую часть ВКР.</w:t>
      </w:r>
    </w:p>
    <w:p w14:paraId="DE000000">
      <w:pPr>
        <w:pStyle w:val="Style_10"/>
      </w:pPr>
      <w:r>
        <w:t>Важным оценочным параметром обоснованности выбора заготовки выступает коэффициент использования материала (КИМ). Он представляет собой отношение массы готовой детали к массе исходной заготовки. Рассчитывается он по формуле:</w:t>
      </w:r>
    </w:p>
    <w:p w14:paraId="DF000000">
      <w:pPr>
        <w:pStyle w:val="Style_10"/>
      </w:pPr>
      <m:oMathPara>
        <m:oMath>
          <m:eqArr>
            <m:e>
              <m:sSub>
                <m:e>
                  <m:r>
                    <w:rPr>
                      <w:rFonts w:ascii="Cambria Math" w:hAnsi="Cambria Math"/>
                      <w:sz w:val="22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textим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rPr>
                          <m:sty m:val="p"/>
                        </m:rPr>
                        <m:t>textдет</m:t>
                      </m:r>
                    </m:sub>
                  </m:sSub>
                </m:num>
                <m:den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rPr>
                          <m:sty m:val="p"/>
                        </m:rPr>
                        <m:t>textзаг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2"/>
                </w:rPr>
                <m:t>#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e>
              </m:d>
            </m:e>
          </m:eqArr>
        </m:oMath>
      </m:oMathPara>
    </w:p>
    <w:p w14:paraId="E0000000">
      <w:pPr>
        <w:pStyle w:val="Style_10"/>
      </w:pPr>
      <w:r>
        <w:t>Исходя из эскизной проработки, предполагаемая масса чугунной отливки с учетом литейных напусков, уклонов и припусков будет находиться в границах 2,0–2,3 кг. При массе готовой детали 1,37 кг расчетный КИМ составит примерно 0,6–0,68. Для корпусных деталей из серого чугуна этот показатель является стандартным и подтверждает рациональность принятого решения. Литье в песчаные формы при такой конфигурации не дает больших отходов в стружку [18, с. 230].</w:t>
      </w:r>
    </w:p>
    <w:p w14:paraId="E1000000">
      <w:pPr>
        <w:pStyle w:val="Style_10"/>
      </w:pPr>
      <w:r>
        <w:t>Для наглядной оценки правильности выбора ниже приведена сравнительная характеристика методов получения заготовки (таблица 2). Она опирается на данные справочной литературы по технологии машиностроения и литейному производству [18, 22].</w:t>
      </w:r>
    </w:p>
    <w:p w14:paraId="E2000000">
      <w:pPr>
        <w:pStyle w:val="Style_10"/>
        <w:ind/>
        <w:jc w:val="right"/>
      </w:pPr>
      <w:r>
        <w:t>Таблица 2</w:t>
      </w:r>
    </w:p>
    <w:p w14:paraId="E3000000">
      <w:pPr>
        <w:pStyle w:val="Style_10"/>
        <w:ind/>
        <w:jc w:val="center"/>
      </w:pPr>
      <w:r>
        <w:t>Сравнительный анализ методов получения заготовок для корпуса подшипника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211"/>
        <w:gridCol w:w="1624"/>
        <w:gridCol w:w="1732"/>
        <w:gridCol w:w="2138"/>
        <w:gridCol w:w="1640"/>
      </w:tblGrid>
      <w:tr>
        <w:trPr>
          <w:tblHeader/>
        </w:trPr>
        <w:tc>
          <w:tcPr>
            <w:tcW w:type="dxa" w:w="22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E4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Параметр</w:t>
            </w:r>
          </w:p>
        </w:tc>
        <w:tc>
          <w:tcPr>
            <w:tcW w:type="dxa" w:w="1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5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Литье в песчаные формы</w:t>
            </w: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6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Литье в кокиль</w:t>
            </w:r>
          </w:p>
        </w:tc>
        <w:tc>
          <w:tcPr>
            <w:tcW w:type="dxa" w:w="2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7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Литье по выплавляемым моделям</w:t>
            </w:r>
          </w:p>
        </w:tc>
        <w:tc>
          <w:tcPr>
            <w:tcW w:type="dxa" w:w="1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8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Обработка из проката</w:t>
            </w:r>
          </w:p>
        </w:tc>
      </w:tr>
      <w:tr>
        <w:tc>
          <w:tcPr>
            <w:tcW w:type="dxa" w:w="22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E9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Себестоимость оснастки</w:t>
            </w:r>
          </w:p>
        </w:tc>
        <w:tc>
          <w:tcPr>
            <w:tcW w:type="dxa" w:w="1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A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Низкая</w:t>
            </w: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B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Высокая</w:t>
            </w:r>
          </w:p>
        </w:tc>
        <w:tc>
          <w:tcPr>
            <w:tcW w:type="dxa" w:w="2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C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  <w:tc>
          <w:tcPr>
            <w:tcW w:type="dxa" w:w="1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ED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Низкая</w:t>
            </w:r>
          </w:p>
        </w:tc>
      </w:tr>
      <w:tr>
        <w:tc>
          <w:tcPr>
            <w:tcW w:type="dxa" w:w="22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EE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Достижимая точность</w:t>
            </w:r>
          </w:p>
        </w:tc>
        <w:tc>
          <w:tcPr>
            <w:tcW w:type="dxa" w:w="1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EF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Низкая (8–9 </w:t>
            </w:r>
            <w:r>
              <w:rPr>
                <w:sz w:val="24"/>
              </w:rPr>
              <w:t>кл</w:t>
            </w:r>
            <w:r>
              <w:rPr>
                <w:sz w:val="24"/>
              </w:rPr>
              <w:t>.)</w:t>
            </w: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0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Средняя (7–8 </w:t>
            </w:r>
            <w:r>
              <w:rPr>
                <w:sz w:val="24"/>
              </w:rPr>
              <w:t>кл</w:t>
            </w:r>
            <w:r>
              <w:rPr>
                <w:sz w:val="24"/>
              </w:rPr>
              <w:t>.)</w:t>
            </w:r>
          </w:p>
        </w:tc>
        <w:tc>
          <w:tcPr>
            <w:tcW w:type="dxa" w:w="2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1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Высокая (5–6 </w:t>
            </w:r>
            <w:r>
              <w:rPr>
                <w:sz w:val="24"/>
              </w:rPr>
              <w:t>кл</w:t>
            </w:r>
            <w:r>
              <w:rPr>
                <w:sz w:val="24"/>
              </w:rPr>
              <w:t>.)</w:t>
            </w:r>
          </w:p>
        </w:tc>
        <w:tc>
          <w:tcPr>
            <w:tcW w:type="dxa" w:w="1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F2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  <w:tr>
        <w:tc>
          <w:tcPr>
            <w:tcW w:type="dxa" w:w="22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F3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Коэффициент использования материала (КИМ)</w:t>
            </w:r>
          </w:p>
        </w:tc>
        <w:tc>
          <w:tcPr>
            <w:tcW w:type="dxa" w:w="1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4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0,60–0,68</w:t>
            </w: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5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0,70–0,75</w:t>
            </w:r>
          </w:p>
        </w:tc>
        <w:tc>
          <w:tcPr>
            <w:tcW w:type="dxa" w:w="2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6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0,75–0,80</w:t>
            </w:r>
          </w:p>
        </w:tc>
        <w:tc>
          <w:tcPr>
            <w:tcW w:type="dxa" w:w="1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F7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Менее 0,30</w:t>
            </w:r>
          </w:p>
        </w:tc>
      </w:tr>
      <w:tr>
        <w:tc>
          <w:tcPr>
            <w:tcW w:type="dxa" w:w="22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F8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Наличие внутренних полостей и сложного контура</w:t>
            </w:r>
          </w:p>
        </w:tc>
        <w:tc>
          <w:tcPr>
            <w:tcW w:type="dxa" w:w="1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9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Да (с помощью стержней)</w:t>
            </w: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A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Ограничена</w:t>
            </w:r>
          </w:p>
        </w:tc>
        <w:tc>
          <w:tcPr>
            <w:tcW w:type="dxa" w:w="2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B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type="dxa" w:w="1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FC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c>
          <w:tcPr>
            <w:tcW w:type="dxa" w:w="22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FD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Экономическая эффективность для мелкосерийного производства</w:t>
            </w:r>
          </w:p>
        </w:tc>
        <w:tc>
          <w:tcPr>
            <w:tcW w:type="dxa" w:w="16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E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Высокая</w:t>
            </w: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FF00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Низкая</w:t>
            </w:r>
          </w:p>
        </w:tc>
        <w:tc>
          <w:tcPr>
            <w:tcW w:type="dxa" w:w="21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001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Низкая</w:t>
            </w:r>
          </w:p>
        </w:tc>
        <w:tc>
          <w:tcPr>
            <w:tcW w:type="dxa" w:w="1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01010000">
            <w:pPr>
              <w:pStyle w:val="Style_10"/>
              <w:spacing w:line="240" w:lineRule="auto"/>
              <w:ind w:firstLine="0" w:left="0"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Крайне низкая</w:t>
            </w:r>
          </w:p>
        </w:tc>
      </w:tr>
    </w:tbl>
    <w:p w14:paraId="02010000">
      <w:pPr>
        <w:pStyle w:val="Style_10"/>
      </w:pPr>
      <w:r>
        <w:t>Исходя из приведенных расчетов и сравнений, для детали «Угловой корпус подшипника» принимается решение о получении исходной заготовки литьем в песчаные формы. На чертеже заготовки, выполненном на листе формата А3, указываются требуемые формовочные уклоны, радиусы, а также допуски на базовые плоскости. Эти плоскости будут использоваться в качестве установочных баз при базировании заготовки на первой же операции механической обработки на станках с ЧПУ.</w:t>
      </w:r>
    </w:p>
    <w:p w14:paraId="03010000">
      <w:pPr>
        <w:pStyle w:val="Style_10"/>
      </w:pPr>
    </w:p>
    <w:p w14:paraId="04010000">
      <w:bookmarkStart w:id="9" w:name="__RefHeading___9"/>
      <w:bookmarkEnd w:id="9"/>
      <w:pPr>
        <w:pStyle w:val="Style_9"/>
      </w:pPr>
      <w:r>
        <w:t>2.2. Разработка маршрута обработки детали «</w:t>
      </w:r>
      <w:r>
        <w:rPr>
          <w:color w:val="000000"/>
        </w:rPr>
        <w:t>Угловой корпус подшипника</w:t>
      </w:r>
      <w:r>
        <w:t>»</w:t>
      </w:r>
      <w:r>
        <w:t xml:space="preserve"> </w:t>
      </w:r>
    </w:p>
    <w:p w14:paraId="05010000">
      <w:r>
        <w:t>Маршрут обработки разрабатывается с учетом конфигурации детали и требований к точности. Отливка из серого чугуна СЧ18 имеет достаточно сложную пространственную форму. Ее основная особенность — наличие двух взаимно перпендикулярных плоскостей с точным отверстием на одной из них. Добиться жесткости технологической системы на универсальных станках без дополнительной оснастки трудно. Применение станков с ЧПУ кардинально меняет схему базирования и позволяет сократить количество установок заготовки [18, с. 242].</w:t>
      </w:r>
    </w:p>
    <w:p w14:paraId="06010000">
      <w:bookmarkStart w:id="10" w:name="__RefHeading___10"/>
      <w:bookmarkEnd w:id="10"/>
      <w:pPr>
        <w:pStyle w:val="Style_11"/>
      </w:pPr>
      <w:r>
        <w:t>2.2.1. Определение последовательности технологических операций</w:t>
      </w:r>
      <w:r>
        <w:t xml:space="preserve"> </w:t>
      </w:r>
    </w:p>
    <w:p w14:paraId="07010000">
      <w:pPr>
        <w:pStyle w:val="Style_10"/>
      </w:pPr>
      <w:r>
        <w:t>Правильное базирование в этом маршруте играет определяющую роль. На первой операции необходимо создать чистовую технологическую базу. За эту базу впоследствии будет закрепляться деталь для обработки остальных точных поверхностей. Грубая корка отливки и ее неровности не позволяют сразу точно установить деталь для высокоточных работ, поэтому начинаем с фрезерной обработки.</w:t>
      </w:r>
    </w:p>
    <w:p w14:paraId="08010000">
      <w:pPr>
        <w:pStyle w:val="Style_10"/>
      </w:pPr>
      <w:r>
        <w:t>Операция 005 (Фрезерно-сверлильная с ЧПУ)</w:t>
      </w:r>
      <w:r>
        <w:t>:</w:t>
      </w:r>
    </w:p>
    <w:p w14:paraId="09010000">
      <w:pPr>
        <w:pStyle w:val="Style_10"/>
      </w:pPr>
      <w:r>
        <w:t xml:space="preserve">Заготовку устанавливают и закрепляют на столе станка с помощью прихватов или в машинных тисках. Обрабатывается нижняя опорная плоскость основания, а также все наружные вертикальные контуры детали с </w:t>
      </w:r>
      <w:r>
        <w:t xml:space="preserve">радиусами R18. Фрезеруется верхняя плоскость бурта и вертикальная стенка до чистового размера 58 мм. Толщина снимаемого припуска на плоскости составляет порядка 2-3 мм. На этом же этапе при наличии поворотного стола можно </w:t>
      </w:r>
      <w:r>
        <w:t>зацентровать</w:t>
      </w:r>
      <w:r>
        <w:t xml:space="preserve"> ось отверстия бурта, но в условиях данной схемы, для упрощения, операцию центровки лучше перенести на токарную операцию, где ось вращения шпинделя будет жестко задавать эту ось.</w:t>
      </w:r>
    </w:p>
    <w:p w14:paraId="0A010000">
      <w:pPr>
        <w:pStyle w:val="Style_10"/>
      </w:pPr>
      <w:r>
        <w:t>Операция 010 (Токарная с ЧПУ)</w:t>
      </w:r>
      <w:r>
        <w:t>:</w:t>
      </w:r>
    </w:p>
    <w:p w14:paraId="0B010000">
      <w:pPr>
        <w:pStyle w:val="Style_10"/>
      </w:pPr>
      <w:r>
        <w:t xml:space="preserve">На этой операции формируется главный посадочный узел. Заготовка базируется по ранее обработанной плоскости и двум боковым сторонам в специальном приспособлении или </w:t>
      </w:r>
      <w:r>
        <w:t>трехкулачковом</w:t>
      </w:r>
      <w:r>
        <w:t xml:space="preserve"> патроне с кулачками, поджатыми к плоскости. На станке последовательно обтачивается наружный цилиндрический бурт до Ø60 мм с обеспечением перпендикулярности его торца к оси. Затем растачивается сквозное отверстие под подшипник. Предварительно отверстие сверлится на проход (первым инструментом), затем зенкеруется, и окончательно растачивается или развертывается до Ø40H7 [22, с. 250]. Точность по 7-му квалитету и шероховатость </w:t>
      </w:r>
      <w:r>
        <w:t>Ra</w:t>
      </w:r>
      <w:r>
        <w:t xml:space="preserve"> 3,2 достигаются здесь на чистовом проходе с пониженной подачей.</w:t>
      </w:r>
    </w:p>
    <w:p w14:paraId="0C010000">
      <w:pPr>
        <w:pStyle w:val="Style_10"/>
      </w:pPr>
      <w:r>
        <w:t>Операция 015 (Фрезерно-сверлильная с ЧПУ)</w:t>
      </w:r>
      <w:r>
        <w:t>:</w:t>
      </w:r>
    </w:p>
    <w:p w14:paraId="0D010000">
      <w:pPr>
        <w:pStyle w:val="Style_10"/>
      </w:pPr>
      <w:r>
        <w:t> На данном этапе выполняется операция, связанная с выносным элементом А. Деталь снова крепится на столе фрезерного станка с ЧПУ. Базирование осуществляется по окончательно обработанному отверстию Ø40H7 на сменную оправку или пальцы, что обеспечивает высокую соосность. Выполняется сверление отверстия Ø8H7 на глубину 4 мм (под штифт), а затем — фрезерование бокового паза шириной 2 мм в этом отверстии концевой фрезой малого диаметра [5, с. 460].</w:t>
      </w:r>
    </w:p>
    <w:p w14:paraId="0E010000">
      <w:pPr>
        <w:pStyle w:val="Style_10"/>
      </w:pPr>
      <w:r>
        <w:t xml:space="preserve">Объединение двух фрезерных операций (005 и 015) на одном современном вертикальном обрабатывающем центре с поворотным столом позволило бы вообще исключить операцию 005 как отдельную. Однако в рамках данного проекта эти две стадии разделены для наглядности маршрута и возможности применения доступного оборудования на предприятии. В </w:t>
      </w:r>
      <w:r>
        <w:t>производственных условиях мелкой серии данная последовательность операций легко реализуется без сложной переоснастки.</w:t>
      </w:r>
    </w:p>
    <w:p w14:paraId="0F010000"/>
    <w:p w14:paraId="10010000">
      <w:bookmarkStart w:id="11" w:name="__RefHeading___11"/>
      <w:bookmarkEnd w:id="11"/>
      <w:pPr>
        <w:pStyle w:val="Style_11"/>
      </w:pPr>
      <w:r>
        <w:t>2.2.2. Выбор технологического оборудования</w:t>
      </w:r>
      <w:r>
        <w:t xml:space="preserve"> </w:t>
      </w:r>
    </w:p>
    <w:p w14:paraId="11010000">
      <w:r>
        <w:t>Для реализации описанного маршрута потребуется два типа оборудования, которые отличаются от устаревшего парка ООО «Инженерные системы» (станки 16К20 и 6Р82). Внедрение станков с ЧПУ для этой детали позволит совместить черновую и чистовую обработку в одном цикле.</w:t>
      </w:r>
    </w:p>
    <w:p w14:paraId="12010000">
      <w:r>
        <w:t>В качестве токарного оборудования для операции 010 выбираем </w:t>
      </w:r>
      <w:r>
        <w:rPr>
          <w:b w:val="1"/>
        </w:rPr>
        <w:t>токарный станок с ЧПУ модели СК6136</w:t>
      </w:r>
      <w:r>
        <w:rPr>
          <w:b w:val="1"/>
        </w:rPr>
        <w:t xml:space="preserve"> (Рисунок 2)</w:t>
      </w:r>
      <w:r>
        <w:t xml:space="preserve">. </w:t>
      </w:r>
      <w:r>
        <w:t>Станок предназначен для обработки деталей типа тел вращения до 300 мм. Частота вращения шпинделя у этой модели достигает 3000 об/мин, что для чугуна СЧ18 является оптимальной для чистовых расточных операций. Величина продольного перемещения по оси X составляет 200 мм, по оси Z — 400 мм. Этого диапазона более чем достаточно для обработки бурта и отверстия Ø40H7. Точность позиционирования по осям составляет 0,01 мм, что с запасом перекрывает допуск 0,025 мм на отверстие H7 [6, с. 120].</w:t>
      </w:r>
    </w:p>
    <w:p w14:paraId="13010000">
      <w:pPr>
        <w:ind/>
        <w:jc w:val="center"/>
      </w:pPr>
      <w:r>
        <w:drawing>
          <wp:inline>
            <wp:extent cx="4022970" cy="3381375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4022970" cy="33813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10000">
      <w:pPr>
        <w:pStyle w:val="Style_10"/>
        <w:ind/>
        <w:jc w:val="center"/>
      </w:pPr>
      <w:r>
        <w:t xml:space="preserve">Рисунок 2 – Станок </w:t>
      </w:r>
      <w:r>
        <w:t>СК6136</w:t>
      </w:r>
    </w:p>
    <w:p w14:paraId="15010000">
      <w:pPr>
        <w:pStyle w:val="Style_10"/>
      </w:pPr>
      <w:r>
        <w:t>В качестве фрезерного оборудования для операций 005 и 015 применяем вертикально-фрезерный станок с ЧПУ модели VM100</w:t>
      </w:r>
      <w:r>
        <w:t xml:space="preserve"> (Рисунок 3). </w:t>
      </w:r>
      <w:r>
        <w:t>Рабочая поверхность стола — 500×400 мм. Частота вращения шпинделя до 6000 об/мин позволяет использовать как торцевые фрезы для снятия больших припусков, так и фрезы малого диаметра (2 мм) с высокой частотой. При обработке угловых радиусов R18 станок обеспечивает точность контурного фрезерования по классу IT10, что соответствует требованиям чертежа [10, с. 204].</w:t>
      </w:r>
    </w:p>
    <w:p w14:paraId="16010000">
      <w:pPr>
        <w:pStyle w:val="Style_10"/>
        <w:ind/>
        <w:jc w:val="center"/>
      </w:pPr>
      <w:r>
        <w:drawing>
          <wp:inline>
            <wp:extent cx="2571750" cy="2518419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571750" cy="251841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7010000">
      <w:pPr>
        <w:ind/>
        <w:jc w:val="center"/>
      </w:pPr>
      <w:r>
        <w:t xml:space="preserve">Рисунок </w:t>
      </w:r>
      <w:r>
        <w:t>3</w:t>
      </w:r>
      <w:r>
        <w:t xml:space="preserve"> –</w:t>
      </w:r>
      <w:r>
        <w:t xml:space="preserve"> Станок </w:t>
      </w:r>
      <w:r>
        <w:t>VM100</w:t>
      </w:r>
    </w:p>
    <w:p w14:paraId="18010000">
      <w:r>
        <w:t>Выбор данных моделей обусловлен их наличием в свободной продаже и умеренной ценой. В случае производственной необходимости их можно заменить на аналоги с аналогичными параметрами, так как кинематические схемы приводов шпинделя у них идентичны, а системы ЧПУ имеют общие стандарты программирования (ISO G-коды) [3, с. 206]. Замена старых универсальных станков на эти две единицы позволит не только повысить качество, но и сократить цикл изготовления одной детали почти в два раза за счет автоматизации рабочего цикла.</w:t>
      </w:r>
    </w:p>
    <w:p w14:paraId="19010000"/>
    <w:p w14:paraId="1A010000">
      <w:bookmarkStart w:id="12" w:name="__RefHeading___12"/>
      <w:bookmarkEnd w:id="12"/>
      <w:pPr>
        <w:pStyle w:val="Style_11"/>
      </w:pPr>
      <w:r>
        <w:t>2.2.3. Выбор вспомогательного и режущего инструмента</w:t>
      </w:r>
      <w:r>
        <w:t xml:space="preserve"> </w:t>
      </w:r>
    </w:p>
    <w:p w14:paraId="1B010000">
      <w:pPr>
        <w:pStyle w:val="Style_10"/>
      </w:pPr>
      <w:r>
        <w:t>При выборе режущего инструмента необходимо отталкиваться от материала заготовки</w:t>
      </w:r>
      <w:r>
        <w:t xml:space="preserve">, </w:t>
      </w:r>
      <w:r>
        <w:t xml:space="preserve">Чугун СЧ18 при обработке дает мелкую сыпучую </w:t>
      </w:r>
      <w:r>
        <w:t>стружку и не налипает на переднюю поверхность резца, однако он вызывает абразивный износ инструмента</w:t>
      </w:r>
      <w:r>
        <w:t>, п</w:t>
      </w:r>
      <w:r>
        <w:t xml:space="preserve">оэтому для всех операций предпочтительнее применять инструмент, </w:t>
      </w:r>
      <w:r>
        <w:t xml:space="preserve">с </w:t>
      </w:r>
      <w:r>
        <w:t>твердосплавными пластинами [1, с. 180].</w:t>
      </w:r>
    </w:p>
    <w:p w14:paraId="1C010000">
      <w:pPr>
        <w:pStyle w:val="Style_10"/>
      </w:pPr>
      <w:r>
        <w:t>На </w:t>
      </w:r>
      <w:r>
        <w:rPr>
          <w:b w:val="1"/>
        </w:rPr>
        <w:t>операции 005</w:t>
      </w:r>
      <w:r>
        <w:t> применяем сборную торцевую фрезу диаметром 80 мм с установленными твердосплавными пластинами из сплава ВК8. Этого диаметра достаточно для обработки всей верхней плоскости детали (100 мм) за один проход. Вспомогательный инструмент включает оправки для фрез и набор регулируемых прихватов и стальных подкладок для крепления заготовки на столе станка [3, с. 186].</w:t>
      </w:r>
    </w:p>
    <w:p w14:paraId="1D010000">
      <w:pPr>
        <w:pStyle w:val="Style_10"/>
      </w:pPr>
      <w:r>
        <w:t>На </w:t>
      </w:r>
      <w:r>
        <w:rPr>
          <w:b w:val="1"/>
        </w:rPr>
        <w:t>операции 010</w:t>
      </w:r>
      <w:r>
        <w:t xml:space="preserve"> для точения бурта Ø60 используем проходной резец с механическим креплением ромбической пластины из сплава ВК8. Для расточки отверстия Ø40H7 применяем расточную оправку с установленным резцом. Учитывая необходимость получения допуска H7, окончательный размер отверстия получаем чистовой разверткой Ø40H7 (стандартный инструмент с шагом зубьев для чугуна). Развертка закрепляется в цанговом патроне или переходной втулке, смонтированной в пиноли задней бабки. Ее применение дает стабильную шероховатость </w:t>
      </w:r>
      <w:r>
        <w:t>Ra</w:t>
      </w:r>
      <w:r>
        <w:t xml:space="preserve"> 3,2 [18, с. 360].</w:t>
      </w:r>
    </w:p>
    <w:p w14:paraId="1E010000">
      <w:pPr>
        <w:pStyle w:val="Style_10"/>
      </w:pPr>
      <w:r>
        <w:t>На </w:t>
      </w:r>
      <w:r>
        <w:rPr>
          <w:b w:val="1"/>
        </w:rPr>
        <w:t>операции 015</w:t>
      </w:r>
      <w:r>
        <w:t> для отверстия под штифт применяем стандартный набор инструментов: центровочное сверло, спиральное сверло диаметром 7,8 мм (под развертку) и машинную развертку Ø8H7. Для выполнения бокового паза шириной 2 мм используем цельную твердосплавную концевую фрезу диаметром 2 мм. Работа с таким тонким инструментом требует обязательной компенсации износа на станке с ЧПУ, поэтому в программе задаются поправочные коэффициенты на коррекцию радиуса [16, с. 120].</w:t>
      </w:r>
    </w:p>
    <w:p w14:paraId="1F010000">
      <w:pPr>
        <w:pStyle w:val="Style_10"/>
      </w:pPr>
      <w:r>
        <w:t xml:space="preserve">Также, для всех операций, в качестве вспомогательной оснастки следует предусмотреть наборы параллельных подкладок, резиновые и стальные прокладки, а также универсальные слесарные тиски для зажима заготовок в случае, если прихваты окажутся недостаточно жесткими. В качестве зажимной оснастки на токарной операции используется универсальный </w:t>
      </w:r>
      <w:r>
        <w:t>трехкулачковый</w:t>
      </w:r>
      <w:r>
        <w:t xml:space="preserve"> </w:t>
      </w:r>
      <w:r>
        <w:t>самоцентрирующий</w:t>
      </w:r>
      <w:r>
        <w:t xml:space="preserve"> патрон [10, с. 210].</w:t>
      </w:r>
    </w:p>
    <w:p w14:paraId="20010000">
      <w:bookmarkStart w:id="13" w:name="__RefHeading___13"/>
      <w:bookmarkEnd w:id="13"/>
      <w:pPr>
        <w:pStyle w:val="Style_9"/>
      </w:pPr>
      <w:r>
        <w:t>2.3. Разработка технологических операций обработки детали «</w:t>
      </w:r>
      <w:r>
        <w:rPr>
          <w:color w:val="000000"/>
        </w:rPr>
        <w:t>Угловой корпус подшипника</w:t>
      </w:r>
      <w:r>
        <w:t>» на станках с ЧПУ</w:t>
      </w:r>
      <w:r>
        <w:t xml:space="preserve"> </w:t>
      </w:r>
    </w:p>
    <w:p w14:paraId="21010000">
      <w:pPr>
        <w:pStyle w:val="Style_10"/>
      </w:pPr>
      <w:r>
        <w:t>Перенос обработки «Углового корпуса подшипника» на оборудование с ЧПУ позволяет отказаться от ручного измерения и перестановок детали на универсальных станках. Маршрут, заданный в предыдущих пунктах, реализуется на трех основных операциях. Управляющие программы для них строятся с разделением на черновые и чистовые проходы. Для всех расчетов принимаем, что материал заготовки — серый чугун СЧ18, твердость 200 НВ. Применяемый инструмент оснащен твердосплавными пластинами ВК8. Скорости резания и подачи для чугуна выбираются по справочным данным [1, с. 248].</w:t>
      </w:r>
    </w:p>
    <w:p w14:paraId="22010000">
      <w:pPr>
        <w:pStyle w:val="Style_10"/>
      </w:pPr>
      <w:r>
        <w:t>Операция 005 — фрезерно-сверлильная с ЧПУ</w:t>
      </w:r>
      <w:r>
        <w:t>:</w:t>
      </w:r>
    </w:p>
    <w:p w14:paraId="23010000">
      <w:pPr>
        <w:pStyle w:val="Style_10"/>
      </w:pPr>
      <w:r>
        <w:t>На этом этапе мы формируем установочную базу под последующие операции. Заготовка зажимается в тисках станка VM100. Производится черновое и чистовое фрезерование опорной плоскости основания, обработка наружных контуров 100×100 мм и угловых скруглений R18, а также подрезка верхнего торца бурта до размера 58 мм.</w:t>
      </w:r>
    </w:p>
    <w:p w14:paraId="24010000">
      <w:pPr>
        <w:pStyle w:val="Style_10"/>
      </w:pPr>
      <w:r>
        <w:t>Для обработки плоскости применяется насадная торцевая фреза диаметром 80 мм с числом зубьев </w:t>
      </w:r>
      <m:oMathPara>
        <m:oMath>
          <m:r>
            <w:rPr>
              <w:rFonts w:ascii="Cambria Math" w:hAnsi="Cambria Math"/>
              <w:sz w:val="22"/>
            </w:rPr>
            <m:t>z=8</m:t>
          </m:r>
        </m:oMath>
      </m:oMathPara>
      <w:r>
        <w:t> (оснастка с пластинами ВК8). Толщина снимаемого припуска </w:t>
      </w:r>
      <m:oMathPara>
        <m:oMath>
          <m:r>
            <w:rPr>
              <w:rFonts w:ascii="Cambria Math" w:hAnsi="Cambria Math"/>
              <w:sz w:val="22"/>
            </w:rPr>
            <m:t>t</m:t>
          </m:r>
        </m:oMath>
      </m:oMathPara>
      <w:r>
        <w:t> на черновом проходе составляет 3,0 мм. Согласно рекомендациям для серого чугуна, скорость резания </w:t>
      </w:r>
      <m:oMathPara>
        <m:oMath>
          <m:r>
            <w:rPr>
              <w:rFonts w:ascii="Cambria Math" w:hAnsi="Cambria Math"/>
              <w:sz w:val="22"/>
            </w:rPr>
            <m:t>v</m:t>
          </m:r>
        </m:oMath>
      </m:oMathPara>
      <w:r>
        <w:t> принимается в диапазоне 80 м/мин [1, с. 210]. Частота вращения шпинделя рассчитывается по классической формуле:</w:t>
      </w:r>
    </w:p>
    <w:p w14:paraId="25010000">
      <w:pPr>
        <w:pStyle w:val="Style_10"/>
      </w:pPr>
      <m:oMathPara>
        <m:oMath>
          <m:eqArr>
            <m:e>
              <m:r>
                <w:rPr>
                  <w:rFonts w:ascii="Cambria Math" w:hAnsi="Cambria Math"/>
                  <w:sz w:val="22"/>
                </w:rPr>
                <m:t>n=</m:t>
              </m:r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2"/>
                    </w:rPr>
                    <m:t>1000⋅v</m:t>
                  </m:r>
                </m:num>
                <m:den>
                  <m:r>
                    <w:rPr>
                      <w:rFonts w:ascii="Cambria Math" w:hAnsi="Cambria Math"/>
                      <w:sz w:val="22"/>
                    </w:rPr>
                    <m:t>π⋅D</m:t>
                  </m:r>
                </m:den>
              </m:f>
              <m:r>
                <w:rPr>
                  <w:rFonts w:ascii="Cambria Math" w:hAnsi="Cambria Math"/>
                  <w:sz w:val="22"/>
                </w:rPr>
                <m:t>#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e>
              </m:d>
            </m:e>
          </m:eqArr>
        </m:oMath>
      </m:oMathPara>
    </w:p>
    <w:p w14:paraId="26010000">
      <w:pPr>
        <w:pStyle w:val="Style_10"/>
      </w:pPr>
      <w:r>
        <w:t>Подставляя значения, получаем:</w:t>
      </w:r>
    </w:p>
    <w:p w14:paraId="27010000">
      <w:pPr>
        <w:pStyle w:val="Style_10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1000⋅80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⋅80</m:t>
              </m:r>
            </m:den>
          </m:f>
          <m:r>
            <w:rPr>
              <w:rFonts w:ascii="Cambria Math" w:hAnsi="Cambria Math"/>
              <w:sz w:val="22"/>
            </w:rPr>
            <m:t>≈</m:t>
          </m:r>
          <m:r>
            <w:rPr>
              <w:rFonts w:ascii="Cambria Math" w:hAnsi="Cambria Math"/>
              <w:sz w:val="22"/>
            </w:rPr>
            <m:rPr>
              <m:sty m:val="p"/>
            </m:rPr>
            <m:t>318,5</m:t>
          </m:r>
        </m:oMath>
      </m:oMathPara>
      <w:r>
        <w:t> об/мин.</w:t>
      </w:r>
    </w:p>
    <w:p w14:paraId="28010000">
      <w:pPr>
        <w:pStyle w:val="Style_10"/>
      </w:pPr>
      <w:r>
        <w:t>По паспорту станка VM100 корректируем значение до </w:t>
      </w:r>
      <m:oMathPara>
        <m:oMath>
          <m:r>
            <w:rPr>
              <w:rFonts w:ascii="Cambria Math" w:hAnsi="Cambria Math"/>
              <w:sz w:val="22"/>
            </w:rPr>
            <m:t>n=320</m:t>
          </m:r>
        </m:oMath>
      </m:oMathPara>
      <w:r>
        <w:t> об/мин. Минутная подача стола рассчитывается исходя из подачи на зуб 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0,1</m:t>
          </m:r>
        </m:oMath>
      </m:oMathPara>
      <w:r>
        <w:t> мм/зуб:</w:t>
      </w:r>
    </w:p>
    <w:p w14:paraId="29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m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  <m:r>
            <w:rPr>
              <w:rFonts w:ascii="Cambria Math" w:hAnsi="Cambria Math"/>
              <w:sz w:val="22"/>
            </w:rPr>
            <m:t>⋅z⋅n</m:t>
          </m:r>
        </m:oMath>
      </m:oMathPara>
    </w:p>
    <w:p w14:paraId="2A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m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0,1</m:t>
          </m:r>
          <m:r>
            <w:rPr>
              <w:rFonts w:ascii="Cambria Math" w:hAnsi="Cambria Math"/>
              <w:sz w:val="22"/>
            </w:rPr>
            <m:t>⋅8⋅320=256</m:t>
          </m:r>
        </m:oMath>
      </m:oMathPara>
      <w:r>
        <w:t> мм/мин.</w:t>
      </w:r>
    </w:p>
    <w:p w14:paraId="2B010000">
      <w:pPr>
        <w:pStyle w:val="Style_10"/>
      </w:pPr>
      <w:r>
        <w:t>Устанавливаем на станке минутную подачу 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m</m:t>
              </m:r>
            </m:sub>
          </m:sSub>
          <m:r>
            <w:rPr>
              <w:rFonts w:ascii="Cambria Math" w:hAnsi="Cambria Math"/>
              <w:sz w:val="22"/>
            </w:rPr>
            <m:t>=250</m:t>
          </m:r>
        </m:oMath>
      </m:oMathPara>
      <w:r>
        <w:t xml:space="preserve"> мм/мин. На чистовом проходе с глубиной резания до 1 мм подачу снижают до 100–150 мм/мин, чтобы обеспечить шероховатость контурных поверхностей в пределах </w:t>
      </w:r>
      <w:r>
        <w:t>Ra</w:t>
      </w:r>
      <w:r>
        <w:t xml:space="preserve"> 12,5.</w:t>
      </w:r>
    </w:p>
    <w:p w14:paraId="2C010000">
      <w:pPr>
        <w:pStyle w:val="Style_10"/>
      </w:pPr>
      <w:r>
        <w:t>Операция 010 — токарная с ЧПУ</w:t>
      </w:r>
      <w:r>
        <w:t>:</w:t>
      </w:r>
    </w:p>
    <w:p w14:paraId="2D010000">
      <w:pPr>
        <w:pStyle w:val="Style_10"/>
      </w:pPr>
      <w:r>
        <w:t>На станке СК6136 выполняется обтачивание наружного посадочного бурта Ø60 мм и внутреннее растачивание отверстия Ø40H7. Обработка ведется в три этапа: черновое точение наружного диаметра, черновое растачивание отверстия и финишная обработка (чистовое точение и развертывание).</w:t>
      </w:r>
    </w:p>
    <w:p w14:paraId="2E010000">
      <w:pPr>
        <w:pStyle w:val="Style_10"/>
      </w:pPr>
      <w:r>
        <w:t>Для точения наружного диаметра Ø60 мм используем проходной резец с пластиной ВК8. Назначаем скорость резания </w:t>
      </w:r>
      <m:oMathPara>
        <m:oMath>
          <m:r>
            <w:rPr>
              <w:rFonts w:ascii="Cambria Math" w:hAnsi="Cambria Math"/>
              <w:sz w:val="22"/>
            </w:rPr>
            <m:t>v=100</m:t>
          </m:r>
        </m:oMath>
      </m:oMathPara>
      <w:r>
        <w:t> м/мин для уменьшения износа при черновой обработке. Частота вращения шпинделя:</w:t>
      </w:r>
    </w:p>
    <w:p w14:paraId="2F010000">
      <w:pPr>
        <w:pStyle w:val="Style_10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1000⋅100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⋅60</m:t>
              </m:r>
            </m:den>
          </m:f>
          <m:r>
            <w:rPr>
              <w:rFonts w:ascii="Cambria Math" w:hAnsi="Cambria Math"/>
              <w:sz w:val="22"/>
            </w:rPr>
            <m:t>≈530</m:t>
          </m:r>
        </m:oMath>
      </m:oMathPara>
      <w:r>
        <w:t> об/мин.</w:t>
      </w:r>
    </w:p>
    <w:p w14:paraId="30010000">
      <w:pPr>
        <w:pStyle w:val="Style_10"/>
      </w:pPr>
      <w:r>
        <w:t>Принимаем </w:t>
      </w:r>
      <m:oMathPara>
        <m:oMath>
          <m:r>
            <w:rPr>
              <w:rFonts w:ascii="Cambria Math" w:hAnsi="Cambria Math"/>
              <w:sz w:val="22"/>
            </w:rPr>
            <m:t>n=530</m:t>
          </m:r>
        </m:oMath>
      </m:oMathPara>
      <w:r>
        <w:t> об/мин. Продольная подача для чернового прохода </w:t>
      </w:r>
      <m:oMathPara>
        <m:oMath>
          <m:r>
            <w:rPr>
              <w:rFonts w:ascii="Cambria Math" w:hAnsi="Cambria Math"/>
              <w:sz w:val="22"/>
            </w:rPr>
            <m:t>S=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0,2</m:t>
          </m:r>
        </m:oMath>
      </m:oMathPara>
      <w:r>
        <w:t> мм/об, для чистового (с целью получения параметра шероховатости Ra 3,2) уменьшаем до </w:t>
      </w:r>
      <m:oMathPara>
        <m:oMath>
          <m:r>
            <w:rPr>
              <w:rFonts w:ascii="Cambria Math" w:hAnsi="Cambria Math"/>
              <w:sz w:val="22"/>
            </w:rPr>
            <m:t>S=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0,1</m:t>
          </m:r>
        </m:oMath>
      </m:oMathPara>
      <w:r>
        <w:t> мм/об.</w:t>
      </w:r>
    </w:p>
    <w:p w14:paraId="31010000">
      <w:pPr>
        <w:pStyle w:val="Style_10"/>
      </w:pPr>
      <w:r>
        <w:t>Внутренняя расточка отверстия под подшипник выполняется расточным резцом с твердосплавной пластиной. Для получения финишного размера необходимо сначала произвести черновое растачивание с глубиной резания 1,5 мм. Скорость резания </w:t>
      </w:r>
      <m:oMathPara>
        <m:oMath>
          <m:r>
            <w:rPr>
              <w:rFonts w:ascii="Cambria Math" w:hAnsi="Cambria Math"/>
              <w:sz w:val="22"/>
            </w:rPr>
            <m:t>v</m:t>
          </m:r>
        </m:oMath>
      </m:oMathPara>
      <w:r>
        <w:t> назначаем 80 м/мин (из-за меньшей жесткости расточной оправки):</w:t>
      </w:r>
    </w:p>
    <w:p w14:paraId="32010000">
      <w:pPr>
        <w:pStyle w:val="Style_10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1000⋅80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⋅40</m:t>
              </m:r>
            </m:den>
          </m:f>
          <m:r>
            <w:rPr>
              <w:rFonts w:ascii="Cambria Math" w:hAnsi="Cambria Math"/>
              <w:sz w:val="22"/>
            </w:rPr>
            <m:t>≈636</m:t>
          </m:r>
        </m:oMath>
      </m:oMathPara>
      <w:r>
        <w:t> об/мин.</w:t>
      </w:r>
    </w:p>
    <w:p w14:paraId="33010000">
      <w:pPr>
        <w:pStyle w:val="Style_10"/>
      </w:pPr>
      <w:r>
        <w:t>Принимаем </w:t>
      </w:r>
      <m:oMathPara>
        <m:oMath>
          <m:r>
            <w:rPr>
              <w:rFonts w:ascii="Cambria Math" w:hAnsi="Cambria Math"/>
              <w:sz w:val="22"/>
            </w:rPr>
            <m:t>n=630</m:t>
          </m:r>
        </m:oMath>
      </m:oMathPara>
      <w:r>
        <w:t xml:space="preserve"> об/мин. Для окончательного формирования допуска H7 применяется чистовая развертка Ø40H7. Развертывание </w:t>
      </w:r>
      <w:r>
        <w:t>выполняется с пониженной подачей </w:t>
      </w:r>
      <m:oMathPara>
        <m:oMath>
          <m:r>
            <w:rPr>
              <w:rFonts w:ascii="Cambria Math" w:hAnsi="Cambria Math"/>
              <w:sz w:val="22"/>
            </w:rPr>
            <m:t>S=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0,08</m:t>
          </m:r>
        </m:oMath>
      </m:oMathPara>
      <w:r>
        <w:t> мм/об на частоте вращения </w:t>
      </w:r>
      <m:oMathPara>
        <m:oMath>
          <m:r>
            <w:rPr>
              <w:rFonts w:ascii="Cambria Math" w:hAnsi="Cambria Math"/>
              <w:sz w:val="22"/>
            </w:rPr>
            <m:t>n=500</m:t>
          </m:r>
        </m:oMath>
      </m:oMathPara>
      <w:r>
        <w:t> об/мин, что гарантирует требуемый допуск 0,025 мм и чистоту поверхности [18, с. 375].</w:t>
      </w:r>
    </w:p>
    <w:p w14:paraId="34010000">
      <w:pPr>
        <w:pStyle w:val="Style_10"/>
      </w:pPr>
      <w:r>
        <w:t>Операция 015 — фрезерно-сверлильная с ЧПУ (выносной элемент А)</w:t>
      </w:r>
    </w:p>
    <w:p w14:paraId="35010000">
      <w:pPr>
        <w:pStyle w:val="Style_10"/>
      </w:pPr>
      <w:r>
        <w:t>Деталь базируется по отверстию Ø40H7 и плоскости основания. Требуется просверлить глухое отверстие Ø8H7 на глубину 4 мм и прорезать в нем боковой паз шириной 2 мм. Основная сложность здесь связана с жесткостью тонкого инструмента.</w:t>
      </w:r>
    </w:p>
    <w:p w14:paraId="36010000">
      <w:pPr>
        <w:pStyle w:val="Style_10"/>
      </w:pPr>
      <w:r>
        <w:t>Сверление отверстия выполняем спиральным сверлом из твердого сплава диаметром 7,8 мм (под дальнейшую развертку). Скорость резания для сверления чугуна </w:t>
      </w:r>
      <m:oMathPara>
        <m:oMath>
          <m:r>
            <w:rPr>
              <w:rFonts w:ascii="Cambria Math" w:hAnsi="Cambria Math"/>
              <w:sz w:val="22"/>
            </w:rPr>
            <m:t>v=25</m:t>
          </m:r>
        </m:oMath>
      </m:oMathPara>
      <w:r>
        <w:t> м/мин. Частота вращения шпинделя:</w:t>
      </w:r>
    </w:p>
    <w:p w14:paraId="37010000">
      <w:pPr>
        <w:pStyle w:val="Style_10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1000⋅25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⋅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7,8</m:t>
              </m:r>
            </m:den>
          </m:f>
          <m:r>
            <w:rPr>
              <w:rFonts w:ascii="Cambria Math" w:hAnsi="Cambria Math"/>
              <w:sz w:val="22"/>
            </w:rPr>
            <m:t>≈1020</m:t>
          </m:r>
        </m:oMath>
      </m:oMathPara>
      <w:r>
        <w:t> об/мин.</w:t>
      </w:r>
    </w:p>
    <w:p w14:paraId="38010000">
      <w:pPr>
        <w:pStyle w:val="Style_10"/>
      </w:pPr>
      <w:r>
        <w:t>Принимаем </w:t>
      </w:r>
      <m:oMathPara>
        <m:oMath>
          <m:r>
            <w:rPr>
              <w:rFonts w:ascii="Cambria Math" w:hAnsi="Cambria Math"/>
              <w:sz w:val="22"/>
            </w:rPr>
            <m:t>n=1000</m:t>
          </m:r>
        </m:oMath>
      </m:oMathPara>
      <w:r>
        <w:t> об/мин. Подача </w:t>
      </w:r>
      <m:oMathPara>
        <m:oMath>
          <m:r>
            <w:rPr>
              <w:rFonts w:ascii="Cambria Math" w:hAnsi="Cambria Math"/>
              <w:sz w:val="22"/>
            </w:rPr>
            <m:t>S=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0,08</m:t>
          </m:r>
        </m:oMath>
      </m:oMathPara>
      <w:r>
        <w:t> мм/об. После сверления отверстие развертывается до Ø8H7 на тех же оборотах с уменьшенной подачей 0,05 мм/об.</w:t>
      </w:r>
    </w:p>
    <w:p w14:paraId="39010000">
      <w:pPr>
        <w:pStyle w:val="Style_10"/>
      </w:pPr>
      <w:r>
        <w:t>Для фрезерования паза 2 мм применяем цельную твердосплавную концевую фрезу диаметром 2 мм. Чтобы избежать поломки инструмента, назначаем щадящие режимы: </w:t>
      </w:r>
      <m:oMathPara>
        <m:oMath>
          <m:r>
            <w:rPr>
              <w:rFonts w:ascii="Cambria Math" w:hAnsi="Cambria Math"/>
              <w:sz w:val="22"/>
            </w:rPr>
            <m:t>v=20</m:t>
          </m:r>
        </m:oMath>
      </m:oMathPara>
      <w:r>
        <w:t> м/мин. Тогда:</w:t>
      </w:r>
    </w:p>
    <w:p w14:paraId="3A010000">
      <w:pPr>
        <w:pStyle w:val="Style_10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1000⋅20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⋅2</m:t>
              </m:r>
            </m:den>
          </m:f>
          <m:r>
            <w:rPr>
              <w:rFonts w:ascii="Cambria Math" w:hAnsi="Cambria Math"/>
              <w:sz w:val="22"/>
            </w:rPr>
            <m:t>≈3184</m:t>
          </m:r>
        </m:oMath>
      </m:oMathPara>
      <w:r>
        <w:t> об/мин.</w:t>
      </w:r>
    </w:p>
    <w:p w14:paraId="3B010000">
      <w:pPr>
        <w:pStyle w:val="Style_10"/>
      </w:pPr>
      <w:r>
        <w:t>Принимаем максимально близкое значение по станку </w:t>
      </w:r>
      <m:oMathPara>
        <m:oMath>
          <m:r>
            <w:rPr>
              <w:rFonts w:ascii="Cambria Math" w:hAnsi="Cambria Math"/>
              <w:sz w:val="22"/>
            </w:rPr>
            <m:t>n=3000</m:t>
          </m:r>
        </m:oMath>
      </m:oMathPara>
      <w:r>
        <w:t> об/мин. Подача на зуб 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</m:oMath>
      </m:oMathPara>
      <w:r>
        <w:t> для такой фрезы не должна превышать 0,02 мм/зуб. Минутная подача составит:</w:t>
      </w:r>
    </w:p>
    <w:p w14:paraId="3C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m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0,02</m:t>
          </m:r>
          <m:r>
            <w:rPr>
              <w:rFonts w:ascii="Cambria Math" w:hAnsi="Cambria Math"/>
              <w:sz w:val="22"/>
            </w:rPr>
            <m:t>⋅2⋅3000=120</m:t>
          </m:r>
        </m:oMath>
      </m:oMathPara>
      <w:r>
        <w:t> мм/мин.</w:t>
      </w:r>
    </w:p>
    <w:p w14:paraId="3D010000">
      <w:pPr>
        <w:pStyle w:val="Style_10"/>
      </w:pPr>
      <w:r>
        <w:t>На станке выставляется 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m</m:t>
              </m:r>
            </m:sub>
          </m:sSub>
          <m:r>
            <w:rPr>
              <w:rFonts w:ascii="Cambria Math" w:hAnsi="Cambria Math"/>
              <w:sz w:val="22"/>
            </w:rPr>
            <m:t>=120</m:t>
          </m:r>
        </m:oMath>
      </m:oMathPara>
      <w:r>
        <w:t> мм/мин. Данные режимы обеспечат плавное врезание, предотвращая увод тонкой фрезы в сторону и гарантируя точность положения паза 2 мм относительно оси отверстия [5, с. 210].</w:t>
      </w:r>
    </w:p>
    <w:p w14:paraId="3E010000">
      <w:pPr>
        <w:pStyle w:val="Style_10"/>
      </w:pPr>
      <w:r>
        <w:t>Для оценки производительности операций вычисляется основное время 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T</m:t>
              </m:r>
            </m:e>
            <m:sub>
              <m:r>
                <w:rPr>
                  <w:rFonts w:ascii="Cambria Math" w:hAnsi="Cambria Math"/>
                  <w:sz w:val="22"/>
                </w:rPr>
                <m:t>0</m:t>
              </m:r>
            </m:sub>
          </m:sSub>
        </m:oMath>
      </m:oMathPara>
      <w:r>
        <w:t> (время непосредственной работы инструмента). Для токарных и сверлильных операций применяется формула:</w:t>
      </w:r>
    </w:p>
    <w:p w14:paraId="3F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T</m:t>
              </m:r>
            </m:e>
            <m:sub>
              <m:r>
                <w:rPr>
                  <w:rFonts w:ascii="Cambria Math" w:hAnsi="Cambria Math"/>
                  <w:sz w:val="22"/>
                </w:rPr>
                <m:t>0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L</m:t>
              </m:r>
            </m:num>
            <m:den>
              <m:r>
                <w:rPr>
                  <w:rFonts w:ascii="Cambria Math" w:hAnsi="Cambria Math"/>
                  <w:sz w:val="22"/>
                </w:rPr>
                <m:t>n⋅S</m:t>
              </m:r>
            </m:den>
          </m:f>
        </m:oMath>
      </m:oMathPara>
    </w:p>
    <w:p w14:paraId="40010000">
      <w:pPr>
        <w:pStyle w:val="Style_10"/>
      </w:pPr>
      <w:r>
        <w:t>Где </w:t>
      </w:r>
      <m:oMathPara>
        <m:oMath>
          <m:r>
            <w:rPr>
              <w:rFonts w:ascii="Cambria Math" w:hAnsi="Cambria Math"/>
              <w:sz w:val="22"/>
            </w:rPr>
            <m:t>L</m:t>
          </m:r>
        </m:oMath>
      </m:oMathPara>
      <w:r>
        <w:t> — расчетная длина перемещения инструмента с учетом врезания и перебега (мм). Для фрезерных операций:</w:t>
      </w:r>
    </w:p>
    <w:p w14:paraId="41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T</m:t>
              </m:r>
            </m:e>
            <m:sub>
              <m:r>
                <w:rPr>
                  <w:rFonts w:ascii="Cambria Math" w:hAnsi="Cambria Math"/>
                  <w:sz w:val="22"/>
                </w:rPr>
                <m:t>0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L</m:t>
              </m:r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m</m:t>
                  </m:r>
                </m:sub>
              </m:sSub>
            </m:den>
          </m:f>
        </m:oMath>
      </m:oMathPara>
    </w:p>
    <w:p w14:paraId="42010000">
      <w:pPr>
        <w:pStyle w:val="Style_10"/>
      </w:pPr>
      <w:r>
        <w:t>Нормирование времени для станков с ЧПУ предусматривает, что все рассчитанные режимы автоматически закладываются в управляющую программу. Корректировка подачи и оборотов на станках с ЧПУ в процессе работы осуществляется через программные параметры, без участия оператора, что исключает разброс в режимах от детали к детали [6, с. 160].</w:t>
      </w:r>
    </w:p>
    <w:p w14:paraId="43010000">
      <w:pPr>
        <w:pStyle w:val="Style_10"/>
        <w:ind/>
        <w:jc w:val="right"/>
      </w:pPr>
      <w:r>
        <w:t>Таблица 3</w:t>
      </w:r>
    </w:p>
    <w:p w14:paraId="44010000">
      <w:pPr>
        <w:pStyle w:val="Style_10"/>
        <w:ind/>
        <w:jc w:val="center"/>
      </w:pPr>
      <w:r>
        <w:t>Сводные данные по режимам резания на операциях с ЧПУ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158"/>
        <w:gridCol w:w="1902"/>
        <w:gridCol w:w="1412"/>
        <w:gridCol w:w="1811"/>
        <w:gridCol w:w="1463"/>
        <w:gridCol w:w="1599"/>
      </w:tblGrid>
      <w:tr>
        <w:trPr>
          <w:tblHeader/>
        </w:trPr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5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операции</w:t>
            </w: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6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перехода (инструмент)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7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Глубина резания t, мм</w:t>
            </w:r>
          </w:p>
        </w:tc>
        <w:tc>
          <w:tcPr>
            <w:tcW w:type="dxa" w:w="1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8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Подача </w:t>
            </w:r>
            <w:r>
              <w:rPr>
                <w:i w:val="1"/>
                <w:sz w:val="24"/>
              </w:rPr>
              <w:t>S</w:t>
            </w:r>
          </w:p>
        </w:tc>
        <w:tc>
          <w:tcPr>
            <w:tcW w:type="dxa" w:w="1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9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Скорость резания v, м/мин</w:t>
            </w:r>
          </w:p>
        </w:tc>
        <w:tc>
          <w:tcPr>
            <w:tcW w:type="dxa" w:w="1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A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Частота </w:t>
            </w:r>
            <w:r>
              <w:rPr>
                <w:sz w:val="24"/>
              </w:rPr>
              <w:t>вращенияn</w:t>
            </w:r>
            <w:r>
              <w:rPr>
                <w:sz w:val="24"/>
              </w:rPr>
              <w:t>, об/мин</w:t>
            </w:r>
          </w:p>
        </w:tc>
      </w:tr>
      <w:tr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B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005</w:t>
            </w: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C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Черновое фрезерование плоскости (торцевая фреза Ø80, z=8)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D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type="dxa" w:w="1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E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S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>=0,1 мм/зуб</w:t>
            </w:r>
            <w:r>
              <w:rPr>
                <w:sz w:val="24"/>
              </w:rPr>
              <w:br/>
            </w:r>
            <w:r>
              <w:rPr>
                <w:i w:val="1"/>
                <w:sz w:val="24"/>
              </w:rPr>
              <w:t>S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=250 мм/мин</w:t>
            </w:r>
          </w:p>
        </w:tc>
        <w:tc>
          <w:tcPr>
            <w:tcW w:type="dxa" w:w="1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F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type="dxa" w:w="1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0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</w:tr>
      <w:tr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1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2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Чистовое фрезерование плоскости и контуров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3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type="dxa" w:w="1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4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S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 xml:space="preserve">=100…150 </w:t>
            </w:r>
            <w:r>
              <w:rPr>
                <w:sz w:val="24"/>
              </w:rPr>
              <w:t>мм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мин</w:t>
            </w:r>
          </w:p>
        </w:tc>
        <w:tc>
          <w:tcPr>
            <w:tcW w:type="dxa" w:w="1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5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type="dxa" w:w="1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6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</w:tr>
      <w:tr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7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010</w:t>
            </w: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8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Черновое точение бурта Ø60 (проходной резец ВК8)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9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1,5…2,0</w:t>
            </w:r>
          </w:p>
        </w:tc>
        <w:tc>
          <w:tcPr>
            <w:tcW w:type="dxa" w:w="1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A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0,2 мм/об</w:t>
            </w:r>
          </w:p>
        </w:tc>
        <w:tc>
          <w:tcPr>
            <w:tcW w:type="dxa" w:w="1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B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type="dxa" w:w="1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C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530</w:t>
            </w:r>
          </w:p>
        </w:tc>
      </w:tr>
      <w:tr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D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E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Чистовое точение бурта Ø60</w:t>
            </w:r>
          </w:p>
        </w:tc>
        <w:tc>
          <w:tcPr>
            <w:tcW w:type="dxa" w:w="1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F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0,5…1,0</w:t>
            </w:r>
          </w:p>
        </w:tc>
        <w:tc>
          <w:tcPr>
            <w:tcW w:type="dxa" w:w="1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0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0,1 мм/об</w:t>
            </w:r>
          </w:p>
        </w:tc>
        <w:tc>
          <w:tcPr>
            <w:tcW w:type="dxa" w:w="1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1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type="dxa" w:w="1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62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530</w:t>
            </w:r>
          </w:p>
        </w:tc>
      </w:tr>
    </w:tbl>
    <w:p w14:paraId="63010000">
      <w:r>
        <w:br w:type="page"/>
      </w:r>
    </w:p>
    <w:p w14:paraId="64010000">
      <w:pPr>
        <w:pStyle w:val="Style_10"/>
        <w:ind/>
        <w:jc w:val="right"/>
      </w:pPr>
      <w:r>
        <w:t>Продолжение таблицы 3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216"/>
        <w:gridCol w:w="2147"/>
        <w:gridCol w:w="1504"/>
        <w:gridCol w:w="1433"/>
        <w:gridCol w:w="1572"/>
        <w:gridCol w:w="1473"/>
      </w:tblGrid>
      <w:tr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65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операции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6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перехода (инструмент)</w:t>
            </w:r>
          </w:p>
        </w:tc>
        <w:tc>
          <w:tcPr>
            <w:tcW w:type="dxa" w:w="1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7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Глубина резания t, мм</w:t>
            </w:r>
          </w:p>
        </w:tc>
        <w:tc>
          <w:tcPr>
            <w:tcW w:type="dxa" w:w="1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8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Подача </w:t>
            </w:r>
            <w:r>
              <w:rPr>
                <w:i w:val="1"/>
                <w:sz w:val="24"/>
              </w:rPr>
              <w:t>S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9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Скорость резания v, м/мин</w:t>
            </w:r>
          </w:p>
        </w:tc>
        <w:tc>
          <w:tcPr>
            <w:tcW w:type="dxa" w:w="1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6A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Частота </w:t>
            </w:r>
            <w:r>
              <w:rPr>
                <w:sz w:val="24"/>
              </w:rPr>
              <w:t>вращенияn</w:t>
            </w:r>
            <w:r>
              <w:rPr>
                <w:sz w:val="24"/>
              </w:rPr>
              <w:t>, об/мин</w:t>
            </w:r>
          </w:p>
        </w:tc>
      </w:tr>
      <w:tr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6B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C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Черновое растачивание отверстия Ø40 (расточной резец)</w:t>
            </w:r>
          </w:p>
        </w:tc>
        <w:tc>
          <w:tcPr>
            <w:tcW w:type="dxa" w:w="1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D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type="dxa" w:w="1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E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0,15 мм/об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F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type="dxa" w:w="1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70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630</w:t>
            </w:r>
          </w:p>
        </w:tc>
      </w:tr>
      <w:tr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71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2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Чистовое развертывание до Ø40H7 (развертка)</w:t>
            </w:r>
          </w:p>
        </w:tc>
        <w:tc>
          <w:tcPr>
            <w:tcW w:type="dxa" w:w="1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3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0,1…0,2</w:t>
            </w:r>
          </w:p>
        </w:tc>
        <w:tc>
          <w:tcPr>
            <w:tcW w:type="dxa" w:w="1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4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0,08 мм/об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5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type="dxa" w:w="1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76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77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015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8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Сверление отверстия Ø7,8 мм (спиральное сверло)</w:t>
            </w:r>
          </w:p>
        </w:tc>
        <w:tc>
          <w:tcPr>
            <w:tcW w:type="dxa" w:w="1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9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  <w:tc>
          <w:tcPr>
            <w:tcW w:type="dxa" w:w="1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A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0,08 мм/об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B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type="dxa" w:w="1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7C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</w:tr>
      <w:tr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7D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E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Развертывание отверстия до Ø8H7 (развертка)</w:t>
            </w:r>
          </w:p>
        </w:tc>
        <w:tc>
          <w:tcPr>
            <w:tcW w:type="dxa" w:w="1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F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type="dxa" w:w="1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0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0,05 мм/об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1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type="dxa" w:w="1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82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</w:tr>
      <w:tr>
        <w:tc>
          <w:tcPr>
            <w:tcW w:type="dxa" w:w="1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83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4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Фрезерование паза 2 мм (концевая фреза Ø2, z=2)</w:t>
            </w:r>
          </w:p>
        </w:tc>
        <w:tc>
          <w:tcPr>
            <w:tcW w:type="dxa" w:w="1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5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type="dxa" w:w="1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6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S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>=0,02 мм/зуб</w:t>
            </w:r>
            <w:r>
              <w:rPr>
                <w:sz w:val="24"/>
              </w:rPr>
              <w:br/>
            </w:r>
            <w:r>
              <w:rPr>
                <w:i w:val="1"/>
                <w:sz w:val="24"/>
              </w:rPr>
              <w:t>S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=120 мм/мин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7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1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8801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3000</w:t>
            </w:r>
          </w:p>
        </w:tc>
      </w:tr>
    </w:tbl>
    <w:p w14:paraId="89010000">
      <w:pPr>
        <w:pStyle w:val="Style_10"/>
        <w:ind/>
        <w:jc w:val="right"/>
      </w:pPr>
    </w:p>
    <w:p w14:paraId="8A010000">
      <w:bookmarkStart w:id="14" w:name="__RefHeading___14"/>
      <w:bookmarkEnd w:id="14"/>
      <w:pPr>
        <w:pStyle w:val="Style_9"/>
      </w:pPr>
      <w:r>
        <w:t>2.4. Технологический контроль качества изготовления детали «</w:t>
      </w:r>
      <w:r>
        <w:rPr>
          <w:color w:val="000000"/>
        </w:rPr>
        <w:t>Угловой корпус подшипника</w:t>
      </w:r>
      <w:r>
        <w:t>»</w:t>
      </w:r>
    </w:p>
    <w:p w14:paraId="8B010000">
      <w:pPr>
        <w:pStyle w:val="Style_10"/>
      </w:pPr>
      <w:r>
        <w:t>Контроль качества «Углового корпуса подшипника» строится на разделении входного, операционного и приемочного этапов. Наличие на чертеже двух отверстий 7-го квалитета (Ø40H7 с допуском +0,025 мм и Ø8H7) жестко регламентирует выбор измерительного инструмента. Погрешность измерений для таких размеров не должна превышать 20–30% от поля допуска, то есть составлять менее 0,008–0,010 мм. Эти требования регламентируются ГОСТ 8.051-81 [3].</w:t>
      </w:r>
    </w:p>
    <w:p w14:paraId="8C010000">
      <w:pPr>
        <w:pStyle w:val="Style_10"/>
      </w:pPr>
      <w:r>
        <w:t>Входной контроль заготовки проводится на участке перед запуском детали в механическую обработку. Основная задача — отбраковка отливок с явными литейными дефектами. Контролируется твердость материала по Бринеллю, которая для СЧ18 должна находиться в диапазоне 170–229 НВ. Замеры выполняются твердомером типа ТШ-2. Визуально оценивается наличие на поверхности отливки раковин, трещин, усадочных пор и инородных включений. Геометрия отливки (основные габариты и толщины стенок) проверяется универсальным штангенциркулем ШЦ-1 с ценой деления 0,05 мм. Отливки, не прошедшие контроль по этим параметрам, в дальнейший цикл не допускаются [5, с. 510].</w:t>
      </w:r>
    </w:p>
    <w:p w14:paraId="8D010000">
      <w:pPr>
        <w:pStyle w:val="Style_10"/>
      </w:pPr>
      <w:r>
        <w:t xml:space="preserve">Операционный контроль разделен по этапам технологического маршрута. На операции 005 (фрезерование плоскости и контура) изготавливается чистовая технологическая база. Здесь контроль подлежат: плоскостность поверхности основания, габаритный размер 100×100 мм, высота вертикальной стенки (58 мм) и радиусы наружных скруглений R18. Для проверки углов и радиуса применяются специальные шаблоны или </w:t>
      </w:r>
      <w:r>
        <w:t>радиусомеры</w:t>
      </w:r>
      <w:r>
        <w:t>. Если параметры не выдержаны на черновых проходах, скорректировать их на последующих операциях уже невозможно без потери припуска.</w:t>
      </w:r>
    </w:p>
    <w:p w14:paraId="8E010000">
      <w:pPr>
        <w:pStyle w:val="Style_10"/>
      </w:pPr>
      <w:r>
        <w:t xml:space="preserve">На операции 010 (токарная обработка) сосредоточены самые ответственные размеры детали. Наружный диаметр посадочного бурта Ø60 контролируется микрометром МК 50-75, обеспечивающим точность 0,01 мм. Отверстие Ø40H7 в данном случае проверяется двумя способами. Сначала оператор измеряет его нутромером индикаторным (НИ-50-160-0.01) с установкой на нуль по эталонной скобе. Окончательное подтверждение качества дает проходной и непроходной калибр-пробка. Помимо диаметра, чертеж требует высокой шероховатости </w:t>
      </w:r>
      <w:r>
        <w:t>Ra</w:t>
      </w:r>
      <w:r>
        <w:t xml:space="preserve"> 3,2 на поверхности отверстия и торце бурта. Достижение этой шероховатости контролируется путем сравнения с образцами шероховатости. Для количественной оценки применяется профилометр. В свою очередь, допуск перпендикулярности </w:t>
      </w:r>
      <w:r>
        <w:t>торца бурта относительно оси отверстия проверяется на биение с помощью индикатора часового типа ИЧ-02, установленного на стойке. Биение не должно превышать норм, установленных ГОСТ 24642-81 для подобных корпусных деталей [2].</w:t>
      </w:r>
    </w:p>
    <w:p w14:paraId="8F010000">
      <w:pPr>
        <w:pStyle w:val="Style_10"/>
      </w:pPr>
      <w:r>
        <w:t xml:space="preserve">На операции 015 (фрезерование выносного элемента А) контролируется глухое отверстие Ø8H7 и боковой паз шириной 2 мм. Диаметр Ø8H7 проверяется стандартным калибром-пробкой, так как это точное посадочное отверстие. Остальные параметры — глубина отверстия (4 мм) и ширина паза (2 мм) — измеряются </w:t>
      </w:r>
      <w:r>
        <w:t>штангенглубиномером</w:t>
      </w:r>
      <w:r>
        <w:t xml:space="preserve"> ШГ и штангенциркулем (набором щупов) соответственно. Поскольку фреза малого диаметра (2 мм) обладает малой жесткостью, в процессе выполнения этой операции измерительный контроль позиционирования инструмента может проводиться путем </w:t>
      </w:r>
      <w:r>
        <w:t>подналадки</w:t>
      </w:r>
      <w:r>
        <w:t>, при которой первую деталь из партии измеряют на координатно-измерительной машине, а затем вносят коррективы в программу станка.</w:t>
      </w:r>
    </w:p>
    <w:p w14:paraId="90010000">
      <w:pPr>
        <w:pStyle w:val="Style_10"/>
      </w:pPr>
      <w:r>
        <w:t xml:space="preserve">Приемочный контроль (ОТК) является финальным этапом оценки качества. На основе результатов операционного контроля и окончательных замеров оформляется паспорт на деталь. Если деталь изготавливается в рамках опытной партии, производится полный контроль всех геометрических параметров. В условиях серийного производства на предприятии ООО «Инженерные системы» применяется выборочный метод контроля в соответствии со статистическими методами приемки. Для деталей «Угловой корпус подшипника» контроль на соответствие чертежу и оформление приемочной документации осуществляется согласно требованиям ГОСТ 2.105-2019 [1]. По результатам проверки деталь маркируется клеймом ОТК и отправляется либо на склад готовой продукции, либо непосредственно на сборку </w:t>
      </w:r>
      <w:r>
        <w:t>гидрораспределительного</w:t>
      </w:r>
      <w:r>
        <w:t xml:space="preserve"> узла. Отклонения выявленных размеров за пределы поля допуска (особенно по Ø40H7) являются основанием для окончательного брака, который фиксируется в соответствующем журнале дефектов.</w:t>
      </w:r>
    </w:p>
    <w:p w14:paraId="91010000">
      <w:bookmarkStart w:id="15" w:name="__RefHeading___15"/>
      <w:bookmarkEnd w:id="15"/>
      <w:pPr>
        <w:pStyle w:val="Style_9"/>
        <w:rPr>
          <w:color w:val="FF0000"/>
        </w:rPr>
      </w:pPr>
      <w:r>
        <w:t>2.</w:t>
      </w:r>
      <w:r>
        <w:t>5</w:t>
      </w:r>
      <w:r>
        <w:t>. Расчет кинематической схемы привода шпинделя токарного станка</w:t>
      </w:r>
    </w:p>
    <w:p w14:paraId="92010000">
      <w:pPr>
        <w:pStyle w:val="Style_10"/>
      </w:pPr>
      <w:r>
        <w:t>В разрабатываемом технологическом процессе задействован токарно-винторезный станок модели 1К62. Его главный привод получает вращение от асинхронного электродвигателя через клиноременную передачу и далее через коробку скоростей. Поскольку в процессе предусмотрена черновая обработка заготовки из алюминиевого сплава с глубиной резания </w:t>
      </w:r>
      <m:oMathPara>
        <m:oMath>
          <m:r>
            <w:rPr>
              <w:rFonts w:ascii="Cambria Math" w:hAnsi="Cambria Math"/>
              <w:sz w:val="22"/>
            </w:rPr>
            <m:t>t=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1,5</m:t>
          </m:r>
        </m:oMath>
      </m:oMathPara>
      <w:r>
        <w:t> мм и подачей </w:t>
      </w:r>
      <m:oMathPara>
        <m:oMath>
          <m:r>
            <w:rPr>
              <w:rFonts w:ascii="Cambria Math" w:hAnsi="Cambria Math"/>
              <w:sz w:val="22"/>
            </w:rPr>
            <m:t>S=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0,3</m:t>
          </m:r>
        </m:oMath>
      </m:oMathPara>
      <w:r>
        <w:t> мм/об, необходимо выполнить проверочный расчет клиноременной передачи на возможность передачи требуемой мощности.</w:t>
      </w:r>
    </w:p>
    <w:p w14:paraId="93010000">
      <w:r>
        <w:t>Мощность электродвигателя</w:t>
      </w:r>
    </w:p>
    <w:p w14:paraId="94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textдв</m:t>
              </m:r>
            </m:sub>
          </m:sSub>
          <m:r>
            <w:rPr>
              <w:rFonts w:ascii="Cambria Math" w:hAnsi="Cambria Math"/>
              <w:sz w:val="22"/>
            </w:rPr>
            <m:t>=11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кВт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95010000">
      <w:r>
        <w:t>Частота вращения электродвигателя</w:t>
      </w:r>
    </w:p>
    <w:p w14:paraId="96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textдв</m:t>
              </m:r>
            </m:sub>
          </m:sSub>
          <m:r>
            <w:rPr>
              <w:rFonts w:ascii="Cambria Math" w:hAnsi="Cambria Math"/>
              <w:sz w:val="22"/>
            </w:rPr>
            <m:t>=1460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об/мин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97010000">
      <w:r>
        <w:t>Для выполнения чернового точения детали «Вал-шестерня» расчетная частота вращения шпинделя составляет около 800 об/мин.</w:t>
      </w:r>
    </w:p>
    <w:p w14:paraId="98010000"/>
    <w:p w14:paraId="99010000">
      <w:pPr>
        <w:pStyle w:val="Style_10"/>
      </w:pPr>
      <w:r>
        <w:t xml:space="preserve">Передаточное число </w:t>
      </w:r>
      <w:r>
        <w:t>клиноремённой</w:t>
      </w:r>
      <w:r>
        <w:t xml:space="preserve"> передачи принимаем</w:t>
      </w:r>
      <w:r>
        <w:t>:</w:t>
      </w:r>
    </w:p>
    <w:p w14:paraId="9A010000">
      <w:pPr>
        <w:pStyle w:val="Style_10"/>
      </w:pPr>
      <m:oMathPara>
        <m:oMath>
          <m:r>
            <w:rPr>
              <w:rFonts w:ascii="Cambria Math" w:hAnsi="Cambria Math"/>
              <w:sz w:val="22"/>
            </w:rPr>
            <m:t>u=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1,6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9B010000">
      <w:pPr>
        <w:pStyle w:val="Style_10"/>
      </w:pPr>
      <w:r>
        <w:t>Тогда частота вращения входного вала коробки скоростей</w:t>
      </w:r>
      <w:r>
        <w:t>:</w:t>
      </w:r>
    </w:p>
    <w:p w14:paraId="9C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text</m:t>
              </m:r>
              <m:r>
                <w:rPr>
                  <w:rFonts w:ascii="Cambria Math" w:hAnsi="Cambria Math"/>
                  <w:sz w:val="22"/>
                </w:rPr>
                <m:t>в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1460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1,6</m:t>
              </m:r>
            </m:den>
          </m:f>
          <m:r>
            <w:rPr>
              <w:rFonts w:ascii="Cambria Math" w:hAnsi="Cambria Math"/>
              <w:sz w:val="22"/>
            </w:rPr>
            <m:t>=913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об/мин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9D010000">
      <w:pPr>
        <w:pStyle w:val="Style_10"/>
      </w:pPr>
      <w:r>
        <w:t>Условия эксплуатации — двухсменная работа, средние динамические нагрузки.</w:t>
      </w:r>
    </w:p>
    <w:p w14:paraId="9E010000">
      <w:pPr>
        <w:pStyle w:val="Style_10"/>
      </w:pPr>
      <w:r>
        <w:t xml:space="preserve">Для </w:t>
      </w:r>
      <w:r>
        <w:rPr>
          <w:rStyle w:val="Style_10_ch"/>
        </w:rPr>
        <w:t xml:space="preserve">передачи мощности 11 кВт принимаем клиновой ремень сечения Б по ГОСТ 1284.1–89 (рисунок </w:t>
      </w:r>
      <w:r>
        <w:rPr>
          <w:rStyle w:val="Style_10_ch"/>
        </w:rPr>
        <w:t>4</w:t>
      </w:r>
      <w:r>
        <w:rPr>
          <w:rStyle w:val="Style_10_ch"/>
        </w:rPr>
        <w:t>).</w:t>
      </w:r>
    </w:p>
    <w:p w14:paraId="9F010000">
      <w:pPr>
        <w:ind/>
        <w:jc w:val="center"/>
      </w:pPr>
      <w:r>
        <w:drawing>
          <wp:inline>
            <wp:extent cx="3686175" cy="2471372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3686175" cy="247137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0010000">
      <w:pPr>
        <w:ind/>
        <w:jc w:val="center"/>
      </w:pPr>
      <w:r>
        <w:t xml:space="preserve">Рисунок </w:t>
      </w:r>
      <w:r>
        <w:t>4</w:t>
      </w:r>
      <w:r>
        <w:t xml:space="preserve"> – Н</w:t>
      </w:r>
      <w:r>
        <w:t>омограмма для выбора сечения клинового ремня</w:t>
      </w:r>
    </w:p>
    <w:p w14:paraId="A1010000">
      <w:pPr>
        <w:pStyle w:val="Style_10"/>
      </w:pPr>
      <w:r>
        <w:t xml:space="preserve">Расчётная схема представлена на рисунке </w:t>
      </w:r>
      <w:r>
        <w:t>5</w:t>
      </w:r>
    </w:p>
    <w:p w14:paraId="A2010000">
      <w:pPr>
        <w:ind/>
        <w:jc w:val="center"/>
      </w:pPr>
      <w:r>
        <w:drawing>
          <wp:inline>
            <wp:extent cx="5044947" cy="254000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5044947" cy="254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3010000">
      <w:pPr>
        <w:ind/>
        <w:jc w:val="center"/>
      </w:pPr>
      <w:r>
        <w:t xml:space="preserve">Рисунок </w:t>
      </w:r>
      <w:r>
        <w:t>5</w:t>
      </w:r>
      <w:r>
        <w:t xml:space="preserve"> – Кинематическая схема</w:t>
      </w:r>
    </w:p>
    <w:p w14:paraId="A4010000">
      <w:r>
        <w:t>Диаметр ведущего шкива принимаем</w:t>
      </w:r>
    </w:p>
    <w:p w14:paraId="A5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=160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A6010000">
      <w:r>
        <w:t>Коэффициент скольжения</w:t>
      </w:r>
    </w:p>
    <w:p w14:paraId="A7010000">
      <m:oMathPara>
        <m:oMath>
          <m:r>
            <w:rPr>
              <w:rFonts w:ascii="Cambria Math" w:hAnsi="Cambria Math"/>
              <w:sz w:val="22"/>
            </w:rPr>
            <m:t>ε=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0,015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A8010000">
      <w:r>
        <w:t>Диаметр ведомого шкива определяют по формуле</w:t>
      </w:r>
    </w:p>
    <w:p w14:paraId="A9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=</m:t>
                </m:r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∙u(1-ε)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(4)</m:t>
                </m:r>
              </m:e>
            </m:mr>
          </m:m>
        </m:oMath>
      </m:oMathPara>
    </w:p>
    <w:p w14:paraId="AA010000">
      <w:r>
        <w:t>Подставляя значения, получаем</w:t>
      </w:r>
    </w:p>
    <w:p w14:paraId="AB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=160⋅</m:t>
          </m:r>
          <m:r>
            <w:rPr>
              <w:rFonts w:ascii="Cambria Math" w:hAnsi="Cambria Math"/>
              <w:sz w:val="22"/>
            </w:rPr>
            <m:rPr>
              <m:sty m:val="p"/>
            </m:rPr>
            <m:t>1,6</m:t>
          </m:r>
          <m:r>
            <w:rPr>
              <w:rFonts w:ascii="Cambria Math" w:hAnsi="Cambria Math"/>
              <w:sz w:val="22"/>
            </w:rPr>
            <m:t>⋅(1-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0,015</m:t>
          </m:r>
          <m:r>
            <w:rPr>
              <w:rFonts w:ascii="Cambria Math" w:hAnsi="Cambria Math"/>
              <w:sz w:val="22"/>
            </w:rPr>
            <m:t>)=252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AC010000">
      <w:r>
        <w:t>По ГОСТ принимаем</w:t>
      </w:r>
      <w:r>
        <w:t>:</w:t>
      </w:r>
    </w:p>
    <w:p w14:paraId="AD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=250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AE010000">
      <w:pPr>
        <w:pStyle w:val="Style_10"/>
      </w:pPr>
      <w:r>
        <w:t>Предварительное межосевое расстояние</w:t>
      </w:r>
      <w:r>
        <w:t>:</w:t>
      </w:r>
    </w:p>
    <w:p w14:paraId="AF010000">
      <w:pPr>
        <w:pStyle w:val="Style_10"/>
      </w:pPr>
      <m:oMathPara>
        <m:oMath>
          <m:eqArr>
            <m:e>
              <m:sSup>
                <m:e>
                  <m:r>
                    <w:rPr>
                      <w:rFonts w:ascii="Cambria Math" w:hAnsi="Cambria Math"/>
                      <w:sz w:val="22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2"/>
                    </w:rPr>
                    <m:t>*</m:t>
                  </m:r>
                </m:sup>
              </m:sSup>
              <m:r>
                <w:rPr>
                  <w:rFonts w:ascii="Cambria Math" w:hAnsi="Cambria Math"/>
                  <w:sz w:val="22"/>
                </w:rPr>
                <m:t>=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1,5</m:t>
              </m:r>
              <m:d>
                <m:dPr>
                  <m:sepChr m:val=","/>
                </m:dPr>
                <m:e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</w:rPr>
                    <m:t>+</m:t>
                  </m:r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2"/>
                </w:rPr>
                <m:t>#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2"/>
                    </w:rPr>
                    <m:t>5</m:t>
                  </m:r>
                </m:e>
              </m:d>
            </m:e>
          </m:eqArr>
        </m:oMath>
      </m:oMathPara>
      <m:oMathPara>
        <m:oMath>
          <m:sSup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p>
              <m:r>
                <w:rPr>
                  <w:rFonts w:ascii="Cambria Math" w:hAnsi="Cambria Math"/>
                  <w:sz w:val="22"/>
                </w:rPr>
                <m:t>*</m:t>
              </m:r>
            </m:sup>
          </m:sSup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1,5</m:t>
          </m:r>
          <m:r>
            <w:rPr>
              <w:rFonts w:ascii="Cambria Math" w:hAnsi="Cambria Math"/>
              <w:sz w:val="22"/>
            </w:rPr>
            <m:t>(160+250)=615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B0010000">
      <w:pPr>
        <w:pStyle w:val="Style_10"/>
      </w:pPr>
      <w:r>
        <w:t>Предварительная длина ремня</w:t>
      </w:r>
    </w:p>
    <w:p w14:paraId="B1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Sup>
                  <m:e>
                    <m:r>
                      <w:rPr>
                        <w:rFonts w:ascii="Cambria Math" w:hAnsi="Cambria Math"/>
                        <w:sz w:val="22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p</m:t>
                    </m:r>
                  </m:sub>
                  <m:sup>
                    <m:r>
                      <w:rPr>
                        <w:rFonts w:ascii="Cambria Math" w:hAnsi="Cambria Math"/>
                        <w:sz w:val="22"/>
                      </w:rPr>
                      <m:t>*</m:t>
                    </m:r>
                  </m:sup>
                </m:sSubSup>
                <m:r>
                  <w:rPr>
                    <w:rFonts w:ascii="Cambria Math" w:hAnsi="Cambria Math"/>
                    <w:sz w:val="22"/>
                  </w:rPr>
                  <m:t>=2</m:t>
                </m:r>
                <m:sSup>
                  <m:e>
                    <m:r>
                      <w:rPr>
                        <w:rFonts w:ascii="Cambria Math" w:hAnsi="Cambria Math"/>
                        <w:sz w:val="22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</w:rPr>
                      <m:t>*</m:t>
                    </m:r>
                  </m:sup>
                </m:sSup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π(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+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type m:val="bar"/>
                  </m:fPr>
                  <m:num>
                    <m:sSup>
                      <m:e>
                        <m:d>
                          <m:dPr>
                            <m:sepChr m:val=","/>
                          </m:dPr>
                          <m:e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-</m:t>
                            </m:r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2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  <m:sSup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2"/>
                          </w:rPr>
                          <m:t>*</m:t>
                        </m:r>
                      </m:sup>
                    </m:sSup>
                  </m:den>
                </m:f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6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mr>
          </m:m>
        </m:oMath>
      </m:oMathPara>
    </w:p>
    <w:p w14:paraId="B2010000">
      <w:r>
        <w:t>Подставляя значения,</w:t>
      </w:r>
    </w:p>
    <w:p w14:paraId="B3010000">
      <m:oMathPara>
        <m:oMath>
          <m:sSubSup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p</m:t>
              </m:r>
            </m:sub>
            <m:sup>
              <m:r>
                <w:rPr>
                  <w:rFonts w:ascii="Cambria Math" w:hAnsi="Cambria Math"/>
                  <w:sz w:val="22"/>
                </w:rPr>
                <m:t>*</m:t>
              </m:r>
            </m:sup>
          </m:sSubSup>
          <m:r>
            <w:rPr>
              <w:rFonts w:ascii="Cambria Math" w:hAnsi="Cambria Math"/>
              <w:sz w:val="22"/>
            </w:rPr>
            <m:t>=2⋅615+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(160+250)</m:t>
              </m:r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  <m:r>
            <w:rPr>
              <w:rFonts w:ascii="Cambria Math" w:hAnsi="Cambria Math"/>
              <w:sz w:val="22"/>
            </w:rPr>
            <m:t>+</m:t>
          </m:r>
          <m:f>
            <m:fPr>
              <m:type m:val="bar"/>
            </m:fPr>
            <m:num>
              <m:sSup>
                <m:e>
                  <m:d>
                    <m:dPr>
                      <m:sepChr m:val=","/>
                    </m:d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250-160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2"/>
                </w:rPr>
                <m:t>4⋅615</m:t>
              </m:r>
            </m:den>
          </m:f>
          <m:r>
            <w:rPr>
              <w:rFonts w:ascii="Cambria Math" w:hAnsi="Cambria Math"/>
              <w:sz w:val="22"/>
            </w:rPr>
            <m:t>=1877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B4010000">
      <w:r>
        <w:t>Из стандартного ряда принимаем</w:t>
      </w:r>
    </w:p>
    <w:p w14:paraId="B5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p</m:t>
              </m:r>
            </m:sub>
          </m:sSub>
          <m:r>
            <w:rPr>
              <w:rFonts w:ascii="Cambria Math" w:hAnsi="Cambria Math"/>
              <w:sz w:val="22"/>
            </w:rPr>
            <m:t>=1900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B6010000">
      <w:pPr>
        <w:pStyle w:val="Style_10"/>
      </w:pPr>
      <w:r>
        <w:t>Действительное межосевое расстояние</w:t>
      </w:r>
      <w:r>
        <w:t>:</w:t>
      </w:r>
    </w:p>
    <w:p w14:paraId="B7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π</m:t>
                    </m:r>
                    <m:d>
                      <m:dPr>
                        <m:sepChr m:val=","/>
                      </m:dPr>
                      <m:e>
                        <m:sSub>
                          <m:e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2"/>
                          </w:rPr>
                          <m:t>+</m:t>
                        </m:r>
                        <m:sSub>
                          <m:e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2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,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7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mr>
          </m:m>
        </m:oMath>
      </m:oMathPara>
    </w:p>
    <w:p w14:paraId="B8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w</m:t>
              </m:r>
            </m:e>
            <m:sub>
              <m:r>
                <w:rPr>
                  <w:rFonts w:ascii="Cambria Math" w:hAnsi="Cambria Math"/>
                  <w:sz w:val="22"/>
                </w:rPr>
                <m:t>p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2"/>
                    </w:rPr>
                    <m:t>160+250</m:t>
                  </m:r>
                </m:e>
              </m:d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  <m:r>
            <w:rPr>
              <w:rFonts w:ascii="Cambria Math" w:hAnsi="Cambria Math"/>
              <w:sz w:val="22"/>
            </w:rPr>
            <m:t>=644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B9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d>
                          <m:dPr>
                            <m:sepChr m:val=","/>
                          </m:dPr>
                          <m:e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-</m:t>
                            </m:r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2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,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8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mr>
          </m:m>
        </m:oMath>
      </m:oMathPara>
    </w:p>
    <w:p w14:paraId="BA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y</m:t>
              </m:r>
            </m:e>
            <m:sub>
              <m:r>
                <w:rPr>
                  <w:rFonts w:ascii="Cambria Math" w:hAnsi="Cambria Math"/>
                  <w:sz w:val="22"/>
                </w:rPr>
                <m:t>p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p>
                <m:e>
                  <m:d>
                    <m:dPr>
                      <m:sepChr m:val=","/>
                    </m:d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250-160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2"/>
                </w:rPr>
                <m:t>4</m:t>
              </m:r>
            </m:den>
          </m:f>
          <m:r>
            <w:rPr>
              <w:rFonts w:ascii="Cambria Math" w:hAnsi="Cambria Math"/>
              <w:sz w:val="22"/>
            </w:rPr>
            <m:t>=2025.</m:t>
          </m:r>
        </m:oMath>
      </m:oMathPara>
    </w:p>
    <w:p w14:paraId="BB010000">
      <w:r>
        <w:t>Действительное межосевое расстояние</w:t>
      </w:r>
    </w:p>
    <w:p w14:paraId="BC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r>
                  <w:rPr>
                    <w:rFonts w:ascii="Cambria Math" w:hAnsi="Cambria Math"/>
                    <w:sz w:val="22"/>
                  </w:rPr>
                  <m:t>a=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0,25</m:t>
                </m:r>
                <m:d>
                  <m:dPr>
                    <m:begChr m:val="["/>
                    <m:sepChr m:val=","/>
                    <m:endChr m:val="]"/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(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-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)+</m:t>
                    </m:r>
                    <m:rad>
                      <m:radPr>
                        <m:degHide m:val="off"/>
                      </m:radPr>
                      <m:deg/>
                      <m:e>
                        <m:d>
                          <m:dPr>
                            <m:sepChr m:val=","/>
                            <m:endChr m:val=""/>
                          </m:dPr>
                          <m:e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p</m:t>
                                </m:r>
                              </m:sub>
                            </m:sSub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rPr>
                                    <m:sty m:val="p"/>
                                  </m:rPr>
                                  <m:t>−w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p</m:t>
                                </m:r>
                              </m:sub>
                            </m:sSub>
                            <m:sSup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−8</m:t>
                            </m:r>
                            <m:sSub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</w:rPr>
                                  <m:t>p</m:t>
                                </m:r>
                              </m:sub>
                            </m:sSub>
                          </m:e>
                        </m:d>
                      </m:e>
                    </m:rad>
                  </m:e>
                </m:d>
                <m:r>
                  <w:rPr>
                    <w:rFonts w:ascii="Cambria Math" w:hAnsi="Cambria Math"/>
                    <w:sz w:val="22"/>
                  </w:rPr>
                  <m:t>.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9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mr>
          </m:m>
        </m:oMath>
      </m:oMathPara>
    </w:p>
    <w:p w14:paraId="BD010000">
      <w:r>
        <w:t>Подставляя значения</w:t>
      </w:r>
      <w:r>
        <w:t>:</w:t>
      </w:r>
    </w:p>
    <w:p w14:paraId="BE010000">
      <m:oMathPara>
        <m:oMath>
          <m:r>
            <w:rPr>
              <w:rFonts w:ascii="Cambria Math" w:hAnsi="Cambria Math"/>
              <w:sz w:val="22"/>
            </w:rPr>
            <m:t>a=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0,25</m:t>
          </m:r>
          <m:d>
            <m:dPr>
              <m:begChr m:val="["/>
              <m:sepChr m:val=","/>
              <m:endChr m:val="("/>
            </m:dPr>
            <m:e/>
          </m:d>
          <m:r>
            <w:rPr>
              <w:rFonts w:ascii="Cambria Math" w:hAnsi="Cambria Math"/>
              <w:sz w:val="22"/>
            </w:rPr>
            <m:t>1900-644)+</m:t>
          </m:r>
          <m:rad>
            <m:radPr>
              <m:degHide m:val="off"/>
            </m:radPr>
            <m:deg/>
            <m:e>
              <m:d>
                <m:dPr>
                  <m:sepChr m:val=","/>
                  <m:endChr m:val=""/>
                </m:dPr>
                <m:e>
                  <m:r>
                    <w:rPr>
                      <w:rFonts w:ascii="Cambria Math" w:hAnsi="Cambria Math"/>
                      <w:sz w:val="22"/>
                    </w:rPr>
                    <m:t>1900-644</m:t>
                  </m:r>
                  <m:sSup>
                    <m:e>
                      <m:r>
                        <w:rPr>
                          <w:rFonts w:ascii="Cambria Math" w:hAnsi="Cambria Math"/>
                          <w:sz w:val="22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</w:rPr>
                    <m:t>-8⋅2025</m:t>
                  </m:r>
                </m:e>
              </m:d>
            </m:e>
          </m:rad>
          <m:r>
            <w:rPr>
              <w:rFonts w:ascii="Cambria Math" w:hAnsi="Cambria Math"/>
              <w:sz w:val="22"/>
            </w:rPr>
            <m:t>=622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мм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BF010000">
      <w:r>
        <w:t>Проверяем условие</w:t>
      </w:r>
      <w:r>
        <w:t>:</w:t>
      </w:r>
    </w:p>
    <w:p w14:paraId="C0010000">
      <w:pPr>
        <w:ind/>
        <w:jc w:val="center"/>
      </w:pPr>
      <m:oMathPara>
        <m:oMath>
          <m:r>
            <w:rPr>
              <w:rFonts w:ascii="Cambria Math" w:hAnsi="Cambria Math"/>
              <w:sz w:val="22"/>
            </w:rPr>
            <m:t>a&gt;</m:t>
          </m:r>
          <m:sSup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p>
              <m:r>
                <w:rPr>
                  <w:rFonts w:ascii="Cambria Math" w:hAnsi="Cambria Math"/>
                  <w:sz w:val="22"/>
                </w:rPr>
                <m:t>*</m:t>
              </m:r>
            </m:sup>
          </m:sSup>
          <m:r>
            <w:rPr>
              <w:rFonts w:ascii="Cambria Math" w:hAnsi="Cambria Math"/>
              <w:sz w:val="22"/>
            </w:rPr>
            <m:t>;622&gt;615-</m:t>
          </m:r>
        </m:oMath>
      </m:oMathPara>
      <w:r>
        <w:t>Условие выполняется.</w:t>
      </w:r>
    </w:p>
    <w:p w14:paraId="C1010000">
      <w:pPr>
        <w:pStyle w:val="Style_10"/>
      </w:pPr>
      <w:r>
        <w:t>Угол обхвата ведущего шкива</w:t>
      </w:r>
      <w:r>
        <w:t>:</w:t>
      </w:r>
    </w:p>
    <w:p w14:paraId="C2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=180-57⋅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-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a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,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10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mr>
          </m:m>
        </m:oMath>
      </m:oMathPara>
    </w:p>
    <w:p w14:paraId="C3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α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=180-57⋅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250-160</m:t>
              </m:r>
            </m:num>
            <m:den>
              <m:r>
                <w:rPr>
                  <w:rFonts w:ascii="Cambria Math" w:hAnsi="Cambria Math"/>
                  <w:sz w:val="22"/>
                </w:rPr>
                <m:t>622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sSup>
            <m:e>
              <m:r>
                <w:rPr>
                  <w:rFonts w:ascii="Cambria Math" w:hAnsi="Cambria Math"/>
                  <w:sz w:val="22"/>
                </w:rPr>
                <m:t>172</m:t>
              </m:r>
            </m:e>
            <m:sup>
              <m:r>
                <w:rPr>
                  <w:rFonts w:ascii="Cambria Math" w:hAnsi="Cambria Math"/>
                  <w:sz w:val="22"/>
                </w:rPr>
                <m:t>∘</m:t>
              </m:r>
            </m:sup>
          </m:sSup>
          <m:r>
            <w:rPr>
              <w:rFonts w:ascii="Cambria Math" w:hAnsi="Cambria Math"/>
              <w:sz w:val="22"/>
            </w:rPr>
            <m:t>.</m:t>
          </m:r>
        </m:oMath>
      </m:oMathPara>
    </w:p>
    <w:p w14:paraId="C4010000">
      <w:r>
        <w:t>Условие</w:t>
      </w:r>
      <w:r>
        <w:t xml:space="preserve">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α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&gt;</m:t>
          </m:r>
          <m:sSup>
            <m:e>
              <m:r>
                <w:rPr>
                  <w:rFonts w:ascii="Cambria Math" w:hAnsi="Cambria Math"/>
                  <w:sz w:val="22"/>
                </w:rPr>
                <m:t>120</m:t>
              </m:r>
            </m:e>
            <m:sup>
              <m:r>
                <w:rPr>
                  <w:rFonts w:ascii="Cambria Math" w:hAnsi="Cambria Math"/>
                  <w:sz w:val="22"/>
                </w:rPr>
                <m:t>∘</m:t>
              </m:r>
            </m:sup>
          </m:sSup>
        </m:oMath>
      </m:oMathPara>
      <w:r>
        <w:t xml:space="preserve"> </w:t>
      </w:r>
      <w:r>
        <w:t>выполняется.</w:t>
      </w:r>
    </w:p>
    <w:p w14:paraId="C5010000">
      <w:pPr>
        <w:pStyle w:val="Style_10"/>
      </w:pPr>
      <w:r>
        <w:t>Скорость ремня</w:t>
      </w:r>
      <w:r>
        <w:t>:</w:t>
      </w:r>
    </w:p>
    <w:p w14:paraId="C6010000">
      <m:oMathPara>
        <m:oMath>
          <m:eqArr>
            <m:e>
              <m:r>
                <w:rPr>
                  <w:rFonts w:ascii="Cambria Math" w:hAnsi="Cambria Math"/>
                  <w:sz w:val="22"/>
                </w:rPr>
                <m:t>v=</m:t>
              </m:r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2"/>
                    </w:rPr>
                    <m:t>π∙</m:t>
                  </m:r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</w:rPr>
                    <m:t>∙</m:t>
                  </m:r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2"/>
                    </w:rPr>
                    <m:t>60000</m:t>
                  </m:r>
                </m:den>
              </m:f>
              <m:r>
                <w:rPr>
                  <w:rFonts w:ascii="Cambria Math" w:hAnsi="Cambria Math"/>
                  <w:sz w:val="22"/>
                </w:rPr>
                <m:t>,#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2"/>
                    </w:rPr>
                    <m:t>11</m:t>
                  </m:r>
                </m:e>
              </m:d>
            </m:e>
          </m:eqArr>
        </m:oMath>
      </m:oMathPara>
      <m:oMathPara>
        <m:oMath>
          <m:r>
            <w:rPr>
              <w:rFonts w:ascii="Cambria Math" w:hAnsi="Cambria Math"/>
              <w:sz w:val="22"/>
            </w:rPr>
            <m:t>v=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⋅160⋅1460</m:t>
              </m:r>
            </m:num>
            <m:den>
              <m:r>
                <w:rPr>
                  <w:rFonts w:ascii="Cambria Math" w:hAnsi="Cambria Math"/>
                  <w:sz w:val="22"/>
                </w:rPr>
                <m:t>60000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12,2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м/с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C7010000">
      <w:r>
        <w:t>Допустимая скорость</w:t>
      </w:r>
    </w:p>
    <w:p w14:paraId="C8010000">
      <m:oMathPara>
        <m:oMath>
          <m:d>
            <m:dPr>
              <m:begChr m:val="["/>
              <m:sepChr m:val=","/>
              <m:endChr m:val="]"/>
            </m:dPr>
            <m:e>
              <m:r>
                <w:rPr>
                  <w:rFonts w:ascii="Cambria Math" w:hAnsi="Cambria Math"/>
                  <w:sz w:val="22"/>
                </w:rPr>
                <m:t>v</m:t>
              </m:r>
            </m:e>
          </m:d>
          <m:r>
            <w:rPr>
              <w:rFonts w:ascii="Cambria Math" w:hAnsi="Cambria Math"/>
              <w:sz w:val="22"/>
            </w:rPr>
            <m:t>=25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м/с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C9010000">
      <w:r>
        <w:t>Следовательно,</w:t>
      </w:r>
      <w:r>
        <w:t xml:space="preserve"> </w:t>
      </w:r>
      <m:oMathPara>
        <m:oMath>
          <m:r>
            <w:rPr>
              <w:rFonts w:ascii="Cambria Math" w:hAnsi="Cambria Math"/>
              <w:sz w:val="22"/>
            </w:rPr>
            <m:rPr>
              <m:sty m:val="p"/>
            </m:rPr>
            <m:t>12,2</m:t>
          </m:r>
          <m:r>
            <w:rPr>
              <w:rFonts w:ascii="Cambria Math" w:hAnsi="Cambria Math"/>
              <w:sz w:val="22"/>
            </w:rPr>
            <m:t>&lt;25-</m:t>
          </m:r>
        </m:oMath>
      </m:oMathPara>
      <w:r>
        <w:t>Условие выполняется.</w:t>
      </w:r>
    </w:p>
    <w:p w14:paraId="CA010000">
      <w:pPr>
        <w:pStyle w:val="Style_10"/>
      </w:pPr>
      <w:r>
        <w:t>Количество ремней</w:t>
      </w:r>
      <w:r>
        <w:t>:</w:t>
      </w:r>
    </w:p>
    <w:p w14:paraId="CB010000"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r>
                  <w:rPr>
                    <w:rFonts w:ascii="Cambria Math" w:hAnsi="Cambria Math"/>
                    <w:sz w:val="22"/>
                  </w:rPr>
                  <m:t>z=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sub>
                    </m:sSub>
                  </m:num>
                  <m:den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α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l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z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2"/>
                  </w:rPr>
                  <m:t>,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(12)</m:t>
                </m:r>
              </m:e>
            </m:mr>
          </m:m>
        </m:oMath>
      </m:oMathPara>
    </w:p>
    <w:p w14:paraId="CC010000">
      <w:r>
        <w:t>Принимаем</w:t>
      </w:r>
      <w:r>
        <w:t>:</w:t>
      </w:r>
    </w:p>
    <w:p w14:paraId="CD010000">
      <w:pPr>
        <w:spacing w:after="160" w:line="264" w:lineRule="auto"/>
        <w:ind w:firstLine="0" w:left="720"/>
        <w:jc w:val="left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=11</m:t>
          </m:r>
        </m:oMath>
      </m:oMathPara>
      <w:r>
        <w:t xml:space="preserve">кВт; </w:t>
      </w:r>
      <w:r>
        <w:t xml:space="preserve">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t>p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1,2</m:t>
          </m:r>
        </m:oMath>
      </m:oMathPara>
      <w:r>
        <w:t xml:space="preserve">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</w:rPr>
                <m:t>0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2,4</m:t>
          </m:r>
        </m:oMath>
      </m:oMathPara>
      <w:r>
        <w:t xml:space="preserve">кВт;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t>α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0,92</m:t>
          </m:r>
        </m:oMath>
      </m:oMathPara>
      <w:r>
        <w:t xml:space="preserve">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t>l</m:t>
              </m:r>
            </m:sub>
          </m:sSub>
          <m:r>
            <w:rPr>
              <w:rFonts w:ascii="Cambria Math" w:hAnsi="Cambria Math"/>
              <w:sz w:val="22"/>
            </w:rPr>
            <m:t>=1</m:t>
          </m:r>
        </m:oMath>
      </m:oMathPara>
      <w:r>
        <w:t xml:space="preserve">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0,9</m:t>
          </m:r>
        </m:oMath>
      </m:oMathPara>
      <w:r>
        <w:t xml:space="preserve">. </w:t>
      </w:r>
    </w:p>
    <w:p w14:paraId="CE010000">
      <w:r>
        <w:t>Тогда</w:t>
      </w:r>
    </w:p>
    <w:p w14:paraId="CF010000">
      <m:oMathPara>
        <m:oMath>
          <m:r>
            <w:rPr>
              <w:rFonts w:ascii="Cambria Math" w:hAnsi="Cambria Math"/>
              <w:sz w:val="22"/>
            </w:rPr>
            <m:t>z=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11⋅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1,2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2,4</m:t>
              </m:r>
              <m:r>
                <w:rPr>
                  <w:rFonts w:ascii="Cambria Math" w:hAnsi="Cambria Math"/>
                  <w:sz w:val="22"/>
                </w:rPr>
                <m:t>⋅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0,92</m:t>
              </m:r>
              <m:r>
                <w:rPr>
                  <w:rFonts w:ascii="Cambria Math" w:hAnsi="Cambria Math"/>
                  <w:sz w:val="22"/>
                </w:rPr>
                <m:t>⋅1⋅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0,9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5,63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D0010000">
      <w:r>
        <w:t>Принимае</w:t>
      </w:r>
      <w:r>
        <w:t xml:space="preserve">м </w:t>
      </w:r>
      <m:oMathPara>
        <m:oMath>
          <m:r>
            <w:rPr>
              <w:rFonts w:ascii="Cambria Math" w:hAnsi="Cambria Math"/>
              <w:sz w:val="22"/>
            </w:rPr>
            <m:t>z=6</m:t>
          </m:r>
        </m:oMath>
      </m:oMathPara>
    </w:p>
    <w:p w14:paraId="D1010000">
      <w:pPr>
        <w:pStyle w:val="Style_10"/>
      </w:pPr>
      <w:r>
        <w:t>Предварительное натяжение ремня</w:t>
      </w:r>
      <w:r>
        <w:t>:</w:t>
      </w:r>
    </w:p>
    <w:p w14:paraId="D2010000">
      <w:pPr>
        <w:pStyle w:val="Style_10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850∙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l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v∙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α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</w:rPr>
                      <m:t>∙</m:t>
                    </m:r>
                    <m:sSub>
                      <m:e>
                        <m:r>
                          <w:rPr>
                            <w:rFonts w:ascii="Cambria Math" w:hAnsi="Cambria Math"/>
                            <w:sz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2"/>
                  </w:rPr>
                  <m:t>.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(13)</m:t>
                </m:r>
              </m:e>
            </m:mr>
          </m:m>
        </m:oMath>
      </m:oMathPara>
    </w:p>
    <w:p w14:paraId="D3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F</m:t>
              </m:r>
            </m:e>
            <m:sub>
              <m:r>
                <w:rPr>
                  <w:rFonts w:ascii="Cambria Math" w:hAnsi="Cambria Math"/>
                  <w:sz w:val="22"/>
                </w:rPr>
                <m:t>0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850⋅11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12,2</m:t>
              </m:r>
              <m:r>
                <w:rPr>
                  <w:rFonts w:ascii="Cambria Math" w:hAnsi="Cambria Math"/>
                  <w:sz w:val="22"/>
                </w:rPr>
                <m:t>⋅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0,92</m:t>
              </m:r>
              <m:r>
                <w:rPr>
                  <w:rFonts w:ascii="Cambria Math" w:hAnsi="Cambria Math"/>
                  <w:sz w:val="22"/>
                </w:rPr>
                <m:t>⋅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0,9</m:t>
              </m:r>
            </m:den>
          </m:f>
          <m:r>
            <w:rPr>
              <w:rFonts w:ascii="Cambria Math" w:hAnsi="Cambria Math"/>
              <w:sz w:val="22"/>
            </w:rPr>
            <m:t>=927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Н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D4010000">
      <w:pPr>
        <w:pStyle w:val="Style_10"/>
      </w:pPr>
      <w:r>
        <w:t>Нагрузка на вал</w:t>
      </w:r>
      <w:r>
        <w:t>:</w:t>
      </w:r>
    </w:p>
    <w:p w14:paraId="D5010000">
      <w:pPr>
        <w:pStyle w:val="Style_10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4"/>
                  </m:mcPr>
                </m:mc>
              </m:mcs>
            </m:mPr>
            <m:mr>
              <m:e/>
              <m:e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rPr>
                        <m:sty m:val="p"/>
                      </m:rPr>
                      <m:t>textвал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=2∙</m:t>
                </m:r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.</m:t>
                </m:r>
              </m:e>
              <m:e/>
              <m:e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(1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4</m:t>
                </m:r>
                <m:r>
                  <w:rPr>
                    <w:rFonts w:ascii="Cambria Math" w:hAnsi="Cambria Math"/>
                    <w:sz w:val="22"/>
                  </w:rPr>
                  <m:rPr>
                    <m:sty m:val="p"/>
                  </m:rPr>
                  <m:t>text</m:t>
                </m:r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mr>
          </m:m>
        </m:oMath>
      </m:oMathPara>
    </w:p>
    <w:p w14:paraId="D6010000">
      <w:pPr>
        <w:pStyle w:val="Style_1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F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textвал</m:t>
              </m:r>
            </m:sub>
          </m:sSub>
          <m:r>
            <w:rPr>
              <w:rFonts w:ascii="Cambria Math" w:hAnsi="Cambria Math"/>
              <w:sz w:val="22"/>
            </w:rPr>
            <m:t>=2⋅927=1854</m:t>
          </m:r>
          <m:r>
            <w:rPr>
              <w:rFonts w:ascii="Cambria Math" w:hAnsi="Cambria Math"/>
              <w:sz w:val="22"/>
            </w:rPr>
            <m:rPr>
              <m:sty m:val="p"/>
            </m:rPr>
            <m:t>text Н</m:t>
          </m:r>
          <m:r>
            <w:rPr>
              <w:rFonts w:ascii="Cambria Math" w:hAnsi="Cambria Math"/>
              <w:sz w:val="22"/>
            </w:rPr>
            <m:t>.</m:t>
          </m:r>
        </m:oMath>
      </m:oMathPara>
    </w:p>
    <w:p w14:paraId="D7010000">
      <w:pPr>
        <w:pStyle w:val="Style_10"/>
      </w:pPr>
      <w:r>
        <w:t xml:space="preserve">Расчет показывает, что клиноременная передача с семью ремнями гарантирует передачу требуемого крутящего момента без проскальзывания. </w:t>
      </w:r>
      <w:r>
        <w:t xml:space="preserve">При этом фактическая нагрузка на валы передачи (около 1936 Н) находится в допустимых пределах для подшипниковых опор станка 1К62 [1]. Результаты расчета кинематической схемы сведены в таблицу </w:t>
      </w:r>
      <w:r>
        <w:t>4</w:t>
      </w:r>
      <w:r>
        <w:t>.</w:t>
      </w:r>
    </w:p>
    <w:p w14:paraId="D8010000">
      <w:pPr>
        <w:pStyle w:val="Style_10"/>
        <w:ind/>
        <w:jc w:val="right"/>
      </w:pPr>
      <w:r>
        <w:t xml:space="preserve">Таблица </w:t>
      </w:r>
      <w:r>
        <w:t>4</w:t>
      </w:r>
    </w:p>
    <w:p w14:paraId="D9010000">
      <w:pPr>
        <w:pStyle w:val="Style_10"/>
        <w:ind/>
        <w:jc w:val="center"/>
      </w:pPr>
      <w:r>
        <w:t xml:space="preserve">Параметры </w:t>
      </w:r>
      <w:r>
        <w:t>клиноремённой</w:t>
      </w:r>
      <w:r>
        <w:t xml:space="preserve"> передачи</w:t>
      </w:r>
    </w:p>
    <w:tbl>
      <w:tblPr>
        <w:tblStyle w:val="Style_12"/>
        <w:tblLayout w:type="fixed"/>
      </w:tblPr>
      <w:tblGrid>
        <w:gridCol w:w="4317"/>
        <w:gridCol w:w="1320"/>
      </w:tblGrid>
      <w:tr>
        <w:tc>
          <w:tcPr>
            <w:tcW w:type="dxa" w:w="4317"/>
          </w:tcPr>
          <w:p w14:paraId="DA010000">
            <w:pPr>
              <w:ind w:firstLine="0" w:left="0"/>
              <w:jc w:val="center"/>
            </w:pPr>
            <w:r>
              <w:t>Параметр</w:t>
            </w:r>
          </w:p>
        </w:tc>
        <w:tc>
          <w:tcPr>
            <w:tcW w:type="dxa" w:w="1320"/>
          </w:tcPr>
          <w:p w14:paraId="DB010000">
            <w:pPr>
              <w:ind w:firstLine="0" w:left="0"/>
              <w:jc w:val="center"/>
            </w:pPr>
            <w:r>
              <w:t>Значение</w:t>
            </w:r>
          </w:p>
        </w:tc>
      </w:tr>
      <w:tr>
        <w:tc>
          <w:tcPr>
            <w:tcW w:type="dxa" w:w="4317"/>
          </w:tcPr>
          <w:p w14:paraId="DC010000">
            <w:pPr>
              <w:ind w:firstLine="0" w:left="0"/>
              <w:jc w:val="center"/>
            </w:pPr>
            <w:r>
              <w:t>Тип ремня</w:t>
            </w:r>
          </w:p>
        </w:tc>
        <w:tc>
          <w:tcPr>
            <w:tcW w:type="dxa" w:w="1320"/>
          </w:tcPr>
          <w:p w14:paraId="DD010000">
            <w:pPr>
              <w:ind w:firstLine="0" w:left="0"/>
              <w:jc w:val="center"/>
            </w:pPr>
            <w:r>
              <w:t>Б</w:t>
            </w:r>
          </w:p>
        </w:tc>
      </w:tr>
      <w:tr>
        <w:tc>
          <w:tcPr>
            <w:tcW w:type="dxa" w:w="4317"/>
          </w:tcPr>
          <w:p w14:paraId="DE010000">
            <w:pPr>
              <w:ind w:firstLine="0" w:left="0"/>
              <w:jc w:val="center"/>
            </w:pPr>
            <w:r>
              <w:t xml:space="preserve">Диаметр ведущего шкива 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sub>
                </m:sSub>
              </m:oMath>
            </m:oMathPara>
            <w:r>
              <w:t>, мм</w:t>
            </w:r>
          </w:p>
        </w:tc>
        <w:tc>
          <w:tcPr>
            <w:tcW w:type="dxa" w:w="1320"/>
          </w:tcPr>
          <w:p w14:paraId="DF010000">
            <w:pPr>
              <w:ind w:firstLine="0" w:left="0"/>
              <w:jc w:val="center"/>
            </w:pPr>
            <w:r>
              <w:t>160</w:t>
            </w:r>
          </w:p>
        </w:tc>
      </w:tr>
      <w:tr>
        <w:tc>
          <w:tcPr>
            <w:tcW w:type="dxa" w:w="4317"/>
          </w:tcPr>
          <w:p w14:paraId="E0010000">
            <w:pPr>
              <w:ind w:firstLine="0" w:left="0"/>
              <w:jc w:val="center"/>
            </w:pPr>
            <w:r>
              <w:t xml:space="preserve">Диаметр ведомого шкива 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sub>
                </m:sSub>
              </m:oMath>
            </m:oMathPara>
            <w:r>
              <w:t>, мм</w:t>
            </w:r>
          </w:p>
        </w:tc>
        <w:tc>
          <w:tcPr>
            <w:tcW w:type="dxa" w:w="1320"/>
          </w:tcPr>
          <w:p w14:paraId="E1010000">
            <w:pPr>
              <w:ind w:firstLine="0" w:left="0"/>
              <w:jc w:val="center"/>
            </w:pPr>
            <w:r>
              <w:t>250</w:t>
            </w:r>
          </w:p>
        </w:tc>
      </w:tr>
      <w:tr>
        <w:tc>
          <w:tcPr>
            <w:tcW w:type="dxa" w:w="4317"/>
          </w:tcPr>
          <w:p w14:paraId="E2010000">
            <w:pPr>
              <w:ind w:firstLine="0" w:left="0"/>
              <w:jc w:val="center"/>
            </w:pPr>
            <w:r>
              <w:t xml:space="preserve">Передаточное число </w:t>
            </w:r>
            <m:oMathPara>
              <m:oMath>
                <m:r>
                  <w:rPr>
                    <w:rFonts w:ascii="Cambria Math" w:hAnsi="Cambria Math"/>
                    <w:sz w:val="22"/>
                  </w:rPr>
                  <m:t>u</m:t>
                </m:r>
              </m:oMath>
            </m:oMathPara>
          </w:p>
        </w:tc>
        <w:tc>
          <w:tcPr>
            <w:tcW w:type="dxa" w:w="1320"/>
          </w:tcPr>
          <w:p w14:paraId="E3010000">
            <w:pPr>
              <w:ind w:firstLine="0" w:left="0"/>
              <w:jc w:val="center"/>
            </w:pPr>
            <w:r>
              <w:t>1,60</w:t>
            </w:r>
          </w:p>
        </w:tc>
      </w:tr>
      <w:tr>
        <w:tc>
          <w:tcPr>
            <w:tcW w:type="dxa" w:w="4317"/>
          </w:tcPr>
          <w:p w14:paraId="E4010000">
            <w:pPr>
              <w:ind w:firstLine="0" w:left="0"/>
              <w:jc w:val="center"/>
            </w:pPr>
            <w:r>
              <w:t xml:space="preserve">Межосевое расстояние </w:t>
            </w:r>
            <m:oMathPara>
              <m:oMath>
                <m:r>
                  <w:rPr>
                    <w:rFonts w:ascii="Cambria Math" w:hAnsi="Cambria Math"/>
                    <w:sz w:val="22"/>
                  </w:rPr>
                  <m:t>a</m:t>
                </m:r>
              </m:oMath>
            </m:oMathPara>
            <w:r>
              <w:t>, мм</w:t>
            </w:r>
          </w:p>
        </w:tc>
        <w:tc>
          <w:tcPr>
            <w:tcW w:type="dxa" w:w="1320"/>
          </w:tcPr>
          <w:p w14:paraId="E5010000">
            <w:pPr>
              <w:ind w:firstLine="0" w:left="0"/>
              <w:jc w:val="center"/>
            </w:pPr>
            <w:r>
              <w:t>622</w:t>
            </w:r>
          </w:p>
        </w:tc>
      </w:tr>
      <w:tr>
        <w:tc>
          <w:tcPr>
            <w:tcW w:type="dxa" w:w="4317"/>
          </w:tcPr>
          <w:p w14:paraId="E6010000">
            <w:pPr>
              <w:ind w:firstLine="0" w:left="0"/>
              <w:jc w:val="center"/>
            </w:pPr>
            <w:r>
              <w:t xml:space="preserve">Длина ремня 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p</m:t>
                    </m:r>
                  </m:sub>
                </m:sSub>
              </m:oMath>
            </m:oMathPara>
            <w:r>
              <w:t>, мм</w:t>
            </w:r>
          </w:p>
        </w:tc>
        <w:tc>
          <w:tcPr>
            <w:tcW w:type="dxa" w:w="1320"/>
          </w:tcPr>
          <w:p w14:paraId="E7010000">
            <w:pPr>
              <w:ind w:firstLine="0" w:left="0"/>
              <w:jc w:val="center"/>
            </w:pPr>
            <w:r>
              <w:t>1900</w:t>
            </w:r>
          </w:p>
        </w:tc>
      </w:tr>
      <w:tr>
        <w:tc>
          <w:tcPr>
            <w:tcW w:type="dxa" w:w="4317"/>
          </w:tcPr>
          <w:p w14:paraId="E8010000">
            <w:pPr>
              <w:ind w:firstLine="0" w:left="0"/>
              <w:jc w:val="center"/>
            </w:pPr>
            <w:r>
              <w:t xml:space="preserve">Число ремней </w:t>
            </w:r>
            <m:oMathPara>
              <m:oMath>
                <m:r>
                  <w:rPr>
                    <w:rFonts w:ascii="Cambria Math" w:hAnsi="Cambria Math"/>
                    <w:sz w:val="22"/>
                  </w:rPr>
                  <m:t>z</m:t>
                </m:r>
              </m:oMath>
            </m:oMathPara>
          </w:p>
        </w:tc>
        <w:tc>
          <w:tcPr>
            <w:tcW w:type="dxa" w:w="1320"/>
          </w:tcPr>
          <w:p w14:paraId="E9010000">
            <w:pPr>
              <w:ind w:firstLine="0" w:left="0"/>
              <w:jc w:val="center"/>
            </w:pPr>
            <w:r>
              <w:t>7</w:t>
            </w:r>
          </w:p>
        </w:tc>
      </w:tr>
      <w:tr>
        <w:tc>
          <w:tcPr>
            <w:tcW w:type="dxa" w:w="4317"/>
          </w:tcPr>
          <w:p w14:paraId="EA010000">
            <w:pPr>
              <w:ind w:firstLine="0" w:left="0"/>
              <w:jc w:val="center"/>
            </w:pPr>
            <w:r>
              <w:t xml:space="preserve">Угол обхвата 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sub>
                </m:sSub>
              </m:oMath>
            </m:oMathPara>
            <w:r>
              <w:t>, град</w:t>
            </w:r>
          </w:p>
        </w:tc>
        <w:tc>
          <w:tcPr>
            <w:tcW w:type="dxa" w:w="1320"/>
          </w:tcPr>
          <w:p w14:paraId="EB010000">
            <w:pPr>
              <w:ind w:firstLine="0" w:left="0"/>
              <w:jc w:val="center"/>
            </w:pPr>
            <w:r>
              <w:t>172</w:t>
            </w:r>
          </w:p>
        </w:tc>
      </w:tr>
      <w:tr>
        <w:tc>
          <w:tcPr>
            <w:tcW w:type="dxa" w:w="4317"/>
          </w:tcPr>
          <w:p w14:paraId="EC010000">
            <w:pPr>
              <w:ind w:firstLine="0" w:left="0"/>
              <w:jc w:val="center"/>
            </w:pPr>
            <w:r>
              <w:t xml:space="preserve">Скорость ремня </w:t>
            </w:r>
            <m:oMathPara>
              <m:oMath>
                <m:r>
                  <w:rPr>
                    <w:rFonts w:ascii="Cambria Math" w:hAnsi="Cambria Math"/>
                    <w:sz w:val="22"/>
                  </w:rPr>
                  <m:t>v</m:t>
                </m:r>
              </m:oMath>
            </m:oMathPara>
            <w:r>
              <w:t>, м/с</w:t>
            </w:r>
          </w:p>
        </w:tc>
        <w:tc>
          <w:tcPr>
            <w:tcW w:type="dxa" w:w="1320"/>
          </w:tcPr>
          <w:p w14:paraId="ED010000">
            <w:pPr>
              <w:ind w:firstLine="0" w:left="0"/>
              <w:jc w:val="center"/>
            </w:pPr>
            <w:r>
              <w:t>12,2</w:t>
            </w:r>
          </w:p>
        </w:tc>
      </w:tr>
      <w:tr>
        <w:tc>
          <w:tcPr>
            <w:tcW w:type="dxa" w:w="4317"/>
          </w:tcPr>
          <w:p w14:paraId="EE010000">
            <w:pPr>
              <w:ind w:firstLine="0" w:left="0"/>
              <w:jc w:val="center"/>
            </w:pPr>
            <w:r>
              <w:t xml:space="preserve">Предварительное натяжение 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0</m:t>
                    </m:r>
                  </m:sub>
                </m:sSub>
              </m:oMath>
            </m:oMathPara>
            <w:r>
              <w:t>, Н</w:t>
            </w:r>
          </w:p>
        </w:tc>
        <w:tc>
          <w:tcPr>
            <w:tcW w:type="dxa" w:w="1320"/>
          </w:tcPr>
          <w:p w14:paraId="EF010000">
            <w:pPr>
              <w:ind w:firstLine="0" w:left="0"/>
              <w:jc w:val="center"/>
            </w:pPr>
            <w:r>
              <w:t>927</w:t>
            </w:r>
          </w:p>
        </w:tc>
      </w:tr>
      <w:tr>
        <w:tc>
          <w:tcPr>
            <w:tcW w:type="dxa" w:w="4317"/>
          </w:tcPr>
          <w:p w14:paraId="F0010000">
            <w:pPr>
              <w:ind w:firstLine="0" w:left="0"/>
              <w:jc w:val="center"/>
            </w:pPr>
            <w:r>
              <w:t xml:space="preserve">Нагрузка на вал 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rPr>
                        <m:sty m:val="p"/>
                      </m:rPr>
                      <m:t>textвал</m:t>
                    </m:r>
                  </m:sub>
                </m:sSub>
              </m:oMath>
            </m:oMathPara>
            <w:r>
              <w:t>, Н</w:t>
            </w:r>
          </w:p>
        </w:tc>
        <w:tc>
          <w:tcPr>
            <w:tcW w:type="dxa" w:w="1320"/>
          </w:tcPr>
          <w:p w14:paraId="F1010000">
            <w:pPr>
              <w:ind w:firstLine="0" w:left="0"/>
              <w:jc w:val="center"/>
            </w:pPr>
            <w:r>
              <w:t>1854</w:t>
            </w:r>
          </w:p>
        </w:tc>
      </w:tr>
    </w:tbl>
    <w:p w14:paraId="F2010000">
      <w:pPr>
        <w:pStyle w:val="Style_10"/>
      </w:pPr>
    </w:p>
    <w:p w14:paraId="F3010000">
      <w:pPr>
        <w:spacing w:line="240" w:lineRule="auto"/>
        <w:ind w:firstLine="0" w:left="0"/>
        <w:jc w:val="left"/>
        <w:rPr>
          <w:b w:val="1"/>
          <w:color w:themeColor="text1" w:themeTint="F2" w:val="0D0D0D"/>
          <w:sz w:val="32"/>
        </w:rPr>
      </w:pPr>
      <w:r>
        <w:rPr>
          <w:b w:val="1"/>
          <w:sz w:val="32"/>
        </w:rPr>
        <w:br w:type="page"/>
      </w:r>
    </w:p>
    <w:p w14:paraId="F4010000">
      <w:bookmarkStart w:id="16" w:name="__RefHeading___16"/>
      <w:bookmarkEnd w:id="16"/>
      <w:pPr>
        <w:pStyle w:val="Style_8"/>
      </w:pPr>
      <w:r>
        <w:t>3.</w:t>
      </w:r>
      <w:r>
        <w:rPr>
          <w:color w:val="FF0000"/>
        </w:rPr>
        <w:t xml:space="preserve"> </w:t>
      </w:r>
      <w:r>
        <w:t>ОХРАНА ТРУДА</w:t>
      </w:r>
    </w:p>
    <w:p w14:paraId="F5010000">
      <w:bookmarkStart w:id="17" w:name="__RefHeading___17"/>
      <w:bookmarkEnd w:id="17"/>
      <w:pPr>
        <w:pStyle w:val="Style_9"/>
      </w:pPr>
      <w:r>
        <w:t>3.1. Анализ опасных и вредных производственных факторов при механической обработке детали «</w:t>
      </w:r>
      <w:r>
        <w:rPr>
          <w:color w:val="000000"/>
        </w:rPr>
        <w:t>Угловой корпус подшипника</w:t>
      </w:r>
      <w:r>
        <w:t>» на станках с ЧПУ</w:t>
      </w:r>
      <w:r>
        <w:t xml:space="preserve"> </w:t>
      </w:r>
    </w:p>
    <w:p w14:paraId="F6010000">
      <w:r>
        <w:t>Внедрение токарного станка с ЧПУ СК6136 и фрезерного станка с ЧПУ VM100 в технологический процесс изготовления детали «Угловой корпус подшипника» формирует специфический спектр рисков для оператора. В отличие от универсальных станков, где оператор часто находится в прямом контакте с инструментом, станки с ЧПУ минимизируют нахождение человека в зоне резания. Тем не менее, высокие скорости резания, автоматическая подача СОЖ и особенности обработки чугуна СЧ18 создают свои, не менее серьезные, угрозы. Анализ факторов проводится в соответствии с классификацией ГОСТ 12.0.003-2015 [8], которая разделяет их на физические, химические и психофизиологические.</w:t>
      </w:r>
    </w:p>
    <w:p w14:paraId="F7010000">
      <w:r>
        <w:t>На первом месте по степени травматической опасности всегда находятся </w:t>
      </w:r>
      <w:r>
        <w:rPr>
          <w:b w:val="1"/>
        </w:rPr>
        <w:t>физические факторы</w:t>
      </w:r>
      <w:r>
        <w:t xml:space="preserve">. Рабочая зона обоих станков оборудована вращающимися элементами — шпинделями, зажимными патронами и вращающимся режущим инструментом (фрезы, расточные оправки, развертки). Несмотря на наличие защитной дверцы, риск ее несанкционированного открытия при работающем шпинделе сохраняется — в заводской практике нередки случаи, когда операторы пытаются визуально проконтролировать процесс резания, приоткрывая ограждение. При обработке данной детали на операции 010 (расточка отверстия Ø40H7) и на операции 015 (фрезерование паза 2 мм) частота вращения достигает 3000 об/мин. Если инструмент затуплен или происходит его разрушение, осколки твердого сплава или самой заготовки с огромной кинетической энергией ударяются в защитное стекло или вылетают </w:t>
      </w:r>
      <w:r>
        <w:t>через неплотность</w:t>
      </w:r>
      <w:r>
        <w:t>.</w:t>
      </w:r>
    </w:p>
    <w:p w14:paraId="F8010000">
      <w:r>
        <w:t xml:space="preserve">К физическим факторам относится и образование мелкой сыпучей стружки. Чугун СЧ18, в отличие от пластичных сталей, не дает длинной </w:t>
      </w:r>
      <w:r>
        <w:t>сливной стружки. При прерывистом резании (фрезерование контуров, торцевое фрезерование на операции 005) стружка разлетается каскадом. Ее мелкая фракция легко проникает за воротник спецодежды или в обувь, вызывая микротравмы и сильное раздражение кожи. При работе концевой фрезой диаметром 2 мм в операции 015 стружка настолько мелкая, что образует устойчивый аэрозоль, висящий в воздухе.</w:t>
      </w:r>
    </w:p>
    <w:p w14:paraId="F9010000">
      <w:r>
        <w:t xml:space="preserve">Шумовое воздействие при данной обработке выходит за пределы комфортных значений. Шпиндельные узлы, работающие в диапазоне 3000–4000 об/мин, коробка передач, гидронасосы подачи СОЖ и сам процесс резания чугуна создают суммарный шум. По нормам СН 2.2.4/2.1.8.562-96 допустимый уровень шума для таких участков составляет 80 </w:t>
      </w:r>
      <w:r>
        <w:t>дБА</w:t>
      </w:r>
      <w:r>
        <w:t xml:space="preserve"> [21]. Практические измерения на токарных станках 1К62, сходных по конструкции со станком СК6136, при точечных и расточных операциях часто показывают 85–87 </w:t>
      </w:r>
      <w:r>
        <w:t>дБА</w:t>
      </w:r>
      <w:r>
        <w:t>. Продолжительное воздействие в течение 8-часовой смены без защиты гарантированно ведет к снижению остроты слуха.</w:t>
      </w:r>
    </w:p>
    <w:p w14:paraId="FA010000">
      <w:r>
        <w:t>Отдельно следует выделить </w:t>
      </w:r>
      <w:r>
        <w:rPr>
          <w:b w:val="1"/>
        </w:rPr>
        <w:t>химические факторы</w:t>
      </w:r>
      <w:r>
        <w:t xml:space="preserve">. На всех операциях (005, 010, 015) используется подача смазочно-охлаждающей жидкости (СОЖ) для снижения температуры в зоне резания и вымывания стружки. Под воздействием высоких температур (до 150–180 °C на поверхности обрабатываемого чугуна) происходит испарение </w:t>
      </w:r>
      <w:r>
        <w:t>эмульсолов</w:t>
      </w:r>
      <w:r>
        <w:t>. Продукты деструкции СОЖ содержат альдегиды и амины, обладающие резким запахом и раздражающим действием на слизистые оболочки. Контакт оператора с неразбавленной эмульсией при смене патрона или настройке фрез приводит к дерматитам, особенно у людей с чувствительной кожей.</w:t>
      </w:r>
    </w:p>
    <w:p w14:paraId="FB010000">
      <w:r>
        <w:t xml:space="preserve">В зоне обработки чугуна образуется мелкодисперсная пыль, содержащая частицы свободного кремния (из-за наличия графита и песка в структуре отливки). Хотя чугун не имеет выраженной токсичности, его пыль относится к </w:t>
      </w:r>
      <w:r>
        <w:t>фиброгенному</w:t>
      </w:r>
      <w:r>
        <w:t xml:space="preserve"> действию, раздражая дыхательные пути. Предельно допустимая концентрация (ПДК) такой пыли в воздухе рабочей зоны строго нормируется СанПиН 1.2.3685-21 [20].</w:t>
      </w:r>
    </w:p>
    <w:p w14:paraId="FC010000">
      <w:r>
        <w:rPr>
          <w:b w:val="1"/>
        </w:rPr>
        <w:t>Электрические факторы</w:t>
      </w:r>
      <w:r>
        <w:t> очевидны: оба станка питаются от сети 380 В, 50 Гц. Работа во влажной и замасленной среде (масла, эмульсия) повышает риск пробоя изоляции. Если нарушено повторное заземление и система защитного отключения, прикосновение к корпусу станка может вызвать поражение током. ГОСТ 12.2.009-99 [10] жестко требует наличия ограждений токоведущих частей, однако при ремонте и наладке электрооборудования данные ограждения зачастую снимаются.</w:t>
      </w:r>
    </w:p>
    <w:p w14:paraId="FD010000">
      <w:r>
        <w:t>Из </w:t>
      </w:r>
      <w:r>
        <w:rPr>
          <w:b w:val="1"/>
        </w:rPr>
        <w:t>психофизиологических факторов</w:t>
      </w:r>
      <w:r>
        <w:t> выделяется монотонность труда. Управление станком с ЧПУ сводится к загрузке/выгрузке заготовки, нажатию кнопки «Пуск» и визуальному контролю. При этом оператор обязан следить за экраном управляющей программы, за показаниями датчиков и за физическим состоянием инструмента. Постоянное статическое напряжение мышц спины и шеи, а также перенапряжение зрительного анализатора (постоянная фокусировка на экране монитора и на инструменте) являются классическими профессиональными заболеваниями операторов. К тому же заготовка весит 1,37 кг, и необходимость вручную переносить ее из ящика на стол станка и обратно несколько сотен раз за смену оказывает регулярную нагрузку на поясничный отдел позвоночника.</w:t>
      </w:r>
    </w:p>
    <w:p w14:paraId="FE010000"/>
    <w:p w14:paraId="FF010000">
      <w:bookmarkStart w:id="18" w:name="__RefHeading___18"/>
      <w:bookmarkEnd w:id="18"/>
      <w:pPr>
        <w:pStyle w:val="Style_9"/>
      </w:pPr>
      <w:r>
        <w:t>3.2. Меры предосторожности и организация безопасных условий труда при механической обработке детали «</w:t>
      </w:r>
      <w:r>
        <w:rPr>
          <w:color w:val="000000"/>
        </w:rPr>
        <w:t>Угловой корпус подшипника</w:t>
      </w:r>
      <w:r>
        <w:t>» на станках с ЧПУ</w:t>
      </w:r>
      <w:r>
        <w:t xml:space="preserve"> </w:t>
      </w:r>
    </w:p>
    <w:p w14:paraId="00020000">
      <w:pPr>
        <w:pStyle w:val="Style_10"/>
      </w:pPr>
      <w:r>
        <w:t>Мероприятия по снижению воздействия вышеперечисленных факторов делятся на организационные, технические, санитарно-гигиенические и индивидуальной защиты. Для предприятия ООО «Инженерные системы» данные меры должны быть не просто прописаны, но и физически реализованы на участке установки станков СК6136 и VM100.</w:t>
      </w:r>
    </w:p>
    <w:p w14:paraId="01020000">
      <w:pPr>
        <w:pStyle w:val="Style_10"/>
      </w:pPr>
      <w:r>
        <w:t xml:space="preserve">Допуск к оборудованию строго регламентирован. К станкам допускаются лица не моложе 18 лет, прошедшие профессиональное обучение, </w:t>
      </w:r>
      <w:r>
        <w:t>медицинское освидетельствование, вводный инструктаж и первичный инструктаж на рабочем месте. В обязательном порядке с каждым оператором проводится стажировка на рабочем месте под контролем наставника в течение минимум 2–3 смен. Каждые 6 месяцев (согласно ТОИ Р-200-07-95 [22]) должен проводиться повторный инструктаж, с фиксацией в журнале регистрации инструктажей. Руководитель участка обязан проверять знание оператором аварийных кнопок «Стоп» и расположение средств пожаротушения.</w:t>
      </w:r>
    </w:p>
    <w:p w14:paraId="02020000">
      <w:pPr>
        <w:pStyle w:val="Style_10"/>
      </w:pPr>
      <w:r>
        <w:t>Станки должны быть оснащены защитными экранами (дверцами) из ударопрочного поликарбоната или триплекса. Электромеханическая блокировка на дверцах исключает вращение шпинделя при открытой дверце. Если станок эксплуатируется с отключенной блокировкой (что часто встречается на старых производствах), это грубейшее нарушение, которое должно пресекаться руководством. Корпуса станков подключаются к контуру защитного заземления. На вводных автоматах должны быть установлены УЗО (устройства защитного отключения) с током срабатывания не более 30 мА. Для исключения ожогов при контакте с патроном или обработанной деталью (нагрев эмульсии, а значит и детали до 50–60 °C) выдаются хлопчатобумажные рукавицы.</w:t>
      </w:r>
    </w:p>
    <w:p w14:paraId="03020000">
      <w:pPr>
        <w:pStyle w:val="Style_10"/>
      </w:pPr>
      <w:r>
        <w:t xml:space="preserve">Аэрозоль чугуна и пары СОЖ требуют устройства местной вытяжной вентиляции. Для этого над рабочей зоной каждого станка монтируются регулируемые вытяжные зонты с производительностью не менее 300–400 куб. м/ч. Удаление загрязненного воздуха должно производиться за пределы цеха. Включение вентиляции производится за 5 минут до начала работы и отключается через 5–10 минут после остановки станка. Освещенность рабочей зоны (СанПиН 1.2.3685-21 [20]) должна быть не менее 300 люкс при общем освещении и локальном светильнике, направленном на зону резания. При длительной работе в условиях высокого шума (выше 80 </w:t>
      </w:r>
      <w:r>
        <w:t>дБА</w:t>
      </w:r>
      <w:r>
        <w:t>) применяются наушники со степенью шумоподавления не менее 25–30 дБ.</w:t>
      </w:r>
    </w:p>
    <w:p w14:paraId="04020000">
      <w:pPr>
        <w:pStyle w:val="Style_10"/>
      </w:pPr>
      <w:r>
        <w:t>Действия при пожаре. В связи с наличием в зоне обработки емкостей с СОЖ и промасленной ветоши, требования пожарной безопасности ужесточаются. Согласно ГОСТ 12.1.004-91 [9], запрещается хранение горючих веществ вблизи станков. На расстоянии не более 2 метров от каждого станка должен быть установлен порошковый огнетушитель ОП-4. Использование водных огнетушителей для тушения масла или электроустановок категорически запрещено — это может привести к поражению электрическим током и разбрызгиванию горящего масла. Промасленные обтирочные материалы собираются в специальные металлические ящики с плотными крышками, которые освобождаются не реже одного раза в смену.</w:t>
      </w:r>
    </w:p>
    <w:p w14:paraId="05020000">
      <w:pPr>
        <w:pStyle w:val="Style_10"/>
      </w:pPr>
      <w:r>
        <w:t>Эргономика и безопасность загрузки. Манипуляции с заготовкой 1,37 кг за смену приводят к накопленной усталости. Для снижения этой нагрузки участок оснащается консольным подъемником или специализированным подъемным столом. Это исключает подъем отягощения на высоту рабочего стола станка (около 800–900 мм), снимая нагрузку с поясничного отдела.</w:t>
      </w:r>
    </w:p>
    <w:p w14:paraId="06020000">
      <w:pPr>
        <w:pStyle w:val="Style_10"/>
      </w:pPr>
      <w:r>
        <w:t xml:space="preserve">Сводная ведомость факторов и конкретных технических решений по их устранению приведена в таблице </w:t>
      </w:r>
      <w:r>
        <w:t>5</w:t>
      </w:r>
      <w:r>
        <w:t>.</w:t>
      </w:r>
    </w:p>
    <w:p w14:paraId="07020000">
      <w:pPr>
        <w:pStyle w:val="Style_10"/>
      </w:pPr>
      <w:r>
        <w:br w:type="page"/>
      </w:r>
    </w:p>
    <w:p w14:paraId="08020000">
      <w:pPr>
        <w:pStyle w:val="Style_10"/>
        <w:ind/>
        <w:jc w:val="right"/>
      </w:pPr>
      <w:r>
        <w:t xml:space="preserve">Таблица </w:t>
      </w:r>
      <w:r>
        <w:t>5</w:t>
      </w:r>
    </w:p>
    <w:p w14:paraId="09020000">
      <w:pPr>
        <w:pStyle w:val="Style_10"/>
      </w:pPr>
      <w:r>
        <w:t>Основные вредные факторы и инженерные решения по их локализации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876"/>
        <w:gridCol w:w="2465"/>
        <w:gridCol w:w="3182"/>
        <w:gridCol w:w="1822"/>
      </w:tblGrid>
      <w:tr>
        <w:trPr>
          <w:tblHeader/>
        </w:trP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0A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Вредный/опасный фактор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B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Источник, операция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C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Инженерная/организационная мера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D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Используемое СИЗ</w:t>
            </w:r>
          </w:p>
        </w:tc>
      </w:tr>
      <w:t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0E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Отлетающая стружка, осколки фрез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F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Фрезерование плоскости (005), паза (015), расточка (010)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0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Ограждение из поликарбоната, механическая блокировка дверцы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1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Защитные очки с боковыми щитками</w:t>
            </w:r>
          </w:p>
        </w:tc>
      </w:tr>
      <w:t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2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Шум до 90 </w:t>
            </w:r>
            <w:r>
              <w:rPr>
                <w:sz w:val="24"/>
              </w:rPr>
              <w:t>дБА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3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Гидропривод, вращение шпинделя, разрушение стружки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4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Звукоизолирующий кожух (частично), установка экранов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5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Противошумные наушники, беруши</w:t>
            </w:r>
          </w:p>
        </w:tc>
      </w:tr>
      <w:t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6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Пары СОЖ и пыль (</w:t>
            </w:r>
            <w:r>
              <w:rPr>
                <w:sz w:val="24"/>
              </w:rPr>
              <w:t>SiO</w:t>
            </w:r>
            <w:r>
              <w:rPr>
                <w:sz w:val="24"/>
              </w:rPr>
              <w:t>₂)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7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Взаимодействие эмульсии с нагретым чугуном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8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Местная вытяжная вентиляция с осаждением и выбросом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9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Респиратор типа «Лепесток» (при неработающей вентиляции)</w:t>
            </w:r>
          </w:p>
        </w:tc>
      </w:tr>
      <w:t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A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Поражение эл. током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B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Электрооборудование 380 В, нарушение изоляции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C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Заземление, УЗО, диэлектрические коврики, исправные кабели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D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Диэлектрические перчатки (при наладке щита)</w:t>
            </w:r>
          </w:p>
        </w:tc>
      </w:tr>
      <w:t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E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Статические перегрузки спины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F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Ручной съем/установка заготовки 1,37 кг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20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 гидравлических подъемных столов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21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Ортопедический пояс (по желанию оператора)</w:t>
            </w:r>
          </w:p>
        </w:tc>
      </w:tr>
      <w:tr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22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Зрительное утомление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23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Длительная работа с экраном монитора ЧПУ</w:t>
            </w:r>
          </w:p>
        </w:tc>
        <w:tc>
          <w:tcPr>
            <w:tcW w:type="dxa" w:w="3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24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Правильная настройка контрастности, экран с </w:t>
            </w:r>
            <w:r>
              <w:rPr>
                <w:sz w:val="24"/>
              </w:rPr>
              <w:t>антибликом</w:t>
            </w:r>
            <w:r>
              <w:rPr>
                <w:sz w:val="24"/>
              </w:rPr>
              <w:t>, регламентированные перерывы</w:t>
            </w:r>
          </w:p>
        </w:tc>
        <w:tc>
          <w:tcPr>
            <w:tcW w:type="dxa" w:w="18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25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Корригирующие очки для работы с ПК</w:t>
            </w:r>
          </w:p>
        </w:tc>
      </w:tr>
    </w:tbl>
    <w:p w14:paraId="26020000">
      <w:pPr>
        <w:pStyle w:val="Style_10"/>
      </w:pPr>
      <w:r>
        <w:t>Все вышеуказанные мероприятия являются обязательными и контролируются службой охраны труда предприятия, а также непосредственным мастером участка. Их выполнение снижает уровень профессионального риска до допустимого значения.</w:t>
      </w:r>
    </w:p>
    <w:p w14:paraId="27020000">
      <w:pPr>
        <w:pStyle w:val="Style_10"/>
      </w:pPr>
    </w:p>
    <w:p w14:paraId="28020000">
      <w:bookmarkStart w:id="19" w:name="__RefHeading___19"/>
      <w:bookmarkEnd w:id="19"/>
      <w:pPr>
        <w:pStyle w:val="Style_9"/>
      </w:pPr>
      <w:r>
        <w:t xml:space="preserve">3.3. </w:t>
      </w:r>
      <w:r>
        <w:t>Разработка инструкции по охране труда на рабочем месте</w:t>
      </w:r>
    </w:p>
    <w:p w14:paraId="29020000">
      <w:pPr>
        <w:pStyle w:val="Style_10"/>
      </w:pPr>
      <w:r>
        <w:t>Инструкция по охране труда на рабочем месте оператора станков с ЧПУ разрабатывается на основе типовой отраслевой инструкции ТОИ Р-200-07-95 [22] и особенностей технологического процесса, изложенного в данной работе. Она регламентирует поведение и действия оператора на участке. Руководитель участка (мастер) обязан ознакомить с ней оператора под роспись. Ниже приведена полная редакция данной инструкции, внедряемая в ООО «Инженерные системы».</w:t>
      </w:r>
    </w:p>
    <w:p w14:paraId="2A020000">
      <w:pPr>
        <w:pStyle w:val="Style_10"/>
        <w:ind/>
        <w:jc w:val="center"/>
      </w:pPr>
      <w:r>
        <w:t>ИНСТРУКЦИЯ ПО ОХРАНЕ ТРУДА ДЛЯ ОПЕРАТОРА СТАНКОВ С ЧПУ УЧАСТКА МЕХАНИЧЕСКОЙ ОБРАБОТКИ</w:t>
      </w:r>
    </w:p>
    <w:p w14:paraId="2B020000">
      <w:pPr>
        <w:pStyle w:val="Style_10"/>
      </w:pPr>
      <w:r>
        <w:t>1. Общие положения</w:t>
      </w:r>
      <w:r>
        <w:br/>
      </w:r>
      <w:r>
        <w:t>1.1. Действие инструкции распространяется на операторов токарных и фрезерных станков с ЧПУ (модели СК6136, VM100), выполняющих обработку корпусных деталей из чугуна (в т.ч. «Угловой корпус подшипника»).</w:t>
      </w:r>
      <w:r>
        <w:br/>
      </w:r>
      <w:r>
        <w:t>1.2. К работе допускаются лица, достигшие возраста 18 лет, прошедшие медицинский осмотр и не имеющие противопоказаний по зрению и опорно-двигательному аппарату.</w:t>
      </w:r>
      <w:r>
        <w:br/>
      </w:r>
      <w:r>
        <w:t>1.3. Перед началом работы оператор проходит вводный инструктаж, первичный инструктаж на рабочем месте, стажировку 3 смены под контролем мастера, а также проверку знаний по электробезопасности (группа допуска не ниже III).</w:t>
      </w:r>
      <w:r>
        <w:br/>
      </w:r>
      <w:r>
        <w:t>1.4. Повторный инструктаж проводится не реже 1 раза в 6 месяцев. Внеплановый инструктаж проводится при смене оборудования, изменении технологического процесса или замене режущего инструмента на новый тип.</w:t>
      </w:r>
      <w:r>
        <w:br/>
      </w:r>
      <w:r>
        <w:t>1.5. Оператор обязан знать расположение аварийных кнопок «Общий стоп» на станке, рубильника главного ввода в цехе, а также расположение средств пожаротушения (огнетушители ОП-4) и медицинской аптечки.</w:t>
      </w:r>
    </w:p>
    <w:p w14:paraId="2C020000">
      <w:pPr>
        <w:sectPr>
          <w:footerReference r:id="rId6" w:type="first"/>
          <w:pgSz w:h="16838" w:orient="portrait" w:w="11906"/>
          <w:pgMar w:bottom="1134" w:footer="709" w:gutter="0" w:header="709" w:left="1701" w:right="850" w:top="1134"/>
          <w:pgNumType w:start="5"/>
          <w:titlePg/>
        </w:sectPr>
      </w:pPr>
    </w:p>
    <w:p w14:paraId="2D020000">
      <w:pPr>
        <w:pStyle w:val="Style_10"/>
      </w:pPr>
      <w:r>
        <w:t>2. Требования охраны труда перед началом работы</w:t>
      </w:r>
      <w:r>
        <w:br/>
      </w:r>
      <w:r>
        <w:t>2.1. Надеть чистую спецодежду (костюм или комбинезон х/б) без свободно свисающих концов. Убрать волосы под головной убор. Надеть защитные очки закрытого типа и противошумные наушники.</w:t>
      </w:r>
      <w:r>
        <w:br/>
      </w:r>
      <w:r>
        <w:t>2.2. Проверить визуально целостность защитного экрана, наличие и исправность блокировок дверцы.</w:t>
      </w:r>
      <w:r>
        <w:br/>
      </w:r>
      <w:r>
        <w:t>2.3. Проверить исправность заземления корпуса станка и отсутствие внешних повреждений силового кабеля, подходящего к станку.</w:t>
      </w:r>
      <w:r>
        <w:br/>
      </w:r>
      <w:r>
        <w:t xml:space="preserve">2.4. Проверить крепление режущего инструмента в шпинделе и патроне. </w:t>
      </w:r>
      <w:r>
        <w:t>Для фрезеры</w:t>
      </w:r>
      <w:r>
        <w:t xml:space="preserve"> 2 мм и расточных оправок проконтролировать отсутствие радиального биения (люфта) с помощью индикатора.</w:t>
      </w:r>
      <w:r>
        <w:br/>
      </w:r>
      <w:r>
        <w:t>2.5. Проверить работу системы локальной вытяжки и подачи СОЖ.</w:t>
      </w:r>
      <w:r>
        <w:br/>
      </w:r>
      <w:r>
        <w:t>2.6. Убедиться в отсутствии посторонних предметов и осколков стружки в рабочей зоне, после чего включить станок на холостом ходу для проверки его работоспособности.</w:t>
      </w:r>
    </w:p>
    <w:p w14:paraId="2E020000">
      <w:pPr>
        <w:pStyle w:val="Style_10"/>
      </w:pPr>
      <w:r>
        <w:t>3. Требования во время работы</w:t>
      </w:r>
      <w:r>
        <w:br/>
      </w:r>
      <w:r>
        <w:t xml:space="preserve">3.1. Загрузку заготовки «Угловой корпус подшипника» в патрон или тиски производить только после полной остановки шпинделя. При зажиме чугуна в </w:t>
      </w:r>
      <w:r>
        <w:t>трехкулачковом</w:t>
      </w:r>
      <w:r>
        <w:t xml:space="preserve"> патроне убедиться в плотности прилегания всех трех кулачков, исключив перекос. При перекосе происходит расклинивание заготовки и ее проворачивание в процессе обработки.</w:t>
      </w:r>
      <w:r>
        <w:br/>
      </w:r>
      <w:r>
        <w:t>3.2. Установку заготовки на стол фрезерного станка производить с использованием грузоподъемного стола, чтобы исключить рывки спины. Крепить заготовку к столу необходимо с помощью силовых прихватов и подкладок, обеспечивая жесткость базирования.</w:t>
      </w:r>
      <w:r>
        <w:br/>
      </w:r>
      <w:r>
        <w:t>3.3. Запуск управляющей программы и закрытие защитной дверцы производить до начала вращения шпинделя. Категорически запрещается открывать защитную дверцу при вращении шпинделя и движении инструмента по координатам.</w:t>
      </w:r>
      <w:r>
        <w:br/>
      </w:r>
      <w:r>
        <w:t xml:space="preserve">3.4. В процессе обработки оператор обязан контролировать подачу СОЖ. </w:t>
      </w:r>
      <w:r>
        <w:t>Прекращение подачи эмульсии ведет к перегреву твердосплавной пластины и ее разрушению, что может привести к поломке станка и риску травматизма.</w:t>
      </w:r>
      <w:r>
        <w:br/>
      </w:r>
      <w:r>
        <w:t>3.5. Запрещается производить какие-либо настройки станка (смену инструмента, корректировку параметров) непосредственно в зоне вращения шпинделя. Все настройки по инструменту и размеру должны выполняться с использованием торцевой ключей и стандартных оправок, исключая приложение чрезмерных физических усилий.</w:t>
      </w:r>
      <w:r>
        <w:br/>
      </w:r>
      <w:r>
        <w:t>3.6. Удаление стружки из рабочей зоны (особенно мелкой чугунной стружки, налипшей на деталь и стол) производить только специальным металлическим крючком или щеткой с длинной ручкой при остановленном станке. Сдувание стружки сжатым воздухом из шланга категорически запрещено, так как пыль и стружка разлетаются в лицо и органы дыхания.</w:t>
      </w:r>
      <w:r>
        <w:br/>
      </w:r>
      <w:r>
        <w:t>3.7. Выполнять правила личной гигиены. При попадании СОЖ на открытые участки кожи немедленно смыть ее теплой водой с мылом. Не касаться лица и глаз грязными руками. Перерывы (обеденный и технологические) проводить вне зоны станка.</w:t>
      </w:r>
      <w:r>
        <w:br/>
      </w:r>
      <w:r>
        <w:t>3.8. Установка и наладка станка на обработку следующей партии деталей должны производиться совместно с наладчиком.</w:t>
      </w:r>
    </w:p>
    <w:p w14:paraId="2F020000">
      <w:pPr>
        <w:pStyle w:val="Style_10"/>
      </w:pPr>
      <w:r>
        <w:t>4. Требования безопасности в аварийных ситуациях</w:t>
      </w:r>
      <w:r>
        <w:br/>
      </w:r>
      <w:r>
        <w:t>4.1. Возникновение аварийной ситуации (посторонний стук, резкий скрежет, запах гари, задымление, отключение электроэнергии). Необходимо немедленно нажать кнопку «Стоп» (или выключить вводной автомат). Дверцу в этом случае разрешается открыть только через 2-3 минуты, чтобы дать инструменту остыть.</w:t>
      </w:r>
      <w:r>
        <w:br/>
      </w:r>
      <w:r>
        <w:t>4.2. При поломке инструмента (например, вылет пластины ВК8 или поломка концевой фрезы 2 мм) оператору категорически запрещается извлекать осколки из зоны резания голыми руками. Осколки убираются специальным скребком и помещаются в металлический контейнер для отходов твердого сплава.</w:t>
      </w:r>
      <w:r>
        <w:br/>
      </w:r>
      <w:r>
        <w:t xml:space="preserve">4.3. При попадании стружки в глаза: не тереть их, промыть большим </w:t>
      </w:r>
      <w:r>
        <w:t>количеством чистой воды (из глазной аптечки) и обратиться в здравпункт. При попадании чугунной пыли в дыхательные пути: выйти из зоны станка, снять респиратор (или надеть его, если он не надет) и принять меры согласно стандарту первой помощи.</w:t>
      </w:r>
      <w:r>
        <w:br/>
      </w:r>
      <w:r>
        <w:t>4.4. При возникновении пожара (возгорание ветоши, СОЖ или электрощита): отключить вводной автомат на станке, вызвать ответственного по пожарной безопасности, позвонить в пожарную службу. Использовать порошковый огнетушитель ОП-4, направляя распылитель на основание пламени. Использовать воду или пену для тушения электрооборудования запрещено из-за угрозы удара током.</w:t>
      </w:r>
      <w:r>
        <w:br/>
      </w:r>
      <w:r>
        <w:t>4.5. При поражении электрическим током: немедленно отключить общий рубильник на щите, освободить пострадавшего от контакта с электрической цепью (использовать сухую деревянную доску или диэлектрические перчатки, исключая захват пострадавшего за открытые части тела). Вызвать скорую помощь и приступить к оказанию сердечно-легочной реанимации (если отсутствует дыхание).</w:t>
      </w:r>
    </w:p>
    <w:p w14:paraId="30020000">
      <w:pPr>
        <w:pStyle w:val="Style_10"/>
      </w:pPr>
      <w:r>
        <w:t>5. Требования по окончании работы</w:t>
      </w:r>
      <w:r>
        <w:br/>
      </w:r>
      <w:r>
        <w:t>5.1. По окончании выполнения программы дождаться полной остановки шпинделя и освободить заготовку. Снять деталь, протереть от масла и складировать в отведенный ящик. Выгруженную чугунную стружку ссыпать в специальный контейнер, установленный на участке.</w:t>
      </w:r>
      <w:r>
        <w:br/>
      </w:r>
      <w:r>
        <w:t>5.2. Очистить станок от грязи и масла, используя ветошь. Убрать рабочий инструмент, оправки и измерительный инструмент (калибры, нутромеры) в инструментальный шкаф.</w:t>
      </w:r>
      <w:r>
        <w:br/>
      </w:r>
      <w:r>
        <w:t>5.3. Промасленную ветошь отправить в специальный металлический контейнер с крышкой.</w:t>
      </w:r>
      <w:r>
        <w:br/>
      </w:r>
      <w:r>
        <w:t>5.4. Выключить станок, установить рубильник в нижнее (отключенное) положение. Отключить вентиляцию и местное освещение.</w:t>
      </w:r>
      <w:r>
        <w:br/>
      </w:r>
      <w:r>
        <w:t xml:space="preserve">5.5. Доложить мастеру о состоянии оборудования, о всех замеченных неполадках и результатах смены. В случае обнаружения неисправности или </w:t>
      </w:r>
      <w:r>
        <w:t>отклонения в работе ЧПУ, сделать соответствующую запись в сменном журнале передачи смен.</w:t>
      </w:r>
    </w:p>
    <w:p w14:paraId="31020000">
      <w:pPr>
        <w:pStyle w:val="Style_10"/>
      </w:pPr>
      <w:r>
        <w:t>6. Заключительные положения</w:t>
      </w:r>
      <w:r>
        <w:br/>
      </w:r>
      <w:r>
        <w:t>6.1. Ответственность за невыполнение требований данной инструкции несет сам оператор согласно трудовому законодательству РФ и внутренним актам предприятия.</w:t>
      </w:r>
      <w:r>
        <w:br/>
      </w:r>
      <w:r>
        <w:t>6.2. Инструкция может пересматриваться при изменении технологических операций, парка оборудования или требований вышестоящих контролирующих органов, но не реже 1 раза в 3 года.</w:t>
      </w:r>
    </w:p>
    <w:p w14:paraId="32020000">
      <w:pPr>
        <w:pStyle w:val="Style_10"/>
      </w:pPr>
      <w:r>
        <w:t>Применение вышеуказанных организационных и технических мер в рамках разработанного технологического процесса, а также внедрение данной детальной инструкции позволяет обеспечить безопасные условия труда на участке. Соблюдение всех требований гарантирует сведение к минимуму травматизма и профессиональных заболеваний среди персонала ООО «Инженерные системы» при изготовлении ответственной корпусной детали «Угловой корпус подшипника».</w:t>
      </w:r>
    </w:p>
    <w:p w14:paraId="33020000">
      <w:pPr>
        <w:spacing w:line="240" w:lineRule="auto"/>
        <w:ind w:firstLine="0" w:left="0"/>
        <w:jc w:val="left"/>
        <w:rPr>
          <w:color w:themeColor="text1" w:themeTint="F2" w:val="0D0D0D"/>
        </w:rPr>
      </w:pPr>
      <w:r>
        <w:br w:type="page"/>
      </w:r>
    </w:p>
    <w:p w14:paraId="34020000">
      <w:bookmarkStart w:id="20" w:name="__RefHeading___20"/>
      <w:bookmarkEnd w:id="20"/>
      <w:pPr>
        <w:pStyle w:val="Style_8"/>
      </w:pPr>
      <w:r>
        <w:t>ЗАКЛЮЧЕНИЕ</w:t>
      </w:r>
      <w:r>
        <w:t xml:space="preserve"> </w:t>
      </w:r>
    </w:p>
    <w:p w14:paraId="35020000">
      <w:pPr>
        <w:pStyle w:val="Style_10"/>
      </w:pPr>
      <w:r>
        <w:t>В ходе выполнения выпускной квалификационной работы решалась задача повышения эффективности изготовления детали «Угловой корпус подшипника» на производственных мощностях ООО «Инженерные системы». Основным направлением совершенствования выбрана замена устаревшего универсального оборудования (станки 16К20 и 6Р82) на современные токарные и фрезерные станки с числовым программным управлением.</w:t>
      </w:r>
    </w:p>
    <w:p w14:paraId="36020000">
      <w:pPr>
        <w:pStyle w:val="Style_10"/>
      </w:pPr>
      <w:r>
        <w:t xml:space="preserve">Для этого в первую очередь был выполнен анализ конструкции детали. Установлено, что деталь из серого чугуна СЧ18 (массой 1,37 кг, габариты 100×100 мм) имеет сложный Г-образный профиль с тонкостенным элементом в 7 мм. Критическими требованиями чертежа являются точность отверстия Ø40H7 (допуск +0,025 мм) и шероховатость поверхностей </w:t>
      </w:r>
      <w:r>
        <w:t>Ra</w:t>
      </w:r>
      <w:r>
        <w:t xml:space="preserve"> 3,2, что на старом оборудовании достигалось с трудом и большим процентом брака. Проанализированная технологичность детали позволяет реализовать ее обработку в три этапа. В качестве заготовки принято литье в песчано-глинистые формы с машинной формовкой. Это обеспечивает коэффициент использования материала на уровне 0,6–0,68, что является приемлемым показателем для корпусных отливок.</w:t>
      </w:r>
    </w:p>
    <w:p w14:paraId="37020000">
      <w:pPr>
        <w:pStyle w:val="Style_10"/>
      </w:pPr>
      <w:r>
        <w:t xml:space="preserve">Технологическая часть работы включила разработку маршрута обработки. Для реализации операций подобраны токарный станок с ЧПУ СК6136 и вертикально-фрезерный станок с ЧПУ VM100. На базе этого оборудования спроектирован маршрут из трех операций. Операция 005 предусматривает черновое и чистовое фрезерование базовой плоскости и наружных контуров. Операция 010 обеспечивает обтачивание наружного бурта Ø60 и растачивание центрального отверстия с последующим развертыванием до Ø40H7. Финишная операция 015 выполняется для получения точного отверстия Ø8H7 под штифт и бокового паза шириной 2 мм концевой фрезой малого диаметра. Для всех переходов назначен твердосплавный режущий инструмент марки ВК8, включая торцевые и </w:t>
      </w:r>
      <w:r>
        <w:t>концевые фрезы, проходные и расточные резцы, а также калиброванные развертки.</w:t>
      </w:r>
    </w:p>
    <w:p w14:paraId="38020000">
      <w:pPr>
        <w:pStyle w:val="Style_10"/>
      </w:pPr>
      <w:r>
        <w:t>Отдельно рассчитаны режимы резания для каждой технологической операции. Для фрезерования плоскости выбрана частота вращения 320 об/мин с минутной подачей 250 мм/мин. При точении бурта Ø60 частота составила 530 об/мин, а для чистового растачивания отверстия под подшипник — 630 об/мин. На финишной развертке Ø40H7 установлена подача 0,08 мм/об при частоте 500 об/мин, что гарантирует получение требуемого допуска. Дополнительно выполнен проверочный расчет кинематической схемы привода шпинделя станка 1К62. Установлено, что клиноременная передача с ремнями сечения «Б», семью ремнями и геометрическими параметрами (диаметр шкивов 160 и 250 мм, межосевое расстояние 622 мм) обеспечивает передачу заданной мощности без проскальзывания с нагрузкой на валы 1854 Н, что находится в допустимых пределах для подшипниковых опор.</w:t>
      </w:r>
    </w:p>
    <w:p w14:paraId="39020000">
      <w:pPr>
        <w:pStyle w:val="Style_10"/>
      </w:pPr>
      <w:r>
        <w:t xml:space="preserve">Вопросы контроля качества решены через внедрение четкой системы входного, операционного и приемочного контроля. Для оценки геометрии отверстий предусмотрено использование калибров-пробок, нутромеров и микрометров. Измерение шероховатости </w:t>
      </w:r>
      <w:r>
        <w:t>Ra</w:t>
      </w:r>
      <w:r>
        <w:t xml:space="preserve"> 3,2 производится с помощью профилометра, а контроль биения и перпендикулярности — индикаторами часового типа.</w:t>
      </w:r>
    </w:p>
    <w:p w14:paraId="3A020000">
      <w:pPr>
        <w:pStyle w:val="Style_10"/>
      </w:pPr>
      <w:r>
        <w:t xml:space="preserve">Раздел охраны труда проработан с учетом факторов, возникающих именно при обработке чугуна СЧ18 на скоростных станках с ЧПУ. Выявлены основные риски, связанные с отлетающей сыпучей стружкой, повышенным уровнем шума до 90 </w:t>
      </w:r>
      <w:r>
        <w:t>дБА</w:t>
      </w:r>
      <w:r>
        <w:t xml:space="preserve"> и воздействием паров СОЖ. Для их нивелирования рекомендовано использование защитных экранов, местной вентиляции, а также противошумных наушников и респираторов. Для операторов разработана детальная инструкция по охране труда, регламентирующая действия до начала, в процессе и по окончании смены, а также поведение в нештатных ситуациях и при пожаре.</w:t>
      </w:r>
    </w:p>
    <w:p w14:paraId="3B020000">
      <w:pPr>
        <w:pStyle w:val="Style_10"/>
      </w:pPr>
      <w:r>
        <w:t>В итоге разработанный технологический процесс и комплекс мер по его обеспечению обладают практической значимостью. Внедрение двух единиц оборудования с ЧПУ (СК6136 и VM100) на производственных мощностях ООО «Инженерные системы» позволит полностью исключить переустановку заготовки и достичь стабильного качества по допускам Н7, тем самым сократив трудоемкость и снизив процент брака, связанного с человеческим фактором. Предложенный маршрут, режимы и инструментальное оснащение готовы к оперативной адаптации под нужды цехового производства без проведения дополнительных дорогостоящих НИОКР.</w:t>
      </w:r>
    </w:p>
    <w:p w14:paraId="3C020000">
      <w:pPr>
        <w:spacing w:line="240" w:lineRule="auto"/>
        <w:ind w:firstLine="0" w:left="0"/>
        <w:jc w:val="left"/>
        <w:rPr>
          <w:color w:themeColor="text1" w:themeTint="F2" w:val="0D0D0D"/>
        </w:rPr>
      </w:pPr>
      <w:r>
        <w:br w:type="page"/>
      </w:r>
    </w:p>
    <w:p w14:paraId="3D020000">
      <w:bookmarkStart w:id="21" w:name="__RefHeading___21"/>
      <w:bookmarkEnd w:id="21"/>
      <w:pPr>
        <w:pStyle w:val="Style_8"/>
      </w:pPr>
      <w:r>
        <w:t>СПИСОК ИСПОЛЬЗОВАННЫХ ИСТОЧНИКОВ</w:t>
      </w:r>
    </w:p>
    <w:p w14:paraId="3E020000">
      <w:pPr>
        <w:ind w:firstLine="0" w:left="0"/>
        <w:jc w:val="center"/>
        <w:rPr>
          <w:color w:themeColor="text1" w:themeTint="F2" w:val="0D0D0D"/>
        </w:rPr>
      </w:pPr>
      <w:r>
        <w:rPr>
          <w:b w:val="1"/>
          <w:color w:themeColor="text1" w:themeTint="F2" w:val="0D0D0D"/>
        </w:rPr>
        <w:t>Нормативные правовые акты и стандарты</w:t>
      </w:r>
    </w:p>
    <w:p w14:paraId="3F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 xml:space="preserve">ГОСТ 2.105-2019. Единая система конструкторской документации. Общие требования к текстовым документам. – Москва: </w:t>
      </w:r>
      <w:r>
        <w:rPr>
          <w:color w:themeColor="text1" w:themeTint="F2" w:val="0D0D0D"/>
        </w:rPr>
        <w:t>Стандартинформ</w:t>
      </w:r>
      <w:r>
        <w:rPr>
          <w:color w:themeColor="text1" w:themeTint="F2" w:val="0D0D0D"/>
        </w:rPr>
        <w:t>, 2020. – 46 с.</w:t>
      </w:r>
    </w:p>
    <w:p w14:paraId="40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 xml:space="preserve">ГОСТ 3.1105-2011. Единая система технологической документации. Формы и правила оформления документов общего назначения. – Москва: </w:t>
      </w:r>
      <w:r>
        <w:rPr>
          <w:color w:themeColor="text1" w:themeTint="F2" w:val="0D0D0D"/>
        </w:rPr>
        <w:t>Стандартинформ</w:t>
      </w:r>
      <w:r>
        <w:rPr>
          <w:color w:themeColor="text1" w:themeTint="F2" w:val="0D0D0D"/>
        </w:rPr>
        <w:t>, 2012. – 55 с.</w:t>
      </w:r>
    </w:p>
    <w:p w14:paraId="41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ГОСТ 8.051-81. Государственная система обеспечения единства измерений. Погрешности, допускаемые при измерении линейных размеров до 500 мм. – Москва: Издательство стандартов, 1981. – 10 с.</w:t>
      </w:r>
    </w:p>
    <w:p w14:paraId="42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 xml:space="preserve">ГОСТ 12.0.003-2015. Система стандартов безопасности труда. Опасные и вредные производственные факторы. Классификация. – Москва: </w:t>
      </w:r>
      <w:r>
        <w:rPr>
          <w:color w:themeColor="text1" w:themeTint="F2" w:val="0D0D0D"/>
        </w:rPr>
        <w:t>Стандартинформ</w:t>
      </w:r>
      <w:r>
        <w:rPr>
          <w:color w:themeColor="text1" w:themeTint="F2" w:val="0D0D0D"/>
        </w:rPr>
        <w:t>, 2016. – 12 с.</w:t>
      </w:r>
    </w:p>
    <w:p w14:paraId="43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ГОСТ 12.1.004-91. Система стандартов безопасности труда. Пожарная безопасность. Общие требования. – Москва: Издательство стандартов, 1992. – 78 с.</w:t>
      </w:r>
    </w:p>
    <w:p w14:paraId="44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ГОСТ 12.2.009-99. Система стандартов безопасности труда. Станки металлообрабатывающие. Общие требования безопасности. – Москва: ИПК Издательство стандартов, 2000. – 10 с.</w:t>
      </w:r>
    </w:p>
    <w:p w14:paraId="45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ГОСТ 24642-81. Основные нормы взаимозаменяемости. Допуски формы и расположения поверхностей. – Москва: Издательство стандартов, 1982. – 20 с.</w:t>
      </w:r>
    </w:p>
    <w:p w14:paraId="46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 xml:space="preserve">ГОСТ 4784-2019. Алюминий и сплавы алюминиевые деформируемые. Марки. – Москва: </w:t>
      </w:r>
      <w:r>
        <w:rPr>
          <w:color w:themeColor="text1" w:themeTint="F2" w:val="0D0D0D"/>
        </w:rPr>
        <w:t>Стандартинформ</w:t>
      </w:r>
      <w:r>
        <w:rPr>
          <w:color w:themeColor="text1" w:themeTint="F2" w:val="0D0D0D"/>
        </w:rPr>
        <w:t>, 2019. – 12 с.</w:t>
      </w:r>
    </w:p>
    <w:p w14:paraId="47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ГОСТ 9833-73. Кольца резиновые уплотнительные круглого сечения для гидравлических и пневматических устройств. Конструкция и размеры. – Москва: Издательство стандартов, 1974. – 8 с. (действует с изменениями).</w:t>
      </w:r>
    </w:p>
    <w:p w14:paraId="48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ОСТ 1 00022-80. Допуски формы и расположения поверхностей. Основные нормы взаимозаменяемости. – Москва: Издательство стандартов, 1981. – 24 с.</w:t>
      </w:r>
    </w:p>
    <w:p w14:paraId="49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ОСТ 1 00450-80. Общие требования к изготовлению деталей. – Москва: Издательство стандартов, 1981. – 16 с.</w:t>
      </w:r>
    </w:p>
    <w:p w14:paraId="4A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ПОТ РМ-006-97. Межотраслевые правила по охране труда при холодной обработке металлов. – Москва: Издательство НЦ ЭНАС, 1998. – 64 с.</w:t>
      </w:r>
    </w:p>
    <w:p w14:paraId="4B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СанПиН 1.2.3685-21. Гигиенические нормативы и требования к обеспечению безопасности и (или) безвредности для человека факторов среды обитания. – Москва: Роспотребнадзор, 2021. – 480 с.</w:t>
      </w:r>
    </w:p>
    <w:p w14:paraId="4C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СН 2.2.4/2.1.8.562-96. Шум на рабочих местах, в помещениях жилых, общественных зданий и на территории жилой застройки. – Москва: Минздрав России, 1997. – 20 с.</w:t>
      </w:r>
    </w:p>
    <w:p w14:paraId="4D020000">
      <w:pPr>
        <w:numPr>
          <w:ilvl w:val="0"/>
          <w:numId w:val="1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ТОИ Р-200-07-95. Типовая инструкция по охране труда для станочника широкого профиля. – Москва: Минтруд России, 1995. – 24 с. (действует в части, не противоречащей новым правилам).</w:t>
      </w:r>
    </w:p>
    <w:p w14:paraId="4E020000">
      <w:pPr>
        <w:ind/>
        <w:jc w:val="center"/>
        <w:rPr>
          <w:color w:themeColor="text1" w:themeTint="F2" w:val="0D0D0D"/>
        </w:rPr>
      </w:pPr>
      <w:r>
        <w:rPr>
          <w:b w:val="1"/>
          <w:color w:themeColor="text1" w:themeTint="F2" w:val="0D0D0D"/>
        </w:rPr>
        <w:t>Учебные и справочные издания</w:t>
      </w:r>
    </w:p>
    <w:p w14:paraId="4F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Бобров, В. Ф. Основы теории резания металлов: учебник / В. Ф. Бобров. – Москва: Машиностроение, 2019. – 320 с.</w:t>
      </w:r>
    </w:p>
    <w:p w14:paraId="50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Гилета</w:t>
      </w:r>
      <w:r>
        <w:rPr>
          <w:color w:themeColor="text1" w:themeTint="F2" w:val="0D0D0D"/>
        </w:rPr>
        <w:t xml:space="preserve">, В. П. Детали машин: расчет и проектирование механических передач: учебное пособие / В. П. </w:t>
      </w:r>
      <w:r>
        <w:rPr>
          <w:color w:themeColor="text1" w:themeTint="F2" w:val="0D0D0D"/>
        </w:rPr>
        <w:t>Гилета</w:t>
      </w:r>
      <w:r>
        <w:rPr>
          <w:color w:themeColor="text1" w:themeTint="F2" w:val="0D0D0D"/>
        </w:rPr>
        <w:t xml:space="preserve">, Ю. В. </w:t>
      </w:r>
      <w:r>
        <w:rPr>
          <w:color w:themeColor="text1" w:themeTint="F2" w:val="0D0D0D"/>
        </w:rPr>
        <w:t>Ванаг</w:t>
      </w:r>
      <w:r>
        <w:rPr>
          <w:color w:themeColor="text1" w:themeTint="F2" w:val="0D0D0D"/>
        </w:rPr>
        <w:t>, Н. А. Чусовитин; Новосибирский государственный технический университет. – Новосибирск: НГТУ, 2017. – 116 с. – Режим доступа: по подписке. – URL: </w:t>
      </w:r>
      <w:r>
        <w:rPr>
          <w:rStyle w:val="Style_13_ch"/>
          <w:color w:themeColor="text1" w:themeTint="F2" w:val="0D0D0D"/>
          <w:u w:val="none"/>
        </w:rPr>
        <w:fldChar w:fldCharType="begin"/>
      </w:r>
      <w:r>
        <w:rPr>
          <w:rStyle w:val="Style_13_ch"/>
          <w:color w:themeColor="text1" w:themeTint="F2" w:val="0D0D0D"/>
          <w:u w:val="none"/>
        </w:rPr>
        <w:instrText>HYPERLINK "https://biblioclub.ru/index.php?page=book&amp;id=574717"</w:instrText>
      </w:r>
      <w:r>
        <w:rPr>
          <w:rStyle w:val="Style_13_ch"/>
          <w:color w:themeColor="text1" w:themeTint="F2" w:val="0D0D0D"/>
          <w:u w:val="none"/>
        </w:rPr>
        <w:fldChar w:fldCharType="separate"/>
      </w:r>
      <w:r>
        <w:rPr>
          <w:rStyle w:val="Style_13_ch"/>
          <w:color w:themeColor="text1" w:themeTint="F2" w:val="0D0D0D"/>
          <w:u w:val="none"/>
        </w:rPr>
        <w:t>https://biblioclub.ru/index.php?page=book&amp;id=574717</w:t>
      </w:r>
      <w:r>
        <w:rPr>
          <w:rStyle w:val="Style_13_ch"/>
          <w:color w:themeColor="text1" w:themeTint="F2" w:val="0D0D0D"/>
          <w:u w:val="none"/>
        </w:rPr>
        <w:fldChar w:fldCharType="end"/>
      </w:r>
      <w:r>
        <w:rPr>
          <w:color w:themeColor="text1" w:themeTint="F2" w:val="0D0D0D"/>
        </w:rPr>
        <w:t> (дата обращения: 12.05.2026).</w:t>
      </w:r>
    </w:p>
    <w:p w14:paraId="51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 xml:space="preserve">Косилова, А. Г. Справочник технолога-машиностроителя: в 2 т. / А. Г. Косилова, Р. К. Мещеряков. – 6-е изд., </w:t>
      </w:r>
      <w:r>
        <w:rPr>
          <w:color w:themeColor="text1" w:themeTint="F2" w:val="0D0D0D"/>
        </w:rPr>
        <w:t>перераб</w:t>
      </w:r>
      <w:r>
        <w:rPr>
          <w:color w:themeColor="text1" w:themeTint="F2" w:val="0D0D0D"/>
        </w:rPr>
        <w:t>.</w:t>
      </w:r>
      <w:r>
        <w:rPr>
          <w:color w:themeColor="text1" w:themeTint="F2" w:val="0D0D0D"/>
        </w:rPr>
        <w:t xml:space="preserve"> и доп. – Москва: Машиностроение, 2020. – Т. 1: 912 с., Т. 2: 896 с.</w:t>
      </w:r>
    </w:p>
    <w:p w14:paraId="52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Кузнецов, Ю. Н. Технологическая оснастка для станков с ЧПУ: справочник / Ю. Н. Кузнецов. – 3-е изд. – Москва: Машиностроение, 2018. – 544 с.</w:t>
      </w:r>
    </w:p>
    <w:p w14:paraId="53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Мудров, А. Г. Детали машин и основы конструирования: учебно-методическое пособие / А. Г. Мудров, А. А. Мудрова. – Москва; Вологда: Инфра-Инженерия, 2021. – 236 с. – Режим доступа: по подписке. – URL: </w:t>
      </w:r>
      <w:r>
        <w:rPr>
          <w:rStyle w:val="Style_13_ch"/>
          <w:color w:themeColor="text1" w:themeTint="F2" w:val="0D0D0D"/>
          <w:u w:val="none"/>
        </w:rPr>
        <w:fldChar w:fldCharType="begin"/>
      </w:r>
      <w:r>
        <w:rPr>
          <w:rStyle w:val="Style_13_ch"/>
          <w:color w:themeColor="text1" w:themeTint="F2" w:val="0D0D0D"/>
          <w:u w:val="none"/>
        </w:rPr>
        <w:instrText>HYPERLINK "https://biblioclub.ru/index.php?page=book&amp;id=617465"</w:instrText>
      </w:r>
      <w:r>
        <w:rPr>
          <w:rStyle w:val="Style_13_ch"/>
          <w:color w:themeColor="text1" w:themeTint="F2" w:val="0D0D0D"/>
          <w:u w:val="none"/>
        </w:rPr>
        <w:fldChar w:fldCharType="separate"/>
      </w:r>
      <w:r>
        <w:rPr>
          <w:rStyle w:val="Style_13_ch"/>
          <w:color w:themeColor="text1" w:themeTint="F2" w:val="0D0D0D"/>
          <w:u w:val="none"/>
        </w:rPr>
        <w:t>https://biblioclub.ru/index.php?page=book&amp;id=617465</w:t>
      </w:r>
      <w:r>
        <w:rPr>
          <w:rStyle w:val="Style_13_ch"/>
          <w:color w:themeColor="text1" w:themeTint="F2" w:val="0D0D0D"/>
          <w:u w:val="none"/>
        </w:rPr>
        <w:fldChar w:fldCharType="end"/>
      </w:r>
      <w:r>
        <w:rPr>
          <w:color w:themeColor="text1" w:themeTint="F2" w:val="0D0D0D"/>
        </w:rPr>
        <w:t> (дата обращения: 12.05.2026).</w:t>
      </w:r>
    </w:p>
    <w:p w14:paraId="54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Панов, А. А. Справочник по металлорежущим станкам / А. А. Панов, В. В. Аникин, Н. Г. Бойцов. – Москва: Инфра-Инженерия, 2022. – 400 с.</w:t>
      </w:r>
    </w:p>
    <w:p w14:paraId="55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Суслов, А. Г. Технология машиностроения: учебник / А. Г. Суслов. – Москва: КНОРУС, 2022. – 480 с.</w:t>
      </w:r>
    </w:p>
    <w:p w14:paraId="56020000">
      <w:pPr>
        <w:numPr>
          <w:ilvl w:val="0"/>
          <w:numId w:val="2"/>
        </w:numPr>
        <w:ind w:firstLine="709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t>Схиртладзе</w:t>
      </w:r>
      <w:r>
        <w:rPr>
          <w:color w:themeColor="text1" w:themeTint="F2" w:val="0D0D0D"/>
        </w:rPr>
        <w:t xml:space="preserve">, А. Г. Технологическое оборудование машиностроительных производств: учебник / А. Г. </w:t>
      </w:r>
      <w:r>
        <w:rPr>
          <w:color w:themeColor="text1" w:themeTint="F2" w:val="0D0D0D"/>
        </w:rPr>
        <w:t>Схиртладзе</w:t>
      </w:r>
      <w:r>
        <w:rPr>
          <w:color w:themeColor="text1" w:themeTint="F2" w:val="0D0D0D"/>
        </w:rPr>
        <w:t>, В. Ю. Новиков. – Москва: Высшая школа, 2019. – 512 с.</w:t>
      </w:r>
    </w:p>
    <w:p w14:paraId="57020000">
      <w:pPr>
        <w:spacing w:line="240" w:lineRule="auto"/>
        <w:ind w:firstLine="0" w:left="0"/>
        <w:jc w:val="left"/>
        <w:rPr>
          <w:color w:themeColor="text1" w:themeTint="F2" w:val="0D0D0D"/>
        </w:rPr>
      </w:pPr>
      <w:r>
        <w:rPr>
          <w:color w:themeColor="text1" w:themeTint="F2" w:val="0D0D0D"/>
        </w:rPr>
        <w:br w:type="page"/>
      </w:r>
    </w:p>
    <w:p w14:paraId="58020000">
      <w:pPr>
        <w:pStyle w:val="Style_10"/>
        <w:ind w:firstLine="0" w:left="0"/>
        <w:jc w:val="center"/>
        <w:rPr>
          <w:b w:val="1"/>
          <w:sz w:val="32"/>
        </w:rPr>
      </w:pPr>
      <w:r>
        <w:rPr>
          <w:b w:val="1"/>
          <w:sz w:val="32"/>
        </w:rPr>
        <w:t>ПОСЛЕДНИЙ ЛИСТ ВЫПУСКНОЙ</w:t>
      </w:r>
    </w:p>
    <w:p w14:paraId="59020000">
      <w:pPr>
        <w:pStyle w:val="Style_10"/>
        <w:ind w:firstLine="0" w:left="0"/>
        <w:jc w:val="center"/>
        <w:rPr>
          <w:b w:val="1"/>
          <w:sz w:val="32"/>
        </w:rPr>
      </w:pPr>
      <w:r>
        <w:rPr>
          <w:b w:val="1"/>
          <w:sz w:val="32"/>
        </w:rPr>
        <w:t>КВАЛИФИКАЦИОННОЙ РАБОТЫ</w:t>
      </w:r>
    </w:p>
    <w:p w14:paraId="5A020000">
      <w:pPr>
        <w:ind w:firstLine="708" w:left="993"/>
        <w:jc w:val="center"/>
        <w:rPr>
          <w:b w:val="1"/>
        </w:rPr>
      </w:pPr>
    </w:p>
    <w:p w14:paraId="5B020000">
      <w:pPr>
        <w:ind w:firstLine="0" w:left="993"/>
        <w:jc w:val="center"/>
        <w:rPr>
          <w:b w:val="1"/>
        </w:rPr>
      </w:pPr>
    </w:p>
    <w:p w14:paraId="5C020000">
      <w:pPr>
        <w:ind w:firstLine="708" w:left="993"/>
        <w:jc w:val="center"/>
        <w:rPr>
          <w:b w:val="1"/>
        </w:rPr>
      </w:pPr>
    </w:p>
    <w:p w14:paraId="5D020000">
      <w:pPr>
        <w:ind w:firstLine="708" w:left="993"/>
        <w:jc w:val="center"/>
        <w:rPr>
          <w:b w:val="1"/>
        </w:rPr>
      </w:pPr>
    </w:p>
    <w:p w14:paraId="5E020000">
      <w:pPr>
        <w:ind w:firstLine="708" w:left="0"/>
      </w:pPr>
      <w:r>
        <w:t>Выпускная квалификационная работа выполнена мной совершенно самостоятельно. Все использованные в работе материалы и концепции из опубликованной научной литературы и других источников имеют ссылки на них.</w:t>
      </w:r>
    </w:p>
    <w:p w14:paraId="5F020000">
      <w:pPr>
        <w:ind w:firstLine="708" w:left="0"/>
      </w:pPr>
    </w:p>
    <w:p w14:paraId="60020000">
      <w:pPr>
        <w:ind w:firstLine="708" w:left="0"/>
      </w:pPr>
    </w:p>
    <w:p w14:paraId="61020000">
      <w:pPr>
        <w:spacing w:after="120"/>
        <w:ind/>
        <w:rPr>
          <w:b w:val="1"/>
        </w:rPr>
      </w:pPr>
      <w:r>
        <w:rPr>
          <w:b w:val="1"/>
        </w:rPr>
        <w:t xml:space="preserve"> «</w:t>
      </w:r>
      <w:r>
        <w:rPr>
          <w:b w:val="1"/>
        </w:rPr>
        <w:t>0</w:t>
      </w:r>
      <w:r>
        <w:rPr>
          <w:b w:val="1"/>
        </w:rPr>
        <w:t xml:space="preserve">1» </w:t>
      </w:r>
      <w:r>
        <w:rPr>
          <w:b w:val="1"/>
        </w:rPr>
        <w:t xml:space="preserve">августа </w:t>
      </w:r>
      <w:r>
        <w:rPr>
          <w:b w:val="1"/>
        </w:rPr>
        <w:t>202</w:t>
      </w:r>
      <w:r>
        <w:rPr>
          <w:b w:val="1"/>
        </w:rPr>
        <w:t>6</w:t>
      </w:r>
      <w:r>
        <w:rPr>
          <w:b w:val="1"/>
        </w:rPr>
        <w:t xml:space="preserve"> г.</w:t>
      </w:r>
    </w:p>
    <w:p w14:paraId="62020000">
      <w:pPr>
        <w:spacing w:after="160" w:line="264" w:lineRule="auto"/>
        <w:ind w:firstLine="0" w:left="0"/>
        <w:jc w:val="left"/>
      </w:pPr>
    </w:p>
    <w:p w14:paraId="63020000">
      <w:pPr>
        <w:spacing w:after="160" w:line="264" w:lineRule="auto"/>
        <w:ind w:firstLine="0" w:left="0"/>
        <w:jc w:val="left"/>
      </w:pPr>
    </w:p>
    <w:p w14:paraId="64020000">
      <w:pPr>
        <w:sectPr>
          <w:footerReference r:id="rId3" w:type="first"/>
          <w:pgSz w:h="16838" w:orient="portrait" w:w="11906"/>
          <w:pgMar w:bottom="1134" w:footer="709" w:gutter="0" w:header="709" w:left="1701" w:right="850" w:top="1134"/>
          <w:pgNumType w:start="44"/>
          <w:titlePg/>
        </w:sectPr>
      </w:pPr>
    </w:p>
    <w:p w14:paraId="65020000">
      <w:bookmarkStart w:id="22" w:name="__RefHeading___22"/>
      <w:bookmarkEnd w:id="22"/>
      <w:pPr>
        <w:pStyle w:val="Style_8"/>
        <w:spacing w:line="240" w:lineRule="auto"/>
        <w:ind/>
        <w:rPr>
          <w:sz w:val="28"/>
        </w:rPr>
      </w:pPr>
      <w:r>
        <w:rPr>
          <w:sz w:val="28"/>
        </w:rPr>
        <w:t>ПРИЛОЖЕНИЯ</w:t>
      </w:r>
      <w:r>
        <w:rPr>
          <w:sz w:val="28"/>
        </w:rPr>
        <w:t xml:space="preserve"> </w:t>
      </w:r>
    </w:p>
    <w:p w14:paraId="66020000">
      <w:pPr>
        <w:ind/>
        <w:jc w:val="right"/>
        <w:rPr>
          <w:sz w:val="24"/>
        </w:rPr>
      </w:pPr>
      <w:r>
        <w:rPr>
          <w:sz w:val="24"/>
        </w:rPr>
        <w:t>Приложение 1</w:t>
      </w:r>
    </w:p>
    <w:p w14:paraId="67020000">
      <w:pPr>
        <w:pStyle w:val="Style_10"/>
        <w:rPr>
          <w:b w:val="1"/>
        </w:rPr>
      </w:pPr>
      <w:r>
        <w:rPr>
          <w:b w:val="1"/>
        </w:rPr>
        <w:t>Маршрутная карта технологического процесса изготовления детали «Угловой корпус подшипника»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230"/>
        <w:gridCol w:w="2301"/>
        <w:gridCol w:w="3846"/>
        <w:gridCol w:w="2333"/>
        <w:gridCol w:w="2655"/>
        <w:gridCol w:w="3023"/>
      </w:tblGrid>
      <w:tr>
        <w:trPr>
          <w:tblHeader/>
        </w:trPr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68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операции</w:t>
            </w:r>
          </w:p>
        </w:tc>
        <w:tc>
          <w:tcPr>
            <w:tcW w:type="dxa" w:w="2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9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операции</w:t>
            </w:r>
          </w:p>
        </w:tc>
        <w:tc>
          <w:tcPr>
            <w:tcW w:type="dxa" w:w="3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A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перехода (обработка)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B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Станок (оборудование)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C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Режущий и вспомогательный инструмент</w:t>
            </w:r>
          </w:p>
        </w:tc>
        <w:tc>
          <w:tcPr>
            <w:tcW w:type="dxa" w:w="30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D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Назначенные режимы резания</w:t>
            </w:r>
          </w:p>
        </w:tc>
      </w:tr>
      <w:tr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6E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005</w:t>
            </w:r>
          </w:p>
        </w:tc>
        <w:tc>
          <w:tcPr>
            <w:tcW w:type="dxa" w:w="2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F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Фрезерно-сверлильная с ЧПУ</w:t>
            </w:r>
          </w:p>
        </w:tc>
        <w:tc>
          <w:tcPr>
            <w:tcW w:type="dxa" w:w="3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0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 Установить и закрепить заготовку в тисках.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2. Черновое и чистовое фрезерование опорной плоскости основания.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3. Фрезерование наружных контуров 100×100 мм и радиусов R18.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4. Подрезка верхнего торца бурта до размера 58 мм.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1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Вертикально-фрезерный станок с ЧПУ VM100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2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Торцевая насадная фреза Ø80 мм (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z=8</m:t>
                </m:r>
              </m:oMath>
            </m:oMathPara>
            <w:r>
              <w:rPr>
                <w:sz w:val="24"/>
              </w:rPr>
              <w:t>, пластины ВК8);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Прихваты, оправки для фрез, тиски.</w:t>
            </w:r>
          </w:p>
        </w:tc>
        <w:tc>
          <w:tcPr>
            <w:tcW w:type="dxa" w:w="30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73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Черновое: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n=320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=250</m:t>
                </m:r>
              </m:oMath>
            </m:oMathPara>
            <w:r>
              <w:rPr>
                <w:sz w:val="24"/>
              </w:rPr>
              <w:t> мм/мин,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t=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3,0</m:t>
                </m:r>
              </m:oMath>
            </m:oMathPara>
            <w:r>
              <w:rPr>
                <w:sz w:val="24"/>
              </w:rPr>
              <w:t> мм.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Чистовое: 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=100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/>
                    <w:sz w:val="24"/>
                  </w:rPr>
                  <m:t>150</m:t>
                </m:r>
              </m:oMath>
            </m:oMathPara>
            <w:r>
              <w:rPr>
                <w:sz w:val="24"/>
              </w:rPr>
              <w:t> мм/мин,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t=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1,0</m:t>
                </m:r>
              </m:oMath>
            </m:oMathPara>
            <w:r>
              <w:rPr>
                <w:sz w:val="24"/>
              </w:rPr>
              <w:t> мм.</w:t>
            </w:r>
          </w:p>
        </w:tc>
      </w:tr>
      <w:tr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74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010</w:t>
            </w:r>
          </w:p>
        </w:tc>
        <w:tc>
          <w:tcPr>
            <w:tcW w:type="dxa" w:w="2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5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Токарная с ЧПУ</w:t>
            </w:r>
          </w:p>
        </w:tc>
        <w:tc>
          <w:tcPr>
            <w:tcW w:type="dxa" w:w="3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6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 Базирование заготовки по обработанной плоскости и боковым сторонам.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2. Черновое обтачивание наружного бурта Ø60 мм.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3. Чистовое обтачивание бурта до Ø60 мм.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4. Черновое растачивание сквозного отверстия.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5. Чистовое развертывание отверстия до Ø40H7 (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+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0,025</m:t>
                </m:r>
              </m:oMath>
            </m:oMathPara>
            <w:r>
              <w:rPr>
                <w:sz w:val="24"/>
              </w:rPr>
              <w:t> мм, Ra 3,2).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7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Токарный станок с ЧПУ СК6136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8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Проходной резец с пластиной ВК8;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Расточная оправка с резцом ВК8;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Машинная развертка Ø40H7;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Трехкулачковый</w:t>
            </w:r>
            <w:r>
              <w:rPr>
                <w:sz w:val="24"/>
              </w:rPr>
              <w:t xml:space="preserve"> патрон.</w:t>
            </w:r>
          </w:p>
        </w:tc>
        <w:tc>
          <w:tcPr>
            <w:tcW w:type="dxa" w:w="30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79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Черновое точение: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n=530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S=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0,2</m:t>
                </m:r>
              </m:oMath>
            </m:oMathPara>
            <w:r>
              <w:rPr>
                <w:sz w:val="24"/>
              </w:rPr>
              <w:t> мм/об.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Чистовое точение: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n=530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S=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0,1</m:t>
                </m:r>
              </m:oMath>
            </m:oMathPara>
            <w:r>
              <w:rPr>
                <w:sz w:val="24"/>
              </w:rPr>
              <w:t> мм/об.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Черновое растачивание: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n=630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S=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0,15</m:t>
                </m:r>
              </m:oMath>
            </m:oMathPara>
            <w:r>
              <w:rPr>
                <w:sz w:val="24"/>
              </w:rPr>
              <w:t> мм/об.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Развертывание: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n=500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S=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0,08</m:t>
                </m:r>
              </m:oMath>
            </m:oMathPara>
            <w:r>
              <w:rPr>
                <w:sz w:val="24"/>
              </w:rPr>
              <w:t> мм/об.</w:t>
            </w:r>
          </w:p>
        </w:tc>
      </w:tr>
      <w:tr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7A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015</w:t>
            </w:r>
          </w:p>
        </w:tc>
        <w:tc>
          <w:tcPr>
            <w:tcW w:type="dxa" w:w="2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B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Фрезерно-сверлильная с ЧПУ (выносной элемент А)</w:t>
            </w:r>
          </w:p>
        </w:tc>
        <w:tc>
          <w:tcPr>
            <w:tcW w:type="dxa" w:w="3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C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 Базирование детали по отверстию Ø40H7 и плоскости основания на оправку.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2. Сверление глухого отверстия Ø7,8 мм под штифт на глубину 4 мм.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3. Развертывание отверстия до Ø8H7.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4. Фрезерование бокового паза шириной 2 мм в отверстии.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D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Вертикально-фрезерный станок с ЧПУ VM100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7E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Спиральное сверло Ø7,8 мм (твердосплавное);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Машинная развертка Ø8H7;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Цельная твердосплавная концевая фреза Ø2 мм;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Сменная установочная оправка/пальцы.</w:t>
            </w:r>
          </w:p>
        </w:tc>
        <w:tc>
          <w:tcPr>
            <w:tcW w:type="dxa" w:w="30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7F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Сверление: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n=1000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S=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0,08</m:t>
                </m:r>
              </m:oMath>
            </m:oMathPara>
            <w:r>
              <w:rPr>
                <w:sz w:val="24"/>
              </w:rPr>
              <w:t> мм/об.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Развертывание: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n=1000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S=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0,05</m:t>
                </m:r>
              </m:oMath>
            </m:oMathPara>
            <w:r>
              <w:rPr>
                <w:sz w:val="24"/>
              </w:rPr>
              <w:t> мм/об.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Фрезерование паза: 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t>n=3000</m:t>
                </m:r>
              </m:oMath>
            </m:oMathPara>
            <w:r>
              <w:rPr>
                <w:sz w:val="24"/>
              </w:rPr>
              <w:t> об/мин, 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=120</m:t>
                </m:r>
              </m:oMath>
            </m:oMathPara>
            <w:r>
              <w:rPr>
                <w:sz w:val="24"/>
              </w:rPr>
              <w:t> мм/мин (</w:t>
            </w: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z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=</m:t>
                </m:r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0,02</m:t>
                </m:r>
              </m:oMath>
            </m:oMathPara>
            <w:r>
              <w:rPr>
                <w:sz w:val="24"/>
              </w:rPr>
              <w:t> мм/зуб).</w:t>
            </w:r>
          </w:p>
        </w:tc>
      </w:tr>
      <w:tr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80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020</w:t>
            </w:r>
          </w:p>
        </w:tc>
        <w:tc>
          <w:tcPr>
            <w:tcW w:type="dxa" w:w="2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1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Контрольная (ОТК)</w:t>
            </w:r>
          </w:p>
        </w:tc>
        <w:tc>
          <w:tcPr>
            <w:tcW w:type="dxa" w:w="3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2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 Визуальный осмотр детали.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2. Проверка геометрии наружных контуров и радиусов.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3. Контроль точности отверстий Ø40H7 и Ø8H7 калибрами-пробками.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4. Контроль шероховатости </w:t>
            </w:r>
            <w:r>
              <w:rPr>
                <w:sz w:val="24"/>
              </w:rPr>
              <w:t>Ra</w:t>
            </w:r>
            <w:r>
              <w:rPr>
                <w:sz w:val="24"/>
              </w:rPr>
              <w:t xml:space="preserve"> 3,2 (профилометр).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5. Контроль биения/перпендикулярности бурта (индикатор ИЧ-02).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3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Рабочий стол ОТК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84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Калибры-пробки Ø40H7 и Ø8H7;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Микрометр МК 50-75;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Нутромер индикаторный;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Индикатор часового типа ИЧ-02 на стойке;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Образцы шероховатости.</w:t>
            </w:r>
          </w:p>
        </w:tc>
        <w:tc>
          <w:tcPr>
            <w:tcW w:type="dxa" w:w="30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85020000">
            <w:pPr>
              <w:pStyle w:val="Style_10"/>
              <w:spacing w:line="240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Измерительный контрол</w:t>
            </w:r>
          </w:p>
        </w:tc>
      </w:tr>
    </w:tbl>
    <w:p w14:paraId="86020000">
      <w:pPr>
        <w:pStyle w:val="Style_10"/>
        <w:ind w:firstLine="0" w:left="0"/>
      </w:pPr>
    </w:p>
    <w:sectPr>
      <w:footerReference r:id="rId5" w:type="first"/>
      <w:pgSz w:h="11906" w:orient="landscape" w:w="16838"/>
      <w:pgMar w:bottom="720" w:footer="708" w:gutter="0" w:header="708" w:left="720" w:right="720" w:top="72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2"/>
      <w:ind/>
      <w:jc w:val="center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 w:firstLine="0" w:left="0"/>
      <w:jc w:val="center"/>
    </w:pPr>
    <w:r>
      <w:t>44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ind/>
      <w:jc w:val="center"/>
    </w:pPr>
  </w:p>
  <w:p w14:paraId="06000000">
    <w:pPr>
      <w:pStyle w:val="Style_2"/>
      <w:tabs>
        <w:tab w:leader="none" w:pos="5031" w:val="center"/>
        <w:tab w:leader="none" w:pos="5661" w:val="left"/>
      </w:tabs>
      <w:ind/>
      <w:jc w:val="left"/>
      <w:rPr>
        <w:sz w:val="32"/>
      </w:rPr>
    </w:pPr>
    <w:r>
      <w:rPr>
        <w:sz w:val="32"/>
      </w:rPr>
      <w:tab/>
    </w:r>
    <w:r>
      <w:rPr>
        <w:sz w:val="32"/>
      </w:rPr>
      <w:tab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ind w:firstLine="0" w:left="0"/>
      <w:jc w:val="center"/>
    </w:pPr>
    <w:r>
      <w:t>44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 w:firstLine="0" w:lef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 w:left="0"/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6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14_ch" w:type="character">
    <w:name w:val="Normal"/>
    <w:link w:val="Style_14"/>
    <w:rPr>
      <w:sz w:val="28"/>
    </w:rPr>
  </w:style>
  <w:style w:styleId="Style_15" w:type="paragraph">
    <w:name w:val="delimsizing"/>
    <w:basedOn w:val="Style_16"/>
    <w:link w:val="Style_15_ch"/>
  </w:style>
  <w:style w:styleId="Style_15_ch" w:type="character">
    <w:name w:val="delimsizing"/>
    <w:basedOn w:val="Style_16_ch"/>
    <w:link w:val="Style_15"/>
  </w:style>
  <w:style w:styleId="Style_6" w:type="paragraph">
    <w:name w:val="toc 2"/>
    <w:basedOn w:val="Style_14"/>
    <w:next w:val="Style_14"/>
    <w:link w:val="Style_6_ch"/>
    <w:uiPriority w:val="39"/>
    <w:pPr>
      <w:tabs>
        <w:tab w:leader="dot" w:pos="9345" w:val="right"/>
      </w:tabs>
      <w:spacing w:after="100"/>
      <w:ind w:firstLine="4" w:left="280"/>
    </w:pPr>
  </w:style>
  <w:style w:styleId="Style_6_ch" w:type="character">
    <w:name w:val="toc 2"/>
    <w:basedOn w:val="Style_14_ch"/>
    <w:link w:val="Style_6"/>
  </w:style>
  <w:style w:styleId="Style_17" w:type="paragraph">
    <w:name w:val="caption"/>
    <w:basedOn w:val="Style_14"/>
    <w:next w:val="Style_14"/>
    <w:link w:val="Style_17_ch"/>
    <w:pPr>
      <w:spacing w:after="200" w:line="240" w:lineRule="auto"/>
      <w:ind/>
    </w:pPr>
    <w:rPr>
      <w:i w:val="1"/>
      <w:color w:themeColor="text2" w:val="44546A"/>
      <w:sz w:val="18"/>
    </w:rPr>
  </w:style>
  <w:style w:styleId="Style_17_ch" w:type="character">
    <w:name w:val="caption"/>
    <w:basedOn w:val="Style_14_ch"/>
    <w:link w:val="Style_17"/>
    <w:rPr>
      <w:i w:val="1"/>
      <w:color w:themeColor="text2" w:val="44546A"/>
      <w:sz w:val="18"/>
    </w:rPr>
  </w:style>
  <w:style w:styleId="Style_2" w:type="paragraph">
    <w:name w:val="footer"/>
    <w:basedOn w:val="Style_14"/>
    <w:link w:val="Style_2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_ch" w:type="character">
    <w:name w:val="footer"/>
    <w:basedOn w:val="Style_14_ch"/>
    <w:link w:val="Style_2"/>
  </w:style>
  <w:style w:styleId="Style_18" w:type="paragraph">
    <w:name w:val="toc 4"/>
    <w:next w:val="Style_14"/>
    <w:link w:val="Style_1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8_ch" w:type="character">
    <w:name w:val="toc 4"/>
    <w:link w:val="Style_18"/>
    <w:rPr>
      <w:rFonts w:ascii="XO Thames" w:hAnsi="XO Thames"/>
      <w:sz w:val="28"/>
    </w:rPr>
  </w:style>
  <w:style w:styleId="Style_19" w:type="paragraph">
    <w:name w:val="toc 6"/>
    <w:next w:val="Style_14"/>
    <w:link w:val="Style_1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14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mpunct"/>
    <w:basedOn w:val="Style_16"/>
    <w:link w:val="Style_21_ch"/>
  </w:style>
  <w:style w:styleId="Style_21_ch" w:type="character">
    <w:name w:val="mpunct"/>
    <w:basedOn w:val="Style_16_ch"/>
    <w:link w:val="Style_21"/>
  </w:style>
  <w:style w:styleId="Style_22" w:type="paragraph">
    <w:name w:val="mopen"/>
    <w:basedOn w:val="Style_16"/>
    <w:link w:val="Style_22_ch"/>
  </w:style>
  <w:style w:styleId="Style_22_ch" w:type="character">
    <w:name w:val="mopen"/>
    <w:basedOn w:val="Style_16_ch"/>
    <w:link w:val="Style_22"/>
  </w:style>
  <w:style w:styleId="Style_11" w:type="paragraph">
    <w:name w:val="heading 3"/>
    <w:basedOn w:val="Style_14"/>
    <w:next w:val="Style_14"/>
    <w:link w:val="Style_11_ch"/>
    <w:uiPriority w:val="9"/>
    <w:qFormat/>
    <w:pPr>
      <w:keepNext w:val="1"/>
      <w:keepLines w:val="1"/>
      <w:spacing w:before="40"/>
      <w:ind/>
      <w:outlineLvl w:val="2"/>
    </w:pPr>
    <w:rPr>
      <w:b w:val="1"/>
      <w:color w:themeColor="text1" w:themeTint="F2" w:val="0D0D0D"/>
    </w:rPr>
  </w:style>
  <w:style w:styleId="Style_11_ch" w:type="character">
    <w:name w:val="heading 3"/>
    <w:basedOn w:val="Style_14_ch"/>
    <w:link w:val="Style_11"/>
    <w:rPr>
      <w:b w:val="1"/>
      <w:color w:themeColor="text1" w:themeTint="F2" w:val="0D0D0D"/>
    </w:rPr>
  </w:style>
  <w:style w:styleId="Style_23" w:type="paragraph">
    <w:name w:val="sizing"/>
    <w:basedOn w:val="Style_16"/>
    <w:link w:val="Style_23_ch"/>
  </w:style>
  <w:style w:styleId="Style_23_ch" w:type="character">
    <w:name w:val="sizing"/>
    <w:basedOn w:val="Style_16_ch"/>
    <w:link w:val="Style_23"/>
  </w:style>
  <w:style w:styleId="Style_24" w:type="paragraph">
    <w:name w:val="Strong"/>
    <w:basedOn w:val="Style_16"/>
    <w:link w:val="Style_24_ch"/>
    <w:rPr>
      <w:b w:val="1"/>
    </w:rPr>
  </w:style>
  <w:style w:styleId="Style_24_ch" w:type="character">
    <w:name w:val="Strong"/>
    <w:basedOn w:val="Style_16_ch"/>
    <w:link w:val="Style_24"/>
    <w:rPr>
      <w:b w:val="1"/>
    </w:rPr>
  </w:style>
  <w:style w:styleId="Style_25" w:type="paragraph">
    <w:name w:val="Unresolved Mention"/>
    <w:basedOn w:val="Style_16"/>
    <w:link w:val="Style_25_ch"/>
    <w:rPr>
      <w:color w:val="605E5C"/>
      <w:shd w:fill="E1DFDD" w:val="clear"/>
    </w:rPr>
  </w:style>
  <w:style w:styleId="Style_25_ch" w:type="character">
    <w:name w:val="Unresolved Mention"/>
    <w:basedOn w:val="Style_16_ch"/>
    <w:link w:val="Style_25"/>
    <w:rPr>
      <w:color w:val="605E5C"/>
      <w:shd w:fill="E1DFDD" w:val="clear"/>
    </w:rPr>
  </w:style>
  <w:style w:styleId="Style_26" w:type="paragraph">
    <w:name w:val="Placeholder Text"/>
    <w:basedOn w:val="Style_16"/>
    <w:link w:val="Style_26_ch"/>
    <w:rPr>
      <w:color w:val="808080"/>
    </w:rPr>
  </w:style>
  <w:style w:styleId="Style_26_ch" w:type="character">
    <w:name w:val="Placeholder Text"/>
    <w:basedOn w:val="Style_16_ch"/>
    <w:link w:val="Style_26"/>
    <w:rPr>
      <w:color w:val="808080"/>
    </w:rPr>
  </w:style>
  <w:style w:styleId="Style_27" w:type="paragraph">
    <w:name w:val="Normal (Web)"/>
    <w:basedOn w:val="Style_14"/>
    <w:link w:val="Style_27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27_ch" w:type="character">
    <w:name w:val="Normal (Web)"/>
    <w:basedOn w:val="Style_14_ch"/>
    <w:link w:val="Style_27"/>
    <w:rPr>
      <w:sz w:val="24"/>
    </w:rPr>
  </w:style>
  <w:style w:styleId="Style_28" w:type="paragraph">
    <w:name w:val="msupsub"/>
    <w:basedOn w:val="Style_16"/>
    <w:link w:val="Style_28_ch"/>
  </w:style>
  <w:style w:styleId="Style_28_ch" w:type="character">
    <w:name w:val="msupsub"/>
    <w:basedOn w:val="Style_16_ch"/>
    <w:link w:val="Style_28"/>
  </w:style>
  <w:style w:styleId="Style_29" w:type="paragraph">
    <w:name w:val="mclose"/>
    <w:basedOn w:val="Style_16"/>
    <w:link w:val="Style_29_ch"/>
  </w:style>
  <w:style w:styleId="Style_29_ch" w:type="character">
    <w:name w:val="mclose"/>
    <w:basedOn w:val="Style_16_ch"/>
    <w:link w:val="Style_29"/>
  </w:style>
  <w:style w:styleId="Style_30" w:type="paragraph">
    <w:name w:val="msonormal"/>
    <w:basedOn w:val="Style_14"/>
    <w:link w:val="Style_30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30_ch" w:type="character">
    <w:name w:val="msonormal"/>
    <w:basedOn w:val="Style_14_ch"/>
    <w:link w:val="Style_30"/>
    <w:rPr>
      <w:sz w:val="24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1" w:type="paragraph">
    <w:name w:val="vlist-r"/>
    <w:basedOn w:val="Style_16"/>
    <w:link w:val="Style_31_ch"/>
  </w:style>
  <w:style w:styleId="Style_31_ch" w:type="character">
    <w:name w:val="vlist-r"/>
    <w:basedOn w:val="Style_16_ch"/>
    <w:link w:val="Style_31"/>
  </w:style>
  <w:style w:styleId="Style_32" w:type="paragraph">
    <w:name w:val="svg-align"/>
    <w:basedOn w:val="Style_16"/>
    <w:link w:val="Style_32_ch"/>
  </w:style>
  <w:style w:styleId="Style_32_ch" w:type="character">
    <w:name w:val="svg-align"/>
    <w:basedOn w:val="Style_16_ch"/>
    <w:link w:val="Style_32"/>
  </w:style>
  <w:style w:styleId="Style_33" w:type="paragraph">
    <w:name w:val="mop"/>
    <w:basedOn w:val="Style_16"/>
    <w:link w:val="Style_33_ch"/>
  </w:style>
  <w:style w:styleId="Style_33_ch" w:type="character">
    <w:name w:val="mop"/>
    <w:basedOn w:val="Style_16_ch"/>
    <w:link w:val="Style_33"/>
  </w:style>
  <w:style w:styleId="Style_34" w:type="paragraph">
    <w:name w:val="mord"/>
    <w:basedOn w:val="Style_16"/>
    <w:link w:val="Style_34_ch"/>
  </w:style>
  <w:style w:styleId="Style_34_ch" w:type="character">
    <w:name w:val="mord"/>
    <w:basedOn w:val="Style_16_ch"/>
    <w:link w:val="Style_34"/>
  </w:style>
  <w:style w:styleId="Style_35" w:type="paragraph">
    <w:name w:val="katex"/>
    <w:basedOn w:val="Style_16"/>
    <w:link w:val="Style_35_ch"/>
  </w:style>
  <w:style w:styleId="Style_35_ch" w:type="character">
    <w:name w:val="katex"/>
    <w:basedOn w:val="Style_16_ch"/>
    <w:link w:val="Style_35"/>
  </w:style>
  <w:style w:styleId="Style_36" w:type="paragraph">
    <w:name w:val="d813de27"/>
    <w:basedOn w:val="Style_16"/>
    <w:link w:val="Style_36_ch"/>
  </w:style>
  <w:style w:styleId="Style_36_ch" w:type="character">
    <w:name w:val="d813de27"/>
    <w:basedOn w:val="Style_16_ch"/>
    <w:link w:val="Style_36"/>
  </w:style>
  <w:style w:styleId="Style_37" w:type="paragraph">
    <w:name w:val="Emphasis"/>
    <w:basedOn w:val="Style_16"/>
    <w:link w:val="Style_37_ch"/>
    <w:rPr>
      <w:i w:val="1"/>
    </w:rPr>
  </w:style>
  <w:style w:styleId="Style_37_ch" w:type="character">
    <w:name w:val="Emphasis"/>
    <w:basedOn w:val="Style_16_ch"/>
    <w:link w:val="Style_37"/>
    <w:rPr>
      <w:i w:val="1"/>
    </w:rPr>
  </w:style>
  <w:style w:styleId="Style_7" w:type="paragraph">
    <w:name w:val="toc 3"/>
    <w:basedOn w:val="Style_14"/>
    <w:next w:val="Style_14"/>
    <w:link w:val="Style_7_ch"/>
    <w:uiPriority w:val="39"/>
    <w:pPr>
      <w:spacing w:after="100"/>
      <w:ind w:firstLine="0" w:left="560"/>
    </w:pPr>
  </w:style>
  <w:style w:styleId="Style_7_ch" w:type="character">
    <w:name w:val="toc 3"/>
    <w:basedOn w:val="Style_14_ch"/>
    <w:link w:val="Style_7"/>
  </w:style>
  <w:style w:styleId="Style_38" w:type="paragraph">
    <w:name w:val="ds-markdown-paragraph"/>
    <w:basedOn w:val="Style_14"/>
    <w:link w:val="Style_38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38_ch" w:type="character">
    <w:name w:val="ds-markdown-paragraph"/>
    <w:basedOn w:val="Style_14_ch"/>
    <w:link w:val="Style_38"/>
    <w:rPr>
      <w:sz w:val="24"/>
    </w:rPr>
  </w:style>
  <w:style w:styleId="Style_39" w:type="paragraph">
    <w:name w:val="katex-display"/>
    <w:basedOn w:val="Style_16"/>
    <w:link w:val="Style_39_ch"/>
  </w:style>
  <w:style w:styleId="Style_39_ch" w:type="character">
    <w:name w:val="katex-display"/>
    <w:basedOn w:val="Style_16_ch"/>
    <w:link w:val="Style_39"/>
  </w:style>
  <w:style w:styleId="Style_4" w:type="paragraph">
    <w:name w:val="Оглавление"/>
    <w:basedOn w:val="Style_7"/>
    <w:link w:val="Style_4_ch"/>
    <w:pPr>
      <w:tabs>
        <w:tab w:leader="dot" w:pos="9345" w:val="right"/>
      </w:tabs>
      <w:spacing w:after="0"/>
      <w:ind w:firstLine="149" w:left="0"/>
    </w:pPr>
  </w:style>
  <w:style w:styleId="Style_4_ch" w:type="character">
    <w:name w:val="Оглавление"/>
    <w:basedOn w:val="Style_7_ch"/>
    <w:link w:val="Style_4"/>
  </w:style>
  <w:style w:styleId="Style_10" w:type="paragraph">
    <w:name w:val="ОБЩИЙ"/>
    <w:basedOn w:val="Style_14"/>
    <w:link w:val="Style_10_ch"/>
    <w:rPr>
      <w:color w:themeColor="text1" w:themeTint="F2" w:val="0D0D0D"/>
    </w:rPr>
  </w:style>
  <w:style w:styleId="Style_10_ch" w:type="character">
    <w:name w:val="ОБЩИЙ"/>
    <w:basedOn w:val="Style_14_ch"/>
    <w:link w:val="Style_10"/>
    <w:rPr>
      <w:color w:themeColor="text1" w:themeTint="F2" w:val="0D0D0D"/>
    </w:rPr>
  </w:style>
  <w:style w:styleId="Style_40" w:type="paragraph">
    <w:name w:val="katex-mathml"/>
    <w:basedOn w:val="Style_16"/>
    <w:link w:val="Style_40_ch"/>
  </w:style>
  <w:style w:styleId="Style_40_ch" w:type="character">
    <w:name w:val="katex-mathml"/>
    <w:basedOn w:val="Style_16_ch"/>
    <w:link w:val="Style_40"/>
  </w:style>
  <w:style w:styleId="Style_41" w:type="paragraph">
    <w:name w:val="heading 5"/>
    <w:basedOn w:val="Style_14"/>
    <w:next w:val="Style_14"/>
    <w:link w:val="Style_41_ch"/>
    <w:uiPriority w:val="9"/>
    <w:qFormat/>
    <w:pPr>
      <w:keepNext w:val="1"/>
      <w:keepLines w:val="1"/>
      <w:spacing w:before="40" w:line="264" w:lineRule="auto"/>
      <w:ind w:firstLine="0" w:left="0"/>
      <w:jc w:val="left"/>
      <w:outlineLvl w:val="4"/>
    </w:pPr>
    <w:rPr>
      <w:rFonts w:asciiTheme="majorAscii" w:hAnsiTheme="majorHAnsi"/>
      <w:color w:themeColor="accent1" w:themeShade="BF" w:val="2E75B5"/>
      <w:sz w:val="22"/>
    </w:rPr>
  </w:style>
  <w:style w:styleId="Style_41_ch" w:type="character">
    <w:name w:val="heading 5"/>
    <w:basedOn w:val="Style_14_ch"/>
    <w:link w:val="Style_41"/>
    <w:rPr>
      <w:rFonts w:asciiTheme="majorAscii" w:hAnsiTheme="majorHAnsi"/>
      <w:color w:themeColor="accent1" w:themeShade="BF" w:val="2E75B5"/>
      <w:sz w:val="22"/>
    </w:rPr>
  </w:style>
  <w:style w:styleId="Style_42" w:type="paragraph">
    <w:name w:val="HTML Preformatted"/>
    <w:basedOn w:val="Style_14"/>
    <w:link w:val="Style_42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line="240" w:lineRule="auto"/>
      <w:ind w:firstLine="0" w:left="0"/>
      <w:jc w:val="left"/>
    </w:pPr>
    <w:rPr>
      <w:rFonts w:ascii="Courier New" w:hAnsi="Courier New"/>
      <w:sz w:val="20"/>
    </w:rPr>
  </w:style>
  <w:style w:styleId="Style_42_ch" w:type="character">
    <w:name w:val="HTML Preformatted"/>
    <w:basedOn w:val="Style_14_ch"/>
    <w:link w:val="Style_42"/>
    <w:rPr>
      <w:rFonts w:ascii="Courier New" w:hAnsi="Courier New"/>
      <w:sz w:val="20"/>
    </w:rPr>
  </w:style>
  <w:style w:styleId="Style_8" w:type="paragraph">
    <w:name w:val="heading 1"/>
    <w:basedOn w:val="Style_14"/>
    <w:next w:val="Style_14"/>
    <w:link w:val="Style_8_ch"/>
    <w:uiPriority w:val="9"/>
    <w:qFormat/>
    <w:pPr>
      <w:keepNext w:val="1"/>
      <w:keepLines w:val="1"/>
      <w:ind/>
      <w:jc w:val="center"/>
      <w:outlineLvl w:val="0"/>
    </w:pPr>
    <w:rPr>
      <w:b w:val="1"/>
      <w:color w:themeColor="text1" w:themeTint="F2" w:val="0D0D0D"/>
      <w:sz w:val="32"/>
    </w:rPr>
  </w:style>
  <w:style w:styleId="Style_8_ch" w:type="character">
    <w:name w:val="heading 1"/>
    <w:basedOn w:val="Style_14_ch"/>
    <w:link w:val="Style_8"/>
    <w:rPr>
      <w:b w:val="1"/>
      <w:color w:themeColor="text1" w:themeTint="F2" w:val="0D0D0D"/>
      <w:sz w:val="32"/>
    </w:rPr>
  </w:style>
  <w:style w:styleId="Style_13" w:type="paragraph">
    <w:name w:val="Hyperlink"/>
    <w:basedOn w:val="Style_16"/>
    <w:link w:val="Style_13_ch"/>
    <w:rPr>
      <w:color w:themeColor="hyperlink" w:val="0563C1"/>
      <w:u w:val="single"/>
    </w:rPr>
  </w:style>
  <w:style w:styleId="Style_13_ch" w:type="character">
    <w:name w:val="Hyperlink"/>
    <w:basedOn w:val="Style_16_ch"/>
    <w:link w:val="Style_13"/>
    <w:rPr>
      <w:color w:themeColor="hyperlink" w:val="0563C1"/>
      <w:u w:val="single"/>
    </w:rPr>
  </w:style>
  <w:style w:styleId="Style_43" w:type="paragraph">
    <w:name w:val="Footnote"/>
    <w:link w:val="Style_43_ch"/>
    <w:pPr>
      <w:ind w:firstLine="851" w:left="0"/>
      <w:jc w:val="both"/>
    </w:pPr>
    <w:rPr>
      <w:rFonts w:ascii="XO Thames" w:hAnsi="XO Thames"/>
      <w:sz w:val="22"/>
    </w:rPr>
  </w:style>
  <w:style w:styleId="Style_43_ch" w:type="character">
    <w:name w:val="Footnote"/>
    <w:link w:val="Style_43"/>
    <w:rPr>
      <w:rFonts w:ascii="XO Thames" w:hAnsi="XO Thames"/>
      <w:sz w:val="22"/>
    </w:rPr>
  </w:style>
  <w:style w:styleId="Style_5" w:type="paragraph">
    <w:name w:val="toc 1"/>
    <w:basedOn w:val="Style_14"/>
    <w:next w:val="Style_14"/>
    <w:link w:val="Style_5_ch"/>
    <w:uiPriority w:val="39"/>
    <w:pPr>
      <w:tabs>
        <w:tab w:leader="dot" w:pos="9345" w:val="right"/>
      </w:tabs>
      <w:ind w:firstLine="0" w:left="0"/>
    </w:pPr>
  </w:style>
  <w:style w:styleId="Style_5_ch" w:type="character">
    <w:name w:val="toc 1"/>
    <w:basedOn w:val="Style_14_ch"/>
    <w:link w:val="Style_5"/>
  </w:style>
  <w:style w:styleId="Style_44" w:type="paragraph">
    <w:name w:val="Header and Footer"/>
    <w:link w:val="Style_44_ch"/>
    <w:pPr>
      <w:spacing w:line="240" w:lineRule="auto"/>
      <w:ind/>
      <w:jc w:val="both"/>
    </w:pPr>
    <w:rPr>
      <w:rFonts w:ascii="XO Thames" w:hAnsi="XO Thames"/>
      <w:sz w:val="20"/>
    </w:rPr>
  </w:style>
  <w:style w:styleId="Style_44_ch" w:type="character">
    <w:name w:val="Header and Footer"/>
    <w:link w:val="Style_44"/>
    <w:rPr>
      <w:rFonts w:ascii="XO Thames" w:hAnsi="XO Thames"/>
      <w:sz w:val="20"/>
    </w:rPr>
  </w:style>
  <w:style w:styleId="Style_45" w:type="paragraph">
    <w:name w:val="hide-tail"/>
    <w:basedOn w:val="Style_16"/>
    <w:link w:val="Style_45_ch"/>
  </w:style>
  <w:style w:styleId="Style_45_ch" w:type="character">
    <w:name w:val="hide-tail"/>
    <w:basedOn w:val="Style_16_ch"/>
    <w:link w:val="Style_45"/>
  </w:style>
  <w:style w:styleId="Style_46" w:type="paragraph">
    <w:name w:val="Balloon Text"/>
    <w:basedOn w:val="Style_14"/>
    <w:link w:val="Style_46_ch"/>
    <w:pPr>
      <w:spacing w:line="240" w:lineRule="auto"/>
      <w:ind/>
    </w:pPr>
    <w:rPr>
      <w:rFonts w:ascii="Segoe UI" w:hAnsi="Segoe UI"/>
      <w:sz w:val="18"/>
    </w:rPr>
  </w:style>
  <w:style w:styleId="Style_46_ch" w:type="character">
    <w:name w:val="Balloon Text"/>
    <w:basedOn w:val="Style_14_ch"/>
    <w:link w:val="Style_46"/>
    <w:rPr>
      <w:rFonts w:ascii="Segoe UI" w:hAnsi="Segoe UI"/>
      <w:sz w:val="18"/>
    </w:rPr>
  </w:style>
  <w:style w:styleId="Style_47" w:type="paragraph">
    <w:name w:val="TOC Heading"/>
    <w:basedOn w:val="Style_8"/>
    <w:next w:val="Style_14"/>
    <w:link w:val="Style_47_ch"/>
    <w:pPr>
      <w:spacing w:line="264" w:lineRule="auto"/>
      <w:ind w:firstLine="0" w:left="0"/>
      <w:jc w:val="left"/>
      <w:outlineLvl w:val="8"/>
    </w:pPr>
  </w:style>
  <w:style w:styleId="Style_47_ch" w:type="character">
    <w:name w:val="TOC Heading"/>
    <w:basedOn w:val="Style_8_ch"/>
    <w:link w:val="Style_47"/>
  </w:style>
  <w:style w:styleId="Style_48" w:type="paragraph">
    <w:name w:val="strut"/>
    <w:basedOn w:val="Style_16"/>
    <w:link w:val="Style_48_ch"/>
  </w:style>
  <w:style w:styleId="Style_48_ch" w:type="character">
    <w:name w:val="strut"/>
    <w:basedOn w:val="Style_16_ch"/>
    <w:link w:val="Style_48"/>
  </w:style>
  <w:style w:styleId="Style_49" w:type="paragraph">
    <w:name w:val="toc 9"/>
    <w:next w:val="Style_14"/>
    <w:link w:val="Style_4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9_ch" w:type="character">
    <w:name w:val="toc 9"/>
    <w:link w:val="Style_49"/>
    <w:rPr>
      <w:rFonts w:ascii="XO Thames" w:hAnsi="XO Thames"/>
      <w:sz w:val="28"/>
    </w:rPr>
  </w:style>
  <w:style w:styleId="Style_50" w:type="paragraph">
    <w:name w:val="vlist-s"/>
    <w:basedOn w:val="Style_16"/>
    <w:link w:val="Style_50_ch"/>
  </w:style>
  <w:style w:styleId="Style_50_ch" w:type="character">
    <w:name w:val="vlist-s"/>
    <w:basedOn w:val="Style_16_ch"/>
    <w:link w:val="Style_50"/>
  </w:style>
  <w:style w:styleId="Style_51" w:type="paragraph">
    <w:name w:val="base"/>
    <w:basedOn w:val="Style_16"/>
    <w:link w:val="Style_51_ch"/>
  </w:style>
  <w:style w:styleId="Style_51_ch" w:type="character">
    <w:name w:val="base"/>
    <w:basedOn w:val="Style_16_ch"/>
    <w:link w:val="Style_51"/>
  </w:style>
  <w:style w:styleId="Style_52" w:type="paragraph">
    <w:name w:val="toc 8"/>
    <w:next w:val="Style_14"/>
    <w:link w:val="Style_5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2_ch" w:type="character">
    <w:name w:val="toc 8"/>
    <w:link w:val="Style_52"/>
    <w:rPr>
      <w:rFonts w:ascii="XO Thames" w:hAnsi="XO Thames"/>
      <w:sz w:val="28"/>
    </w:rPr>
  </w:style>
  <w:style w:styleId="Style_53" w:type="paragraph">
    <w:name w:val="mbin"/>
    <w:basedOn w:val="Style_16"/>
    <w:link w:val="Style_53_ch"/>
  </w:style>
  <w:style w:styleId="Style_53_ch" w:type="character">
    <w:name w:val="mbin"/>
    <w:basedOn w:val="Style_16_ch"/>
    <w:link w:val="Style_53"/>
  </w:style>
  <w:style w:styleId="Style_54" w:type="paragraph">
    <w:name w:val="mfrac"/>
    <w:basedOn w:val="Style_16"/>
    <w:link w:val="Style_54_ch"/>
  </w:style>
  <w:style w:styleId="Style_54_ch" w:type="character">
    <w:name w:val="mfrac"/>
    <w:basedOn w:val="Style_16_ch"/>
    <w:link w:val="Style_54"/>
  </w:style>
  <w:style w:styleId="Style_55" w:type="paragraph">
    <w:name w:val="mspace"/>
    <w:basedOn w:val="Style_16"/>
    <w:link w:val="Style_55_ch"/>
  </w:style>
  <w:style w:styleId="Style_55_ch" w:type="character">
    <w:name w:val="mspace"/>
    <w:basedOn w:val="Style_16_ch"/>
    <w:link w:val="Style_55"/>
  </w:style>
  <w:style w:styleId="Style_56" w:type="paragraph">
    <w:name w:val="root"/>
    <w:basedOn w:val="Style_16"/>
    <w:link w:val="Style_56_ch"/>
  </w:style>
  <w:style w:styleId="Style_56_ch" w:type="character">
    <w:name w:val="root"/>
    <w:basedOn w:val="Style_16_ch"/>
    <w:link w:val="Style_56"/>
  </w:style>
  <w:style w:styleId="Style_57" w:type="paragraph">
    <w:name w:val="mrel"/>
    <w:basedOn w:val="Style_16"/>
    <w:link w:val="Style_57_ch"/>
  </w:style>
  <w:style w:styleId="Style_57_ch" w:type="character">
    <w:name w:val="mrel"/>
    <w:basedOn w:val="Style_16_ch"/>
    <w:link w:val="Style_57"/>
  </w:style>
  <w:style w:styleId="Style_58" w:type="paragraph">
    <w:name w:val="toc 5"/>
    <w:next w:val="Style_14"/>
    <w:link w:val="Style_5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8_ch" w:type="character">
    <w:name w:val="toc 5"/>
    <w:link w:val="Style_58"/>
    <w:rPr>
      <w:rFonts w:ascii="XO Thames" w:hAnsi="XO Thames"/>
      <w:sz w:val="28"/>
    </w:rPr>
  </w:style>
  <w:style w:styleId="Style_59" w:type="paragraph">
    <w:name w:val="vlist-t"/>
    <w:basedOn w:val="Style_16"/>
    <w:link w:val="Style_59_ch"/>
  </w:style>
  <w:style w:styleId="Style_59_ch" w:type="character">
    <w:name w:val="vlist-t"/>
    <w:basedOn w:val="Style_16_ch"/>
    <w:link w:val="Style_59"/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header"/>
    <w:basedOn w:val="Style_14_ch"/>
    <w:link w:val="Style_1"/>
  </w:style>
  <w:style w:styleId="Style_60" w:type="paragraph">
    <w:name w:val="List Paragraph"/>
    <w:basedOn w:val="Style_14"/>
    <w:link w:val="Style_60_ch"/>
    <w:pPr>
      <w:ind w:firstLine="0" w:left="720"/>
      <w:contextualSpacing w:val="1"/>
    </w:pPr>
  </w:style>
  <w:style w:styleId="Style_60_ch" w:type="character">
    <w:name w:val="List Paragraph"/>
    <w:basedOn w:val="Style_14_ch"/>
    <w:link w:val="Style_60"/>
  </w:style>
  <w:style w:styleId="Style_61" w:type="paragraph">
    <w:name w:val="katex-html"/>
    <w:basedOn w:val="Style_16"/>
    <w:link w:val="Style_61_ch"/>
  </w:style>
  <w:style w:styleId="Style_61_ch" w:type="character">
    <w:name w:val="katex-html"/>
    <w:basedOn w:val="Style_16_ch"/>
    <w:link w:val="Style_61"/>
  </w:style>
  <w:style w:styleId="Style_62" w:type="paragraph">
    <w:name w:val="vlist"/>
    <w:basedOn w:val="Style_16"/>
    <w:link w:val="Style_62_ch"/>
  </w:style>
  <w:style w:styleId="Style_62_ch" w:type="character">
    <w:name w:val="vlist"/>
    <w:basedOn w:val="Style_16_ch"/>
    <w:link w:val="Style_62"/>
  </w:style>
  <w:style w:styleId="Style_63" w:type="paragraph">
    <w:name w:val="Subtitle"/>
    <w:next w:val="Style_14"/>
    <w:link w:val="Style_6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3_ch" w:type="character">
    <w:name w:val="Subtitle"/>
    <w:link w:val="Style_63"/>
    <w:rPr>
      <w:rFonts w:ascii="XO Thames" w:hAnsi="XO Thames"/>
      <w:i w:val="1"/>
      <w:sz w:val="24"/>
    </w:rPr>
  </w:style>
  <w:style w:styleId="Style_64" w:type="paragraph">
    <w:name w:val="ОСНОВА"/>
    <w:basedOn w:val="Style_38"/>
    <w:link w:val="Style_64_ch"/>
    <w:pPr>
      <w:spacing w:after="0" w:before="0" w:line="360" w:lineRule="auto"/>
      <w:ind w:firstLine="709" w:left="0"/>
      <w:jc w:val="both"/>
    </w:pPr>
    <w:rPr>
      <w:color w:val="0F1115"/>
      <w:sz w:val="28"/>
    </w:rPr>
  </w:style>
  <w:style w:styleId="Style_64_ch" w:type="character">
    <w:name w:val="ОСНОВА"/>
    <w:basedOn w:val="Style_38_ch"/>
    <w:link w:val="Style_64"/>
    <w:rPr>
      <w:color w:val="0F1115"/>
      <w:sz w:val="28"/>
    </w:rPr>
  </w:style>
  <w:style w:styleId="Style_65" w:type="paragraph">
    <w:name w:val="minner"/>
    <w:basedOn w:val="Style_16"/>
    <w:link w:val="Style_65_ch"/>
  </w:style>
  <w:style w:styleId="Style_65_ch" w:type="character">
    <w:name w:val="minner"/>
    <w:basedOn w:val="Style_16_ch"/>
    <w:link w:val="Style_65"/>
  </w:style>
  <w:style w:styleId="Style_66" w:type="paragraph">
    <w:name w:val="Title"/>
    <w:next w:val="Style_14"/>
    <w:link w:val="Style_6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6_ch" w:type="character">
    <w:name w:val="Title"/>
    <w:link w:val="Style_66"/>
    <w:rPr>
      <w:rFonts w:ascii="XO Thames" w:hAnsi="XO Thames"/>
      <w:b w:val="1"/>
      <w:caps w:val="1"/>
      <w:sz w:val="40"/>
    </w:rPr>
  </w:style>
  <w:style w:styleId="Style_67" w:type="paragraph">
    <w:name w:val="heading 4"/>
    <w:basedOn w:val="Style_14"/>
    <w:next w:val="Style_14"/>
    <w:link w:val="Style_67_ch"/>
    <w:uiPriority w:val="9"/>
    <w:qFormat/>
    <w:pPr>
      <w:keepNext w:val="1"/>
      <w:keepLines w:val="1"/>
      <w:spacing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67_ch" w:type="character">
    <w:name w:val="heading 4"/>
    <w:basedOn w:val="Style_14_ch"/>
    <w:link w:val="Style_67"/>
    <w:rPr>
      <w:rFonts w:asciiTheme="majorAscii" w:hAnsiTheme="majorHAnsi"/>
      <w:i w:val="1"/>
      <w:color w:themeColor="accent1" w:themeShade="BF" w:val="2E75B5"/>
    </w:rPr>
  </w:style>
  <w:style w:styleId="Style_68" w:type="paragraph">
    <w:name w:val="frac-line"/>
    <w:basedOn w:val="Style_16"/>
    <w:link w:val="Style_68_ch"/>
  </w:style>
  <w:style w:styleId="Style_68_ch" w:type="character">
    <w:name w:val="frac-line"/>
    <w:basedOn w:val="Style_16_ch"/>
    <w:link w:val="Style_68"/>
  </w:style>
  <w:style w:styleId="Style_69" w:type="paragraph">
    <w:name w:val="HTML Code"/>
    <w:basedOn w:val="Style_16"/>
    <w:link w:val="Style_69_ch"/>
    <w:rPr>
      <w:rFonts w:ascii="Courier New" w:hAnsi="Courier New"/>
      <w:sz w:val="20"/>
    </w:rPr>
  </w:style>
  <w:style w:styleId="Style_69_ch" w:type="character">
    <w:name w:val="HTML Code"/>
    <w:basedOn w:val="Style_16_ch"/>
    <w:link w:val="Style_69"/>
    <w:rPr>
      <w:rFonts w:ascii="Courier New" w:hAnsi="Courier New"/>
      <w:sz w:val="20"/>
    </w:rPr>
  </w:style>
  <w:style w:styleId="Style_70" w:type="paragraph">
    <w:name w:val="pstrut"/>
    <w:basedOn w:val="Style_16"/>
    <w:link w:val="Style_70_ch"/>
  </w:style>
  <w:style w:styleId="Style_70_ch" w:type="character">
    <w:name w:val="pstrut"/>
    <w:basedOn w:val="Style_16_ch"/>
    <w:link w:val="Style_70"/>
  </w:style>
  <w:style w:styleId="Style_9" w:type="paragraph">
    <w:name w:val="heading 2"/>
    <w:basedOn w:val="Style_14"/>
    <w:next w:val="Style_14"/>
    <w:link w:val="Style_9_ch"/>
    <w:uiPriority w:val="9"/>
    <w:qFormat/>
    <w:pPr>
      <w:keepNext w:val="1"/>
      <w:keepLines w:val="1"/>
      <w:ind/>
      <w:outlineLvl w:val="1"/>
    </w:pPr>
    <w:rPr>
      <w:b w:val="1"/>
      <w:color w:themeColor="text1" w:themeTint="F2" w:val="0D0D0D"/>
      <w:sz w:val="32"/>
    </w:rPr>
  </w:style>
  <w:style w:styleId="Style_9_ch" w:type="character">
    <w:name w:val="heading 2"/>
    <w:basedOn w:val="Style_14_ch"/>
    <w:link w:val="Style_9"/>
    <w:rPr>
      <w:b w:val="1"/>
      <w:color w:themeColor="text1" w:themeTint="F2" w:val="0D0D0D"/>
      <w:sz w:val="32"/>
    </w:rPr>
  </w:style>
  <w:style w:styleId="Style_71" w:type="paragraph">
    <w:name w:val="mtight"/>
    <w:basedOn w:val="Style_16"/>
    <w:link w:val="Style_71_ch"/>
  </w:style>
  <w:style w:styleId="Style_71_ch" w:type="character">
    <w:name w:val="mtight"/>
    <w:basedOn w:val="Style_16_ch"/>
    <w:link w:val="Style_71"/>
  </w:style>
  <w:style w:styleId="Style_12" w:type="table">
    <w:name w:val="Table Grid"/>
    <w:basedOn w:val="Style_3"/>
    <w:pPr>
      <w:widowControl w:val="0"/>
      <w:ind/>
      <w:jc w:val="both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ettings.xml" Type="http://schemas.openxmlformats.org/officeDocument/2006/relationships/settings"/>
  <Relationship Id="rId11" Target="media/5.png" Type="http://schemas.openxmlformats.org/officeDocument/2006/relationships/image"/>
  <Relationship Id="rId18" Target="numbering.xml" Type="http://schemas.openxmlformats.org/officeDocument/2006/relationships/numbering"/>
  <Relationship Id="rId17" Target="theme/theme1.xml" Type="http://schemas.openxmlformats.org/officeDocument/2006/relationships/theme"/>
  <Relationship Id="rId10" Target="media/4.png" Type="http://schemas.openxmlformats.org/officeDocument/2006/relationships/image"/>
  <Relationship Id="rId15" Target="stylesWithEffects.xml" Type="http://schemas.microsoft.com/office/2007/relationships/stylesWithEffects"/>
  <Relationship Id="rId9" Target="media/3.png" Type="http://schemas.openxmlformats.org/officeDocument/2006/relationships/image"/>
  <Relationship Id="rId8" Target="media/2.png" Type="http://schemas.openxmlformats.org/officeDocument/2006/relationships/image"/>
  <Relationship Id="rId7" Target="media/1.jpeg" Type="http://schemas.openxmlformats.org/officeDocument/2006/relationships/image"/>
  <Relationship Id="rId14" Target="styles.xml" Type="http://schemas.openxmlformats.org/officeDocument/2006/relationships/styles"/>
  <Relationship Id="rId6" Target="footer6.xml" Type="http://schemas.openxmlformats.org/officeDocument/2006/relationships/footer"/>
  <Relationship Id="rId5" Target="footer5.xml" Type="http://schemas.openxmlformats.org/officeDocument/2006/relationships/footer"/>
  <Relationship Id="rId4" Target="footer4.xml" Type="http://schemas.openxmlformats.org/officeDocument/2006/relationships/footer"/>
  <Relationship Id="rId16" Target="webSettings.xml" Type="http://schemas.openxmlformats.org/officeDocument/2006/relationships/webSettings"/>
  <Relationship Id="rId12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2026-09-01T07:56:15Z</dcterms:modified>
</cp:coreProperties>
</file>