
<file path=[Content_Types].xml><?xml version="1.0" encoding="utf-8"?>
<Types xmlns="http://schemas.openxmlformats.org/package/2006/content-types">
  <Default ContentType="image/png" Extension="png"/>
  <Default ContentType="image/jpeg" Extension="jpeg"/>
  <Default ContentType="image/tiff" Extension="tif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7000000">
      <w:pPr>
        <w:spacing w:line="240" w:lineRule="auto"/>
        <w:ind w:hanging="10" w:left="-567"/>
        <w:jc w:val="center"/>
        <w:rPr>
          <w:b w:val="1"/>
          <w:color w:val="000000"/>
          <w:spacing w:val="40"/>
        </w:rPr>
      </w:pPr>
      <w:r>
        <w:rPr>
          <w:b w:val="1"/>
          <w:color w:val="000000"/>
          <w:spacing w:val="30"/>
        </w:rPr>
        <w:t>Образовательная автономная некоммерческая организация в</w:t>
      </w:r>
      <w:r>
        <w:rPr>
          <w:b w:val="1"/>
          <w:color w:val="000000"/>
          <w:spacing w:val="40"/>
        </w:rPr>
        <w:t>ысшего образования</w:t>
      </w:r>
    </w:p>
    <w:p w14:paraId="08000000">
      <w:pPr>
        <w:spacing w:line="240" w:lineRule="auto"/>
        <w:ind w:hanging="10" w:left="89"/>
        <w:jc w:val="center"/>
        <w:rPr>
          <w:b w:val="1"/>
          <w:color w:val="000000"/>
          <w:spacing w:val="40"/>
        </w:rPr>
      </w:pPr>
    </w:p>
    <w:p w14:paraId="09000000">
      <w:pPr>
        <w:spacing w:line="240" w:lineRule="auto"/>
        <w:ind w:hanging="10" w:left="-142"/>
        <w:jc w:val="center"/>
        <w:rPr>
          <w:b w:val="1"/>
          <w:color w:val="000000"/>
          <w:spacing w:val="40"/>
        </w:rPr>
      </w:pPr>
      <w:r>
        <w:rPr>
          <w:b w:val="1"/>
          <w:color w:val="000000"/>
          <w:spacing w:val="40"/>
        </w:rPr>
        <w:t>«МОСКОВСКИЙ ТЕХНОЛОГИЧЕСКИЙ ИНСТИТУТ»</w:t>
      </w:r>
    </w:p>
    <w:tbl>
      <w:tblPr>
        <w:tblStyle w:val="Style_3"/>
        <w:tblBorders>
          <w:top w:color="000000" w:sz="4" w:val="double"/>
        </w:tblBorders>
        <w:tblLayout w:type="fixed"/>
      </w:tblPr>
      <w:tblGrid>
        <w:gridCol w:w="4679"/>
        <w:gridCol w:w="4675"/>
      </w:tblGrid>
      <w:tr>
        <w:trPr>
          <w:trHeight w:hRule="atLeast" w:val="117"/>
        </w:trPr>
        <w:tc>
          <w:tcPr>
            <w:tcW w:type="dxa" w:w="4679"/>
            <w:tcBorders>
              <w:top w:color="000000" w:sz="4" w:val="double"/>
              <w:left w:sz="4" w:val="nil"/>
              <w:bottom w:sz="4" w:val="nil"/>
              <w:right w:sz="4" w:val="nil"/>
            </w:tcBorders>
          </w:tcPr>
          <w:p w14:paraId="0A000000">
            <w:pPr>
              <w:rPr>
                <w:b w:val="1"/>
                <w:color w:val="000000"/>
              </w:rPr>
            </w:pPr>
          </w:p>
        </w:tc>
        <w:tc>
          <w:tcPr>
            <w:tcW w:type="dxa" w:w="4675"/>
            <w:tcBorders>
              <w:top w:color="000000" w:sz="4" w:val="double"/>
              <w:left w:sz="4" w:val="nil"/>
              <w:bottom w:sz="4" w:val="nil"/>
              <w:right w:sz="4" w:val="nil"/>
            </w:tcBorders>
          </w:tcPr>
          <w:p w14:paraId="0B000000">
            <w:pPr>
              <w:ind w:hanging="10" w:left="89"/>
              <w:rPr>
                <w:color w:val="000000"/>
              </w:rPr>
            </w:pPr>
          </w:p>
        </w:tc>
      </w:tr>
    </w:tbl>
    <w:p w14:paraId="0C000000">
      <w:pPr>
        <w:spacing w:line="276" w:lineRule="auto"/>
        <w:ind w:firstLine="0" w:left="0"/>
        <w:rPr>
          <w:sz w:val="24"/>
        </w:rPr>
      </w:pPr>
    </w:p>
    <w:p w14:paraId="0D000000">
      <w:pPr>
        <w:spacing w:line="276" w:lineRule="auto"/>
        <w:ind w:firstLine="0" w:left="0"/>
        <w:rPr>
          <w:sz w:val="24"/>
        </w:rPr>
      </w:pPr>
    </w:p>
    <w:tbl>
      <w:tblPr>
        <w:tblStyle w:val="Style_3"/>
        <w:tblLayout w:type="fixed"/>
      </w:tblPr>
      <w:tblGrid>
        <w:gridCol w:w="1762"/>
        <w:gridCol w:w="986"/>
        <w:gridCol w:w="1671"/>
        <w:gridCol w:w="4935"/>
      </w:tblGrid>
      <w:tr>
        <w:trPr>
          <w:trHeight w:hRule="atLeast" w:val="338"/>
        </w:trPr>
        <w:tc>
          <w:tcPr>
            <w:tcW w:type="dxa" w:w="1762"/>
          </w:tcPr>
          <w:p w14:paraId="0E000000">
            <w:pPr>
              <w:spacing w:line="240" w:lineRule="auto"/>
              <w:ind w:firstLine="0" w:left="0"/>
              <w:jc w:val="left"/>
              <w:rPr>
                <w:b w:val="1"/>
                <w:sz w:val="22"/>
              </w:rPr>
            </w:pPr>
            <w:r>
              <w:rPr>
                <w:b w:val="1"/>
                <w:sz w:val="22"/>
              </w:rPr>
              <w:t>Специальность</w:t>
            </w:r>
          </w:p>
        </w:tc>
        <w:tc>
          <w:tcPr>
            <w:tcW w:type="dxa" w:w="986"/>
            <w:tcBorders>
              <w:bottom w:color="000000" w:sz="4" w:val="single"/>
            </w:tcBorders>
          </w:tcPr>
          <w:p w14:paraId="0F000000">
            <w:pPr>
              <w:spacing w:line="240" w:lineRule="auto"/>
              <w:ind w:firstLine="0" w:left="0"/>
              <w:jc w:val="center"/>
              <w:rPr>
                <w:b w:val="1"/>
                <w:i w:val="1"/>
                <w:color w:val="000080"/>
                <w:sz w:val="22"/>
              </w:rPr>
            </w:pPr>
            <w:r>
              <w:rPr>
                <w:b w:val="1"/>
                <w:sz w:val="22"/>
              </w:rPr>
              <w:t>15.01.22</w:t>
            </w:r>
          </w:p>
        </w:tc>
        <w:tc>
          <w:tcPr>
            <w:tcW w:type="dxa" w:w="1671"/>
          </w:tcPr>
          <w:p w14:paraId="10000000">
            <w:pPr>
              <w:spacing w:line="240" w:lineRule="auto"/>
              <w:ind w:firstLine="0" w:left="0"/>
              <w:jc w:val="center"/>
              <w:rPr>
                <w:b w:val="1"/>
                <w:sz w:val="22"/>
              </w:rPr>
            </w:pPr>
          </w:p>
        </w:tc>
        <w:tc>
          <w:tcPr>
            <w:tcW w:type="dxa" w:w="4935"/>
            <w:tcBorders>
              <w:bottom w:color="000000" w:sz="4" w:val="single"/>
            </w:tcBorders>
          </w:tcPr>
          <w:p w14:paraId="11000000">
            <w:pPr>
              <w:spacing w:line="240" w:lineRule="auto"/>
              <w:ind w:firstLine="0" w:left="0"/>
              <w:jc w:val="center"/>
              <w:rPr>
                <w:b w:val="1"/>
                <w:sz w:val="22"/>
              </w:rPr>
            </w:pPr>
            <w:r>
              <w:rPr>
                <w:b w:val="1"/>
                <w:sz w:val="22"/>
              </w:rPr>
              <w:t>Чертежник-конструктор</w:t>
            </w:r>
          </w:p>
        </w:tc>
      </w:tr>
      <w:tr>
        <w:trPr>
          <w:trHeight w:hRule="atLeast" w:val="291"/>
        </w:trPr>
        <w:tc>
          <w:tcPr>
            <w:tcW w:type="dxa" w:w="1762"/>
          </w:tcPr>
          <w:p w14:paraId="12000000">
            <w:pPr>
              <w:spacing w:line="240" w:lineRule="auto"/>
              <w:ind w:firstLine="0" w:left="0"/>
              <w:jc w:val="left"/>
              <w:rPr>
                <w:b w:val="1"/>
                <w:sz w:val="22"/>
              </w:rPr>
            </w:pPr>
          </w:p>
        </w:tc>
        <w:tc>
          <w:tcPr>
            <w:tcW w:type="dxa" w:w="986"/>
            <w:tcBorders>
              <w:top w:color="000000" w:sz="4" w:val="single"/>
            </w:tcBorders>
          </w:tcPr>
          <w:p w14:paraId="13000000">
            <w:pPr>
              <w:spacing w:line="240" w:lineRule="auto"/>
              <w:ind w:firstLine="0" w:left="0"/>
              <w:jc w:val="center"/>
              <w:rPr>
                <w:sz w:val="22"/>
              </w:rPr>
            </w:pPr>
            <w:r>
              <w:rPr>
                <w:i w:val="1"/>
                <w:sz w:val="22"/>
                <w:vertAlign w:val="superscript"/>
              </w:rPr>
              <w:t>(код)</w:t>
            </w:r>
          </w:p>
        </w:tc>
        <w:tc>
          <w:tcPr>
            <w:tcW w:type="dxa" w:w="1671"/>
          </w:tcPr>
          <w:p w14:paraId="14000000">
            <w:pPr>
              <w:spacing w:line="240" w:lineRule="auto"/>
              <w:ind w:firstLine="0" w:left="0"/>
              <w:jc w:val="left"/>
              <w:rPr>
                <w:b w:val="1"/>
                <w:sz w:val="22"/>
              </w:rPr>
            </w:pPr>
          </w:p>
        </w:tc>
        <w:tc>
          <w:tcPr>
            <w:tcW w:type="dxa" w:w="4935"/>
            <w:tcBorders>
              <w:top w:color="000000" w:sz="4" w:val="single"/>
            </w:tcBorders>
          </w:tcPr>
          <w:p w14:paraId="15000000">
            <w:pPr>
              <w:spacing w:line="240" w:lineRule="auto"/>
              <w:ind w:firstLine="0" w:left="0"/>
              <w:jc w:val="center"/>
              <w:rPr>
                <w:sz w:val="22"/>
              </w:rPr>
            </w:pPr>
            <w:r>
              <w:rPr>
                <w:i w:val="1"/>
                <w:sz w:val="22"/>
                <w:vertAlign w:val="superscript"/>
              </w:rPr>
              <w:t>(наименование)</w:t>
            </w:r>
          </w:p>
        </w:tc>
      </w:tr>
    </w:tbl>
    <w:p w14:paraId="16000000">
      <w:pPr>
        <w:spacing w:line="276" w:lineRule="auto"/>
        <w:ind w:firstLine="0" w:left="0"/>
        <w:jc w:val="center"/>
        <w:rPr>
          <w:sz w:val="24"/>
        </w:rPr>
      </w:pPr>
    </w:p>
    <w:p w14:paraId="17000000">
      <w:pPr>
        <w:spacing w:line="276" w:lineRule="auto"/>
        <w:ind w:firstLine="0" w:left="0"/>
        <w:jc w:val="center"/>
        <w:rPr>
          <w:sz w:val="24"/>
        </w:rPr>
      </w:pPr>
    </w:p>
    <w:p w14:paraId="18000000">
      <w:pPr>
        <w:spacing w:line="276" w:lineRule="auto"/>
        <w:ind w:firstLine="0" w:left="0"/>
        <w:jc w:val="center"/>
        <w:rPr>
          <w:sz w:val="32"/>
        </w:rPr>
      </w:pPr>
    </w:p>
    <w:p w14:paraId="19000000">
      <w:pPr>
        <w:widowControl w:val="0"/>
        <w:spacing w:line="240" w:lineRule="auto"/>
        <w:ind w:firstLine="0" w:left="0"/>
        <w:jc w:val="center"/>
        <w:rPr>
          <w:b w:val="1"/>
          <w:sz w:val="32"/>
        </w:rPr>
      </w:pPr>
      <w:r>
        <w:rPr>
          <w:b w:val="1"/>
          <w:sz w:val="32"/>
        </w:rPr>
        <w:t>ВЫПУСКНАЯ КВАЛИФИКАЦИОННАЯ РАБОТА</w:t>
      </w:r>
    </w:p>
    <w:p w14:paraId="1A000000">
      <w:pPr>
        <w:widowControl w:val="0"/>
        <w:spacing w:line="240" w:lineRule="auto"/>
        <w:ind w:firstLine="0" w:left="0"/>
        <w:jc w:val="center"/>
        <w:rPr>
          <w:b w:val="1"/>
          <w:sz w:val="32"/>
        </w:rPr>
      </w:pPr>
    </w:p>
    <w:tbl>
      <w:tblPr>
        <w:tblStyle w:val="Style_3"/>
        <w:tblLayout w:type="fixed"/>
      </w:tblPr>
      <w:tblGrid>
        <w:gridCol w:w="1171"/>
        <w:gridCol w:w="8183"/>
      </w:tblGrid>
      <w:tr>
        <w:trPr>
          <w:trHeight w:hRule="atLeast" w:val="20"/>
        </w:trPr>
        <w:tc>
          <w:tcPr>
            <w:tcW w:type="dxa" w:w="1171"/>
            <w:vAlign w:val="center"/>
          </w:tcPr>
          <w:p w14:paraId="1B000000">
            <w:pPr>
              <w:keepNext w:val="1"/>
              <w:widowControl w:val="0"/>
              <w:spacing w:line="240" w:lineRule="auto"/>
              <w:ind w:firstLine="0" w:left="0"/>
              <w:jc w:val="center"/>
              <w:outlineLvl w:val="3"/>
              <w:rPr>
                <w:b w:val="1"/>
                <w:caps w:val="1"/>
                <w:sz w:val="24"/>
              </w:rPr>
            </w:pPr>
            <w:r>
              <w:rPr>
                <w:b w:val="1"/>
                <w:sz w:val="24"/>
              </w:rPr>
              <w:t>на тему:</w:t>
            </w:r>
          </w:p>
        </w:tc>
        <w:tc>
          <w:tcPr>
            <w:tcW w:type="dxa" w:w="8183"/>
            <w:tcBorders>
              <w:bottom w:color="000000" w:sz="4" w:val="single"/>
            </w:tcBorders>
            <w:vAlign w:val="center"/>
          </w:tcPr>
          <w:p w14:paraId="1C000000">
            <w:pPr>
              <w:keepNext w:val="1"/>
              <w:widowControl w:val="0"/>
              <w:spacing w:line="240" w:lineRule="auto"/>
              <w:ind w:firstLine="0" w:left="0"/>
              <w:jc w:val="center"/>
              <w:outlineLvl w:val="3"/>
              <w:rPr>
                <w:b w:val="1"/>
                <w:caps w:val="1"/>
                <w:color w:val="FF0000"/>
              </w:rPr>
            </w:pPr>
            <w:r>
              <w:rPr>
                <w:b w:val="1"/>
              </w:rPr>
              <w:t xml:space="preserve">Совершенствование технологического процесса </w:t>
            </w:r>
          </w:p>
        </w:tc>
      </w:tr>
      <w:tr>
        <w:trPr>
          <w:trHeight w:hRule="atLeast" w:val="20"/>
        </w:trPr>
        <w:tc>
          <w:tcPr>
            <w:tcW w:type="dxa" w:w="9354"/>
            <w:gridSpan w:val="2"/>
            <w:tcBorders>
              <w:bottom w:color="000000" w:sz="4" w:val="single"/>
            </w:tcBorders>
            <w:vAlign w:val="center"/>
          </w:tcPr>
          <w:p w14:paraId="1D000000">
            <w:pPr>
              <w:tabs>
                <w:tab w:leader="none" w:pos="284" w:val="left"/>
              </w:tabs>
              <w:spacing w:line="240" w:lineRule="auto"/>
              <w:ind w:firstLine="0" w:left="0"/>
              <w:jc w:val="center"/>
              <w:rPr>
                <w:b w:val="1"/>
              </w:rPr>
            </w:pPr>
            <w:r>
              <w:rPr>
                <w:b w:val="1"/>
              </w:rPr>
              <w:t xml:space="preserve">механической </w:t>
            </w:r>
            <w:r>
              <w:rPr>
                <w:b w:val="1"/>
              </w:rPr>
              <w:t xml:space="preserve">обработки детали «Угловой корпус подшипника» </w:t>
            </w:r>
          </w:p>
        </w:tc>
      </w:tr>
      <w:tr>
        <w:trPr>
          <w:trHeight w:hRule="atLeast" w:val="20"/>
        </w:trPr>
        <w:tc>
          <w:tcPr>
            <w:tcW w:type="dxa" w:w="9354"/>
            <w:gridSpan w:val="2"/>
            <w:tcBorders>
              <w:bottom w:color="000000" w:sz="4" w:val="single"/>
            </w:tcBorders>
            <w:vAlign w:val="center"/>
          </w:tcPr>
          <w:p w14:paraId="1E000000">
            <w:pPr>
              <w:tabs>
                <w:tab w:leader="none" w:pos="284" w:val="left"/>
              </w:tabs>
              <w:spacing w:line="240" w:lineRule="auto"/>
              <w:ind w:firstLine="0" w:left="0"/>
              <w:jc w:val="center"/>
              <w:rPr>
                <w:b w:val="1"/>
              </w:rPr>
            </w:pPr>
            <w:r>
              <w:rPr>
                <w:b w:val="1"/>
              </w:rPr>
              <w:t>на станках с ЧПУ</w:t>
            </w:r>
            <w:r>
              <w:rPr>
                <w:b w:val="1"/>
              </w:rPr>
              <w:t xml:space="preserve"> </w:t>
            </w:r>
            <w:r>
              <w:rPr>
                <w:b w:val="1"/>
              </w:rPr>
              <w:t>на ООО «МАШТЕХЦЕНТР»</w:t>
            </w:r>
          </w:p>
        </w:tc>
      </w:tr>
    </w:tbl>
    <w:p w14:paraId="1F000000">
      <w:pPr>
        <w:spacing w:line="276" w:lineRule="auto"/>
        <w:ind w:firstLine="0" w:left="0"/>
        <w:jc w:val="center"/>
        <w:rPr>
          <w:sz w:val="24"/>
        </w:rPr>
      </w:pPr>
    </w:p>
    <w:p w14:paraId="20000000">
      <w:pPr>
        <w:spacing w:line="276" w:lineRule="auto"/>
        <w:ind w:firstLine="0" w:left="0"/>
        <w:jc w:val="center"/>
        <w:rPr>
          <w:sz w:val="24"/>
        </w:rPr>
      </w:pPr>
    </w:p>
    <w:p w14:paraId="21000000">
      <w:pPr>
        <w:spacing w:line="276" w:lineRule="auto"/>
        <w:ind w:firstLine="0" w:left="0"/>
        <w:jc w:val="center"/>
        <w:rPr>
          <w:sz w:val="24"/>
        </w:rPr>
      </w:pPr>
    </w:p>
    <w:p w14:paraId="22000000">
      <w:pPr>
        <w:spacing w:line="276" w:lineRule="auto"/>
        <w:ind w:firstLine="0" w:left="0"/>
        <w:rPr>
          <w:sz w:val="24"/>
        </w:rPr>
      </w:pPr>
    </w:p>
    <w:p w14:paraId="23000000">
      <w:pPr>
        <w:spacing w:line="276" w:lineRule="auto"/>
        <w:ind w:firstLine="0" w:left="0"/>
        <w:rPr>
          <w:sz w:val="24"/>
        </w:rPr>
      </w:pPr>
    </w:p>
    <w:tbl>
      <w:tblPr>
        <w:tblStyle w:val="Style_3"/>
        <w:tblLayout w:type="fixed"/>
      </w:tblPr>
      <w:tblGrid>
        <w:gridCol w:w="2580"/>
        <w:gridCol w:w="4034"/>
        <w:gridCol w:w="566"/>
        <w:gridCol w:w="2174"/>
      </w:tblGrid>
      <w:tr>
        <w:trPr>
          <w:trHeight w:hRule="atLeast" w:val="629"/>
        </w:trPr>
        <w:tc>
          <w:tcPr>
            <w:tcW w:type="dxa" w:w="2580"/>
            <w:vAlign w:val="bottom"/>
          </w:tcPr>
          <w:p w14:paraId="24000000">
            <w:pPr>
              <w:spacing w:line="240" w:lineRule="auto"/>
              <w:ind w:firstLine="0" w:left="0"/>
              <w:jc w:val="center"/>
            </w:pPr>
            <w:r>
              <w:t xml:space="preserve">Обучающийся </w:t>
            </w:r>
          </w:p>
        </w:tc>
        <w:tc>
          <w:tcPr>
            <w:tcW w:type="dxa" w:w="4034"/>
            <w:tcBorders>
              <w:bottom w:color="000000" w:sz="4" w:val="single"/>
            </w:tcBorders>
            <w:vAlign w:val="bottom"/>
          </w:tcPr>
          <w:p w14:paraId="25000000">
            <w:pPr>
              <w:spacing w:line="240" w:lineRule="auto"/>
              <w:ind w:firstLine="0" w:left="0"/>
              <w:jc w:val="center"/>
              <w:rPr>
                <w:b w:val="1"/>
              </w:rPr>
            </w:pPr>
          </w:p>
        </w:tc>
        <w:tc>
          <w:tcPr>
            <w:tcW w:type="dxa" w:w="566"/>
            <w:vAlign w:val="bottom"/>
          </w:tcPr>
          <w:p w14:paraId="26000000">
            <w:pPr>
              <w:spacing w:line="240" w:lineRule="auto"/>
              <w:ind w:firstLine="280" w:left="0"/>
              <w:jc w:val="left"/>
              <w:rPr>
                <w:i w:val="1"/>
              </w:rPr>
            </w:pPr>
            <w:r>
              <w:rPr>
                <w:i w:val="1"/>
              </w:rPr>
              <w:t> </w:t>
            </w:r>
          </w:p>
        </w:tc>
        <w:tc>
          <w:tcPr>
            <w:tcW w:type="dxa" w:w="2174"/>
            <w:vAlign w:val="bottom"/>
          </w:tcPr>
          <w:p/>
        </w:tc>
      </w:tr>
      <w:tr>
        <w:trPr>
          <w:trHeight w:hRule="atLeast" w:val="195"/>
        </w:trPr>
        <w:tc>
          <w:tcPr>
            <w:tcW w:type="dxa" w:w="2580"/>
            <w:vAlign w:val="bottom"/>
          </w:tcPr>
          <w:p w14:paraId="27000000">
            <w:pPr>
              <w:spacing w:line="240" w:lineRule="auto"/>
              <w:ind w:firstLine="0" w:left="0"/>
              <w:jc w:val="right"/>
            </w:pPr>
          </w:p>
        </w:tc>
        <w:tc>
          <w:tcPr>
            <w:tcW w:type="dxa" w:w="4034"/>
            <w:tcBorders>
              <w:top w:color="000000" w:sz="4" w:val="single"/>
            </w:tcBorders>
          </w:tcPr>
          <w:p w14:paraId="28000000">
            <w:pPr>
              <w:spacing w:line="240" w:lineRule="auto"/>
              <w:ind w:firstLine="0" w:left="0"/>
              <w:jc w:val="center"/>
              <w:rPr>
                <w:i w:val="1"/>
                <w:sz w:val="16"/>
              </w:rPr>
            </w:pPr>
          </w:p>
        </w:tc>
        <w:tc>
          <w:tcPr>
            <w:tcW w:type="dxa" w:w="566"/>
          </w:tcPr>
          <w:p w14:paraId="29000000">
            <w:pPr>
              <w:spacing w:line="240" w:lineRule="auto"/>
              <w:ind w:firstLine="0" w:left="0"/>
              <w:jc w:val="center"/>
              <w:rPr>
                <w:i w:val="1"/>
                <w:sz w:val="16"/>
              </w:rPr>
            </w:pPr>
          </w:p>
        </w:tc>
        <w:tc>
          <w:tcPr>
            <w:tcW w:type="dxa" w:w="2174"/>
          </w:tcPr>
          <w:p w14:paraId="2A000000">
            <w:pPr>
              <w:spacing w:line="240" w:lineRule="auto"/>
              <w:ind w:firstLine="0" w:left="0"/>
              <w:jc w:val="center"/>
              <w:rPr>
                <w:i w:val="1"/>
                <w:sz w:val="16"/>
              </w:rPr>
            </w:pPr>
          </w:p>
        </w:tc>
      </w:tr>
      <w:tr>
        <w:trPr>
          <w:trHeight w:hRule="atLeast" w:val="629"/>
        </w:trPr>
        <w:tc>
          <w:tcPr>
            <w:tcW w:type="dxa" w:w="2580"/>
            <w:vAlign w:val="bottom"/>
          </w:tcPr>
          <w:p w14:paraId="2B000000">
            <w:pPr>
              <w:spacing w:line="240" w:lineRule="auto"/>
              <w:ind w:firstLine="0" w:left="0"/>
              <w:jc w:val="center"/>
            </w:pPr>
            <w:r>
              <w:t xml:space="preserve">Руководитель </w:t>
            </w:r>
          </w:p>
        </w:tc>
        <w:tc>
          <w:tcPr>
            <w:tcW w:type="dxa" w:w="4034"/>
            <w:tcBorders>
              <w:bottom w:color="000000" w:sz="4" w:val="single"/>
            </w:tcBorders>
            <w:vAlign w:val="bottom"/>
          </w:tcPr>
          <w:p/>
        </w:tc>
        <w:tc>
          <w:tcPr>
            <w:tcW w:type="dxa" w:w="566"/>
            <w:vAlign w:val="bottom"/>
          </w:tcPr>
          <w:p w14:paraId="2C000000">
            <w:pPr>
              <w:spacing w:line="240" w:lineRule="auto"/>
              <w:ind w:firstLine="280" w:left="0"/>
              <w:jc w:val="left"/>
            </w:pPr>
            <w:r>
              <w:t> </w:t>
            </w:r>
          </w:p>
        </w:tc>
        <w:tc>
          <w:tcPr>
            <w:tcW w:type="dxa" w:w="2174"/>
            <w:vAlign w:val="bottom"/>
          </w:tcPr>
          <w:p w14:paraId="2D000000">
            <w:pPr>
              <w:spacing w:line="240" w:lineRule="auto"/>
              <w:ind w:firstLine="0" w:left="0"/>
              <w:jc w:val="center"/>
              <w:rPr>
                <w:b w:val="1"/>
                <w:i w:val="1"/>
                <w:sz w:val="16"/>
              </w:rPr>
            </w:pPr>
            <w:r>
              <w:rPr>
                <w:b w:val="1"/>
                <w:i w:val="1"/>
                <w:sz w:val="16"/>
              </w:rPr>
              <w:t>_____________</w:t>
            </w:r>
          </w:p>
        </w:tc>
      </w:tr>
    </w:tbl>
    <w:p w14:paraId="2E000000">
      <w:pPr>
        <w:spacing w:line="276" w:lineRule="auto"/>
        <w:ind w:firstLine="0" w:left="0"/>
        <w:jc w:val="center"/>
        <w:rPr>
          <w:sz w:val="24"/>
        </w:rPr>
      </w:pPr>
    </w:p>
    <w:p w14:paraId="2F000000">
      <w:pPr>
        <w:spacing w:line="276" w:lineRule="auto"/>
        <w:ind w:firstLine="0" w:left="0"/>
        <w:jc w:val="center"/>
        <w:rPr>
          <w:b w:val="1"/>
          <w:sz w:val="24"/>
        </w:rPr>
      </w:pPr>
    </w:p>
    <w:p w14:paraId="30000000">
      <w:pPr>
        <w:spacing w:line="276" w:lineRule="auto"/>
        <w:ind w:firstLine="0" w:left="0"/>
        <w:jc w:val="center"/>
        <w:rPr>
          <w:b w:val="1"/>
          <w:sz w:val="24"/>
        </w:rPr>
      </w:pPr>
    </w:p>
    <w:p w14:paraId="31000000">
      <w:pPr>
        <w:spacing w:line="276" w:lineRule="auto"/>
        <w:ind w:firstLine="0" w:left="0"/>
        <w:jc w:val="center"/>
        <w:rPr>
          <w:b w:val="1"/>
          <w:sz w:val="24"/>
        </w:rPr>
      </w:pPr>
    </w:p>
    <w:p w14:paraId="32000000">
      <w:pPr>
        <w:spacing w:line="276" w:lineRule="auto"/>
        <w:ind w:firstLine="0" w:left="0"/>
        <w:jc w:val="center"/>
        <w:rPr>
          <w:b w:val="1"/>
          <w:sz w:val="24"/>
        </w:rPr>
      </w:pPr>
    </w:p>
    <w:p w14:paraId="33000000">
      <w:pPr>
        <w:spacing w:line="276" w:lineRule="auto"/>
        <w:ind w:firstLine="0" w:left="0"/>
        <w:jc w:val="center"/>
        <w:rPr>
          <w:b w:val="1"/>
          <w:sz w:val="24"/>
        </w:rPr>
      </w:pPr>
    </w:p>
    <w:p w14:paraId="34000000">
      <w:pPr>
        <w:spacing w:line="276" w:lineRule="auto"/>
        <w:ind w:firstLine="0" w:left="0"/>
        <w:jc w:val="center"/>
        <w:rPr>
          <w:b w:val="1"/>
          <w:sz w:val="24"/>
        </w:rPr>
      </w:pPr>
    </w:p>
    <w:p w14:paraId="35000000">
      <w:pPr>
        <w:spacing w:line="276" w:lineRule="auto"/>
        <w:ind w:firstLine="0" w:left="0"/>
        <w:jc w:val="center"/>
        <w:rPr>
          <w:b w:val="1"/>
          <w:sz w:val="24"/>
        </w:rPr>
      </w:pPr>
    </w:p>
    <w:p w14:paraId="36000000">
      <w:pPr>
        <w:spacing w:line="276" w:lineRule="auto"/>
        <w:ind w:firstLine="0" w:left="0"/>
        <w:jc w:val="center"/>
        <w:rPr>
          <w:b w:val="1"/>
          <w:sz w:val="24"/>
        </w:rPr>
      </w:pPr>
    </w:p>
    <w:p w14:paraId="37000000">
      <w:pPr>
        <w:spacing w:line="276" w:lineRule="auto"/>
        <w:ind w:firstLine="0" w:left="0"/>
        <w:rPr>
          <w:b w:val="1"/>
          <w:sz w:val="24"/>
        </w:rPr>
      </w:pPr>
    </w:p>
    <w:p w14:paraId="38000000">
      <w:pPr>
        <w:spacing w:line="276" w:lineRule="auto"/>
        <w:ind w:firstLine="0" w:left="0"/>
        <w:rPr>
          <w:b w:val="1"/>
          <w:sz w:val="24"/>
        </w:rPr>
      </w:pPr>
    </w:p>
    <w:p w14:paraId="39000000">
      <w:pPr>
        <w:spacing w:line="276" w:lineRule="auto"/>
        <w:ind w:firstLine="0" w:left="0"/>
        <w:jc w:val="center"/>
        <w:rPr>
          <w:b w:val="1"/>
          <w:sz w:val="24"/>
        </w:rPr>
      </w:pPr>
    </w:p>
    <w:p w14:paraId="3A000000">
      <w:pPr>
        <w:spacing w:line="276" w:lineRule="auto"/>
        <w:ind w:firstLine="0" w:left="0"/>
        <w:jc w:val="center"/>
        <w:rPr>
          <w:b w:val="1"/>
          <w:sz w:val="24"/>
        </w:rPr>
      </w:pPr>
    </w:p>
    <w:p w14:paraId="3B000000">
      <w:pPr>
        <w:spacing w:line="276" w:lineRule="auto"/>
        <w:ind w:firstLine="0" w:left="0"/>
        <w:jc w:val="center"/>
        <w:rPr>
          <w:b w:val="1"/>
          <w:sz w:val="24"/>
        </w:rPr>
      </w:pPr>
    </w:p>
    <w:p w14:paraId="3C000000">
      <w:pPr>
        <w:spacing w:line="276" w:lineRule="auto"/>
        <w:ind w:firstLine="0" w:left="0"/>
        <w:jc w:val="center"/>
        <w:rPr>
          <w:b w:val="1"/>
          <w:sz w:val="24"/>
        </w:rPr>
      </w:pPr>
    </w:p>
    <w:p w14:paraId="3D000000">
      <w:pPr>
        <w:spacing w:line="276" w:lineRule="auto"/>
        <w:ind w:firstLine="0" w:left="0"/>
        <w:jc w:val="center"/>
        <w:rPr>
          <w:b w:val="1"/>
          <w:sz w:val="32"/>
        </w:rPr>
      </w:pPr>
      <w:r>
        <w:rPr>
          <w:b w:val="1"/>
          <w:sz w:val="32"/>
        </w:rPr>
        <w:t>МОСКВА 202</w:t>
      </w:r>
      <w:r>
        <w:rPr>
          <w:b w:val="1"/>
          <w:sz w:val="32"/>
        </w:rPr>
        <w:t>6</w:t>
      </w:r>
      <w:r>
        <w:rPr>
          <w:b w:val="1"/>
          <w:sz w:val="32"/>
        </w:rPr>
        <w:t xml:space="preserve"> г.</w:t>
      </w:r>
    </w:p>
    <w:p w14:paraId="3E000000">
      <w:pPr>
        <w:sectPr>
          <w:headerReference r:id="rId2" w:type="default"/>
          <w:footerReference r:id="rId4" w:type="first"/>
          <w:footerReference r:id="rId3" w:type="default"/>
          <w:pgSz w:h="16838" w:orient="portrait" w:w="11906"/>
          <w:pgMar w:bottom="1134" w:footer="708" w:gutter="0" w:header="708" w:left="1701" w:right="851" w:top="1134"/>
          <w:titlePg/>
        </w:sectPr>
      </w:pPr>
    </w:p>
    <w:p w14:paraId="3F000000">
      <w:pPr>
        <w:ind w:hanging="10" w:left="-567"/>
        <w:jc w:val="center"/>
        <w:rPr>
          <w:b w:val="1"/>
          <w:color w:val="000000"/>
          <w:spacing w:val="40"/>
        </w:rPr>
      </w:pPr>
      <w:r>
        <w:rPr>
          <w:b w:val="1"/>
          <w:color w:val="000000"/>
          <w:spacing w:val="30"/>
        </w:rPr>
        <w:t>Образовательная автономная некоммерческая организация в</w:t>
      </w:r>
      <w:r>
        <w:rPr>
          <w:b w:val="1"/>
          <w:color w:val="000000"/>
          <w:spacing w:val="40"/>
        </w:rPr>
        <w:t>ысшего образования</w:t>
      </w:r>
    </w:p>
    <w:p w14:paraId="40000000">
      <w:pPr>
        <w:ind w:hanging="10" w:left="-142"/>
        <w:jc w:val="center"/>
        <w:rPr>
          <w:b w:val="1"/>
          <w:color w:val="000000"/>
          <w:spacing w:val="40"/>
        </w:rPr>
      </w:pPr>
      <w:r>
        <w:rPr>
          <w:b w:val="1"/>
          <w:color w:val="000000"/>
          <w:spacing w:val="40"/>
        </w:rPr>
        <w:t xml:space="preserve">«МОСКОВСКИЙ </w:t>
      </w:r>
      <w:r>
        <w:rPr>
          <w:b w:val="1"/>
          <w:spacing w:val="40"/>
        </w:rPr>
        <w:t>ТЕХНОЛОГИЧЕСКИЙ</w:t>
      </w:r>
      <w:r>
        <w:rPr>
          <w:b w:val="1"/>
          <w:color w:val="000000"/>
          <w:spacing w:val="40"/>
        </w:rPr>
        <w:t xml:space="preserve"> ИНСТИТУТ»</w:t>
      </w:r>
    </w:p>
    <w:p w14:paraId="41000000">
      <w:pPr>
        <w:ind/>
        <w:jc w:val="center"/>
        <w:rPr>
          <w:b w:val="1"/>
          <w:sz w:val="24"/>
        </w:rPr>
      </w:pPr>
    </w:p>
    <w:p w14:paraId="42000000">
      <w:pPr>
        <w:ind/>
        <w:jc w:val="center"/>
        <w:rPr>
          <w:sz w:val="24"/>
        </w:rPr>
      </w:pPr>
      <w:r>
        <w:rPr>
          <w:b w:val="1"/>
          <w:sz w:val="24"/>
        </w:rPr>
        <w:t>ЗАДАНИЕ</w:t>
      </w:r>
    </w:p>
    <w:p w14:paraId="43000000">
      <w:pPr>
        <w:spacing w:line="276" w:lineRule="auto"/>
        <w:ind/>
        <w:jc w:val="center"/>
        <w:rPr>
          <w:b w:val="1"/>
          <w:sz w:val="24"/>
        </w:rPr>
      </w:pPr>
      <w:r>
        <w:rPr>
          <w:b w:val="1"/>
          <w:sz w:val="24"/>
        </w:rPr>
        <w:t>на выпускную квалификационную работу</w:t>
      </w:r>
    </w:p>
    <w:p w14:paraId="44000000">
      <w:pPr>
        <w:tabs>
          <w:tab w:leader="none" w:pos="284" w:val="left"/>
        </w:tabs>
        <w:ind/>
        <w:jc w:val="center"/>
        <w:rPr>
          <w:u w:val="single"/>
        </w:rPr>
      </w:pPr>
      <w:r>
        <w:t xml:space="preserve">обучающемуся </w:t>
      </w:r>
    </w:p>
    <w:p w14:paraId="45000000">
      <w:pPr>
        <w:spacing w:after="120" w:line="276" w:lineRule="auto"/>
        <w:ind w:firstLine="0" w:left="0"/>
        <w:rPr>
          <w:sz w:val="24"/>
        </w:rPr>
      </w:pPr>
      <w:r>
        <w:rPr>
          <w:sz w:val="24"/>
        </w:rPr>
        <w:t>1. Тема: Совершенствование технологического процесса механической обработки детали «</w:t>
      </w:r>
      <w:r>
        <w:rPr>
          <w:sz w:val="24"/>
        </w:rPr>
        <w:t>Угловой к</w:t>
      </w:r>
      <w:r>
        <w:rPr>
          <w:sz w:val="24"/>
        </w:rPr>
        <w:t xml:space="preserve">орпус подшипника» на </w:t>
      </w:r>
      <w:r>
        <w:rPr>
          <w:sz w:val="24"/>
        </w:rPr>
        <w:t>ООО «МАШТЕХЦЕНТР»</w:t>
      </w:r>
    </w:p>
    <w:p w14:paraId="46000000">
      <w:pPr>
        <w:tabs>
          <w:tab w:leader="none" w:pos="284" w:val="left"/>
        </w:tabs>
        <w:spacing w:after="120" w:line="276" w:lineRule="auto"/>
        <w:ind w:firstLine="0" w:left="0"/>
        <w:rPr>
          <w:sz w:val="24"/>
        </w:rPr>
      </w:pPr>
      <w:r>
        <w:rPr>
          <w:sz w:val="24"/>
        </w:rPr>
        <w:t xml:space="preserve">2. Срок сдачи обучающимся законченной работы «01» </w:t>
      </w:r>
      <w:r>
        <w:rPr>
          <w:sz w:val="24"/>
        </w:rPr>
        <w:t>августа</w:t>
      </w:r>
      <w:r>
        <w:rPr>
          <w:sz w:val="24"/>
        </w:rPr>
        <w:t xml:space="preserve"> 2026 г.</w:t>
      </w:r>
    </w:p>
    <w:p w14:paraId="47000000">
      <w:pPr>
        <w:tabs>
          <w:tab w:leader="none" w:pos="284" w:val="left"/>
        </w:tabs>
        <w:spacing w:after="120" w:line="276" w:lineRule="auto"/>
        <w:ind w:firstLine="0" w:left="0"/>
        <w:rPr>
          <w:sz w:val="24"/>
          <w:u w:val="single"/>
        </w:rPr>
      </w:pPr>
      <w:r>
        <w:rPr>
          <w:sz w:val="24"/>
        </w:rPr>
        <w:t xml:space="preserve">3. Исходные данные к ВКР: научная и учебная литература, </w:t>
      </w:r>
      <w:r>
        <w:rPr>
          <w:sz w:val="24"/>
        </w:rPr>
        <w:t>и</w:t>
      </w:r>
      <w:r>
        <w:rPr>
          <w:sz w:val="24"/>
        </w:rPr>
        <w:t>нтернет-ресурсы и др.</w:t>
      </w:r>
    </w:p>
    <w:p w14:paraId="48000000">
      <w:pPr>
        <w:tabs>
          <w:tab w:leader="none" w:pos="284" w:val="left"/>
        </w:tabs>
        <w:spacing w:after="120" w:line="276" w:lineRule="auto"/>
        <w:ind w:firstLine="0" w:left="0"/>
        <w:rPr>
          <w:sz w:val="24"/>
        </w:rPr>
      </w:pPr>
      <w:r>
        <w:rPr>
          <w:sz w:val="24"/>
        </w:rPr>
        <w:t>4. Содержание ВКР (перечень подлежащих разработке вопросов):</w:t>
      </w:r>
    </w:p>
    <w:p w14:paraId="49000000">
      <w:pPr>
        <w:tabs>
          <w:tab w:leader="none" w:pos="284" w:val="left"/>
        </w:tabs>
        <w:spacing w:line="276" w:lineRule="auto"/>
        <w:ind w:firstLine="0" w:left="0"/>
        <w:rPr>
          <w:b w:val="1"/>
          <w:sz w:val="24"/>
        </w:rPr>
      </w:pPr>
      <w:r>
        <w:rPr>
          <w:b w:val="1"/>
          <w:sz w:val="24"/>
        </w:rPr>
        <w:t>ВВЕДЕНИЕ</w:t>
      </w:r>
    </w:p>
    <w:p w14:paraId="4A000000">
      <w:pPr>
        <w:widowControl w:val="0"/>
        <w:spacing w:line="276" w:lineRule="auto"/>
        <w:ind w:firstLine="0" w:left="0"/>
        <w:rPr>
          <w:b w:val="1"/>
          <w:sz w:val="24"/>
        </w:rPr>
      </w:pPr>
      <w:r>
        <w:rPr>
          <w:b w:val="1"/>
          <w:sz w:val="24"/>
        </w:rPr>
        <w:t>1. ОБЩАЯ ХАРАКТЕРИСТИКА ОБЪЕКТА</w:t>
      </w:r>
    </w:p>
    <w:p w14:paraId="4B000000">
      <w:pPr>
        <w:spacing w:line="276" w:lineRule="auto"/>
        <w:ind w:firstLine="0" w:left="0"/>
        <w:rPr>
          <w:color w:val="0D0D0D"/>
          <w:sz w:val="24"/>
        </w:rPr>
      </w:pPr>
      <w:r>
        <w:rPr>
          <w:color w:val="0D0D0D"/>
          <w:sz w:val="24"/>
        </w:rPr>
        <w:t xml:space="preserve">1.1 Структура и основная деятельность </w:t>
      </w:r>
      <w:r>
        <w:rPr>
          <w:sz w:val="24"/>
        </w:rPr>
        <w:t>ООО «МАШТЕХЦЕНТР»</w:t>
      </w:r>
    </w:p>
    <w:p w14:paraId="4C000000">
      <w:pPr>
        <w:spacing w:line="276" w:lineRule="auto"/>
        <w:ind w:firstLine="0" w:left="0"/>
        <w:rPr>
          <w:color w:val="0D0D0D"/>
          <w:sz w:val="24"/>
        </w:rPr>
      </w:pPr>
      <w:r>
        <w:rPr>
          <w:color w:val="0D0D0D"/>
          <w:sz w:val="24"/>
        </w:rPr>
        <w:t xml:space="preserve">1.2 Технологическое оборудование </w:t>
      </w:r>
      <w:r>
        <w:rPr>
          <w:sz w:val="24"/>
        </w:rPr>
        <w:t>ООО «МАШТЕХЦЕНТР»</w:t>
      </w:r>
    </w:p>
    <w:p w14:paraId="4D000000">
      <w:pPr>
        <w:spacing w:line="276" w:lineRule="auto"/>
        <w:ind w:firstLine="0" w:left="0"/>
        <w:rPr>
          <w:color w:val="0D0D0D"/>
          <w:sz w:val="24"/>
        </w:rPr>
      </w:pPr>
      <w:r>
        <w:rPr>
          <w:color w:val="0D0D0D"/>
          <w:sz w:val="24"/>
        </w:rPr>
        <w:t xml:space="preserve">1.3 Обзор современных технологических </w:t>
      </w:r>
      <w:r>
        <w:rPr>
          <w:sz w:val="24"/>
        </w:rPr>
        <w:t>процессов механической обработки деталей</w:t>
      </w:r>
    </w:p>
    <w:p w14:paraId="4E000000">
      <w:pPr>
        <w:spacing w:line="276" w:lineRule="auto"/>
        <w:ind w:firstLine="0" w:left="0"/>
        <w:rPr>
          <w:b w:val="1"/>
          <w:color w:themeColor="text1" w:themeTint="F2" w:val="0D0D0D"/>
          <w:sz w:val="24"/>
        </w:rPr>
      </w:pPr>
      <w:r>
        <w:rPr>
          <w:b w:val="1"/>
          <w:color w:themeColor="text1" w:themeTint="F2" w:val="0D0D0D"/>
          <w:sz w:val="24"/>
        </w:rPr>
        <w:t>2. ТЕХНОЛОГИЧЕСКИЙ РАЗДЕЛ</w:t>
      </w:r>
    </w:p>
    <w:p w14:paraId="4F000000">
      <w:pPr>
        <w:tabs>
          <w:tab w:leader="none" w:pos="284" w:val="left"/>
        </w:tabs>
        <w:spacing w:line="276" w:lineRule="auto"/>
        <w:ind w:firstLine="0" w:left="0"/>
        <w:rPr>
          <w:sz w:val="24"/>
        </w:rPr>
      </w:pPr>
      <w:r>
        <w:rPr>
          <w:sz w:val="24"/>
        </w:rPr>
        <w:t>2.1 Анализ действующего технологического процесса</w:t>
      </w:r>
      <w:r>
        <w:rPr>
          <w:sz w:val="24"/>
        </w:rPr>
        <w:t xml:space="preserve"> изготовления детали </w:t>
      </w:r>
      <w:r>
        <w:rPr>
          <w:sz w:val="24"/>
        </w:rPr>
        <w:t>«</w:t>
      </w:r>
      <w:r>
        <w:rPr>
          <w:sz w:val="24"/>
        </w:rPr>
        <w:t>Угловой к</w:t>
      </w:r>
      <w:r>
        <w:rPr>
          <w:sz w:val="24"/>
        </w:rPr>
        <w:t>орпус подшипника</w:t>
      </w:r>
      <w:r>
        <w:rPr>
          <w:sz w:val="24"/>
          <w:highlight w:val="white"/>
        </w:rPr>
        <w:t>»</w:t>
      </w:r>
    </w:p>
    <w:p w14:paraId="50000000">
      <w:pPr>
        <w:widowControl w:val="0"/>
        <w:spacing w:line="276" w:lineRule="auto"/>
        <w:ind w:firstLine="0" w:left="0"/>
        <w:rPr>
          <w:sz w:val="24"/>
        </w:rPr>
      </w:pPr>
      <w:r>
        <w:rPr>
          <w:sz w:val="24"/>
        </w:rPr>
        <w:t xml:space="preserve">2.2 Анализ </w:t>
      </w:r>
      <w:r>
        <w:rPr>
          <w:sz w:val="24"/>
        </w:rPr>
        <w:t xml:space="preserve">детали </w:t>
      </w:r>
      <w:r>
        <w:rPr>
          <w:sz w:val="24"/>
        </w:rPr>
        <w:t>«</w:t>
      </w:r>
      <w:r>
        <w:rPr>
          <w:sz w:val="24"/>
        </w:rPr>
        <w:t>Угловой к</w:t>
      </w:r>
      <w:r>
        <w:rPr>
          <w:sz w:val="24"/>
        </w:rPr>
        <w:t>орпус подшипника</w:t>
      </w:r>
      <w:r>
        <w:rPr>
          <w:sz w:val="24"/>
          <w:highlight w:val="white"/>
        </w:rPr>
        <w:t xml:space="preserve">» </w:t>
      </w:r>
    </w:p>
    <w:p w14:paraId="51000000">
      <w:pPr>
        <w:widowControl w:val="0"/>
        <w:spacing w:line="276" w:lineRule="auto"/>
        <w:ind w:firstLine="0" w:left="0"/>
        <w:rPr>
          <w:sz w:val="24"/>
        </w:rPr>
      </w:pPr>
      <w:r>
        <w:rPr>
          <w:sz w:val="24"/>
        </w:rPr>
        <w:t>2.</w:t>
      </w:r>
      <w:r>
        <w:rPr>
          <w:sz w:val="24"/>
        </w:rPr>
        <w:t>3</w:t>
      </w:r>
      <w:r>
        <w:rPr>
          <w:sz w:val="24"/>
        </w:rPr>
        <w:t xml:space="preserve"> Разработка </w:t>
      </w:r>
      <w:r>
        <w:rPr>
          <w:sz w:val="24"/>
        </w:rPr>
        <w:t xml:space="preserve">совершенствованного </w:t>
      </w:r>
      <w:r>
        <w:rPr>
          <w:sz w:val="24"/>
        </w:rPr>
        <w:t xml:space="preserve">технологического процесса </w:t>
      </w:r>
      <w:r>
        <w:rPr>
          <w:sz w:val="24"/>
        </w:rPr>
        <w:t>изготовления</w:t>
      </w:r>
      <w:r>
        <w:rPr>
          <w:sz w:val="24"/>
        </w:rPr>
        <w:t xml:space="preserve"> детали «</w:t>
      </w:r>
      <w:r>
        <w:rPr>
          <w:sz w:val="24"/>
        </w:rPr>
        <w:t>Угловой к</w:t>
      </w:r>
      <w:r>
        <w:rPr>
          <w:sz w:val="24"/>
        </w:rPr>
        <w:t>орпус подшипника»</w:t>
      </w:r>
    </w:p>
    <w:p w14:paraId="52000000">
      <w:pPr>
        <w:spacing w:line="276" w:lineRule="auto"/>
        <w:ind w:firstLine="0" w:left="0"/>
        <w:rPr>
          <w:sz w:val="24"/>
        </w:rPr>
      </w:pPr>
      <w:r>
        <w:rPr>
          <w:sz w:val="24"/>
        </w:rPr>
        <w:t xml:space="preserve">2.5 </w:t>
      </w:r>
      <w:r>
        <w:rPr>
          <w:sz w:val="24"/>
        </w:rPr>
        <w:t>Выбор и р</w:t>
      </w:r>
      <w:r>
        <w:rPr>
          <w:sz w:val="24"/>
        </w:rPr>
        <w:t>асчет кинематической схемы</w:t>
      </w:r>
    </w:p>
    <w:p w14:paraId="53000000">
      <w:pPr>
        <w:widowControl w:val="0"/>
        <w:spacing w:line="276" w:lineRule="auto"/>
        <w:ind w:firstLine="0" w:left="0"/>
        <w:rPr>
          <w:b w:val="1"/>
          <w:sz w:val="24"/>
        </w:rPr>
      </w:pPr>
      <w:bookmarkStart w:id="1" w:name="_Hlk193964743"/>
      <w:r>
        <w:rPr>
          <w:b w:val="1"/>
          <w:sz w:val="24"/>
        </w:rPr>
        <w:t>3. РАЗДЕЛ ПО ОХРАНА ТРУДА</w:t>
      </w:r>
    </w:p>
    <w:p w14:paraId="54000000">
      <w:pPr>
        <w:spacing w:line="276" w:lineRule="auto"/>
        <w:ind w:firstLine="0" w:left="0"/>
        <w:rPr>
          <w:sz w:val="24"/>
        </w:rPr>
      </w:pPr>
      <w:r>
        <w:rPr>
          <w:sz w:val="24"/>
        </w:rPr>
        <w:t>3.1 Анализ опасных и вредных производственных факторов при механической обработке деталей</w:t>
      </w:r>
      <w:bookmarkEnd w:id="1"/>
    </w:p>
    <w:p w14:paraId="55000000">
      <w:pPr>
        <w:spacing w:line="276" w:lineRule="auto"/>
        <w:ind w:firstLine="0" w:left="0"/>
        <w:rPr>
          <w:sz w:val="24"/>
        </w:rPr>
      </w:pPr>
      <w:r>
        <w:rPr>
          <w:sz w:val="24"/>
        </w:rPr>
        <w:t xml:space="preserve">3.2 Разработка мероприятий по снижению воздействия на работника опасных и вредных производственных факторов </w:t>
      </w:r>
    </w:p>
    <w:p w14:paraId="56000000">
      <w:pPr>
        <w:spacing w:line="276" w:lineRule="auto"/>
        <w:ind w:firstLine="0" w:left="0"/>
        <w:rPr>
          <w:sz w:val="24"/>
        </w:rPr>
      </w:pPr>
      <w:r>
        <w:rPr>
          <w:sz w:val="24"/>
        </w:rPr>
        <w:t xml:space="preserve">3.3 Разработка инструкции по охране труда при механической обработке детали </w:t>
      </w:r>
    </w:p>
    <w:p w14:paraId="57000000">
      <w:pPr>
        <w:tabs>
          <w:tab w:leader="none" w:pos="284" w:val="left"/>
        </w:tabs>
        <w:spacing w:line="240" w:lineRule="auto"/>
        <w:ind w:firstLine="0" w:left="0"/>
        <w:rPr>
          <w:b w:val="1"/>
          <w:sz w:val="24"/>
        </w:rPr>
      </w:pPr>
      <w:r>
        <w:rPr>
          <w:b w:val="1"/>
          <w:sz w:val="24"/>
        </w:rPr>
        <w:t xml:space="preserve">ЗАКЛЮЧЕНИЕ </w:t>
      </w:r>
    </w:p>
    <w:p w14:paraId="58000000">
      <w:pPr>
        <w:tabs>
          <w:tab w:leader="none" w:pos="284" w:val="left"/>
        </w:tabs>
        <w:spacing w:line="240" w:lineRule="auto"/>
        <w:ind w:firstLine="0" w:left="0"/>
        <w:rPr>
          <w:b w:val="1"/>
          <w:sz w:val="24"/>
        </w:rPr>
      </w:pPr>
      <w:r>
        <w:rPr>
          <w:b w:val="1"/>
          <w:sz w:val="24"/>
        </w:rPr>
        <w:t>СПИСОК ИСПОЛЬЗОВАННЫХ ИСТОЧНИКОВ</w:t>
      </w:r>
    </w:p>
    <w:p w14:paraId="59000000">
      <w:pPr>
        <w:tabs>
          <w:tab w:leader="none" w:pos="284" w:val="left"/>
        </w:tabs>
        <w:spacing w:line="276" w:lineRule="auto"/>
        <w:ind w:firstLine="0" w:left="0"/>
        <w:rPr>
          <w:color w:themeColor="text1" w:themeTint="F2" w:val="0D0D0D"/>
          <w:sz w:val="24"/>
        </w:rPr>
      </w:pPr>
      <w:r>
        <w:rPr>
          <w:color w:themeColor="text1" w:themeTint="F2" w:val="0D0D0D"/>
          <w:sz w:val="24"/>
        </w:rPr>
        <w:t xml:space="preserve">4. Перечень графического материала </w:t>
      </w:r>
      <w:r>
        <w:rPr>
          <w:color w:themeColor="text1" w:themeTint="F2" w:val="0D0D0D"/>
          <w:sz w:val="24"/>
        </w:rPr>
        <w:t>5</w:t>
      </w:r>
      <w:r>
        <w:rPr>
          <w:color w:themeColor="text1" w:themeTint="F2" w:val="0D0D0D"/>
          <w:sz w:val="24"/>
        </w:rPr>
        <w:t xml:space="preserve"> таблиц, </w:t>
      </w:r>
      <w:r>
        <w:rPr>
          <w:color w:themeColor="text1" w:themeTint="F2" w:val="0D0D0D"/>
          <w:sz w:val="24"/>
        </w:rPr>
        <w:t>3</w:t>
      </w:r>
      <w:r>
        <w:rPr>
          <w:color w:themeColor="text1" w:themeTint="F2" w:val="0D0D0D"/>
          <w:sz w:val="24"/>
        </w:rPr>
        <w:t xml:space="preserve"> рисунков.</w:t>
      </w:r>
    </w:p>
    <w:p w14:paraId="5A000000">
      <w:pPr>
        <w:tabs>
          <w:tab w:leader="none" w:pos="284" w:val="left"/>
        </w:tabs>
        <w:spacing w:line="276" w:lineRule="auto"/>
        <w:ind w:firstLine="0" w:left="0"/>
        <w:rPr>
          <w:b w:val="1"/>
          <w:color w:themeColor="text1" w:themeTint="F2" w:val="0D0D0D"/>
          <w:sz w:val="24"/>
        </w:rPr>
      </w:pPr>
      <w:r>
        <w:rPr>
          <w:color w:themeColor="text1" w:themeTint="F2" w:val="0D0D0D"/>
          <w:sz w:val="24"/>
        </w:rPr>
        <w:t>5</w:t>
      </w:r>
      <w:r>
        <w:rPr>
          <w:color w:themeColor="text1" w:themeTint="F2" w:val="0D0D0D"/>
          <w:sz w:val="24"/>
        </w:rPr>
        <w:t>. Чертежей</w:t>
      </w:r>
      <w:r>
        <w:rPr>
          <w:b w:val="1"/>
          <w:color w:themeColor="text1" w:themeTint="F2" w:val="0D0D0D"/>
          <w:sz w:val="24"/>
        </w:rPr>
        <w:t xml:space="preserve"> </w:t>
      </w:r>
      <w:r>
        <w:rPr>
          <w:color w:themeColor="text1" w:themeTint="F2" w:val="0D0D0D"/>
          <w:sz w:val="24"/>
        </w:rPr>
        <w:t>3.</w:t>
      </w:r>
    </w:p>
    <w:p w14:paraId="5B000000">
      <w:pPr>
        <w:tabs>
          <w:tab w:leader="none" w:pos="284" w:val="left"/>
        </w:tabs>
        <w:spacing w:line="276" w:lineRule="auto"/>
        <w:ind w:firstLine="0" w:left="0"/>
        <w:jc w:val="left"/>
        <w:rPr>
          <w:sz w:val="24"/>
        </w:rPr>
      </w:pPr>
      <w:r>
        <w:rPr>
          <w:sz w:val="24"/>
        </w:rPr>
        <w:t>Дата выдачи задания 13.0</w:t>
      </w:r>
      <w:r>
        <w:rPr>
          <w:sz w:val="24"/>
        </w:rPr>
        <w:t>4</w:t>
      </w:r>
      <w:r>
        <w:rPr>
          <w:sz w:val="24"/>
        </w:rPr>
        <w:t>.2026                    </w:t>
      </w:r>
      <w:r>
        <w:rPr>
          <w:sz w:val="24"/>
        </w:rPr>
        <w:tab/>
      </w:r>
      <w:r>
        <w:rPr>
          <w:sz w:val="24"/>
        </w:rPr>
        <w:t>Задание принял</w:t>
      </w:r>
      <w:r>
        <w:rPr>
          <w:sz w:val="24"/>
        </w:rPr>
        <w:t xml:space="preserve"> </w:t>
      </w:r>
      <w:r>
        <w:rPr>
          <w:sz w:val="24"/>
        </w:rPr>
        <w:t>1</w:t>
      </w:r>
      <w:r>
        <w:rPr>
          <w:sz w:val="24"/>
        </w:rPr>
        <w:t>2</w:t>
      </w:r>
      <w:r>
        <w:rPr>
          <w:sz w:val="24"/>
        </w:rPr>
        <w:t>.0</w:t>
      </w:r>
      <w:r>
        <w:rPr>
          <w:sz w:val="24"/>
        </w:rPr>
        <w:t>7</w:t>
      </w:r>
      <w:r>
        <w:rPr>
          <w:sz w:val="24"/>
        </w:rPr>
        <w:t>.2026</w:t>
      </w:r>
    </w:p>
    <w:p w14:paraId="5C000000">
      <w:pPr>
        <w:tabs>
          <w:tab w:leader="none" w:pos="284" w:val="left"/>
        </w:tabs>
        <w:spacing w:before="160" w:line="276" w:lineRule="auto"/>
        <w:ind w:firstLine="0" w:left="0"/>
        <w:jc w:val="left"/>
        <w:rPr>
          <w:sz w:val="24"/>
        </w:rPr>
      </w:pPr>
      <w:r>
        <w:rPr>
          <w:sz w:val="24"/>
        </w:rPr>
        <w:t>Подпись руководителя ____________       </w:t>
      </w:r>
      <w:r>
        <w:rPr>
          <w:sz w:val="24"/>
        </w:rPr>
        <w:tab/>
      </w:r>
      <w:r>
        <w:rPr>
          <w:sz w:val="24"/>
        </w:rPr>
        <w:t>Подпись обучающегося</w:t>
      </w:r>
      <w:r>
        <w:rPr>
          <w:sz w:val="24"/>
        </w:rPr>
        <w:t xml:space="preserve"> </w:t>
      </w:r>
    </w:p>
    <w:p w14:paraId="5D000000">
      <w:pPr>
        <w:sectPr>
          <w:headerReference r:id="rId2" w:type="default"/>
          <w:footerReference r:id="rId3" w:type="default"/>
          <w:pgSz w:h="16838" w:orient="portrait" w:w="11906"/>
          <w:pgMar w:bottom="1134" w:footer="708" w:gutter="0" w:header="708" w:left="1701" w:right="851" w:top="1134"/>
        </w:sectPr>
      </w:pPr>
    </w:p>
    <w:p w14:paraId="5E000000">
      <w:pPr>
        <w:pStyle w:val="Style_4"/>
        <w:ind w:firstLine="0" w:left="0"/>
        <w:jc w:val="center"/>
        <w:rPr>
          <w:b w:val="1"/>
          <w:color w:val="FF0000"/>
        </w:rPr>
      </w:pPr>
      <w:r>
        <w:rPr>
          <w:b w:val="1"/>
        </w:rPr>
        <w:t>СОДЕРЖАНИЕ</w:t>
      </w:r>
    </w:p>
    <w:p>
      <w:pPr>
        <w:pStyle w:val="Style_5"/>
        <w:tabs>
          <w:tab w:leader="none" w:pos="9345" w:val="clear"/>
          <w:tab w:leader="dot" w:pos="9354"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ВВЕДЕНИЕ</w:t>
      </w:r>
      <w:r>
        <w:tab/>
      </w:r>
      <w:r>
        <w:fldChar w:fldCharType="begin"/>
      </w:r>
      <w:r>
        <w:instrText>PAGEREF __RefHeading___1 \h</w:instrText>
      </w:r>
      <w:r>
        <w:fldChar w:fldCharType="separate"/>
      </w:r>
      <w:r>
        <w:t>4</w:t>
      </w:r>
      <w:r>
        <w:fldChar w:fldCharType="end"/>
      </w:r>
      <w:r>
        <w:fldChar w:fldCharType="end"/>
      </w:r>
    </w:p>
    <w:p w14:paraId="60000000">
      <w:pPr>
        <w:pStyle w:val="Style_5"/>
        <w:tabs>
          <w:tab w:leader="none" w:pos="9345" w:val="clear"/>
          <w:tab w:leader="dot" w:pos="9354" w:val="right"/>
        </w:tabs>
        <w:ind/>
      </w:pPr>
      <w:r>
        <w:fldChar w:fldCharType="begin"/>
      </w:r>
      <w:r>
        <w:instrText>HYPERLINK \l "__RefHeading___2"</w:instrText>
      </w:r>
      <w:r>
        <w:fldChar w:fldCharType="separate"/>
      </w:r>
      <w:r>
        <w:t>1 ОБЩАЯ ХАРАКТЕРИСТИКА ОБЪЕКТА</w:t>
      </w:r>
      <w:r>
        <w:tab/>
      </w:r>
      <w:r>
        <w:fldChar w:fldCharType="begin"/>
      </w:r>
      <w:r>
        <w:instrText>PAGEREF __RefHeading___2 \h</w:instrText>
      </w:r>
      <w:r>
        <w:fldChar w:fldCharType="separate"/>
      </w:r>
      <w:r>
        <w:t>7</w:t>
      </w:r>
      <w:r>
        <w:fldChar w:fldCharType="end"/>
      </w:r>
      <w:r>
        <w:fldChar w:fldCharType="end"/>
      </w:r>
    </w:p>
    <w:p w14:paraId="61000000">
      <w:pPr>
        <w:pStyle w:val="Style_6"/>
        <w:tabs>
          <w:tab w:leader="none" w:pos="9345" w:val="clear"/>
          <w:tab w:leader="dot" w:pos="9354" w:val="right"/>
        </w:tabs>
        <w:ind/>
      </w:pPr>
      <w:r>
        <w:fldChar w:fldCharType="begin"/>
      </w:r>
      <w:r>
        <w:instrText>HYPERLINK \l "__RefHeading___3"</w:instrText>
      </w:r>
      <w:r>
        <w:fldChar w:fldCharType="separate"/>
      </w:r>
      <w:r>
        <w:t>1.1 Структура и основная деятельность ООО «МАШТЕХЦЕНТР»</w:t>
      </w:r>
      <w:r>
        <w:tab/>
      </w:r>
      <w:r>
        <w:fldChar w:fldCharType="begin"/>
      </w:r>
      <w:r>
        <w:instrText>PAGEREF __RefHeading___3 \h</w:instrText>
      </w:r>
      <w:r>
        <w:fldChar w:fldCharType="separate"/>
      </w:r>
      <w:r>
        <w:t>7</w:t>
      </w:r>
      <w:r>
        <w:fldChar w:fldCharType="end"/>
      </w:r>
      <w:r>
        <w:fldChar w:fldCharType="end"/>
      </w:r>
    </w:p>
    <w:p w14:paraId="62000000">
      <w:pPr>
        <w:pStyle w:val="Style_6"/>
        <w:tabs>
          <w:tab w:leader="none" w:pos="9345" w:val="clear"/>
          <w:tab w:leader="dot" w:pos="9354" w:val="right"/>
        </w:tabs>
        <w:ind/>
      </w:pPr>
      <w:r>
        <w:fldChar w:fldCharType="begin"/>
      </w:r>
      <w:r>
        <w:instrText>HYPERLINK \l "__RefHeading___4"</w:instrText>
      </w:r>
      <w:r>
        <w:fldChar w:fldCharType="separate"/>
      </w:r>
      <w:r>
        <w:t>1.2 Технологическое оборудование ООО «МАШТЕХЦЕНТР»</w:t>
      </w:r>
      <w:r>
        <w:tab/>
      </w:r>
      <w:r>
        <w:fldChar w:fldCharType="begin"/>
      </w:r>
      <w:r>
        <w:instrText>PAGEREF __RefHeading___4 \h</w:instrText>
      </w:r>
      <w:r>
        <w:fldChar w:fldCharType="separate"/>
      </w:r>
      <w:r>
        <w:t>9</w:t>
      </w:r>
      <w:r>
        <w:fldChar w:fldCharType="end"/>
      </w:r>
      <w:r>
        <w:fldChar w:fldCharType="end"/>
      </w:r>
    </w:p>
    <w:p w14:paraId="63000000">
      <w:pPr>
        <w:pStyle w:val="Style_6"/>
        <w:tabs>
          <w:tab w:leader="none" w:pos="9345" w:val="clear"/>
          <w:tab w:leader="dot" w:pos="9354" w:val="right"/>
        </w:tabs>
        <w:ind/>
      </w:pPr>
      <w:r>
        <w:fldChar w:fldCharType="begin"/>
      </w:r>
      <w:r>
        <w:instrText>HYPERLINK \l "__RefHeading___5"</w:instrText>
      </w:r>
      <w:r>
        <w:fldChar w:fldCharType="separate"/>
      </w:r>
      <w:r>
        <w:t>1.3 Обзор современных технологических процессов механической обработки деталей</w:t>
      </w:r>
      <w:r>
        <w:tab/>
      </w:r>
      <w:r>
        <w:fldChar w:fldCharType="begin"/>
      </w:r>
      <w:r>
        <w:instrText>PAGEREF __RefHeading___5 \h</w:instrText>
      </w:r>
      <w:r>
        <w:fldChar w:fldCharType="separate"/>
      </w:r>
      <w:r>
        <w:t>11</w:t>
      </w:r>
      <w:r>
        <w:fldChar w:fldCharType="end"/>
      </w:r>
      <w:r>
        <w:fldChar w:fldCharType="end"/>
      </w:r>
    </w:p>
    <w:p w14:paraId="64000000">
      <w:pPr>
        <w:pStyle w:val="Style_5"/>
        <w:tabs>
          <w:tab w:leader="none" w:pos="9345" w:val="clear"/>
          <w:tab w:leader="dot" w:pos="9354" w:val="right"/>
        </w:tabs>
        <w:ind/>
      </w:pPr>
      <w:r>
        <w:fldChar w:fldCharType="begin"/>
      </w:r>
      <w:r>
        <w:instrText>HYPERLINK \l "__RefHeading___6"</w:instrText>
      </w:r>
      <w:r>
        <w:fldChar w:fldCharType="separate"/>
      </w:r>
      <w:r>
        <w:t>2. ТЕХНОЛОГИЧЕСКИЙ РАЗДЕЛ</w:t>
      </w:r>
      <w:r>
        <w:tab/>
      </w:r>
      <w:r>
        <w:fldChar w:fldCharType="begin"/>
      </w:r>
      <w:r>
        <w:instrText>PAGEREF __RefHeading___6 \h</w:instrText>
      </w:r>
      <w:r>
        <w:fldChar w:fldCharType="separate"/>
      </w:r>
      <w:r>
        <w:t>15</w:t>
      </w:r>
      <w:r>
        <w:fldChar w:fldCharType="end"/>
      </w:r>
      <w:r>
        <w:fldChar w:fldCharType="end"/>
      </w:r>
    </w:p>
    <w:p w14:paraId="65000000">
      <w:pPr>
        <w:pStyle w:val="Style_6"/>
        <w:tabs>
          <w:tab w:leader="none" w:pos="9345" w:val="clear"/>
          <w:tab w:leader="dot" w:pos="9354" w:val="right"/>
        </w:tabs>
        <w:ind/>
      </w:pPr>
      <w:r>
        <w:fldChar w:fldCharType="begin"/>
      </w:r>
      <w:r>
        <w:instrText>HYPERLINK \l "__RefHeading___7"</w:instrText>
      </w:r>
      <w:r>
        <w:fldChar w:fldCharType="separate"/>
      </w:r>
      <w:r>
        <w:t>2.1 Анализ действующего технологического процесса изготовления детали «Угловой корпус подшипника»</w:t>
      </w:r>
      <w:r>
        <w:tab/>
      </w:r>
      <w:r>
        <w:fldChar w:fldCharType="begin"/>
      </w:r>
      <w:r>
        <w:instrText>PAGEREF __RefHeading___7 \h</w:instrText>
      </w:r>
      <w:r>
        <w:fldChar w:fldCharType="separate"/>
      </w:r>
      <w:r>
        <w:t>15</w:t>
      </w:r>
      <w:r>
        <w:fldChar w:fldCharType="end"/>
      </w:r>
      <w:r>
        <w:fldChar w:fldCharType="end"/>
      </w:r>
    </w:p>
    <w:p w14:paraId="66000000">
      <w:pPr>
        <w:pStyle w:val="Style_6"/>
        <w:tabs>
          <w:tab w:leader="none" w:pos="9345" w:val="clear"/>
          <w:tab w:leader="dot" w:pos="9354" w:val="right"/>
        </w:tabs>
        <w:ind/>
      </w:pPr>
      <w:r>
        <w:fldChar w:fldCharType="begin"/>
      </w:r>
      <w:r>
        <w:instrText>HYPERLINK \l "__RefHeading___8"</w:instrText>
      </w:r>
      <w:r>
        <w:fldChar w:fldCharType="separate"/>
      </w:r>
      <w:r>
        <w:t>2.2 Анализ детали «Угловой корпус подшипника»</w:t>
      </w:r>
      <w:r>
        <w:tab/>
      </w:r>
      <w:r>
        <w:fldChar w:fldCharType="begin"/>
      </w:r>
      <w:r>
        <w:instrText>PAGEREF __RefHeading___8 \h</w:instrText>
      </w:r>
      <w:r>
        <w:fldChar w:fldCharType="separate"/>
      </w:r>
      <w:r>
        <w:t>18</w:t>
      </w:r>
      <w:r>
        <w:fldChar w:fldCharType="end"/>
      </w:r>
      <w:r>
        <w:fldChar w:fldCharType="end"/>
      </w:r>
    </w:p>
    <w:p w14:paraId="67000000">
      <w:pPr>
        <w:pStyle w:val="Style_6"/>
        <w:tabs>
          <w:tab w:leader="none" w:pos="9345" w:val="clear"/>
          <w:tab w:leader="dot" w:pos="9354" w:val="right"/>
        </w:tabs>
        <w:ind/>
      </w:pPr>
      <w:r>
        <w:fldChar w:fldCharType="begin"/>
      </w:r>
      <w:r>
        <w:instrText>HYPERLINK \l "__RefHeading___9"</w:instrText>
      </w:r>
      <w:r>
        <w:fldChar w:fldCharType="separate"/>
      </w:r>
      <w:r>
        <w:t>2.3 Разработка совершенствованного технологического процесса изготовления детали «Угловой корпус подшипника»</w:t>
      </w:r>
      <w:r>
        <w:tab/>
      </w:r>
      <w:r>
        <w:fldChar w:fldCharType="begin"/>
      </w:r>
      <w:r>
        <w:instrText>PAGEREF __RefHeading___9 \h</w:instrText>
      </w:r>
      <w:r>
        <w:fldChar w:fldCharType="separate"/>
      </w:r>
      <w:r>
        <w:t>23</w:t>
      </w:r>
      <w:r>
        <w:fldChar w:fldCharType="end"/>
      </w:r>
      <w:r>
        <w:fldChar w:fldCharType="end"/>
      </w:r>
    </w:p>
    <w:p w14:paraId="68000000">
      <w:pPr>
        <w:pStyle w:val="Style_6"/>
        <w:tabs>
          <w:tab w:leader="none" w:pos="9345" w:val="clear"/>
          <w:tab w:leader="dot" w:pos="9354" w:val="right"/>
        </w:tabs>
        <w:ind/>
      </w:pPr>
      <w:r>
        <w:fldChar w:fldCharType="begin"/>
      </w:r>
      <w:r>
        <w:instrText>HYPERLINK \l "__RefHeading___10"</w:instrText>
      </w:r>
      <w:r>
        <w:fldChar w:fldCharType="separate"/>
      </w:r>
      <w:r>
        <w:t>2.5 Выбор и расчет кинематической схемы</w:t>
      </w:r>
      <w:r>
        <w:tab/>
      </w:r>
      <w:r>
        <w:fldChar w:fldCharType="begin"/>
      </w:r>
      <w:r>
        <w:instrText>PAGEREF __RefHeading___10 \h</w:instrText>
      </w:r>
      <w:r>
        <w:fldChar w:fldCharType="separate"/>
      </w:r>
      <w:r>
        <w:t>33</w:t>
      </w:r>
      <w:r>
        <w:fldChar w:fldCharType="end"/>
      </w:r>
      <w:r>
        <w:fldChar w:fldCharType="end"/>
      </w:r>
    </w:p>
    <w:p w14:paraId="69000000">
      <w:pPr>
        <w:pStyle w:val="Style_5"/>
        <w:tabs>
          <w:tab w:leader="none" w:pos="9345" w:val="clear"/>
          <w:tab w:leader="dot" w:pos="9354" w:val="right"/>
        </w:tabs>
        <w:ind/>
      </w:pPr>
      <w:r>
        <w:fldChar w:fldCharType="begin"/>
      </w:r>
      <w:r>
        <w:instrText>HYPERLINK \l "__RefHeading___11"</w:instrText>
      </w:r>
      <w:r>
        <w:fldChar w:fldCharType="separate"/>
      </w:r>
      <w:r>
        <w:t>3. РАЗДЕЛ ПО ОХРАНА ТРУДА</w:t>
      </w:r>
      <w:r>
        <w:tab/>
      </w:r>
      <w:r>
        <w:fldChar w:fldCharType="begin"/>
      </w:r>
      <w:r>
        <w:instrText>PAGEREF __RefHeading___11 \h</w:instrText>
      </w:r>
      <w:r>
        <w:fldChar w:fldCharType="separate"/>
      </w:r>
      <w:r>
        <w:t>37</w:t>
      </w:r>
      <w:r>
        <w:fldChar w:fldCharType="end"/>
      </w:r>
      <w:r>
        <w:fldChar w:fldCharType="end"/>
      </w:r>
    </w:p>
    <w:p w14:paraId="6A000000">
      <w:pPr>
        <w:pStyle w:val="Style_6"/>
        <w:tabs>
          <w:tab w:leader="none" w:pos="9345" w:val="clear"/>
          <w:tab w:leader="dot" w:pos="9354" w:val="right"/>
        </w:tabs>
        <w:ind/>
      </w:pPr>
      <w:r>
        <w:fldChar w:fldCharType="begin"/>
      </w:r>
      <w:r>
        <w:instrText>HYPERLINK \l "__RefHeading___12"</w:instrText>
      </w:r>
      <w:r>
        <w:fldChar w:fldCharType="separate"/>
      </w:r>
      <w:r>
        <w:t>3.1 Анализ опасных и вредных производственных факторов при механической обработке деталей</w:t>
      </w:r>
      <w:r>
        <w:tab/>
      </w:r>
      <w:r>
        <w:fldChar w:fldCharType="begin"/>
      </w:r>
      <w:r>
        <w:instrText>PAGEREF __RefHeading___12 \h</w:instrText>
      </w:r>
      <w:r>
        <w:fldChar w:fldCharType="separate"/>
      </w:r>
      <w:r>
        <w:t>37</w:t>
      </w:r>
      <w:r>
        <w:fldChar w:fldCharType="end"/>
      </w:r>
      <w:r>
        <w:fldChar w:fldCharType="end"/>
      </w:r>
    </w:p>
    <w:p w14:paraId="6B000000">
      <w:pPr>
        <w:pStyle w:val="Style_6"/>
        <w:tabs>
          <w:tab w:leader="none" w:pos="9345" w:val="clear"/>
          <w:tab w:leader="dot" w:pos="9354" w:val="right"/>
        </w:tabs>
        <w:ind/>
      </w:pPr>
      <w:r>
        <w:fldChar w:fldCharType="begin"/>
      </w:r>
      <w:r>
        <w:instrText>HYPERLINK \l "__RefHeading___13"</w:instrText>
      </w:r>
      <w:r>
        <w:fldChar w:fldCharType="separate"/>
      </w:r>
      <w:r>
        <w:t>3.2 Разработка мероприятий по снижению воздействия на работника опасных и вредных производственных факторов</w:t>
      </w:r>
      <w:r>
        <w:tab/>
      </w:r>
      <w:r>
        <w:fldChar w:fldCharType="begin"/>
      </w:r>
      <w:r>
        <w:instrText>PAGEREF __RefHeading___13 \h</w:instrText>
      </w:r>
      <w:r>
        <w:fldChar w:fldCharType="separate"/>
      </w:r>
      <w:r>
        <w:t>41</w:t>
      </w:r>
      <w:r>
        <w:fldChar w:fldCharType="end"/>
      </w:r>
      <w:r>
        <w:fldChar w:fldCharType="end"/>
      </w:r>
    </w:p>
    <w:p w14:paraId="6C000000">
      <w:pPr>
        <w:pStyle w:val="Style_6"/>
        <w:tabs>
          <w:tab w:leader="none" w:pos="9345" w:val="clear"/>
          <w:tab w:leader="dot" w:pos="9354" w:val="right"/>
        </w:tabs>
        <w:ind/>
      </w:pPr>
      <w:r>
        <w:fldChar w:fldCharType="begin"/>
      </w:r>
      <w:r>
        <w:instrText>HYPERLINK \l "__RefHeading___14"</w:instrText>
      </w:r>
      <w:r>
        <w:fldChar w:fldCharType="separate"/>
      </w:r>
      <w:r>
        <w:t>3.3 Разработка инструкции по охране труда при механической обработке детали</w:t>
      </w:r>
      <w:r>
        <w:tab/>
      </w:r>
      <w:r>
        <w:fldChar w:fldCharType="begin"/>
      </w:r>
      <w:r>
        <w:instrText>PAGEREF __RefHeading___14 \h</w:instrText>
      </w:r>
      <w:r>
        <w:fldChar w:fldCharType="separate"/>
      </w:r>
      <w:r>
        <w:t>43</w:t>
      </w:r>
      <w:r>
        <w:fldChar w:fldCharType="end"/>
      </w:r>
      <w:r>
        <w:fldChar w:fldCharType="end"/>
      </w:r>
    </w:p>
    <w:p w14:paraId="6D000000">
      <w:pPr>
        <w:pStyle w:val="Style_5"/>
        <w:tabs>
          <w:tab w:leader="none" w:pos="9345" w:val="clear"/>
          <w:tab w:leader="dot" w:pos="9354" w:val="right"/>
        </w:tabs>
        <w:ind/>
      </w:pPr>
      <w:r>
        <w:fldChar w:fldCharType="begin"/>
      </w:r>
      <w:r>
        <w:instrText>HYPERLINK \l "__RefHeading___15"</w:instrText>
      </w:r>
      <w:r>
        <w:fldChar w:fldCharType="separate"/>
      </w:r>
      <w:r>
        <w:t>ЗАКЛЮЧЕНИЕ</w:t>
      </w:r>
      <w:r>
        <w:tab/>
      </w:r>
      <w:r>
        <w:fldChar w:fldCharType="begin"/>
      </w:r>
      <w:r>
        <w:instrText>PAGEREF __RefHeading___15 \h</w:instrText>
      </w:r>
      <w:r>
        <w:fldChar w:fldCharType="separate"/>
      </w:r>
      <w:r>
        <w:t>49</w:t>
      </w:r>
      <w:r>
        <w:fldChar w:fldCharType="end"/>
      </w:r>
      <w:r>
        <w:fldChar w:fldCharType="end"/>
      </w:r>
    </w:p>
    <w:p w14:paraId="6E000000">
      <w:pPr>
        <w:pStyle w:val="Style_5"/>
        <w:tabs>
          <w:tab w:leader="none" w:pos="9345" w:val="clear"/>
          <w:tab w:leader="dot" w:pos="9354" w:val="right"/>
        </w:tabs>
        <w:ind/>
      </w:pPr>
      <w:r>
        <w:fldChar w:fldCharType="begin"/>
      </w:r>
      <w:r>
        <w:instrText>HYPERLINK \l "__RefHeading___16"</w:instrText>
      </w:r>
      <w:r>
        <w:fldChar w:fldCharType="separate"/>
      </w:r>
      <w:r>
        <w:t>СПИСОК ИСПОЛЬЗОВАННЫХ ИСТОЧНИКОВ</w:t>
      </w:r>
      <w:r>
        <w:tab/>
      </w:r>
      <w:r>
        <w:fldChar w:fldCharType="begin"/>
      </w:r>
      <w:r>
        <w:instrText>PAGEREF __RefHeading___16 \h</w:instrText>
      </w:r>
      <w:r>
        <w:fldChar w:fldCharType="separate"/>
      </w:r>
      <w:r>
        <w:t>53</w:t>
      </w:r>
      <w:r>
        <w:fldChar w:fldCharType="end"/>
      </w:r>
      <w:r>
        <w:fldChar w:fldCharType="end"/>
      </w:r>
    </w:p>
    <w:p>
      <w:r>
        <w:fldChar w:fldCharType="end"/>
      </w:r>
    </w:p>
    <w:p w14:paraId="70000000">
      <w:pPr>
        <w:sectPr>
          <w:pgSz w:h="16838" w:orient="portrait" w:w="11906"/>
          <w:pgMar w:bottom="1134" w:footer="708" w:gutter="0" w:header="708" w:left="1701" w:right="851" w:top="1134"/>
        </w:sectPr>
      </w:pPr>
    </w:p>
    <w:p w14:paraId="71000000">
      <w:bookmarkStart w:id="2" w:name="__RefHeading___1"/>
      <w:bookmarkEnd w:id="2"/>
      <w:pPr>
        <w:pStyle w:val="Style_7"/>
      </w:pPr>
      <w:r>
        <w:t>ВВЕДЕНИЕ</w:t>
      </w:r>
    </w:p>
    <w:p w14:paraId="72000000">
      <w:pPr>
        <w:pStyle w:val="Style_8"/>
      </w:pPr>
      <w:r>
        <w:t>П</w:t>
      </w:r>
      <w:r>
        <w:t xml:space="preserve">редприятии ООО «МАШТЕХЦЕНТР» </w:t>
      </w:r>
      <w:r>
        <w:t>занимается</w:t>
      </w:r>
      <w:r>
        <w:t xml:space="preserve"> выпуск</w:t>
      </w:r>
      <w:r>
        <w:t>ом</w:t>
      </w:r>
      <w:r>
        <w:t xml:space="preserve"> </w:t>
      </w:r>
      <w:r>
        <w:t>углового</w:t>
      </w:r>
      <w:r>
        <w:t>вых</w:t>
      </w:r>
      <w:r>
        <w:t xml:space="preserve"> корпус</w:t>
      </w:r>
      <w:r>
        <w:t>ов</w:t>
      </w:r>
      <w:r>
        <w:t xml:space="preserve"> подшипник</w:t>
      </w:r>
      <w:r>
        <w:t>ов</w:t>
      </w:r>
      <w:r>
        <w:t>, которы</w:t>
      </w:r>
      <w:r>
        <w:t>е</w:t>
      </w:r>
      <w:r>
        <w:t xml:space="preserve"> использу</w:t>
      </w:r>
      <w:r>
        <w:t>ю</w:t>
      </w:r>
      <w:r>
        <w:t xml:space="preserve">тся в опорных узлах механических передач. Качество </w:t>
      </w:r>
      <w:r>
        <w:t>данной</w:t>
      </w:r>
      <w:r>
        <w:t xml:space="preserve"> детали определяет ресурс подшипниковых опор и стабильность работы сопрягаемых элементов. </w:t>
      </w:r>
      <w:r>
        <w:t xml:space="preserve">На данный момент </w:t>
      </w:r>
      <w:r>
        <w:t xml:space="preserve">изготовление корпуса </w:t>
      </w:r>
      <w:r>
        <w:t>изготавливается</w:t>
      </w:r>
      <w:r>
        <w:t xml:space="preserve"> на универсальном оборудовании</w:t>
      </w:r>
      <w:r>
        <w:t xml:space="preserve"> из-за этого</w:t>
      </w:r>
      <w:r>
        <w:t xml:space="preserve"> </w:t>
      </w:r>
      <w:r>
        <w:t xml:space="preserve">получается </w:t>
      </w:r>
      <w:r>
        <w:t>большо</w:t>
      </w:r>
      <w:r>
        <w:t>к</w:t>
      </w:r>
      <w:r>
        <w:t xml:space="preserve"> </w:t>
      </w:r>
      <w:r>
        <w:t xml:space="preserve">количество </w:t>
      </w:r>
      <w:r>
        <w:t xml:space="preserve">отдельных </w:t>
      </w:r>
      <w:r>
        <w:t>установов</w:t>
      </w:r>
      <w:r>
        <w:t>. Износ направляющих и шпиндельных узлов станков отражается на стабильности обработки поверхностей</w:t>
      </w:r>
      <w:r>
        <w:t xml:space="preserve"> изделий</w:t>
      </w:r>
      <w:r>
        <w:t xml:space="preserve">. </w:t>
      </w:r>
    </w:p>
    <w:p w14:paraId="73000000">
      <w:pPr>
        <w:pStyle w:val="Style_8"/>
      </w:pPr>
      <w:r>
        <w:t xml:space="preserve">Деталь представляет собой отливку из высокопрочного чугуна ВЧ35. Конструкция </w:t>
      </w:r>
      <w:r>
        <w:t xml:space="preserve">можно описать как </w:t>
      </w:r>
      <w:r>
        <w:t xml:space="preserve">цилиндрический стакан с внутренней расточкой, </w:t>
      </w:r>
      <w:r>
        <w:t xml:space="preserve">у которого </w:t>
      </w:r>
      <w:r>
        <w:t xml:space="preserve">плоское основание и две резьбовые проушины. </w:t>
      </w:r>
      <w:r>
        <w:t xml:space="preserve">Требования к точности шероховатости </w:t>
      </w:r>
      <w:r>
        <w:t>заданы</w:t>
      </w:r>
      <w:r>
        <w:t xml:space="preserve"> РКД к</w:t>
      </w:r>
      <w:r>
        <w:t xml:space="preserve"> </w:t>
      </w:r>
      <w:r>
        <w:t>к</w:t>
      </w:r>
      <w:r>
        <w:t xml:space="preserve"> посадочному отверстию под подшипник: поле допуска H7 и шероховатость поверхности </w:t>
      </w:r>
      <w:r>
        <w:t>Ra</w:t>
      </w:r>
      <w:r>
        <w:t xml:space="preserve"> 1,6. Для опорно</w:t>
      </w:r>
      <w:r>
        <w:t>й поверхности, а именно</w:t>
      </w:r>
      <w:r>
        <w:t xml:space="preserve"> основания установлен допуск плоскостности 0,05 мм. Получение </w:t>
      </w:r>
      <w:r>
        <w:t>таких</w:t>
      </w:r>
      <w:r>
        <w:t xml:space="preserve"> параметров в серийном производстве возможно только при </w:t>
      </w:r>
      <w:r>
        <w:t xml:space="preserve">качественном </w:t>
      </w:r>
      <w:r>
        <w:t xml:space="preserve">базировании заготовки и применении оборудования, способного </w:t>
      </w:r>
      <w:r>
        <w:t xml:space="preserve">выдержать </w:t>
      </w:r>
      <w:r>
        <w:t>точность обработки на протяжении все</w:t>
      </w:r>
      <w:r>
        <w:t>х</w:t>
      </w:r>
      <w:r>
        <w:t xml:space="preserve"> операции.</w:t>
      </w:r>
    </w:p>
    <w:p w14:paraId="74000000">
      <w:pPr>
        <w:pStyle w:val="Style_8"/>
      </w:pPr>
      <w:r>
        <w:t>Я проанализировал с</w:t>
      </w:r>
      <w:r>
        <w:t>уществующий технологический маршрут</w:t>
      </w:r>
      <w:r>
        <w:t>, который</w:t>
      </w:r>
      <w:r>
        <w:t xml:space="preserve"> включает</w:t>
      </w:r>
      <w:r>
        <w:t xml:space="preserve"> следующие операции: </w:t>
      </w:r>
      <w:r>
        <w:t xml:space="preserve">токарную, фрезерную, сверлильную и шлифовальную операции, выполняемые на </w:t>
      </w:r>
      <w:r>
        <w:t xml:space="preserve">таких </w:t>
      </w:r>
      <w:r>
        <w:t xml:space="preserve">станках </w:t>
      </w:r>
      <w:r>
        <w:t xml:space="preserve">как: </w:t>
      </w:r>
      <w:r>
        <w:t>1К62, 6Р82, 2Н125 и 3М151.</w:t>
      </w:r>
    </w:p>
    <w:p w14:paraId="75000000">
      <w:pPr>
        <w:pStyle w:val="Style_8"/>
      </w:pPr>
      <w:r>
        <w:t xml:space="preserve"> Каждая операция требует повторной </w:t>
      </w:r>
      <w:r>
        <w:t>пере</w:t>
      </w:r>
      <w:r>
        <w:t xml:space="preserve">установки заготовки, что вносит дополнительные погрешности </w:t>
      </w:r>
      <w:r>
        <w:t xml:space="preserve">при </w:t>
      </w:r>
      <w:r>
        <w:t>базировани</w:t>
      </w:r>
      <w:r>
        <w:t>и, п</w:t>
      </w:r>
      <w:r>
        <w:t>рименяемый инструмент с напайными пластинами</w:t>
      </w:r>
      <w:r>
        <w:t>,</w:t>
      </w:r>
      <w:r>
        <w:t xml:space="preserve"> ограничен</w:t>
      </w:r>
      <w:r>
        <w:t xml:space="preserve"> в</w:t>
      </w:r>
      <w:r>
        <w:t xml:space="preserve"> стойкост</w:t>
      </w:r>
      <w:r>
        <w:t>и</w:t>
      </w:r>
      <w:r>
        <w:t xml:space="preserve">, а назначенные режимы резания ориентированы на безопасный запас прочности, а не на производительность. Отсутствие автоматизированных средств контроля снижает </w:t>
      </w:r>
      <w:r>
        <w:t>о</w:t>
      </w:r>
      <w:r>
        <w:t>ценк</w:t>
      </w:r>
      <w:r>
        <w:t xml:space="preserve">у </w:t>
      </w:r>
      <w:r>
        <w:t xml:space="preserve">качества каждой детали. </w:t>
      </w:r>
      <w:r>
        <w:t xml:space="preserve">Поэтому моя цель </w:t>
      </w:r>
      <w:r>
        <w:t>пересмотр принято</w:t>
      </w:r>
      <w:r>
        <w:t>го техпроцесса.</w:t>
      </w:r>
    </w:p>
    <w:p w14:paraId="76000000">
      <w:pPr>
        <w:pStyle w:val="Style_8"/>
      </w:pPr>
      <w:r>
        <w:t xml:space="preserve">Разработка </w:t>
      </w:r>
      <w:r>
        <w:t xml:space="preserve">мной </w:t>
      </w:r>
      <w:r>
        <w:t xml:space="preserve">нового технологического процесса ориентирована на производственные условия </w:t>
      </w:r>
      <w:r>
        <w:t xml:space="preserve">предприятия </w:t>
      </w:r>
      <w:r>
        <w:t xml:space="preserve">ООО «МАШТЕХЦЕНТР» и </w:t>
      </w:r>
      <w:r>
        <w:t xml:space="preserve">его </w:t>
      </w:r>
      <w:r>
        <w:t xml:space="preserve">возможности </w:t>
      </w:r>
      <w:r>
        <w:t xml:space="preserve">из </w:t>
      </w:r>
      <w:r>
        <w:t>имеющегося оборудования. Ко</w:t>
      </w:r>
      <w:r>
        <w:t xml:space="preserve">личество </w:t>
      </w:r>
      <w:r>
        <w:t xml:space="preserve">на </w:t>
      </w:r>
      <w:r>
        <w:t>переходы</w:t>
      </w:r>
      <w:r>
        <w:t xml:space="preserve"> в одном </w:t>
      </w:r>
      <w:r>
        <w:t>установе</w:t>
      </w:r>
      <w:r>
        <w:t xml:space="preserve"> позволяет сократить число переустановок заготовки и уменьшить</w:t>
      </w:r>
      <w:r>
        <w:t xml:space="preserve"> </w:t>
      </w:r>
      <w:r>
        <w:t>погрешност</w:t>
      </w:r>
      <w:r>
        <w:t>и</w:t>
      </w:r>
      <w:r>
        <w:t xml:space="preserve">, связанных с ручным выполнением операций. Проектируемый </w:t>
      </w:r>
      <w:r>
        <w:t xml:space="preserve">мной </w:t>
      </w:r>
      <w:r>
        <w:t>маршрут должен обеспечить получение всех размеров и параметров шероховатости, указанных в конструкторской документации.</w:t>
      </w:r>
    </w:p>
    <w:p w14:paraId="77000000">
      <w:pPr>
        <w:pStyle w:val="Style_8"/>
      </w:pPr>
      <w:r>
        <w:t xml:space="preserve">Цель </w:t>
      </w:r>
      <w:r>
        <w:t xml:space="preserve">моей </w:t>
      </w:r>
      <w:r>
        <w:t>выпускной квалификационной работы — разработать технологический процесс механической обработки детали «Угловой корпус подшипника» применительно к производственным условиям</w:t>
      </w:r>
      <w:r>
        <w:t xml:space="preserve"> </w:t>
      </w:r>
      <w:r>
        <w:t xml:space="preserve">предприятия </w:t>
      </w:r>
      <w:r>
        <w:t>ООО</w:t>
      </w:r>
      <w:r>
        <w:t xml:space="preserve"> «МАШТЕХЦЕНТР».</w:t>
      </w:r>
    </w:p>
    <w:p w14:paraId="78000000">
      <w:pPr>
        <w:pStyle w:val="Style_8"/>
      </w:pPr>
      <w:r>
        <w:t>В ходе работы мне необходимо решить следующие задачи</w:t>
      </w:r>
      <w:r>
        <w:t>:</w:t>
      </w:r>
    </w:p>
    <w:p w14:paraId="79000000">
      <w:pPr>
        <w:pStyle w:val="Style_8"/>
        <w:numPr>
          <w:ilvl w:val="0"/>
          <w:numId w:val="1"/>
        </w:numPr>
        <w:ind w:firstLine="709" w:left="0"/>
      </w:pPr>
      <w:r>
        <w:t>провести анализ конструкции детали</w:t>
      </w:r>
      <w:r>
        <w:t>;</w:t>
      </w:r>
    </w:p>
    <w:p w14:paraId="7A000000">
      <w:pPr>
        <w:pStyle w:val="Style_8"/>
        <w:numPr>
          <w:ilvl w:val="0"/>
          <w:numId w:val="2"/>
        </w:numPr>
        <w:ind w:firstLine="709" w:left="0"/>
      </w:pPr>
      <w:r>
        <w:t>выбрать способ получения заготовки</w:t>
      </w:r>
      <w:r>
        <w:t>;</w:t>
      </w:r>
    </w:p>
    <w:p w14:paraId="7B000000">
      <w:pPr>
        <w:pStyle w:val="Style_8"/>
        <w:numPr>
          <w:ilvl w:val="0"/>
          <w:numId w:val="2"/>
        </w:numPr>
        <w:ind w:firstLine="709" w:left="0"/>
      </w:pPr>
      <w:r>
        <w:t>определить последовательность операций</w:t>
      </w:r>
      <w:r>
        <w:t>;</w:t>
      </w:r>
    </w:p>
    <w:p w14:paraId="7C000000">
      <w:pPr>
        <w:pStyle w:val="Style_8"/>
        <w:numPr>
          <w:ilvl w:val="0"/>
          <w:numId w:val="2"/>
        </w:numPr>
        <w:ind w:firstLine="709" w:left="0"/>
      </w:pPr>
      <w:r>
        <w:t>подобрать режущий и измерительный инструмент, станочные приспособления;</w:t>
      </w:r>
    </w:p>
    <w:p w14:paraId="7D000000">
      <w:pPr>
        <w:pStyle w:val="Style_8"/>
        <w:numPr>
          <w:ilvl w:val="0"/>
          <w:numId w:val="2"/>
        </w:numPr>
        <w:ind w:firstLine="709" w:left="0"/>
      </w:pPr>
      <w:r>
        <w:t>рассчитать режимы резания</w:t>
      </w:r>
      <w:r>
        <w:t>;</w:t>
      </w:r>
    </w:p>
    <w:p w14:paraId="7E000000">
      <w:pPr>
        <w:pStyle w:val="Style_8"/>
        <w:numPr>
          <w:ilvl w:val="0"/>
          <w:numId w:val="2"/>
        </w:numPr>
        <w:ind w:firstLine="709" w:left="0"/>
      </w:pPr>
      <w:r>
        <w:t>ра</w:t>
      </w:r>
      <w:r>
        <w:t xml:space="preserve">ссчитать </w:t>
      </w:r>
      <w:r>
        <w:t xml:space="preserve">кинематическую </w:t>
      </w:r>
      <w:r>
        <w:t>передачу</w:t>
      </w:r>
      <w:r>
        <w:t>;</w:t>
      </w:r>
    </w:p>
    <w:p w14:paraId="7F000000">
      <w:pPr>
        <w:pStyle w:val="Style_8"/>
        <w:numPr>
          <w:ilvl w:val="0"/>
          <w:numId w:val="2"/>
        </w:numPr>
        <w:ind w:firstLine="709" w:left="0"/>
      </w:pPr>
      <w:r>
        <w:t>про анализировать вредные факторы при работе в цехе</w:t>
      </w:r>
      <w:r>
        <w:t>.</w:t>
      </w:r>
    </w:p>
    <w:p w14:paraId="80000000">
      <w:pPr>
        <w:pStyle w:val="Style_8"/>
      </w:pPr>
      <w:r>
        <w:t xml:space="preserve">Содержание </w:t>
      </w:r>
      <w:r>
        <w:t>моей работы</w:t>
      </w:r>
      <w:r>
        <w:t xml:space="preserve"> вы</w:t>
      </w:r>
      <w:r>
        <w:t>полнено</w:t>
      </w:r>
      <w:r>
        <w:t xml:space="preserve"> </w:t>
      </w:r>
      <w:r>
        <w:t>в</w:t>
      </w:r>
      <w:r>
        <w:t xml:space="preserve"> следующем порядке: в</w:t>
      </w:r>
      <w:r>
        <w:t xml:space="preserve"> первом разделе приведены сведения о предприятии и обзор существующих способов обработки корпусных деталей</w:t>
      </w:r>
      <w:r>
        <w:t>, в</w:t>
      </w:r>
      <w:r>
        <w:t xml:space="preserve">торой раздел содержит анализ действующего технологического маршрута и проектирование нового процесса, включая расчеты припусков и режимов резания, а также разработку кинематической схемы. Третий раздел посвящен вопросам безопасности </w:t>
      </w:r>
      <w:r>
        <w:t>труда.</w:t>
      </w:r>
      <w:r>
        <w:t xml:space="preserve"> </w:t>
      </w:r>
      <w:r>
        <w:t xml:space="preserve">Разработанный </w:t>
      </w:r>
      <w:r>
        <w:t>техпроцесс</w:t>
      </w:r>
      <w:r>
        <w:t xml:space="preserve"> предусматривает обработку детали с трех </w:t>
      </w:r>
      <w:r>
        <w:t>установов</w:t>
      </w:r>
      <w:r>
        <w:t xml:space="preserve"> вместо пяти, что сокра</w:t>
      </w:r>
      <w:r>
        <w:t>тит</w:t>
      </w:r>
      <w:r>
        <w:t xml:space="preserve"> продолжительность изготовления </w:t>
      </w:r>
      <w:r>
        <w:t>детали</w:t>
      </w:r>
      <w:r>
        <w:t xml:space="preserve">. </w:t>
      </w:r>
    </w:p>
    <w:p w14:paraId="81000000">
      <w:pPr>
        <w:pStyle w:val="Style_8"/>
      </w:pPr>
    </w:p>
    <w:p w14:paraId="82000000">
      <w:bookmarkStart w:id="3" w:name="__RefHeading___2"/>
      <w:bookmarkEnd w:id="3"/>
      <w:pPr>
        <w:pStyle w:val="Style_7"/>
      </w:pPr>
      <w:r>
        <w:br w:type="page"/>
      </w:r>
      <w:r>
        <w:t>1</w:t>
      </w:r>
      <w:r>
        <w:t xml:space="preserve"> ОБЩАЯ ХАРАКТЕРИСТИКА ОБЪЕКТА</w:t>
      </w:r>
    </w:p>
    <w:p w14:paraId="83000000">
      <w:bookmarkStart w:id="4" w:name="__RefHeading___3"/>
      <w:bookmarkEnd w:id="4"/>
      <w:pPr>
        <w:pStyle w:val="Style_9"/>
      </w:pPr>
      <w:r>
        <w:t xml:space="preserve">1.1 Структура и основная деятельность </w:t>
      </w:r>
      <w:r>
        <w:t>ООО «МАШТЕХЦЕНТР»</w:t>
      </w:r>
    </w:p>
    <w:p w14:paraId="84000000">
      <w:pPr>
        <w:pStyle w:val="Style_8"/>
        <w:rPr>
          <w:sz w:val="24"/>
        </w:rPr>
      </w:pPr>
      <w:r>
        <w:t xml:space="preserve">Предприятие </w:t>
      </w:r>
      <w:r>
        <w:t xml:space="preserve">ООО «МАШТЕХЦЕНТР» </w:t>
      </w:r>
      <w:r>
        <w:t>занимается</w:t>
      </w:r>
      <w:r>
        <w:t xml:space="preserve"> в сфере машиностроительного производства</w:t>
      </w:r>
      <w:r>
        <w:t>, его</w:t>
      </w:r>
      <w:r>
        <w:t xml:space="preserve"> профиль — изготовление деталей и сборочных единиц для металлорежущих станков, промышленных механизмов и технологической оснастки. Предприятие располагается на территории промышленной зоны, имеет собственную производственную базу, складские помещения и административно-бытовой корпус.</w:t>
      </w:r>
    </w:p>
    <w:p w14:paraId="85000000">
      <w:pPr>
        <w:pStyle w:val="Style_8"/>
      </w:pPr>
      <w:r>
        <w:t>В состав</w:t>
      </w:r>
      <w:r>
        <w:t>е</w:t>
      </w:r>
      <w:r>
        <w:t xml:space="preserve"> производства выделяются два цеха: механический и заготовительный. </w:t>
      </w:r>
    </w:p>
    <w:p w14:paraId="86000000">
      <w:pPr>
        <w:pStyle w:val="Style_8"/>
      </w:pPr>
      <w:r>
        <w:t xml:space="preserve">Механический цех оснащен станочным парком и выполняет </w:t>
      </w:r>
      <w:r>
        <w:t xml:space="preserve">такие </w:t>
      </w:r>
      <w:r>
        <w:t>операции</w:t>
      </w:r>
      <w:r>
        <w:t xml:space="preserve"> как:</w:t>
      </w:r>
      <w:r>
        <w:t xml:space="preserve"> токарной, фрезерной, сверлильной, шлифовальной обработки, а также сборку узлов. </w:t>
      </w:r>
    </w:p>
    <w:p w14:paraId="87000000">
      <w:pPr>
        <w:pStyle w:val="Style_8"/>
      </w:pPr>
      <w:r>
        <w:t>В заготовительном цехе размещено оборудование для резки проката, литейные участки (для изготовления отливок) и участок термической обработки</w:t>
      </w:r>
      <w:r>
        <w:t>, т</w:t>
      </w:r>
      <w:r>
        <w:t>акже в структуру предприятия входит вспомогательный участок по ремонту и обслуживанию оборудования и инструментальная мастерская.</w:t>
      </w:r>
    </w:p>
    <w:p w14:paraId="88000000">
      <w:pPr>
        <w:pStyle w:val="Style_8"/>
      </w:pPr>
      <w:r>
        <w:t>Производств</w:t>
      </w:r>
      <w:r>
        <w:t>о</w:t>
      </w:r>
      <w:r>
        <w:t xml:space="preserve"> ООО «МАШТЕХЦЕНТР» </w:t>
      </w:r>
      <w:r>
        <w:t xml:space="preserve">выполняет изготовление разных типов </w:t>
      </w:r>
      <w:r>
        <w:t>номенклатуры деталей: корпусные элементы, валы, фланцы, втулки, стаканы, зубчатые колеса и реечные передачи. Часть продукции изготавливается по заказам сторонних организаций на основе кооперационных соглашений. Основная доля заказов поступает от предприятий автомобилестроения и станкостроения, расположенных в регионе. Производственный цикл на предприятии организован по технологии многопредметных поточных линий для мелкосерийного и серийного производства.</w:t>
      </w:r>
    </w:p>
    <w:p w14:paraId="89000000">
      <w:pPr>
        <w:pStyle w:val="Style_8"/>
      </w:pPr>
      <w:r>
        <w:t>Согласно данным учетной документации, предприятие выпускает несколько тысяч единиц продукции в год</w:t>
      </w:r>
      <w:r>
        <w:t>, с</w:t>
      </w:r>
      <w:r>
        <w:t xml:space="preserve">ущественная часть стоимости </w:t>
      </w:r>
      <w:r>
        <w:t>изделий приходится на заготовки, которые для ответственных деталей получают методом литья в песчано-глинистые формы или по выплавляемым моделям. Обработка на металлорежущих станках требует высокой квалификации станочников, а также соблюдения нормативных требований к точности, изложенных в стандартах Единой системы конструкторской документации (ЕСКД) и технологической документации (ЕСТД) [1, 2]. Практика показывает, что для выпуска конкурентоспособной продукции необходимо постоянно обновлять станочный парк, внедрять системы числового программного управления и использовать современные инструментальные материалы.</w:t>
      </w:r>
    </w:p>
    <w:p w14:paraId="8A000000">
      <w:pPr>
        <w:pStyle w:val="Style_8"/>
      </w:pPr>
      <w:r>
        <w:t xml:space="preserve">Деятельность предприятия регламентируется внутренними стандартами качества, а также требованиями отраслевых нормативных документов. При разработке технологических операций и выборе средств измерения инженерно-технические работники руководствуются государственными стандартами, обеспечивающими единство измерений и взаимозаменяемость деталей [3, 7]. </w:t>
      </w:r>
      <w:r>
        <w:t>Так же</w:t>
      </w:r>
      <w:r>
        <w:t xml:space="preserve"> предприятие уделяет внимание вопросам безопасности труда. Организация рабочих мест, обеспечение средствами защиты и соблюдение противопожарных норм выстроены в соответствии с требованиями системы стандартов безопасности труда [4, 5, 6]. В цехах разработаны инструкции по охране труда, учитывающие специфику металлообрабатывающего оборудования [15]. Регулярно проводятся инструктажи и проверки знаний персонала.</w:t>
      </w:r>
    </w:p>
    <w:p w14:paraId="8B000000">
      <w:pPr>
        <w:pStyle w:val="Style_8"/>
      </w:pPr>
      <w:r>
        <w:t>Техническое пере</w:t>
      </w:r>
      <w:r>
        <w:t xml:space="preserve">оснащение </w:t>
      </w:r>
      <w:r>
        <w:t>предприятия является задачей руководства. Оборудование, используемое в цехах, имеет различный возраст и степень износа</w:t>
      </w:r>
      <w:r>
        <w:t>, ч</w:t>
      </w:r>
      <w:r>
        <w:t xml:space="preserve">асть станков эксплуатируется более двадцати лет и требует капитальных ремонтов. Вместе с тем, в последние годы начат переход на более производительные и точные станки с числовым программным управлением. Этот переход связан с необходимостью повышения качества обработки и снижения доли ручного труда. Модернизация производственных мощностей позволяет предприятию выдерживать жесткие допуски и требования к </w:t>
      </w:r>
      <w:r>
        <w:t>шероховатости поверхностей, предъявляемые заказчиками к корпусным деталям, таким как угловые корпуса подшипников.</w:t>
      </w:r>
    </w:p>
    <w:p w14:paraId="8C000000">
      <w:pPr>
        <w:pStyle w:val="Style_9"/>
      </w:pPr>
    </w:p>
    <w:p w14:paraId="8D000000">
      <w:bookmarkStart w:id="5" w:name="__RefHeading___4"/>
      <w:bookmarkEnd w:id="5"/>
      <w:pPr>
        <w:pStyle w:val="Style_9"/>
      </w:pPr>
      <w:r>
        <w:t xml:space="preserve">1.2 Технологическое оборудование </w:t>
      </w:r>
      <w:r>
        <w:t>ООО «МАШТЕХЦЕНТР»</w:t>
      </w:r>
    </w:p>
    <w:p w14:paraId="8E000000">
      <w:pPr>
        <w:pStyle w:val="Style_8"/>
      </w:pPr>
      <w:r>
        <w:t>М</w:t>
      </w:r>
      <w:r>
        <w:t>еханического цех</w:t>
      </w:r>
      <w:r>
        <w:t xml:space="preserve"> данного предприятия о</w:t>
      </w:r>
      <w:r>
        <w:t>снащен</w:t>
      </w:r>
      <w:r>
        <w:t xml:space="preserve"> универсальны</w:t>
      </w:r>
      <w:r>
        <w:t>ми</w:t>
      </w:r>
      <w:r>
        <w:t xml:space="preserve"> металлорежущи</w:t>
      </w:r>
      <w:r>
        <w:t>ми</w:t>
      </w:r>
      <w:r>
        <w:t xml:space="preserve"> станк</w:t>
      </w:r>
      <w:r>
        <w:t>ами</w:t>
      </w:r>
      <w:r>
        <w:t xml:space="preserve"> отечественного производства, работающих на производственных площадях с 1980–1990 годов. </w:t>
      </w:r>
      <w:r>
        <w:t xml:space="preserve">Часто используемые станки это: </w:t>
      </w:r>
      <w:r>
        <w:t>токарно-винторезные моделей 1К62, 16К20, фрезерные станки 6Р82, 6Р83, вертикально-сверлильные станки 2Н125 и 2Н135, круглошлифовальные станки модели 3М151. Указанное оборудование предназначено для выполнения большинства</w:t>
      </w:r>
      <w:r>
        <w:t xml:space="preserve"> </w:t>
      </w:r>
      <w:r>
        <w:t>типовых операций механической обработки. Токарные станки применяют для обработки наружных и внутренних цилиндрических, конических поверхностей,</w:t>
      </w:r>
      <w:r>
        <w:t xml:space="preserve"> </w:t>
      </w:r>
      <w:r>
        <w:t xml:space="preserve">для нарезания </w:t>
      </w:r>
      <w:r>
        <w:t>резьб</w:t>
      </w:r>
      <w:r>
        <w:t xml:space="preserve">. </w:t>
      </w:r>
    </w:p>
    <w:p w14:paraId="8F000000">
      <w:pPr>
        <w:pStyle w:val="Style_8"/>
      </w:pPr>
      <w:r>
        <w:t xml:space="preserve">Фрезерные станки </w:t>
      </w:r>
      <w:r>
        <w:t>предназначены для</w:t>
      </w:r>
      <w:r>
        <w:t xml:space="preserve"> обработк</w:t>
      </w:r>
      <w:r>
        <w:t>и</w:t>
      </w:r>
      <w:r>
        <w:t xml:space="preserve"> плоскостей, пазов и уступов. </w:t>
      </w:r>
    </w:p>
    <w:p w14:paraId="90000000">
      <w:pPr>
        <w:pStyle w:val="Style_8"/>
      </w:pPr>
      <w:r>
        <w:t xml:space="preserve">Шлифовальные станки </w:t>
      </w:r>
      <w:r>
        <w:t>применяются</w:t>
      </w:r>
      <w:r>
        <w:t xml:space="preserve"> для финишн</w:t>
      </w:r>
      <w:r>
        <w:t>ых операций, то есть</w:t>
      </w:r>
      <w:r>
        <w:t xml:space="preserve"> обработки отверстий и наружных поверхностей, обеспечивая требуемую чистоту и точность размеров [21].</w:t>
      </w:r>
    </w:p>
    <w:p w14:paraId="91000000">
      <w:pPr>
        <w:pStyle w:val="Style_8"/>
      </w:pPr>
      <w:r>
        <w:t xml:space="preserve">На данный момент на предприятие больший процент станков </w:t>
      </w:r>
      <w:r>
        <w:t xml:space="preserve">работает </w:t>
      </w:r>
      <w:r>
        <w:t>при помощи</w:t>
      </w:r>
      <w:r>
        <w:t xml:space="preserve"> ручно</w:t>
      </w:r>
      <w:r>
        <w:t>го труда</w:t>
      </w:r>
      <w:r>
        <w:t xml:space="preserve"> или полуавтоматическо</w:t>
      </w:r>
      <w:r>
        <w:t>го</w:t>
      </w:r>
      <w:r>
        <w:t xml:space="preserve"> режим</w:t>
      </w:r>
      <w:r>
        <w:t>а</w:t>
      </w:r>
      <w:r>
        <w:t>. Перемещение суппортов, подача инструмента и установка режимов резания на универсальных станках выполняют оператор</w:t>
      </w:r>
      <w:r>
        <w:t>ы</w:t>
      </w:r>
      <w:r>
        <w:t xml:space="preserve"> вручную</w:t>
      </w:r>
      <w:r>
        <w:t>, э</w:t>
      </w:r>
      <w:r>
        <w:t xml:space="preserve">то </w:t>
      </w:r>
      <w:r>
        <w:t>напрямую влияет на</w:t>
      </w:r>
      <w:r>
        <w:t xml:space="preserve"> ограничения</w:t>
      </w:r>
      <w:r>
        <w:t xml:space="preserve">, которые влияют на </w:t>
      </w:r>
      <w:r>
        <w:t xml:space="preserve">точность обработки, поскольку результат зависит от </w:t>
      </w:r>
      <w:r>
        <w:t>человека, работающего на станке</w:t>
      </w:r>
      <w:r>
        <w:t>.</w:t>
      </w:r>
    </w:p>
    <w:p w14:paraId="92000000">
      <w:pPr>
        <w:pStyle w:val="Style_8"/>
      </w:pPr>
      <w:r>
        <w:t xml:space="preserve"> Установка заготовок на</w:t>
      </w:r>
      <w:r>
        <w:t xml:space="preserve"> </w:t>
      </w:r>
      <w:r>
        <w:t>станк</w:t>
      </w:r>
      <w:r>
        <w:t>ах</w:t>
      </w:r>
      <w:r>
        <w:t xml:space="preserve"> осуществляется </w:t>
      </w:r>
      <w:r>
        <w:t>при помощи</w:t>
      </w:r>
      <w:r>
        <w:t xml:space="preserve"> универсальных тисках или </w:t>
      </w:r>
      <w:r>
        <w:t>трехкулачковых</w:t>
      </w:r>
      <w:r>
        <w:t xml:space="preserve"> патрон</w:t>
      </w:r>
      <w:r>
        <w:t>ов</w:t>
      </w:r>
      <w:r>
        <w:t xml:space="preserve">, а также с применением делительных головок для обработки отверстий, расположенных под углом. Измерительный инструмент </w:t>
      </w:r>
      <w:r>
        <w:t xml:space="preserve">представлен следующим набором: </w:t>
      </w:r>
      <w:r>
        <w:t xml:space="preserve">штангенциркули, микрометры, индикаторы часового типа, а также калибры-пробки и калибры-скобы для контроля размеров. </w:t>
      </w:r>
    </w:p>
    <w:p w14:paraId="93000000">
      <w:pPr>
        <w:pStyle w:val="Style_8"/>
      </w:pPr>
      <w:r>
        <w:t>Наличие универсального оборудования позволяет предприятию быстро переналаживать производство на выпуск различных деталей, что удобно для мелкосерийных заказов. Вместе с тем, данный подход имеет ряд недостатков. При изготовлении сложных корпусных деталей, имеющих несколько точно позиционируемых отверстий и базовых поверхностей, возникает необходимость в многократных переустановках заготовки. Каждая переустановка вносит дополнительную погрешность базирования. Для снижения этой погрешности на предприятии используются сменные приспособления, кондукторные плиты и специальные оправки, однако их изготовление требует дополнительных затрат и времени.</w:t>
      </w:r>
    </w:p>
    <w:p w14:paraId="94000000">
      <w:pPr>
        <w:pStyle w:val="Style_8"/>
      </w:pPr>
      <w:r>
        <w:t>Сравнительно низкая жесткость универсальных станков и упругие деформации технологической системы могут вызывать увод инструмента и нарушение заданных параметров шероховатости. Особенно это проявляется при обработке чугуна, который при неправильно выбранных режимах резания склонен к образованию трещин и выкрашиванию кромок. Накопленный на предприятии опыт показывает, что при возрастании объемов выпуска доля брака из-за нарушения размерных цепей на универсальных станках увеличивается. В связи с этим руководством ООО «МАШТЕХЦЕНТР» было принято решение о плановой замене части универсальных станков на оборудование с числовым программным управлением (ЧПУ).</w:t>
      </w:r>
    </w:p>
    <w:p w14:paraId="95000000">
      <w:pPr>
        <w:pStyle w:val="Style_8"/>
      </w:pPr>
      <w:r>
        <w:t xml:space="preserve">На предприятие стали внедрять </w:t>
      </w:r>
      <w:r>
        <w:t>в цех</w:t>
      </w:r>
      <w:r>
        <w:t xml:space="preserve">ах </w:t>
      </w:r>
      <w:r>
        <w:t>несколько токарных станков с ЧПУ (модели 16К20Ф3) и вертикально-фрезерных станков с ЧПУ (модели 6Р13Ф3)</w:t>
      </w:r>
      <w:r>
        <w:t xml:space="preserve">. Такие </w:t>
      </w:r>
      <w:r>
        <w:t>станки п</w:t>
      </w:r>
      <w:r>
        <w:t>озволили</w:t>
      </w:r>
      <w:r>
        <w:t xml:space="preserve"> автоматизировать перемещения инструмента по заданным координатам, что </w:t>
      </w:r>
      <w:r>
        <w:t xml:space="preserve">стало </w:t>
      </w:r>
      <w:r>
        <w:t>обеспечива</w:t>
      </w:r>
      <w:r>
        <w:t>ть</w:t>
      </w:r>
      <w:r>
        <w:t xml:space="preserve"> снижени</w:t>
      </w:r>
      <w:r>
        <w:t>ю</w:t>
      </w:r>
      <w:r>
        <w:t xml:space="preserve"> влияния </w:t>
      </w:r>
      <w:r>
        <w:t>ручных</w:t>
      </w:r>
      <w:r>
        <w:t xml:space="preserve"> факторов на качество изготовления. </w:t>
      </w:r>
    </w:p>
    <w:p w14:paraId="96000000">
      <w:pPr>
        <w:pStyle w:val="Style_8"/>
      </w:pPr>
      <w:r>
        <w:t xml:space="preserve">Программное управление </w:t>
      </w:r>
      <w:r>
        <w:t>настроено на</w:t>
      </w:r>
      <w:r>
        <w:t xml:space="preserve"> обраб</w:t>
      </w:r>
      <w:r>
        <w:t>отку</w:t>
      </w:r>
      <w:r>
        <w:t xml:space="preserve"> сложны</w:t>
      </w:r>
      <w:r>
        <w:t>х</w:t>
      </w:r>
      <w:r>
        <w:t xml:space="preserve"> контур</w:t>
      </w:r>
      <w:r>
        <w:t>ов деталей</w:t>
      </w:r>
      <w:r>
        <w:t>, выполн</w:t>
      </w:r>
      <w:r>
        <w:t>и</w:t>
      </w:r>
      <w:r>
        <w:t>ть многопозиционное сверление и фрезерование без дополнительных разметок и ручных измерений</w:t>
      </w:r>
      <w:r>
        <w:t>, п</w:t>
      </w:r>
      <w:r>
        <w:t xml:space="preserve">ри использовании станков с </w:t>
      </w:r>
      <w:r>
        <w:t xml:space="preserve">ЧПУ повышается производительность труда и уменьшается время на вспомогательные переходы. </w:t>
      </w:r>
      <w:r>
        <w:t>Но есть и минусы такого оборудования,</w:t>
      </w:r>
      <w:r>
        <w:t xml:space="preserve"> для их эксплуатации необходима разработка управляющих программ, </w:t>
      </w:r>
      <w:r>
        <w:t>для этого не обходимо</w:t>
      </w:r>
      <w:r>
        <w:t xml:space="preserve"> </w:t>
      </w:r>
      <w:r>
        <w:t>нанимать технологов с профильным образованием или переучивать имеющийся персонал</w:t>
      </w:r>
      <w:r>
        <w:t xml:space="preserve"> [19].</w:t>
      </w:r>
    </w:p>
    <w:p w14:paraId="97000000">
      <w:pPr>
        <w:pStyle w:val="Style_8"/>
      </w:pPr>
      <w:r>
        <w:t>Помимо станочного оборудования, в состав технологической оснастки входят крановое оборудование для перемещения тяжелых заготовок, система вытяжной вентиляции для удаления стружки и масляного тумана, а также участок заточки режущего инструмента. На участке заточки используется специальное оборудование для восстановления геометрии резцов, фрез и сверл: заточные станки и доводочные круги. Также имеется установка для химико-термической обработки (азотирования) отдельных деталей с высокими требованиями к поверхностной твердости.</w:t>
      </w:r>
    </w:p>
    <w:p w14:paraId="98000000">
      <w:pPr>
        <w:pStyle w:val="Style_8"/>
      </w:pPr>
      <w:r>
        <w:t>Анализ загрузки оборудования показывает, что станки с ЧПУ в среднем заняты на 65–70% от возможного фонда времени. Остальное время уходит на переналадку, ремонт и обслуживание. Универсальные станки имеют меньший коэффициент загрузки — около 50%. Это свидетельствует о наличии резерва производственных мощностей, который при изменении технологии может быть использован более эффективно. В целом, парк оборудования ООО «МАШТЕХЦЕНТР» можно охарактеризовать как смешанный, с постепенным смещением в сторону автоматизации.</w:t>
      </w:r>
    </w:p>
    <w:p w14:paraId="99000000">
      <w:bookmarkStart w:id="6" w:name="__RefHeading___5"/>
      <w:bookmarkEnd w:id="6"/>
      <w:pPr>
        <w:pStyle w:val="Style_9"/>
      </w:pPr>
      <w:r>
        <w:t>1.3 Обзор современных технологических процессов механической обработки деталей</w:t>
      </w:r>
    </w:p>
    <w:p w14:paraId="9A000000">
      <w:pPr>
        <w:pStyle w:val="Style_8"/>
        <w:rPr>
          <w:sz w:val="24"/>
          <w:highlight w:val="cyan"/>
        </w:rPr>
      </w:pPr>
      <w:r>
        <w:t xml:space="preserve">В машиностроительной отрасли за последние два десятилетия произошёл переход к гибким автоматизированным системам и цифровым методам управления производством. Современные процессы механической обработки базируются на концентрации операций, автоматической смене инструмента и высокоскоростном резании. Подобные решения дают возможность получать детали сложной формы с высокими точностными </w:t>
      </w:r>
      <w:r>
        <w:t xml:space="preserve">характеристиками при минимальном участии оператора [22]. </w:t>
      </w:r>
      <w:r>
        <w:t xml:space="preserve">Сейчас </w:t>
      </w:r>
      <w:r>
        <w:t>многофункциональные обрабатывающие центры, которые совмещают токарную, фрезерную, сверлильную, расточную и шлифовальную обработку в одной установке</w:t>
      </w:r>
      <w:r>
        <w:t>, заменили стандартные станки, которые часто применяют.</w:t>
      </w:r>
    </w:p>
    <w:p w14:paraId="9B000000">
      <w:pPr>
        <w:pStyle w:val="Style_8"/>
        <w:rPr>
          <w:highlight w:val="cyan"/>
        </w:rPr>
      </w:pPr>
      <w:r>
        <w:t xml:space="preserve">Из-за большого количества переустановки заготовки между операциями появляются проблемы с достижением требуемых параметров деталей. </w:t>
      </w:r>
      <w:r>
        <w:t xml:space="preserve"> Каждое повторное базирование </w:t>
      </w:r>
      <w:r>
        <w:t>влечет за собой</w:t>
      </w:r>
      <w:r>
        <w:t xml:space="preserve"> появление дополнительн</w:t>
      </w:r>
      <w:r>
        <w:t xml:space="preserve">ых </w:t>
      </w:r>
      <w:r>
        <w:t>погрешност</w:t>
      </w:r>
      <w:r>
        <w:t>ей</w:t>
      </w:r>
      <w:r>
        <w:t>, поэтому объединение нескольких переходов в одн</w:t>
      </w:r>
      <w:r>
        <w:t xml:space="preserve">у установку, </w:t>
      </w:r>
      <w:r>
        <w:t>позвол</w:t>
      </w:r>
      <w:r>
        <w:t>ит</w:t>
      </w:r>
      <w:r>
        <w:t xml:space="preserve"> сохранить требуемую геометрическую точность детали. Использование обрабатывающего центра избав</w:t>
      </w:r>
      <w:r>
        <w:t>ит</w:t>
      </w:r>
      <w:r>
        <w:t xml:space="preserve"> от необходимости переносить заготовку между отдельными станками, что сокра</w:t>
      </w:r>
      <w:r>
        <w:t>тит</w:t>
      </w:r>
      <w:r>
        <w:t xml:space="preserve"> продолжительность вспомогательных операций и уменьш</w:t>
      </w:r>
      <w:r>
        <w:t>и</w:t>
      </w:r>
      <w:r>
        <w:t xml:space="preserve">т вероятность возникновения ошибок, связанных с повторной установкой. </w:t>
      </w:r>
      <w:r>
        <w:t xml:space="preserve">Поэтому я остановился на выборе данных станков в качестве базового для моего техпроцесс. </w:t>
      </w:r>
      <w:r>
        <w:t xml:space="preserve">Подобный подход получил распространение </w:t>
      </w:r>
      <w:r>
        <w:t xml:space="preserve">для </w:t>
      </w:r>
      <w:r>
        <w:t>изготовлени</w:t>
      </w:r>
      <w:r>
        <w:t>я деталей типа</w:t>
      </w:r>
      <w:r>
        <w:t xml:space="preserve"> корпусных</w:t>
      </w:r>
      <w:r>
        <w:t xml:space="preserve"> у которых сложная конфигурация </w:t>
      </w:r>
      <w:r>
        <w:t>плоскостей и других элементов, требующих соблюдения взаимного расположения [17, 20].</w:t>
      </w:r>
    </w:p>
    <w:p w14:paraId="9C000000">
      <w:pPr>
        <w:pStyle w:val="Style_8"/>
      </w:pPr>
      <w:r>
        <w:t xml:space="preserve">Подготовка управляющих программ выполняется в CAD/CAM-системах на основе трехмерной модели детали. Геометрия изделия </w:t>
      </w:r>
      <w:r>
        <w:t xml:space="preserve">является </w:t>
      </w:r>
      <w:r>
        <w:t xml:space="preserve">исходной информацией для построения траекторий режущего инструмента, благодаря чему </w:t>
      </w:r>
      <w:r>
        <w:t xml:space="preserve">нет </w:t>
      </w:r>
      <w:r>
        <w:t>необходимост</w:t>
      </w:r>
      <w:r>
        <w:t>и</w:t>
      </w:r>
      <w:r>
        <w:t xml:space="preserve"> определять координаты вручную. Время, затрачиваемое на технологическую подготовку производства, </w:t>
      </w:r>
      <w:r>
        <w:t xml:space="preserve">поэтому </w:t>
      </w:r>
      <w:r>
        <w:t xml:space="preserve">уменьшается. </w:t>
      </w:r>
    </w:p>
    <w:p w14:paraId="9D000000">
      <w:pPr>
        <w:pStyle w:val="Style_8"/>
      </w:pPr>
      <w:r>
        <w:t>С</w:t>
      </w:r>
      <w:r>
        <w:t>таночный парк оснащ</w:t>
      </w:r>
      <w:r>
        <w:t>ен</w:t>
      </w:r>
      <w:r>
        <w:t xml:space="preserve"> системами контроля размеров. Измерительные щупы, </w:t>
      </w:r>
      <w:r>
        <w:t xml:space="preserve">которые </w:t>
      </w:r>
      <w:r>
        <w:t>установленны</w:t>
      </w:r>
      <w:r>
        <w:t xml:space="preserve"> на станках, в процессе обработки проверяют</w:t>
      </w:r>
      <w:r>
        <w:t xml:space="preserve"> </w:t>
      </w:r>
      <w:r>
        <w:t xml:space="preserve">положение заготовки и корректируют траекторию инструмента, компенсируя износ и тепловые деформации. Это позволяет достигать точности до квалитетов IT6–IT7 при высоких скоростях резания. Адаптивное управление подачей и частотой вращения шпинделя в </w:t>
      </w:r>
      <w:r>
        <w:t>зависимости от колебаний нагрузки также находит широкое применение, повышая стабильность процесса и предотвращая поломки инструмента.</w:t>
      </w:r>
    </w:p>
    <w:p w14:paraId="9E000000">
      <w:pPr>
        <w:pStyle w:val="Style_8"/>
      </w:pPr>
      <w:r>
        <w:t>И</w:t>
      </w:r>
      <w:r>
        <w:t>спользовании сменных многогранных пластин из твёрдых сплавов и сверхтвёрдых материалов</w:t>
      </w:r>
      <w:r>
        <w:t xml:space="preserve"> сейчас везде применяется, это относительно </w:t>
      </w:r>
      <w:r>
        <w:t>совремнный</w:t>
      </w:r>
      <w:r>
        <w:t xml:space="preserve"> метод</w:t>
      </w:r>
      <w:r>
        <w:t xml:space="preserve">. </w:t>
      </w:r>
      <w:r>
        <w:t>Безвольфрамовые</w:t>
      </w:r>
      <w:r>
        <w:t xml:space="preserve"> твёрдые сплавы, керамика и кубический нитрид бора позволяют обрабатывать закалённые стали и чугуны на скоростях, недоступных для традиционных резцов. Выбор геометрии режущей части и марки материала зависит от свойств обрабатываемого материала и характера операции</w:t>
      </w:r>
      <w:r>
        <w:t xml:space="preserve"> п</w:t>
      </w:r>
      <w:r>
        <w:t xml:space="preserve">ри работе с чугуном предпочтение отдают сплавам с повышенной износостойкостью, способным выдерживать прерывистое резание и ударные нагрузки. Правильный </w:t>
      </w:r>
      <w:r>
        <w:t>подбор</w:t>
      </w:r>
      <w:r>
        <w:t xml:space="preserve"> инструмента сни</w:t>
      </w:r>
      <w:r>
        <w:t>зит</w:t>
      </w:r>
      <w:r>
        <w:t xml:space="preserve"> сил</w:t>
      </w:r>
      <w:r>
        <w:t>у</w:t>
      </w:r>
      <w:r>
        <w:t xml:space="preserve"> резания, уменьш</w:t>
      </w:r>
      <w:r>
        <w:t>ит</w:t>
      </w:r>
      <w:r>
        <w:t xml:space="preserve"> теплообразование и увеличит стойкость пластин [16, 18].</w:t>
      </w:r>
    </w:p>
    <w:p w14:paraId="9F000000">
      <w:pPr>
        <w:pStyle w:val="Style_8"/>
      </w:pPr>
      <w:r>
        <w:t>Корпусные детали сложной конфигурации в основном получают</w:t>
      </w:r>
      <w:r>
        <w:t xml:space="preserve"> путем</w:t>
      </w:r>
      <w:r>
        <w:t xml:space="preserve"> лить</w:t>
      </w:r>
      <w:r>
        <w:t>я</w:t>
      </w:r>
      <w:r>
        <w:t xml:space="preserve"> под давлением, литьём по выплавляемым моделям или литьём в кокиль. Современные литейные технологии дают отливки с минимальными припусками под последующую механическую обработку</w:t>
      </w:r>
      <w:r>
        <w:t>, такой подход</w:t>
      </w:r>
      <w:r>
        <w:t xml:space="preserve"> заметно снижает расход металла и сокращает время резания. Лазерная и гидроабразивная резка</w:t>
      </w:r>
      <w:r>
        <w:t xml:space="preserve"> </w:t>
      </w:r>
      <w:r>
        <w:t>использу</w:t>
      </w:r>
      <w:r>
        <w:t>е</w:t>
      </w:r>
      <w:r>
        <w:t>тся для сортового проката</w:t>
      </w:r>
      <w:r>
        <w:t>.</w:t>
      </w:r>
    </w:p>
    <w:p w14:paraId="A0000000">
      <w:pPr>
        <w:pStyle w:val="Style_8"/>
      </w:pPr>
      <w:r>
        <w:t xml:space="preserve">На российском рынке представлены как отечественные станки с ЧПУ, так и импортное оборудование с системами управления </w:t>
      </w:r>
      <w:r>
        <w:t>Fanuc</w:t>
      </w:r>
      <w:r>
        <w:t>, Siemens или аналогами</w:t>
      </w:r>
      <w:r>
        <w:t xml:space="preserve"> п</w:t>
      </w:r>
      <w:r>
        <w:t>ри выборе станка рассматривают его жёсткость, точность позиционирования и максимальные обороты шпинделя. Технологическая подготовка производства требует от инженерно-технических работников знаний особенностей резания материалов, а также основ кинематики металлорежущих станков [23].</w:t>
      </w:r>
    </w:p>
    <w:p w14:paraId="A1000000">
      <w:pPr>
        <w:pStyle w:val="Style_8"/>
      </w:pPr>
      <w:r>
        <w:t xml:space="preserve">Аддитивные технологии постепенно проникают в сферу изготовления сложных деталей, однако для массового и серийного выпуска корпусных изделий они пока не имеют экономического преимущества перед традиционной механической обработкой. Тем не менее, гибридные станки, </w:t>
      </w:r>
      <w:r>
        <w:t>сочетающие лазерное наплавление с последующим фрезерованием, позволяют получать детали с переменной структурой материала и улучшенными эксплуатационными свойствами. Эти разработки находятся в стадии промышленного внедрения.</w:t>
      </w:r>
    </w:p>
    <w:p w14:paraId="A2000000">
      <w:pPr>
        <w:pStyle w:val="Style_8"/>
      </w:pPr>
      <w:r>
        <w:t>При проектировании технологических процессов для деталей типа углового корпуса подшипника следует опираться на концентрацию операций, исключение лишних переустановок, использование фрезерных и расточных операций с ЧПУ. Необходимо учитывать требования к точности и шероховатости, регламентированные стандартами, и предусматривать методы контроля. Соблюдение современных подходов к механической обработке даёт возможность не только снизить себестоимость, но и гарантировать стабильное качество изготовления на уровне, требуемом заказчиками. Справочная и учебная литература предоставляет всю необходимую информацию для проектирования рациональных технологических маршрутов [18].</w:t>
      </w:r>
    </w:p>
    <w:p w14:paraId="A3000000">
      <w:pPr>
        <w:spacing w:line="240" w:lineRule="auto"/>
        <w:ind w:firstLine="0" w:left="0"/>
        <w:jc w:val="left"/>
        <w:rPr>
          <w:b w:val="1"/>
          <w:color w:themeColor="text1" w:themeTint="F2" w:val="0D0D0D"/>
          <w:sz w:val="32"/>
        </w:rPr>
      </w:pPr>
      <w:r>
        <w:br w:type="page"/>
      </w:r>
    </w:p>
    <w:p w14:paraId="A4000000">
      <w:bookmarkStart w:id="7" w:name="__RefHeading___6"/>
      <w:bookmarkEnd w:id="7"/>
      <w:pPr>
        <w:pStyle w:val="Style_7"/>
      </w:pPr>
      <w:r>
        <w:t>2. ТЕХНОЛОГИЧЕСКИЙ РАЗДЕЛ</w:t>
      </w:r>
    </w:p>
    <w:p w14:paraId="A5000000">
      <w:bookmarkStart w:id="8" w:name="__RefHeading___7"/>
      <w:bookmarkEnd w:id="8"/>
      <w:pPr>
        <w:pStyle w:val="Style_9"/>
        <w:rPr>
          <w:highlight w:val="white"/>
        </w:rPr>
      </w:pPr>
      <w:r>
        <w:t>2.1 Анализ действующего технологического процесса</w:t>
      </w:r>
      <w:r>
        <w:t xml:space="preserve"> изготовления детали </w:t>
      </w:r>
      <w:r>
        <w:t>«</w:t>
      </w:r>
      <w:r>
        <w:t>Угловой к</w:t>
      </w:r>
      <w:r>
        <w:t>орпус подшипника</w:t>
      </w:r>
      <w:r>
        <w:rPr>
          <w:highlight w:val="white"/>
        </w:rPr>
        <w:t>»</w:t>
      </w:r>
    </w:p>
    <w:p w14:paraId="A6000000">
      <w:pPr>
        <w:pStyle w:val="Style_8"/>
      </w:pPr>
      <w:r>
        <w:t>Деталь «Угловой корпус подшипника»</w:t>
      </w:r>
      <w:r>
        <w:t xml:space="preserve"> (Рисунок 1,2)</w:t>
      </w:r>
      <w:r>
        <w:t xml:space="preserve"> представляет собой корпусную заготовку, получаемую литьём из высокопрочного чугуна ВЧ35. Основные конструктивные элементы – цилиндрический стакан с внутренней посадочной поверхностью, плоское основание с двумя резьбовыми отверстиями М12-6Н и радиальное скругление наружного контура. В условиях серийного производства ООО «МАШТЕХЦЕНТР» данная деталь обрабатывается по технологическому маршруту, построенному на базе универсального станочного оборудования. Операционный процесс включает несколько последовательных переходов, разделённых по видам обработки.</w:t>
      </w:r>
    </w:p>
    <w:p w14:paraId="A7000000">
      <w:pPr>
        <w:pStyle w:val="Style_8"/>
        <w:ind/>
        <w:jc w:val="center"/>
        <w:rPr>
          <w:sz w:val="24"/>
        </w:rPr>
      </w:pPr>
      <w:r>
        <w:rPr>
          <w:sz w:val="24"/>
        </w:rPr>
        <w:drawing>
          <wp:inline>
            <wp:extent cx="3482992" cy="4933950"/>
            <wp:effectExtent b="0" l="0" r="0" t="0"/>
            <wp:docPr hidden="false" id="2" name="Picture 2"/>
            <a:graphic>
              <a:graphicData uri="http://schemas.openxmlformats.org/drawingml/2006/picture">
                <pic:pic>
                  <pic:nvPicPr>
                    <pic:cNvPr hidden="false" id="1" name="Picture 1"/>
                    <pic:cNvPicPr preferRelativeResize="true"/>
                  </pic:nvPicPr>
                  <pic:blipFill>
                    <a:blip r:embed="rId5"/>
                    <a:srcRect b="0" l="0" r="0" t="8891"/>
                    <a:stretch/>
                  </pic:blipFill>
                  <pic:spPr>
                    <a:xfrm flipH="false" flipV="false" rot="0">
                      <a:ext cx="3482992" cy="4933950"/>
                    </a:xfrm>
                    <a:prstGeom prst="rect"/>
                  </pic:spPr>
                </pic:pic>
              </a:graphicData>
            </a:graphic>
          </wp:inline>
        </w:drawing>
      </w:r>
    </w:p>
    <w:p w14:paraId="A8000000">
      <w:pPr>
        <w:pStyle w:val="Style_8"/>
        <w:ind/>
        <w:jc w:val="center"/>
      </w:pPr>
      <w:r>
        <w:t>Рисунок 1 – 3Д модель детали</w:t>
      </w:r>
    </w:p>
    <w:p w14:paraId="A9000000">
      <w:pPr>
        <w:pStyle w:val="Style_8"/>
        <w:ind w:firstLine="0" w:left="0"/>
      </w:pPr>
      <w:r>
        <w:drawing>
          <wp:inline>
            <wp:extent cx="5940425" cy="4204970"/>
            <wp:effectExtent b="0" l="0" r="0" t="0"/>
            <wp:docPr hidden="false" id="4" name="Picture 4"/>
            <a:graphic>
              <a:graphicData uri="http://schemas.openxmlformats.org/drawingml/2006/picture">
                <pic:pic>
                  <pic:nvPicPr>
                    <pic:cNvPr hidden="false" id="3" name="Picture 3"/>
                    <pic:cNvPicPr preferRelativeResize="true"/>
                  </pic:nvPicPr>
                  <pic:blipFill>
                    <a:blip r:embed="rId6"/>
                    <a:stretch/>
                  </pic:blipFill>
                  <pic:spPr>
                    <a:xfrm flipH="false" flipV="false" rot="0">
                      <a:ext cx="5940425" cy="4204970"/>
                    </a:xfrm>
                    <a:prstGeom prst="rect"/>
                  </pic:spPr>
                </pic:pic>
              </a:graphicData>
            </a:graphic>
          </wp:inline>
        </w:drawing>
      </w:r>
    </w:p>
    <w:p w14:paraId="AA000000">
      <w:pPr>
        <w:pStyle w:val="Style_8"/>
        <w:ind w:firstLine="0" w:left="0"/>
        <w:jc w:val="center"/>
      </w:pPr>
      <w:r>
        <w:t>Рисунок 2 – Чертеж детали</w:t>
      </w:r>
    </w:p>
    <w:p w14:paraId="AB000000">
      <w:pPr>
        <w:pStyle w:val="Style_8"/>
      </w:pPr>
      <w:r>
        <w:t xml:space="preserve">На первой операции выполняют черновое и чистовое точение наружного диаметра стакана и подрезку торца основания. Оборудованием служит токарно-винторезный станок модели 1К62. Заготовку закрепляют в </w:t>
      </w:r>
      <w:r>
        <w:t>трёхкулачковом</w:t>
      </w:r>
      <w:r>
        <w:t xml:space="preserve"> патроне. Режущий инструмент – проходные и подрезные резцы с напайными пластинами из твёрдого сплава ВК8. Режимы резания назначаются в соответствии с рекомендациями справочника [18]: скорость резания 80–100 м/мин, подача 0,2–0,3 мм/об, глубина резания до 2 мм. После токарной обработки деталь снимают со станка и передают на фрезерную операцию.</w:t>
      </w:r>
    </w:p>
    <w:p w14:paraId="AC000000">
      <w:pPr>
        <w:pStyle w:val="Style_8"/>
      </w:pPr>
      <w:r>
        <w:t xml:space="preserve">Вторая операция – фрезерование паза и обработка боковых плоскостей основания. Используется горизонтально-фрезерный станок 6Р82 с набором фрез. Заготовка базируется в машинных тисках по ранее обработанному торцу. Фрезерование выполняется концевыми и дисковыми фрезами из быстрорежущей стали Р6М5. На данной операции достигается </w:t>
      </w:r>
      <w:r>
        <w:t>прямолинейность поверхностей, однако из-за ручной установки и отсутствия точного позиционирования возможно отклонение от перпендикулярности плоскостей.</w:t>
      </w:r>
    </w:p>
    <w:p w14:paraId="AD000000">
      <w:pPr>
        <w:pStyle w:val="Style_8"/>
      </w:pPr>
      <w:r>
        <w:t xml:space="preserve">Третья операция – сверление и зенкерование двух крепёжных отверстий, а также нарезание резьбы М12-6Н. Сверлильный станок 2Н125 оснащён кондукторной плитой, которая обеспечивает расположение отверстий с заданным шагом. Сверление производится спиральными сверлами диаметром 10,2 мм, затем – машинными метчиками для нарезания резьбы. Однако износ кондукторных втулок и биение шпинделя приводят к тому, что фактические </w:t>
      </w:r>
      <w:r>
        <w:t>межосевые расстояния часто выходят за пределы допуска. Контроль выполняется штангенциркулем и калибрами-пробками.</w:t>
      </w:r>
    </w:p>
    <w:p w14:paraId="AE000000">
      <w:pPr>
        <w:pStyle w:val="Style_8"/>
      </w:pPr>
      <w:r>
        <w:t>Четвертая операция предусматривает обработку внутреннего посадочного отверстия Ø50H7 на токарно-винторезном станке 16К20.</w:t>
      </w:r>
    </w:p>
    <w:p w14:paraId="AF000000">
      <w:pPr>
        <w:pStyle w:val="Style_8"/>
      </w:pPr>
      <w:r>
        <w:t xml:space="preserve">Формирование отверстия выполняют </w:t>
      </w:r>
      <w:r>
        <w:t>при помощи расточного резца,</w:t>
      </w:r>
      <w:r>
        <w:t xml:space="preserve"> </w:t>
      </w:r>
      <w:r>
        <w:t xml:space="preserve">выполненного </w:t>
      </w:r>
      <w:r>
        <w:t>из твердосплавной пластины</w:t>
      </w:r>
      <w:r>
        <w:t>. Для того чтобы получить</w:t>
      </w:r>
      <w:r>
        <w:t xml:space="preserve"> </w:t>
      </w:r>
      <w:r>
        <w:t>параметры, которые заданы РКД, нуждаются так же в</w:t>
      </w:r>
      <w:r>
        <w:t xml:space="preserve"> сопровожд</w:t>
      </w:r>
      <w:r>
        <w:t>ении</w:t>
      </w:r>
      <w:r>
        <w:t xml:space="preserve"> дополнительной доводк</w:t>
      </w:r>
      <w:r>
        <w:t>и</w:t>
      </w:r>
      <w:r>
        <w:t xml:space="preserve">: поверхность обрабатывают алмазной головкой либо выполняют притирку до заданного размера. </w:t>
      </w:r>
    </w:p>
    <w:p w14:paraId="B0000000">
      <w:pPr>
        <w:pStyle w:val="Style_8"/>
      </w:pPr>
      <w:r>
        <w:t>Последний</w:t>
      </w:r>
      <w:r>
        <w:t xml:space="preserve"> этап </w:t>
      </w:r>
      <w:r>
        <w:t xml:space="preserve">операций </w:t>
      </w:r>
      <w:r>
        <w:t>связан с обработкой внутренней цилиндрической поверхности на круглошлифовальном станке 3М151</w:t>
      </w:r>
      <w:r>
        <w:t>, п</w:t>
      </w:r>
      <w:r>
        <w:t xml:space="preserve">осле шлифования отверстие </w:t>
      </w:r>
      <w:r>
        <w:t>становится</w:t>
      </w:r>
      <w:r>
        <w:t xml:space="preserve"> требуемы</w:t>
      </w:r>
      <w:r>
        <w:t>х</w:t>
      </w:r>
      <w:r>
        <w:t xml:space="preserve"> значени</w:t>
      </w:r>
      <w:r>
        <w:t>й</w:t>
      </w:r>
      <w:r>
        <w:t xml:space="preserve"> точности и шероховатости. Состояние шлифовального круга и работа системы подачи охлаждающей жидкости </w:t>
      </w:r>
      <w:r>
        <w:t xml:space="preserve">оказывают </w:t>
      </w:r>
      <w:r>
        <w:t xml:space="preserve">влияние на </w:t>
      </w:r>
      <w:r>
        <w:t xml:space="preserve">получаемое </w:t>
      </w:r>
      <w:r>
        <w:t>качество поверхности</w:t>
      </w:r>
      <w:r>
        <w:t>.</w:t>
      </w:r>
    </w:p>
    <w:p w14:paraId="B1000000">
      <w:pPr>
        <w:pStyle w:val="Style_8"/>
      </w:pPr>
      <w:r>
        <w:t>Изготовление данной</w:t>
      </w:r>
      <w:r>
        <w:t xml:space="preserve"> детали занимает около 35 минут</w:t>
      </w:r>
      <w:r>
        <w:t xml:space="preserve">, большое количество </w:t>
      </w:r>
      <w:r>
        <w:t>врмени</w:t>
      </w:r>
      <w:r>
        <w:t xml:space="preserve"> уходит на </w:t>
      </w:r>
      <w:r>
        <w:t>перустановку</w:t>
      </w:r>
      <w:r>
        <w:t xml:space="preserve"> заготовки при операциях обработки, </w:t>
      </w:r>
      <w:r>
        <w:t xml:space="preserve">контроль размеров, смену инструмента и подготовительные действия. </w:t>
      </w:r>
    </w:p>
    <w:p w14:paraId="B2000000">
      <w:pPr>
        <w:pStyle w:val="Style_8"/>
      </w:pPr>
    </w:p>
    <w:p w14:paraId="B3000000">
      <w:pPr>
        <w:pStyle w:val="Style_8"/>
      </w:pPr>
      <w:r>
        <w:t>В ходе изучения</w:t>
      </w:r>
      <w:r>
        <w:t xml:space="preserve"> действующего технологического маршрута </w:t>
      </w:r>
      <w:r>
        <w:t>я смог определить</w:t>
      </w:r>
      <w:r>
        <w:t xml:space="preserve"> </w:t>
      </w:r>
      <w:r>
        <w:t>следующие</w:t>
      </w:r>
      <w:r>
        <w:t xml:space="preserve"> причин, </w:t>
      </w:r>
      <w:r>
        <w:t xml:space="preserve">которые </w:t>
      </w:r>
      <w:r>
        <w:t>отрицательно влияю</w:t>
      </w:r>
      <w:r>
        <w:t>т</w:t>
      </w:r>
      <w:r>
        <w:t xml:space="preserve"> на качество изготовления</w:t>
      </w:r>
      <w:r>
        <w:t xml:space="preserve"> деталей, а именно п</w:t>
      </w:r>
      <w:r>
        <w:t>овторное базирование заготовки после каждой операции</w:t>
      </w:r>
      <w:r>
        <w:t>, это</w:t>
      </w:r>
      <w:r>
        <w:t xml:space="preserve"> приводит к накоплению погрешностей, поскольку каждая новая установка сопровождается изменением положения детали относительно исходной системы координат [19]. </w:t>
      </w:r>
      <w:r>
        <w:t>Далее се</w:t>
      </w:r>
      <w:r>
        <w:t xml:space="preserve">рийное производство на универсальных станках затрудняет получение стабильного взаимного расположения поверхностей при соблюдении заданных допусков. Состояние направляющих и шпиндельных узлов оборудования, эксплуатируемого длительное время, отражается на траектории движения инструмента во время сверления и растачивания, вследствие чего возрастает вероятность появления отклонений размеров и образования заусенцев на обработанных кромках. </w:t>
      </w:r>
      <w:r>
        <w:t xml:space="preserve">Так де много времени тратится на </w:t>
      </w:r>
      <w:r>
        <w:t>выполнение ручного контроля после отдельных операций</w:t>
      </w:r>
      <w:r>
        <w:t>.</w:t>
      </w:r>
    </w:p>
    <w:p w14:paraId="B4000000">
      <w:pPr>
        <w:pStyle w:val="Style_8"/>
      </w:pPr>
      <w:r>
        <w:t xml:space="preserve">Технологическая документация на действующий процесс оформлена в соответствии с требованиями ЕСТД [2], Режимы резания, </w:t>
      </w:r>
      <w:r>
        <w:t>выбранны</w:t>
      </w:r>
      <w:r>
        <w:t xml:space="preserve"> по справочным данным [18], не оптимизированы под конкретные условия – они ориентированы на безопасный запас прочности инструмента, а не на максимальную производительность</w:t>
      </w:r>
      <w:r>
        <w:t>, п</w:t>
      </w:r>
      <w:r>
        <w:t>рименяемый инструмент</w:t>
      </w:r>
      <w:r>
        <w:t xml:space="preserve"> </w:t>
      </w:r>
      <w:r>
        <w:t>морально устарел; современные сменные многогранные пластины позволят повысить скорость резания и стойкость инструмента в несколько раз.</w:t>
      </w:r>
    </w:p>
    <w:p w14:paraId="B5000000">
      <w:pPr>
        <w:pStyle w:val="Style_8"/>
      </w:pPr>
      <w:r>
        <w:t xml:space="preserve">Отсутствие на предприятии автоматизированных средств контроля </w:t>
      </w:r>
      <w:r>
        <w:t xml:space="preserve">таких как </w:t>
      </w:r>
      <w:r>
        <w:t>измерительных головок, лазерных сканеров</w:t>
      </w:r>
      <w:r>
        <w:t xml:space="preserve"> несет отрицательное влияние </w:t>
      </w:r>
      <w:r>
        <w:t>технолог</w:t>
      </w:r>
      <w:r>
        <w:t>ам</w:t>
      </w:r>
      <w:r>
        <w:t xml:space="preserve"> </w:t>
      </w:r>
      <w:r>
        <w:t xml:space="preserve">приходится </w:t>
      </w:r>
      <w:r>
        <w:t>полагаться на визуальный осмотр и выборочные измерения</w:t>
      </w:r>
      <w:r>
        <w:t>, э</w:t>
      </w:r>
      <w:r>
        <w:t xml:space="preserve">то снижает достоверность оценки качества каждой детали. </w:t>
      </w:r>
    </w:p>
    <w:p w14:paraId="B6000000">
      <w:bookmarkStart w:id="9" w:name="__RefHeading___8"/>
      <w:bookmarkEnd w:id="9"/>
      <w:pPr>
        <w:pStyle w:val="Style_9"/>
        <w:rPr>
          <w:highlight w:val="white"/>
        </w:rPr>
      </w:pPr>
      <w:r>
        <w:t xml:space="preserve">2.2 Анализ </w:t>
      </w:r>
      <w:r>
        <w:t xml:space="preserve">детали </w:t>
      </w:r>
      <w:r>
        <w:t>«</w:t>
      </w:r>
      <w:r>
        <w:t>Угловой к</w:t>
      </w:r>
      <w:r>
        <w:t>орпус подшипника</w:t>
      </w:r>
      <w:r>
        <w:rPr>
          <w:highlight w:val="white"/>
        </w:rPr>
        <w:t>»</w:t>
      </w:r>
      <w:r>
        <w:rPr>
          <w:highlight w:val="white"/>
        </w:rPr>
        <w:t xml:space="preserve"> </w:t>
      </w:r>
    </w:p>
    <w:p w14:paraId="B7000000">
      <w:pPr>
        <w:pStyle w:val="Style_8"/>
      </w:pPr>
      <w:r>
        <w:t xml:space="preserve">Перед разработкой технологического процесса мной была рассмотрена конструкция углового корпуса подшипника и требования, которые заданы на </w:t>
      </w:r>
      <w:r>
        <w:t>чертеже</w:t>
      </w:r>
      <w:r>
        <w:t xml:space="preserve"> н</w:t>
      </w:r>
      <w:r>
        <w:t>а этом этапе я определил поверхности, от которых в дальнейшем будет зависеть выбор технологических баз, последовательность операций и способ окончательной обработки.</w:t>
      </w:r>
    </w:p>
    <w:p w14:paraId="B8000000">
      <w:pPr>
        <w:pStyle w:val="Style_8"/>
      </w:pPr>
      <w:r>
        <w:t xml:space="preserve"> Деталь будет работать в составе опорного узла механической передачи. В корпусе устанавливается подшипник качения, поэтому основная нагрузка будет передаваться через его наружное кольцо на стенки корпуса, а затем на основание. Отсюда следовало, что положение посадочного отверстия относительно опорной плоскости потребуется выдержать достаточно точно. Сам корпус выполнен в форме кронштейна. Нижняя часть представляет собой плоское основание, а над ним расположен цилиндрический стакан с отверстием под подшипник. Такая форма позволит закрепить узел на плите или другой несущей поверхности и одновременно закрыть установленный подшипник от прямого попадания загрязнений и стружки. В качестве материала детали мной был принят высокопрочный чугун ВЧ35 по ГОСТ 7293–85. Этот вариант был выбран с учетом условий работы корпуса и способа получения заготовки. Для детали такой формы применение чугуна оказалось удобным прежде всего с технологической точки зрения: заготовку можно будет получить литьем с достаточно близкой к готовому корпусу конфигурацией, а основной объем материала не придется удалять резанием. ВЧ35 будет отличаться от обычного серого чугуна формой графитовых включений. Графит в его структуре имеет преимущественно шаровидную форму, за счет чего материал лучше воспринимает механическую нагрузку и обладает большей пластичностью. Для корпуса подшипника это свойство будет иметь практическое значение, поскольку в процессе эксплуатации деталь станет воспринимать нагрузку от установленного в ней подшипникового узла. Химический состав ВЧ35 я принял по ГОСТ 7293–85. Основные элементы и их содержание </w:t>
      </w:r>
      <w:r>
        <w:t>оставлены в таблице 1.</w:t>
      </w:r>
      <w:r>
        <w:t xml:space="preserve"> </w:t>
      </w:r>
    </w:p>
    <w:p w14:paraId="B9000000">
      <w:pPr>
        <w:pStyle w:val="Style_8"/>
      </w:pPr>
      <w:r>
        <w:t xml:space="preserve">После выбора материала я отдельно учитывал его поведение во время механической обработки. Чугун ВЧ35 нельзя было рассматривать как полностью однородный материал. Твердость на отдельных участках отливки </w:t>
      </w:r>
      <w:r>
        <w:t>могла несколько различаться, что в дальнейшем отразилось бы на нагрузке на режущую кромку. По этой причине режимы резания следовало назначать без неоправданного завышения скорости. Для основных переходов в дальнейшем мной будет предусмотрен твердосплавный инструмент, рассчитанный на обработку чугуна.</w:t>
      </w:r>
      <w:r>
        <w:rPr>
          <w:color w:val="060708"/>
          <w:sz w:val="27"/>
        </w:rPr>
        <w:t xml:space="preserve"> </w:t>
      </w:r>
      <w:r>
        <w:t xml:space="preserve">Еще одна особенность материала была связана с характером образования стружки. Во время обработки она будет сравнительно короткой и ломкой. С одной стороны, это упростит ее удаление из рабочей зоны, с другой — потребует учитывать абразивное воздействие частиц чугуна на инструмент. </w:t>
      </w:r>
    </w:p>
    <w:p w14:paraId="BA000000">
      <w:pPr>
        <w:pStyle w:val="Style_8"/>
        <w:ind/>
        <w:jc w:val="right"/>
      </w:pPr>
      <w:r>
        <w:t>Таблица 1</w:t>
      </w:r>
    </w:p>
    <w:p w14:paraId="BB000000">
      <w:pPr>
        <w:pStyle w:val="Style_8"/>
        <w:ind/>
        <w:jc w:val="center"/>
      </w:pPr>
      <w:r>
        <w:t>Химический состав чугуна ВЧ35 по ГОСТ 7293-85</w:t>
      </w:r>
    </w:p>
    <w:tbl>
      <w:tblPr>
        <w:tblStyle w:val="Style_10"/>
        <w:tblLayout w:type="fixed"/>
      </w:tblPr>
      <w:tblGrid>
        <w:gridCol w:w="3167"/>
        <w:gridCol w:w="2818"/>
        <w:gridCol w:w="2515"/>
      </w:tblGrid>
      <w:tr>
        <w:tc>
          <w:tcPr>
            <w:tcW w:type="dxa" w:w="3167"/>
          </w:tcPr>
          <w:p w14:paraId="BC000000">
            <w:pPr>
              <w:spacing w:line="276" w:lineRule="auto"/>
              <w:ind w:firstLine="0" w:left="0"/>
              <w:jc w:val="center"/>
              <w:rPr>
                <w:sz w:val="24"/>
              </w:rPr>
            </w:pPr>
            <w:r>
              <w:rPr>
                <w:sz w:val="24"/>
              </w:rPr>
              <w:t>Наименование элемента</w:t>
            </w:r>
          </w:p>
        </w:tc>
        <w:tc>
          <w:tcPr>
            <w:tcW w:type="dxa" w:w="2818"/>
          </w:tcPr>
          <w:p w14:paraId="BD000000">
            <w:pPr>
              <w:spacing w:line="276" w:lineRule="auto"/>
              <w:ind w:firstLine="0" w:left="0"/>
              <w:jc w:val="center"/>
              <w:rPr>
                <w:sz w:val="24"/>
              </w:rPr>
            </w:pPr>
            <w:r>
              <w:rPr>
                <w:sz w:val="24"/>
              </w:rPr>
              <w:t>Обозначение</w:t>
            </w:r>
          </w:p>
        </w:tc>
        <w:tc>
          <w:tcPr>
            <w:tcW w:type="dxa" w:w="2515"/>
          </w:tcPr>
          <w:p w14:paraId="BE000000">
            <w:pPr>
              <w:spacing w:line="276" w:lineRule="auto"/>
              <w:ind w:firstLine="0" w:left="0"/>
              <w:jc w:val="center"/>
              <w:rPr>
                <w:sz w:val="24"/>
              </w:rPr>
            </w:pPr>
            <w:r>
              <w:rPr>
                <w:sz w:val="24"/>
              </w:rPr>
              <w:t>Массовая доля, %</w:t>
            </w:r>
          </w:p>
        </w:tc>
      </w:tr>
      <w:tr>
        <w:tc>
          <w:tcPr>
            <w:tcW w:type="dxa" w:w="3167"/>
          </w:tcPr>
          <w:p w14:paraId="BF000000">
            <w:pPr>
              <w:spacing w:line="276" w:lineRule="auto"/>
              <w:ind w:firstLine="0" w:left="0"/>
              <w:jc w:val="center"/>
              <w:rPr>
                <w:sz w:val="24"/>
              </w:rPr>
            </w:pPr>
            <w:r>
              <w:rPr>
                <w:sz w:val="24"/>
              </w:rPr>
              <w:t>Углерод</w:t>
            </w:r>
          </w:p>
        </w:tc>
        <w:tc>
          <w:tcPr>
            <w:tcW w:type="dxa" w:w="2818"/>
          </w:tcPr>
          <w:p w14:paraId="C0000000">
            <w:pPr>
              <w:spacing w:line="276" w:lineRule="auto"/>
              <w:ind w:firstLine="0" w:left="0"/>
              <w:jc w:val="center"/>
              <w:rPr>
                <w:sz w:val="24"/>
              </w:rPr>
            </w:pPr>
            <w:r>
              <w:rPr>
                <w:sz w:val="24"/>
              </w:rPr>
              <w:t>C</w:t>
            </w:r>
          </w:p>
        </w:tc>
        <w:tc>
          <w:tcPr>
            <w:tcW w:type="dxa" w:w="2515"/>
          </w:tcPr>
          <w:p w14:paraId="C1000000">
            <w:pPr>
              <w:spacing w:line="276" w:lineRule="auto"/>
              <w:ind w:firstLine="0" w:left="0"/>
              <w:jc w:val="center"/>
              <w:rPr>
                <w:sz w:val="24"/>
              </w:rPr>
            </w:pPr>
            <w:r>
              <w:rPr>
                <w:sz w:val="24"/>
              </w:rPr>
              <w:t>3,3 – 3,8</w:t>
            </w:r>
          </w:p>
        </w:tc>
      </w:tr>
      <w:tr>
        <w:tc>
          <w:tcPr>
            <w:tcW w:type="dxa" w:w="3167"/>
          </w:tcPr>
          <w:p w14:paraId="C2000000">
            <w:pPr>
              <w:spacing w:line="276" w:lineRule="auto"/>
              <w:ind w:firstLine="0" w:left="0"/>
              <w:jc w:val="center"/>
              <w:rPr>
                <w:sz w:val="24"/>
              </w:rPr>
            </w:pPr>
            <w:r>
              <w:rPr>
                <w:sz w:val="24"/>
              </w:rPr>
              <w:t>Кремний</w:t>
            </w:r>
          </w:p>
        </w:tc>
        <w:tc>
          <w:tcPr>
            <w:tcW w:type="dxa" w:w="2818"/>
          </w:tcPr>
          <w:p w14:paraId="C3000000">
            <w:pPr>
              <w:spacing w:line="276" w:lineRule="auto"/>
              <w:ind w:firstLine="0" w:left="0"/>
              <w:jc w:val="center"/>
              <w:rPr>
                <w:sz w:val="24"/>
              </w:rPr>
            </w:pPr>
            <w:r>
              <w:rPr>
                <w:sz w:val="24"/>
              </w:rPr>
              <w:t>Si</w:t>
            </w:r>
          </w:p>
        </w:tc>
        <w:tc>
          <w:tcPr>
            <w:tcW w:type="dxa" w:w="2515"/>
          </w:tcPr>
          <w:p w14:paraId="C4000000">
            <w:pPr>
              <w:spacing w:line="276" w:lineRule="auto"/>
              <w:ind w:firstLine="0" w:left="0"/>
              <w:jc w:val="center"/>
              <w:rPr>
                <w:sz w:val="24"/>
              </w:rPr>
            </w:pPr>
            <w:r>
              <w:rPr>
                <w:sz w:val="24"/>
              </w:rPr>
              <w:t>1,9 – 2,6</w:t>
            </w:r>
          </w:p>
        </w:tc>
      </w:tr>
      <w:tr>
        <w:tc>
          <w:tcPr>
            <w:tcW w:type="dxa" w:w="3167"/>
          </w:tcPr>
          <w:p w14:paraId="C5000000">
            <w:pPr>
              <w:spacing w:line="276" w:lineRule="auto"/>
              <w:ind w:firstLine="0" w:left="0"/>
              <w:jc w:val="center"/>
              <w:rPr>
                <w:sz w:val="24"/>
              </w:rPr>
            </w:pPr>
            <w:r>
              <w:rPr>
                <w:sz w:val="24"/>
              </w:rPr>
              <w:t>Марганец</w:t>
            </w:r>
          </w:p>
        </w:tc>
        <w:tc>
          <w:tcPr>
            <w:tcW w:type="dxa" w:w="2818"/>
          </w:tcPr>
          <w:p w14:paraId="C6000000">
            <w:pPr>
              <w:spacing w:line="276" w:lineRule="auto"/>
              <w:ind w:firstLine="0" w:left="0"/>
              <w:jc w:val="center"/>
              <w:rPr>
                <w:sz w:val="24"/>
              </w:rPr>
            </w:pPr>
            <w:r>
              <w:rPr>
                <w:sz w:val="24"/>
              </w:rPr>
              <w:t>Mn</w:t>
            </w:r>
          </w:p>
        </w:tc>
        <w:tc>
          <w:tcPr>
            <w:tcW w:type="dxa" w:w="2515"/>
          </w:tcPr>
          <w:p w14:paraId="C7000000">
            <w:pPr>
              <w:spacing w:line="276" w:lineRule="auto"/>
              <w:ind w:firstLine="0" w:left="0"/>
              <w:jc w:val="center"/>
              <w:rPr>
                <w:sz w:val="24"/>
              </w:rPr>
            </w:pPr>
            <w:r>
              <w:rPr>
                <w:sz w:val="24"/>
              </w:rPr>
              <w:t>0,3 – 0,9</w:t>
            </w:r>
          </w:p>
        </w:tc>
      </w:tr>
      <w:tr>
        <w:tc>
          <w:tcPr>
            <w:tcW w:type="dxa" w:w="3167"/>
          </w:tcPr>
          <w:p w14:paraId="C8000000">
            <w:pPr>
              <w:spacing w:line="276" w:lineRule="auto"/>
              <w:ind w:firstLine="0" w:left="0"/>
              <w:jc w:val="center"/>
              <w:rPr>
                <w:sz w:val="24"/>
              </w:rPr>
            </w:pPr>
            <w:r>
              <w:rPr>
                <w:sz w:val="24"/>
              </w:rPr>
              <w:t>Фосфор</w:t>
            </w:r>
          </w:p>
        </w:tc>
        <w:tc>
          <w:tcPr>
            <w:tcW w:type="dxa" w:w="2818"/>
          </w:tcPr>
          <w:p w14:paraId="C9000000">
            <w:pPr>
              <w:spacing w:line="276" w:lineRule="auto"/>
              <w:ind w:firstLine="0" w:left="0"/>
              <w:jc w:val="center"/>
              <w:rPr>
                <w:sz w:val="24"/>
              </w:rPr>
            </w:pPr>
            <w:r>
              <w:rPr>
                <w:sz w:val="24"/>
              </w:rPr>
              <w:t>P</w:t>
            </w:r>
          </w:p>
        </w:tc>
        <w:tc>
          <w:tcPr>
            <w:tcW w:type="dxa" w:w="2515"/>
          </w:tcPr>
          <w:p w14:paraId="CA000000">
            <w:pPr>
              <w:spacing w:line="276" w:lineRule="auto"/>
              <w:ind w:firstLine="0" w:left="0"/>
              <w:jc w:val="center"/>
              <w:rPr>
                <w:sz w:val="24"/>
              </w:rPr>
            </w:pPr>
            <w:r>
              <w:rPr>
                <w:sz w:val="24"/>
              </w:rPr>
              <w:t>не более 0,1</w:t>
            </w:r>
          </w:p>
        </w:tc>
      </w:tr>
      <w:tr>
        <w:tc>
          <w:tcPr>
            <w:tcW w:type="dxa" w:w="3167"/>
          </w:tcPr>
          <w:p w14:paraId="CB000000">
            <w:pPr>
              <w:spacing w:line="276" w:lineRule="auto"/>
              <w:ind w:firstLine="0" w:left="0"/>
              <w:jc w:val="center"/>
              <w:rPr>
                <w:sz w:val="24"/>
              </w:rPr>
            </w:pPr>
            <w:r>
              <w:rPr>
                <w:sz w:val="24"/>
              </w:rPr>
              <w:t>Сера</w:t>
            </w:r>
          </w:p>
        </w:tc>
        <w:tc>
          <w:tcPr>
            <w:tcW w:type="dxa" w:w="2818"/>
          </w:tcPr>
          <w:p w14:paraId="CC000000">
            <w:pPr>
              <w:spacing w:line="276" w:lineRule="auto"/>
              <w:ind w:firstLine="0" w:left="0"/>
              <w:jc w:val="center"/>
              <w:rPr>
                <w:sz w:val="24"/>
              </w:rPr>
            </w:pPr>
            <w:r>
              <w:rPr>
                <w:sz w:val="24"/>
              </w:rPr>
              <w:t>S</w:t>
            </w:r>
          </w:p>
        </w:tc>
        <w:tc>
          <w:tcPr>
            <w:tcW w:type="dxa" w:w="2515"/>
          </w:tcPr>
          <w:p w14:paraId="CD000000">
            <w:pPr>
              <w:spacing w:line="276" w:lineRule="auto"/>
              <w:ind w:firstLine="0" w:left="0"/>
              <w:jc w:val="center"/>
              <w:rPr>
                <w:sz w:val="24"/>
              </w:rPr>
            </w:pPr>
            <w:r>
              <w:rPr>
                <w:sz w:val="24"/>
              </w:rPr>
              <w:t>не более 0,02</w:t>
            </w:r>
          </w:p>
        </w:tc>
      </w:tr>
      <w:tr>
        <w:tc>
          <w:tcPr>
            <w:tcW w:type="dxa" w:w="3167"/>
          </w:tcPr>
          <w:p w14:paraId="CE000000">
            <w:pPr>
              <w:spacing w:line="276" w:lineRule="auto"/>
              <w:ind w:firstLine="0" w:left="0"/>
              <w:jc w:val="center"/>
              <w:rPr>
                <w:sz w:val="24"/>
              </w:rPr>
            </w:pPr>
            <w:r>
              <w:rPr>
                <w:sz w:val="24"/>
              </w:rPr>
              <w:t>Магний</w:t>
            </w:r>
          </w:p>
        </w:tc>
        <w:tc>
          <w:tcPr>
            <w:tcW w:type="dxa" w:w="2818"/>
          </w:tcPr>
          <w:p w14:paraId="CF000000">
            <w:pPr>
              <w:spacing w:line="276" w:lineRule="auto"/>
              <w:ind w:firstLine="0" w:left="0"/>
              <w:jc w:val="center"/>
              <w:rPr>
                <w:sz w:val="24"/>
              </w:rPr>
            </w:pPr>
            <w:r>
              <w:rPr>
                <w:sz w:val="24"/>
              </w:rPr>
              <w:t>Mg</w:t>
            </w:r>
          </w:p>
        </w:tc>
        <w:tc>
          <w:tcPr>
            <w:tcW w:type="dxa" w:w="2515"/>
          </w:tcPr>
          <w:p w14:paraId="D0000000">
            <w:pPr>
              <w:spacing w:line="276" w:lineRule="auto"/>
              <w:ind w:firstLine="0" w:left="0"/>
              <w:jc w:val="center"/>
              <w:rPr>
                <w:sz w:val="24"/>
              </w:rPr>
            </w:pPr>
            <w:r>
              <w:rPr>
                <w:sz w:val="24"/>
              </w:rPr>
              <w:t>0,03 – 0,08</w:t>
            </w:r>
          </w:p>
        </w:tc>
      </w:tr>
      <w:tr>
        <w:tc>
          <w:tcPr>
            <w:tcW w:type="dxa" w:w="3167"/>
          </w:tcPr>
          <w:p w14:paraId="D1000000">
            <w:pPr>
              <w:spacing w:line="276" w:lineRule="auto"/>
              <w:ind w:firstLine="0" w:left="0"/>
              <w:jc w:val="center"/>
              <w:rPr>
                <w:sz w:val="24"/>
              </w:rPr>
            </w:pPr>
            <w:r>
              <w:rPr>
                <w:sz w:val="24"/>
              </w:rPr>
              <w:t>Хром</w:t>
            </w:r>
          </w:p>
        </w:tc>
        <w:tc>
          <w:tcPr>
            <w:tcW w:type="dxa" w:w="2818"/>
          </w:tcPr>
          <w:p w14:paraId="D2000000">
            <w:pPr>
              <w:spacing w:line="276" w:lineRule="auto"/>
              <w:ind w:firstLine="0" w:left="0"/>
              <w:jc w:val="center"/>
              <w:rPr>
                <w:sz w:val="24"/>
              </w:rPr>
            </w:pPr>
            <w:r>
              <w:rPr>
                <w:sz w:val="24"/>
              </w:rPr>
              <w:t>Cr</w:t>
            </w:r>
          </w:p>
        </w:tc>
        <w:tc>
          <w:tcPr>
            <w:tcW w:type="dxa" w:w="2515"/>
          </w:tcPr>
          <w:p w14:paraId="D3000000">
            <w:pPr>
              <w:spacing w:line="276" w:lineRule="auto"/>
              <w:ind w:firstLine="0" w:left="0"/>
              <w:jc w:val="center"/>
              <w:rPr>
                <w:sz w:val="24"/>
              </w:rPr>
            </w:pPr>
            <w:r>
              <w:rPr>
                <w:sz w:val="24"/>
              </w:rPr>
              <w:t>не более 0,1</w:t>
            </w:r>
          </w:p>
        </w:tc>
      </w:tr>
      <w:tr>
        <w:tc>
          <w:tcPr>
            <w:tcW w:type="dxa" w:w="3167"/>
          </w:tcPr>
          <w:p w14:paraId="D4000000">
            <w:pPr>
              <w:spacing w:line="276" w:lineRule="auto"/>
              <w:ind w:firstLine="0" w:left="0"/>
              <w:jc w:val="center"/>
              <w:rPr>
                <w:sz w:val="24"/>
              </w:rPr>
            </w:pPr>
            <w:r>
              <w:rPr>
                <w:sz w:val="24"/>
              </w:rPr>
              <w:t>Никель</w:t>
            </w:r>
          </w:p>
        </w:tc>
        <w:tc>
          <w:tcPr>
            <w:tcW w:type="dxa" w:w="2818"/>
          </w:tcPr>
          <w:p w14:paraId="D5000000">
            <w:pPr>
              <w:spacing w:line="276" w:lineRule="auto"/>
              <w:ind w:firstLine="0" w:left="0"/>
              <w:jc w:val="center"/>
              <w:rPr>
                <w:sz w:val="24"/>
              </w:rPr>
            </w:pPr>
            <w:r>
              <w:rPr>
                <w:sz w:val="24"/>
              </w:rPr>
              <w:t>Ni</w:t>
            </w:r>
          </w:p>
        </w:tc>
        <w:tc>
          <w:tcPr>
            <w:tcW w:type="dxa" w:w="2515"/>
          </w:tcPr>
          <w:p w14:paraId="D6000000">
            <w:pPr>
              <w:spacing w:line="276" w:lineRule="auto"/>
              <w:ind w:firstLine="0" w:left="0"/>
              <w:jc w:val="center"/>
              <w:rPr>
                <w:sz w:val="24"/>
              </w:rPr>
            </w:pPr>
            <w:r>
              <w:rPr>
                <w:sz w:val="24"/>
              </w:rPr>
              <w:t>не более 0,1</w:t>
            </w:r>
          </w:p>
        </w:tc>
      </w:tr>
    </w:tbl>
    <w:p w14:paraId="D7000000">
      <w:pPr>
        <w:pStyle w:val="Style_8"/>
      </w:pPr>
    </w:p>
    <w:p w14:paraId="D8000000">
      <w:pPr>
        <w:pStyle w:val="Style_8"/>
        <w:rPr>
          <w:color w:val="060708"/>
          <w:sz w:val="27"/>
        </w:rPr>
      </w:pPr>
      <w:r>
        <w:t xml:space="preserve">Возможное выкрашивание режущей кромки также будет иметь значение на переходах, где резание окажется прерывистым [16]. Масса готового корпуса по исходным данным составляет 1,04 кг. Деталь получилась сравнительно небольшой, поэтому установка заготовки в приспособление не потребует применения грузоподъемного оборудования. В то же время ее форма не позволит ограничиться простым закреплением в тисках на всех операциях. Цилиндрическая часть расположена над плоским основанием, а обрабатываемые поверхности находятся с разных сторон корпуса. Это обстоятельство я учитывал далее при построении маршрута. По чертежу мной были выделены размеры, которые будут непосредственно влиять на работу собранного узла. Длина основания составляет 100 мм. От опорной плоскости до центра наружного радиуса задан размер 65 мм. Внешний контур </w:t>
      </w:r>
      <w:r>
        <w:t xml:space="preserve">цилиндрической части выполнен радиусом R50. Стенка стакана имеет толщину 10 мм, а толщина фланцевой части изменяется примерно от 10 до 13 мм. В корпусе также предусмотрены крепежные элементы. На чертеже имеется сквозное отверстие с зенковкой и фаской 2×45°. Его геометрия дополнительно показана во фрагменте А в масштабе 2,5:1. Между осями двух проушин задан размер 76 мм. На этих участках впоследствии будет получена внутренняя резьба М12-6Н. Поэтому во время сверления я должен буду обеспечить не только требуемые диаметры отверстий, но и их положение относительно выбранных технологических баз. Самым ответственным элементом корпуса я определил внутреннее отверстие Ø50H7. Именно в него в дальнейшем будет устанавливаться наружное кольцо подшипника. Поле допуска H7 заметно ограничит допустимое изменение диаметра, поэтому получение отверстия за один черновой проход было бы нецелесообразным. В разрабатываемом процессе я предусмотрю предварительную обработку с оставлением небольшого припуска, после чего размер будет доведен до требуемого значения на чистовом переходе. Для поверхности отверстия на чертеже указана шероховатость </w:t>
      </w:r>
      <w:r>
        <w:t>Ra</w:t>
      </w:r>
      <w:r>
        <w:t xml:space="preserve"> 1,6</w:t>
      </w:r>
      <w:r>
        <w:t xml:space="preserve"> э</w:t>
      </w:r>
      <w:r>
        <w:t xml:space="preserve">тот параметр также повлиял на выбранную последовательность. После обычного чернового растачивания такая поверхность могла получиться недостаточно чистой, поэтому окончательный размер и требуемое состояние поверхности будут обеспечиваться отдельным чистовым переходом. В качестве рабочего варианта мной было выбрано тонкое растачивание. Оно позволит получить требуемый диаметр без введения в маршрут дополнительной шлифовальной операции. Следующим размером, который я выделил после изучения чертежа, стала плоскостность основания. Ее отклонение ограничено величиной 0,05 мм. Основание в собранном узле будет непосредственно прилегать к монтажной поверхности, поэтому заметная </w:t>
      </w:r>
      <w:r>
        <w:t>неплоскостность</w:t>
      </w:r>
      <w:r>
        <w:t xml:space="preserve"> здесь приведет к неправильной установке корпуса. Возможно появление зазора, а после затяжки крепежа — перекос детали. По этой причине плоскость основания в дальнейшем будет использована не только как обрабатываемая поверхность, </w:t>
      </w:r>
      <w:r>
        <w:t xml:space="preserve">но и как одна из основных баз. Для базового торца фланца и поверхности зенковки указана шероховатость </w:t>
      </w:r>
      <w:r>
        <w:t>Ra</w:t>
      </w:r>
      <w:r>
        <w:t xml:space="preserve"> 3,2. Получение такого значения не потребует отдельной финишной операции, если чистовое фрезерование и </w:t>
      </w:r>
      <w:r>
        <w:t>зенкование</w:t>
      </w:r>
      <w:r>
        <w:t xml:space="preserve"> будут выполняться исправным инструментом на правильно выбранных режимах. Поверхности, которые после получения отливки обрабатываться не будут, имеют требование </w:t>
      </w:r>
      <w:r>
        <w:t>Ra</w:t>
      </w:r>
      <w:r>
        <w:t xml:space="preserve"> 12,5. Кроме размеров на чертеже мной были просмотрены технические требования к детали. В документации имеется ссылка на ОСТ 1 00450-82. Положения этого стандарта я учитывал в части контроля размеров, формы и состояния обработанных поверхностей. После завершения механической обработки полученные размеры потребуется проверять соответствующим измерительным инструментом, а контрольные средства должны иметь действующую поверку [7, 10, 11].</w:t>
      </w:r>
    </w:p>
    <w:p w14:paraId="D9000000">
      <w:pPr>
        <w:pStyle w:val="Style_8"/>
        <w:rPr>
          <w:color w:val="060708"/>
          <w:sz w:val="27"/>
        </w:rPr>
      </w:pPr>
      <w:r>
        <w:t xml:space="preserve">Во время составления маршрута я исходил из того, что несколько наиболее точных поверхностей корпуса связаны между собой. В первую очередь это относится к отверстию Ø50H7 и опорному основанию. Если между их обработкой несколько раз менять базирование заготовки, погрешности отдельных установок будут складываться. Поэтому количество переустановок в разрабатываемом процессе я постараюсь сократить. Подобная проблема возникнет и с крепежными отверстиями. Их координаты будут задаваться относительно уже выбранных баз корпуса. Если сверление каждой группы отверстий выполнять после отдельной ручной разметки и новой установки, выдержать межосевой размер 76 мм будет сложнее. По этой причине координатную обработку отверстий и нарезание резьбы М12-6Н целесообразно будет выполнить на оборудовании с ЧПУ за минимальное число </w:t>
      </w:r>
      <w:r>
        <w:t>установов</w:t>
      </w:r>
      <w:r>
        <w:t xml:space="preserve">. После разбора чертежа я выделил три требования, которые в дальнейшем будут определять построение технологического процесса: – отверстие Ø50H7 потребуется получить с шероховатостью </w:t>
      </w:r>
      <w:r>
        <w:t>Ra</w:t>
      </w:r>
      <w:r>
        <w:t xml:space="preserve"> 1,6; – отклонение плоскостности опорного основания не должно будет превышать 0,05 мм; – положение крепежных отверстий и </w:t>
      </w:r>
      <w:r>
        <w:t>резьб</w:t>
      </w:r>
      <w:r>
        <w:t xml:space="preserve"> М12-6Н потребуется </w:t>
      </w:r>
      <w:r>
        <w:t xml:space="preserve">выдержать относительно принятых технологических баз. Эти требования я использую далее при выборе оборудования, приспособления и режущего инструмента. Для меня было важно не просто распределить поверхности по отдельным операциям, а построить обработку так, чтобы после очередной переустановки не терялась уже полученная точность. По результатам выполненного анализа я пришел к тому, что наибольшие трудности будут связаны не с количеством обрабатываемых поверхностей, а с их взаимным расположением. Сам корпус имеет сравнительно небольшую массу и не содержит элементов, которые было бы особенно трудно получить резанием. Основная задача будет состоять в сохранении положения отверстия Ø50H7 относительно основания и в точном получении координат крепежных элементов. Полученные результаты мной будут использованы при разработке следующего этапа технологического процесса. Способ базирования я выберу с опорой на плоскость основания и поверхности, которые позволят однозначно ориентировать отливку в приспособлении. Количество повторных установок постараюсь уменьшить, а чистовую обработку отверстия Ø50H7 выполню после основных черновых переходов. Такой порядок я буду учитывать далее при составлении маршрута обработки детали «Угловой корпус подшипника». </w:t>
      </w:r>
    </w:p>
    <w:p w14:paraId="DA000000"/>
    <w:p w14:paraId="DB000000">
      <w:bookmarkStart w:id="10" w:name="__RefHeading___9"/>
      <w:bookmarkEnd w:id="10"/>
      <w:pPr>
        <w:pStyle w:val="Style_9"/>
      </w:pPr>
      <w:r>
        <w:t>2.</w:t>
      </w:r>
      <w:r>
        <w:t>3</w:t>
      </w:r>
      <w:r>
        <w:t xml:space="preserve"> Разработка </w:t>
      </w:r>
      <w:r>
        <w:t xml:space="preserve">совершенствованного </w:t>
      </w:r>
      <w:r>
        <w:t xml:space="preserve">технологического процесса </w:t>
      </w:r>
      <w:r>
        <w:t>изготовления</w:t>
      </w:r>
      <w:r>
        <w:t xml:space="preserve"> детали «</w:t>
      </w:r>
      <w:r>
        <w:t>Угловой к</w:t>
      </w:r>
      <w:r>
        <w:t>орпус подшипника»</w:t>
      </w:r>
    </w:p>
    <w:p w14:paraId="DC000000">
      <w:pPr>
        <w:pStyle w:val="Style_8"/>
      </w:pPr>
      <w:r>
        <w:t>В ходе анализа я выявил, что д</w:t>
      </w:r>
      <w:r>
        <w:t xml:space="preserve">ействующий </w:t>
      </w:r>
      <w:r>
        <w:t>техпроцесс изготовления деталей</w:t>
      </w:r>
      <w:r>
        <w:t xml:space="preserve"> </w:t>
      </w:r>
      <w:r>
        <w:t xml:space="preserve">имеет свои недостатки, поэтому мной предложен улучшенный вариант </w:t>
      </w:r>
      <w:r>
        <w:t>мехообработки</w:t>
      </w:r>
      <w:r>
        <w:t>.</w:t>
      </w:r>
      <w:r>
        <w:t xml:space="preserve"> </w:t>
      </w:r>
      <w:r>
        <w:t>Моей основной целью</w:t>
      </w:r>
      <w:r>
        <w:t xml:space="preserve"> изменений</w:t>
      </w:r>
      <w:r>
        <w:t xml:space="preserve"> будет</w:t>
      </w:r>
      <w:r>
        <w:t xml:space="preserve"> — сокращение числа переустановок, повышение точности взаимного расположения поверхностей и снижение вспомогательного времени. Проектирование выполняется с учетом требований к точности, указанных в конструкторской документации, и свойств материала ВЧ35 [18].</w:t>
      </w:r>
    </w:p>
    <w:p w14:paraId="DD000000">
      <w:pPr>
        <w:pStyle w:val="Style_8"/>
      </w:pPr>
      <w:r>
        <w:t>2.3.1 Выбор вида и метода получения заготовки</w:t>
      </w:r>
    </w:p>
    <w:p w14:paraId="DE000000">
      <w:pPr>
        <w:pStyle w:val="Style_8"/>
      </w:pPr>
      <w:r>
        <w:t>Конфигурация углового корпуса подшипника имеет сложную форму с тонкостенным стаканом и резьбовыми проушинами. Заготовкой служит отливка. Выбор метода литья определяется требованиями к плотности металла и шероховатости поверхностей. Литье в кокиль в данных условиях является предпочтительным методом. Металлическая форма обеспечивает высокую скорость охлаждения отливки, что способствует получению мелкозернистой структуры высокопрочного чугуна ВЧ35. Кокильное литье дает стабильные геометрические параметры и снижает припуски на механическую обработку, что сокращает расход металла и время резания. Стоимость изготовления кокильной оснастки оправдывается при серийном выпуске, характерном для ООО «МАШТЕХЦЕНТР».</w:t>
      </w:r>
    </w:p>
    <w:p w14:paraId="DF000000">
      <w:pPr>
        <w:pStyle w:val="Style_8"/>
      </w:pPr>
      <w:r>
        <w:t>2.3.2 Типовой маршрут обработки</w:t>
      </w:r>
    </w:p>
    <w:p w14:paraId="E0000000">
      <w:pPr>
        <w:pStyle w:val="Style_8"/>
      </w:pPr>
      <w:r>
        <w:t>Современный подход к изготовлению корпусных деталей подразумевает концентрацию переходов. Типовой маршрут, разработанный для данной детали, включает последовательность операций, указанную в таблице 2. Количество переустановок заготовки в новом маршруте снижено до двух. Обработка на станке с ЧПУ совмещает фрезерные, сверлильные и расточные переходы с одной установки.</w:t>
      </w:r>
    </w:p>
    <w:p w14:paraId="E1000000">
      <w:pPr>
        <w:spacing w:line="240" w:lineRule="auto"/>
        <w:ind w:firstLine="0" w:left="0"/>
        <w:jc w:val="left"/>
        <w:rPr>
          <w:color w:themeColor="text1" w:themeTint="F2" w:val="0D0D0D"/>
        </w:rPr>
      </w:pPr>
      <w:r>
        <w:br w:type="page"/>
      </w:r>
    </w:p>
    <w:p w14:paraId="E2000000">
      <w:pPr>
        <w:pStyle w:val="Style_8"/>
        <w:ind/>
        <w:jc w:val="right"/>
      </w:pPr>
      <w:r>
        <w:t>Таблица 2</w:t>
      </w:r>
    </w:p>
    <w:p w14:paraId="E3000000">
      <w:pPr>
        <w:pStyle w:val="Style_8"/>
        <w:ind/>
        <w:jc w:val="center"/>
      </w:pPr>
      <w:r>
        <w:t>Т</w:t>
      </w:r>
      <w:r>
        <w:t xml:space="preserve">ехнологический маршрут мехобработки </w:t>
      </w:r>
      <w:r>
        <w:t xml:space="preserve">детали </w:t>
      </w:r>
    </w:p>
    <w:tbl>
      <w:tblPr>
        <w:tblStyle w:val="Style_10"/>
        <w:tblLayout w:type="fixed"/>
      </w:tblPr>
      <w:tblGrid>
        <w:gridCol w:w="841"/>
        <w:gridCol w:w="2859"/>
        <w:gridCol w:w="5509"/>
      </w:tblGrid>
      <w:tr>
        <w:tc>
          <w:tcPr>
            <w:tcW w:type="dxa" w:w="841"/>
          </w:tcPr>
          <w:p w14:paraId="E4000000">
            <w:pPr>
              <w:ind w:firstLine="0" w:left="0"/>
              <w:jc w:val="center"/>
            </w:pPr>
            <w:r>
              <w:t>№ опер.</w:t>
            </w:r>
          </w:p>
        </w:tc>
        <w:tc>
          <w:tcPr>
            <w:tcW w:type="dxa" w:w="2859"/>
          </w:tcPr>
          <w:p w14:paraId="E5000000">
            <w:pPr>
              <w:ind w:firstLine="0" w:left="0"/>
              <w:jc w:val="center"/>
            </w:pPr>
            <w:r>
              <w:t>Наименование операции</w:t>
            </w:r>
          </w:p>
        </w:tc>
        <w:tc>
          <w:tcPr>
            <w:tcW w:type="dxa" w:w="5509"/>
          </w:tcPr>
          <w:p w14:paraId="E6000000">
            <w:pPr>
              <w:ind w:firstLine="0" w:left="0"/>
              <w:jc w:val="center"/>
            </w:pPr>
            <w:r>
              <w:t>Содержание переходов</w:t>
            </w:r>
          </w:p>
        </w:tc>
      </w:tr>
      <w:tr>
        <w:tc>
          <w:tcPr>
            <w:tcW w:type="dxa" w:w="841"/>
          </w:tcPr>
          <w:p w14:paraId="E7000000">
            <w:pPr>
              <w:ind w:firstLine="0" w:left="0"/>
              <w:jc w:val="center"/>
            </w:pPr>
            <w:r>
              <w:t>005</w:t>
            </w:r>
          </w:p>
        </w:tc>
        <w:tc>
          <w:tcPr>
            <w:tcW w:type="dxa" w:w="2859"/>
          </w:tcPr>
          <w:p w14:paraId="E8000000">
            <w:pPr>
              <w:ind w:firstLine="0" w:left="0"/>
              <w:jc w:val="center"/>
            </w:pPr>
            <w:r>
              <w:t>Фрезерно-расточная с ЧПУ</w:t>
            </w:r>
          </w:p>
        </w:tc>
        <w:tc>
          <w:tcPr>
            <w:tcW w:type="dxa" w:w="5509"/>
          </w:tcPr>
          <w:p w14:paraId="E9000000">
            <w:pPr>
              <w:ind w:firstLine="0" w:left="0"/>
              <w:jc w:val="center"/>
            </w:pPr>
            <w:r>
              <w:t>1. Установить заготовку в приспособление на столе станка (базирование по литейным базам).</w:t>
            </w:r>
            <w:r>
              <w:br/>
            </w:r>
            <w:r>
              <w:t>2. Подрезка торца основания, фрезерование внешнего контура радиусом R50.</w:t>
            </w:r>
            <w:r>
              <w:br/>
            </w:r>
            <w:r>
              <w:t>3. Черновое и чистовое растачивание внутреннего отверстия Ø50H7 с допуском H7.</w:t>
            </w:r>
            <w:r>
              <w:br/>
            </w:r>
            <w:r>
              <w:t>4. Сверление и зенкерование двух отверстий под резьбу М12, снятие фасок 2х45° (зенковка) в соответствии с выносным элементом А.</w:t>
            </w:r>
          </w:p>
        </w:tc>
      </w:tr>
      <w:tr>
        <w:tc>
          <w:tcPr>
            <w:tcW w:type="dxa" w:w="841"/>
          </w:tcPr>
          <w:p w14:paraId="EA000000">
            <w:pPr>
              <w:ind w:firstLine="0" w:left="0"/>
              <w:jc w:val="center"/>
            </w:pPr>
            <w:r>
              <w:t>010</w:t>
            </w:r>
          </w:p>
        </w:tc>
        <w:tc>
          <w:tcPr>
            <w:tcW w:type="dxa" w:w="2859"/>
          </w:tcPr>
          <w:p w14:paraId="EB000000">
            <w:pPr>
              <w:ind w:firstLine="0" w:left="0"/>
              <w:jc w:val="center"/>
            </w:pPr>
            <w:r>
              <w:t>Резьбонарезная с ЧПУ</w:t>
            </w:r>
          </w:p>
        </w:tc>
        <w:tc>
          <w:tcPr>
            <w:tcW w:type="dxa" w:w="5509"/>
          </w:tcPr>
          <w:p w14:paraId="EC000000">
            <w:pPr>
              <w:ind w:firstLine="0" w:left="0"/>
              <w:jc w:val="center"/>
            </w:pPr>
            <w:r>
              <w:t>1. Нарезание внутренней резьбы М12-6Н в двух подготовленных отверстиях.</w:t>
            </w:r>
            <w:r>
              <w:br/>
            </w:r>
            <w:r>
              <w:t>2. Контроль резьбы резьбовыми калибрами.</w:t>
            </w:r>
          </w:p>
        </w:tc>
      </w:tr>
      <w:tr>
        <w:tc>
          <w:tcPr>
            <w:tcW w:type="dxa" w:w="841"/>
          </w:tcPr>
          <w:p w14:paraId="ED000000">
            <w:pPr>
              <w:ind w:firstLine="0" w:left="0"/>
              <w:jc w:val="center"/>
            </w:pPr>
            <w:r>
              <w:t>015</w:t>
            </w:r>
          </w:p>
        </w:tc>
        <w:tc>
          <w:tcPr>
            <w:tcW w:type="dxa" w:w="2859"/>
          </w:tcPr>
          <w:p w14:paraId="EE000000">
            <w:pPr>
              <w:ind w:firstLine="0" w:left="0"/>
              <w:jc w:val="center"/>
            </w:pPr>
            <w:r>
              <w:t>Внутришлифовальная</w:t>
            </w:r>
          </w:p>
        </w:tc>
        <w:tc>
          <w:tcPr>
            <w:tcW w:type="dxa" w:w="5509"/>
          </w:tcPr>
          <w:p w14:paraId="EF000000">
            <w:pPr>
              <w:ind w:firstLine="0" w:left="0"/>
              <w:jc w:val="center"/>
            </w:pPr>
            <w:r>
              <w:t>1. Базирование на станке по наружному контуру и основанию.</w:t>
            </w:r>
            <w:r>
              <w:br/>
            </w:r>
            <w:r>
              <w:t xml:space="preserve">2. Шлифование внутренней поверхности Ø50H7 для достижения шероховатости </w:t>
            </w:r>
            <w:r>
              <w:t>Ra</w:t>
            </w:r>
            <w:r>
              <w:t xml:space="preserve"> 1,6.</w:t>
            </w:r>
            <w:r>
              <w:br/>
            </w:r>
            <w:r>
              <w:t>3. Контроль окончательного размера нутромером.</w:t>
            </w:r>
          </w:p>
        </w:tc>
      </w:tr>
    </w:tbl>
    <w:p w14:paraId="F0000000">
      <w:pPr>
        <w:pStyle w:val="Style_8"/>
      </w:pPr>
    </w:p>
    <w:p w14:paraId="F1000000">
      <w:pPr>
        <w:pStyle w:val="Style_8"/>
      </w:pPr>
    </w:p>
    <w:p w14:paraId="F2000000">
      <w:pPr>
        <w:pStyle w:val="Style_8"/>
      </w:pPr>
    </w:p>
    <w:p w14:paraId="F3000000">
      <w:pPr>
        <w:pStyle w:val="Style_8"/>
      </w:pPr>
      <w:r>
        <w:t>2.3.3 Выбор оборудования</w:t>
      </w:r>
    </w:p>
    <w:p w14:paraId="F4000000">
      <w:pPr>
        <w:pStyle w:val="Style_8"/>
      </w:pPr>
      <w:r>
        <w:t xml:space="preserve">Оборудование с ЧПУ выбирается с учетом габаритов детали и требуемой точности. Обрабатывающий центр 400V (модель приводится условно для примера) служит базовой единицей для операций 005 и 010. Габариты стола станка (рабочая поверхность 550x400 мм) позволяют разместить приспособление с заготовкой. Точность позиционирования по осям X/Y/Z составляет ±0,01 мм. Это значение гарантирует получение межосевых расстояний 76 мм и допуска на отверстие в пределах H7. Мощность привода шпинделя достаточна для силового фрезерования чугуна ВЧ35 [21]. Выбор шлифовального станка для операции 015 обусловлен необходимостью получения финишной шероховатости </w:t>
      </w:r>
      <w:r>
        <w:t>Ra</w:t>
      </w:r>
      <w:r>
        <w:t xml:space="preserve"> 1,6. Круглошлифовальный станок мод. 3М151 обладает требуемой жесткостью и точностью вращения шпинделя. Рисунок </w:t>
      </w:r>
      <w:r>
        <w:t>3</w:t>
      </w:r>
      <w:r>
        <w:t xml:space="preserve"> иллюстрирует общий вид вертикального обрабатывающего центра, используемого в новом маршруте</w:t>
      </w:r>
      <w:r>
        <w:t>.</w:t>
      </w:r>
    </w:p>
    <w:p w14:paraId="F5000000">
      <w:pPr>
        <w:pStyle w:val="Style_8"/>
        <w:ind w:firstLine="0" w:left="0"/>
      </w:pPr>
      <w:r>
        <w:t>Паспортные характеристики выбранного оборудования сведены в таблицу 3.</w:t>
      </w:r>
    </w:p>
    <w:p w14:paraId="F6000000">
      <w:pPr>
        <w:pStyle w:val="Style_8"/>
        <w:ind/>
        <w:jc w:val="right"/>
      </w:pPr>
    </w:p>
    <w:p w14:paraId="F7000000">
      <w:pPr>
        <w:pStyle w:val="Style_8"/>
        <w:ind/>
        <w:jc w:val="right"/>
      </w:pPr>
      <w:r>
        <w:t>Таблица 3</w:t>
      </w:r>
    </w:p>
    <w:p w14:paraId="F8000000">
      <w:pPr>
        <w:pStyle w:val="Style_8"/>
        <w:ind/>
        <w:jc w:val="center"/>
      </w:pPr>
      <w:r>
        <w:t>Паспортные данные обрабатывающего центра 400V</w:t>
      </w:r>
    </w:p>
    <w:tbl>
      <w:tblPr>
        <w:tblStyle w:val="Style_10"/>
        <w:tblLayout w:type="fixed"/>
      </w:tblPr>
      <w:tblGrid>
        <w:gridCol w:w="6203"/>
        <w:gridCol w:w="1973"/>
      </w:tblGrid>
      <w:tr>
        <w:tc>
          <w:tcPr>
            <w:tcW w:type="dxa" w:w="6203"/>
          </w:tcPr>
          <w:p w14:paraId="F9000000">
            <w:pPr>
              <w:ind w:firstLine="0" w:left="0"/>
              <w:jc w:val="center"/>
            </w:pPr>
            <w:r>
              <w:t>Техническая характеристика</w:t>
            </w:r>
          </w:p>
        </w:tc>
        <w:tc>
          <w:tcPr>
            <w:tcW w:type="dxa" w:w="1973"/>
          </w:tcPr>
          <w:p w14:paraId="FA000000">
            <w:pPr>
              <w:ind w:firstLine="0" w:left="0"/>
              <w:jc w:val="center"/>
            </w:pPr>
            <w:r>
              <w:t>Значение</w:t>
            </w:r>
          </w:p>
        </w:tc>
      </w:tr>
      <w:tr>
        <w:tc>
          <w:tcPr>
            <w:tcW w:type="dxa" w:w="6203"/>
          </w:tcPr>
          <w:p w14:paraId="FB000000">
            <w:pPr>
              <w:ind w:firstLine="0" w:left="0"/>
              <w:jc w:val="center"/>
            </w:pPr>
            <w:r>
              <w:t>Рабочая поверхность стола, мм</w:t>
            </w:r>
          </w:p>
        </w:tc>
        <w:tc>
          <w:tcPr>
            <w:tcW w:type="dxa" w:w="1973"/>
          </w:tcPr>
          <w:p w14:paraId="FC000000">
            <w:pPr>
              <w:ind w:firstLine="0" w:left="0"/>
              <w:jc w:val="center"/>
            </w:pPr>
            <w:r>
              <w:t>550 x 400</w:t>
            </w:r>
          </w:p>
        </w:tc>
      </w:tr>
      <w:tr>
        <w:tc>
          <w:tcPr>
            <w:tcW w:type="dxa" w:w="6203"/>
          </w:tcPr>
          <w:p w14:paraId="FD000000">
            <w:pPr>
              <w:ind w:firstLine="0" w:left="0"/>
              <w:jc w:val="center"/>
            </w:pPr>
            <w:r>
              <w:t>Наибольший ход по оси X, мм</w:t>
            </w:r>
          </w:p>
        </w:tc>
        <w:tc>
          <w:tcPr>
            <w:tcW w:type="dxa" w:w="1973"/>
          </w:tcPr>
          <w:p w14:paraId="FE000000">
            <w:pPr>
              <w:ind w:firstLine="0" w:left="0"/>
              <w:jc w:val="center"/>
            </w:pPr>
            <w:r>
              <w:t>500</w:t>
            </w:r>
          </w:p>
        </w:tc>
      </w:tr>
      <w:tr>
        <w:tc>
          <w:tcPr>
            <w:tcW w:type="dxa" w:w="6203"/>
          </w:tcPr>
          <w:p w14:paraId="FF000000">
            <w:pPr>
              <w:ind w:firstLine="0" w:left="0"/>
              <w:jc w:val="center"/>
            </w:pPr>
            <w:r>
              <w:t>Наибольший ход по оси Y, мм</w:t>
            </w:r>
          </w:p>
        </w:tc>
        <w:tc>
          <w:tcPr>
            <w:tcW w:type="dxa" w:w="1973"/>
          </w:tcPr>
          <w:p w14:paraId="00010000">
            <w:pPr>
              <w:ind w:firstLine="0" w:left="0"/>
              <w:jc w:val="center"/>
            </w:pPr>
            <w:r>
              <w:t>400</w:t>
            </w:r>
          </w:p>
        </w:tc>
      </w:tr>
      <w:tr>
        <w:tc>
          <w:tcPr>
            <w:tcW w:type="dxa" w:w="6203"/>
          </w:tcPr>
          <w:p w14:paraId="01010000">
            <w:pPr>
              <w:ind w:firstLine="0" w:left="0"/>
              <w:jc w:val="center"/>
            </w:pPr>
            <w:r>
              <w:t>Наибольший ход по оси Z, мм</w:t>
            </w:r>
          </w:p>
        </w:tc>
        <w:tc>
          <w:tcPr>
            <w:tcW w:type="dxa" w:w="1973"/>
          </w:tcPr>
          <w:p w14:paraId="02010000">
            <w:pPr>
              <w:ind w:firstLine="0" w:left="0"/>
              <w:jc w:val="center"/>
            </w:pPr>
            <w:r>
              <w:t>450</w:t>
            </w:r>
          </w:p>
        </w:tc>
      </w:tr>
      <w:tr>
        <w:tc>
          <w:tcPr>
            <w:tcW w:type="dxa" w:w="6203"/>
          </w:tcPr>
          <w:p w14:paraId="03010000">
            <w:pPr>
              <w:ind w:firstLine="0" w:left="0"/>
              <w:jc w:val="center"/>
            </w:pPr>
            <w:r>
              <w:t>Количество инструментов в магазине</w:t>
            </w:r>
          </w:p>
        </w:tc>
        <w:tc>
          <w:tcPr>
            <w:tcW w:type="dxa" w:w="1973"/>
          </w:tcPr>
          <w:p w14:paraId="04010000">
            <w:pPr>
              <w:ind w:firstLine="0" w:left="0"/>
              <w:jc w:val="center"/>
            </w:pPr>
            <w:r>
              <w:t>16</w:t>
            </w:r>
          </w:p>
        </w:tc>
      </w:tr>
      <w:tr>
        <w:tc>
          <w:tcPr>
            <w:tcW w:type="dxa" w:w="6203"/>
          </w:tcPr>
          <w:p w14:paraId="05010000">
            <w:pPr>
              <w:ind w:firstLine="0" w:left="0"/>
              <w:jc w:val="center"/>
            </w:pPr>
            <w:r>
              <w:t>Максимальная частота вращения шпинделя, об/мин</w:t>
            </w:r>
          </w:p>
        </w:tc>
        <w:tc>
          <w:tcPr>
            <w:tcW w:type="dxa" w:w="1973"/>
          </w:tcPr>
          <w:p w14:paraId="06010000">
            <w:pPr>
              <w:ind w:firstLine="0" w:left="0"/>
              <w:jc w:val="center"/>
            </w:pPr>
            <w:r>
              <w:t>8000</w:t>
            </w:r>
          </w:p>
        </w:tc>
      </w:tr>
      <w:tr>
        <w:tc>
          <w:tcPr>
            <w:tcW w:type="dxa" w:w="6203"/>
          </w:tcPr>
          <w:p w14:paraId="07010000">
            <w:pPr>
              <w:ind w:firstLine="0" w:left="0"/>
              <w:jc w:val="center"/>
            </w:pPr>
            <w:r>
              <w:t>Мощность главного привода шпинделя, кВт</w:t>
            </w:r>
          </w:p>
        </w:tc>
        <w:tc>
          <w:tcPr>
            <w:tcW w:type="dxa" w:w="1973"/>
          </w:tcPr>
          <w:p w14:paraId="08010000">
            <w:pPr>
              <w:ind w:firstLine="0" w:left="0"/>
              <w:jc w:val="center"/>
            </w:pPr>
            <w:r>
              <w:t>7,5</w:t>
            </w:r>
          </w:p>
        </w:tc>
      </w:tr>
      <w:tr>
        <w:tc>
          <w:tcPr>
            <w:tcW w:type="dxa" w:w="6203"/>
          </w:tcPr>
          <w:p w14:paraId="09010000">
            <w:pPr>
              <w:ind w:firstLine="0" w:left="0"/>
              <w:jc w:val="center"/>
            </w:pPr>
            <w:r>
              <w:t>Точность позиционирования, мм</w:t>
            </w:r>
          </w:p>
        </w:tc>
        <w:tc>
          <w:tcPr>
            <w:tcW w:type="dxa" w:w="1973"/>
          </w:tcPr>
          <w:p w14:paraId="0A010000">
            <w:pPr>
              <w:ind w:firstLine="0" w:left="0"/>
              <w:jc w:val="center"/>
            </w:pPr>
            <w:r>
              <w:t>±0,01</w:t>
            </w:r>
          </w:p>
        </w:tc>
      </w:tr>
    </w:tbl>
    <w:p w14:paraId="0B010000">
      <w:pPr>
        <w:spacing w:after="240" w:before="240" w:line="240" w:lineRule="auto"/>
        <w:ind w:firstLine="0" w:left="0"/>
        <w:jc w:val="center"/>
      </w:pPr>
      <w:r>
        <w:drawing>
          <wp:inline>
            <wp:extent cx="3002915" cy="2899458"/>
            <wp:effectExtent b="0" l="0" r="0" t="0"/>
            <wp:docPr hidden="false" id="6" name="Picture 6"/>
            <a:graphic>
              <a:graphicData uri="http://schemas.openxmlformats.org/drawingml/2006/picture">
                <pic:pic>
                  <pic:nvPicPr>
                    <pic:cNvPr hidden="false" id="5" name="Picture 5"/>
                    <pic:cNvPicPr preferRelativeResize="true"/>
                  </pic:nvPicPr>
                  <pic:blipFill>
                    <a:blip r:embed="rId7"/>
                    <a:srcRect b="5815" l="0" r="0" t="5820"/>
                    <a:stretch/>
                  </pic:blipFill>
                  <pic:spPr>
                    <a:xfrm flipH="false" flipV="false" rot="0">
                      <a:ext cx="3002915" cy="2899458"/>
                    </a:xfrm>
                    <a:prstGeom prst="rect"/>
                  </pic:spPr>
                </pic:pic>
              </a:graphicData>
            </a:graphic>
          </wp:inline>
        </w:drawing>
      </w:r>
    </w:p>
    <w:p w14:paraId="0C010000">
      <w:pPr>
        <w:spacing w:after="240" w:before="240" w:line="240" w:lineRule="auto"/>
        <w:ind w:firstLine="0" w:left="0"/>
        <w:jc w:val="center"/>
      </w:pPr>
      <w:r>
        <w:t xml:space="preserve">Рисунок </w:t>
      </w:r>
      <w:r>
        <w:t>3 – О</w:t>
      </w:r>
      <w:r>
        <w:t>брабатывающ</w:t>
      </w:r>
      <w:r>
        <w:t>ий</w:t>
      </w:r>
      <w:r>
        <w:t xml:space="preserve"> центр 400V</w:t>
      </w:r>
    </w:p>
    <w:p w14:paraId="0D010000">
      <w:pPr>
        <w:pStyle w:val="Style_8"/>
      </w:pPr>
      <w:r>
        <w:t>2.3.4 Выбор технологической оснастки</w:t>
      </w:r>
    </w:p>
    <w:p w14:paraId="0E010000">
      <w:pPr>
        <w:pStyle w:val="Style_8"/>
      </w:pPr>
      <w:r>
        <w:t xml:space="preserve">Базирование заготовки в операции 005 выполняется в специальных станочных приспособлениях. Конструкция приспособления включает в себя три опорных пальца, которые фиксируют положение заготовки по литейной плоскости основания, и две боковые призмы для исключения поворота заготовки вокруг оси. Закрепление производится двумя быстродействующими рычажными зажимами с эксцентриковым приводом. Жесткая фиксация предотвращает смещение детали при черновых и чистовых проходах. Приспособление устанавливается на палету станка. В операции 015 (шлифование) заготовка устанавливается в </w:t>
      </w:r>
      <w:r>
        <w:t>трехкулачковом</w:t>
      </w:r>
      <w:r>
        <w:t xml:space="preserve"> патроне с регулируемыми кулачками по наружному радиусу R50.</w:t>
      </w:r>
    </w:p>
    <w:p w14:paraId="0F010000">
      <w:pPr>
        <w:pStyle w:val="Style_8"/>
      </w:pPr>
      <w:r>
        <w:t xml:space="preserve">Режущий инструмент подбирается исходя из свойств высокопрочного чугуна ВЧ35 и характера выполняемых переходов. Фрезерование плоскостей и контура выполняется торцевыми фрезами с напайными пластинами из твердого сплава ВК8. Для растачивания отверстия Ø50H7 используется расточная оправка со сменной многогранной пластиной из сплава ВК6. Сверление отверстий под резьбу ведется твердосплавными сверлами, обеспечивающими чистоту отверстия. Для нарезания резьбы М12 </w:t>
      </w:r>
      <w:r>
        <w:t xml:space="preserve">применяются машинные метчики из быстрорежущей стали Р6М5 [16]. </w:t>
      </w:r>
      <w:r>
        <w:t>Зенкование</w:t>
      </w:r>
      <w:r>
        <w:t xml:space="preserve"> фасок 2х45° производится зенковкой из быстрорежущей стали. Шлифовальный круг для операции 015 выбирается марки 24А (белый электрокорунд) на керамической связке, обеспечивающей требуемую чистоту и точность.</w:t>
      </w:r>
    </w:p>
    <w:p w14:paraId="10010000">
      <w:pPr>
        <w:pStyle w:val="Style_8"/>
      </w:pPr>
      <w:r>
        <w:t>Контроль параметров после каждой операции производится универсальным и специальным измерительным инструментом. Штангенциркуль ШЦ-1 применяется для контроля наружных размеров. Контроль диаметра отверстия Ø50H7 осуществляется нутромером индикаторным с ценой деления 0,01 мм. Резьба контролируется проходными и непроходными калибрами. Плоскостность основания проверяется на поверочной плите щупом и индикатором часового типа.</w:t>
      </w:r>
    </w:p>
    <w:p w14:paraId="11010000">
      <w:pPr>
        <w:pStyle w:val="Style_8"/>
      </w:pPr>
      <w:r>
        <w:t>2.3.5 Расчет припусков на обработку</w:t>
      </w:r>
    </w:p>
    <w:p w14:paraId="12010000">
      <w:pPr>
        <w:pStyle w:val="Style_8"/>
      </w:pPr>
      <w:r>
        <w:t>Расчет припусков выполняется расчетно-аналитическим методом, основанным на работах профессора Кована. За расчетную поверхность принимается внутреннее отверстие Ø50H7. Исходная заготовка — отливка в кокиль. Исходный размер отверстия в отливке принимается равным 45 мм. Точность 3-го класса литья обеспечивает гарантированное выполнение последующих операций.</w:t>
      </w:r>
    </w:p>
    <w:p w14:paraId="13010000">
      <w:pPr>
        <w:pStyle w:val="Style_8"/>
      </w:pPr>
      <w:r>
        <w:t xml:space="preserve">Расчет минимального припуска на черновое растачивание выполняется с учетом величины неровностей и дефектов литейного слоя. Для обработки отверстий в чугуне минимальный припуск определяется по формуле, учитывающей высоту микронеровностей </w:t>
      </w:r>
      <w:r>
        <w:t>Rz</w:t>
      </w:r>
      <w:r>
        <w:t xml:space="preserve"> и глубину дефектного слоя [18]. Предварительная обработка позволяет удалить корку отливки. После чернового растачивания обеспечивается точность в пределах 0,1–0,2 мм для последующей чистовой обработки.</w:t>
      </w:r>
    </w:p>
    <w:p w14:paraId="14010000">
      <w:pPr>
        <w:pStyle w:val="Style_8"/>
        <w:numPr>
          <w:ilvl w:val="0"/>
          <w:numId w:val="3"/>
        </w:numPr>
      </w:pPr>
      <w:r>
        <w:t>Назначаются следующие промежуточные размеры по переходам:</w:t>
      </w:r>
    </w:p>
    <w:p w14:paraId="15010000">
      <w:pPr>
        <w:pStyle w:val="Style_8"/>
        <w:numPr>
          <w:ilvl w:val="0"/>
          <w:numId w:val="3"/>
        </w:numPr>
      </w:pPr>
      <w:r>
        <w:t>Диаметр заготовки после литья: 45,0 мм.</w:t>
      </w:r>
    </w:p>
    <w:p w14:paraId="16010000">
      <w:pPr>
        <w:pStyle w:val="Style_8"/>
        <w:numPr>
          <w:ilvl w:val="0"/>
          <w:numId w:val="3"/>
        </w:numPr>
      </w:pPr>
      <w:r>
        <w:t>Черновое растачивание обеспечивает диаметр 48,0 мм. Припуск на сторону на данном переходе составляет 1,5 мм.</w:t>
      </w:r>
    </w:p>
    <w:p w14:paraId="17010000">
      <w:pPr>
        <w:pStyle w:val="Style_8"/>
        <w:numPr>
          <w:ilvl w:val="0"/>
          <w:numId w:val="3"/>
        </w:numPr>
      </w:pPr>
      <w:r>
        <w:t>Чистовое растачивание выполняется до диаметра 49,8 мм. Припуск на сторону равен 0,9 мм.</w:t>
      </w:r>
    </w:p>
    <w:p w14:paraId="18010000">
      <w:pPr>
        <w:pStyle w:val="Style_8"/>
      </w:pPr>
      <w:r>
        <w:t>Окончательная обработка (шлифование или алмазное выглаживание) производится до номинального размера 50H7 (50,000...50,025 мм). Припуск под финишную обработку составляет 0,2 мм на сторону.</w:t>
      </w:r>
      <w:r>
        <w:br/>
      </w:r>
      <w:r>
        <w:t>Суммарный припуск на обработку отверстия от исходной отливки составляет 5 мм (2,5 мм на сторону).</w:t>
      </w:r>
    </w:p>
    <w:p w14:paraId="19010000">
      <w:pPr>
        <w:pStyle w:val="Style_8"/>
      </w:pPr>
      <w:r>
        <w:t xml:space="preserve">Расчет режимов резания выполняется на основании справочных данных для металлорежущих станков с ЧПУ с учетом свойств высокопрочного чугуна ВЧ35. В качестве базового ответственного перехода для расчета принимается чистовое растачивание внутреннего отверстия до номинального размера Ø50H7. Данный переход обеспечивает окончательную геометрическую точность и требуемую шероховатость </w:t>
      </w:r>
      <w:r>
        <w:t>Ra</w:t>
      </w:r>
      <w:r>
        <w:t xml:space="preserve"> 1,6.</w:t>
      </w:r>
    </w:p>
    <w:p w14:paraId="1A010000">
      <w:pPr>
        <w:pStyle w:val="Style_8"/>
      </w:pPr>
      <w:r>
        <w:t>Исходные данные для расчета (переход 005 – чистовое растачивание)</w:t>
      </w:r>
    </w:p>
    <w:p w14:paraId="1B010000">
      <w:pPr>
        <w:pStyle w:val="Style_8"/>
        <w:numPr>
          <w:ilvl w:val="0"/>
          <w:numId w:val="4"/>
        </w:numPr>
      </w:pPr>
      <w:r>
        <w:t>Обрабатываемый материал: чугун ВЧ35 (HV 200...230).</w:t>
      </w:r>
    </w:p>
    <w:p w14:paraId="1C010000">
      <w:pPr>
        <w:pStyle w:val="Style_8"/>
        <w:numPr>
          <w:ilvl w:val="0"/>
          <w:numId w:val="4"/>
        </w:numPr>
      </w:pPr>
      <w:r>
        <w:t>Глубина резания (припуск на чистовую обработку): </w:t>
      </w:r>
      <m:oMathPara>
        <m:oMath>
          <m:r>
            <w:rPr>
              <w:rFonts w:ascii="Cambria Math" w:hAnsi="Cambria Math"/>
              <w:sz w:val="22"/>
            </w:rPr>
            <m:t>t=</m:t>
          </m:r>
          <m:r>
            <w:rPr>
              <w:rFonts w:ascii="Cambria Math" w:hAnsi="Cambria Math"/>
              <w:sz w:val="22"/>
            </w:rPr>
            <m:rPr>
              <m:sty m:val="p"/>
            </m:rPr>
            <m:t>0,9</m:t>
          </m:r>
        </m:oMath>
      </m:oMathPara>
      <w:r>
        <w:t> мм.</w:t>
      </w:r>
    </w:p>
    <w:p w14:paraId="1D010000">
      <w:pPr>
        <w:pStyle w:val="Style_8"/>
        <w:numPr>
          <w:ilvl w:val="0"/>
          <w:numId w:val="4"/>
        </w:numPr>
      </w:pPr>
      <w:r>
        <w:t xml:space="preserve">Подача (выбрана из условий получения </w:t>
      </w:r>
      <w:r>
        <w:t>Ra</w:t>
      </w:r>
      <w:r>
        <w:t xml:space="preserve"> 1,6): </w:t>
      </w:r>
      <m:oMathPara>
        <m:oMath>
          <m:r>
            <w:rPr>
              <w:rFonts w:ascii="Cambria Math" w:hAnsi="Cambria Math"/>
              <w:sz w:val="22"/>
            </w:rPr>
            <m:t>S=</m:t>
          </m:r>
          <m:r>
            <w:rPr>
              <w:rFonts w:ascii="Cambria Math" w:hAnsi="Cambria Math"/>
              <w:sz w:val="22"/>
            </w:rPr>
            <m:rPr>
              <m:sty m:val="p"/>
            </m:rPr>
            <m:t>0,1</m:t>
          </m:r>
        </m:oMath>
      </m:oMathPara>
      <w:r>
        <w:t> мм/об.</w:t>
      </w:r>
    </w:p>
    <w:p w14:paraId="1E010000">
      <w:pPr>
        <w:pStyle w:val="Style_8"/>
        <w:numPr>
          <w:ilvl w:val="0"/>
          <w:numId w:val="4"/>
        </w:numPr>
      </w:pPr>
      <w:r>
        <w:t>Диаметр обрабатываемого отверстия: </w:t>
      </w:r>
      <m:oMathPara>
        <m:oMath>
          <m:r>
            <w:rPr>
              <w:rFonts w:ascii="Cambria Math" w:hAnsi="Cambria Math"/>
              <w:sz w:val="22"/>
            </w:rPr>
            <m:t>D=</m:t>
          </m:r>
          <m:r>
            <w:rPr>
              <w:rFonts w:ascii="Cambria Math" w:hAnsi="Cambria Math"/>
              <w:sz w:val="22"/>
            </w:rPr>
            <m:rPr>
              <m:sty m:val="p"/>
            </m:rPr>
            <m:t>49,8</m:t>
          </m:r>
        </m:oMath>
      </m:oMathPara>
      <w:r>
        <w:t> мм.</w:t>
      </w:r>
    </w:p>
    <w:p w14:paraId="1F010000">
      <w:pPr>
        <w:pStyle w:val="Style_8"/>
        <w:numPr>
          <w:ilvl w:val="0"/>
          <w:numId w:val="4"/>
        </w:numPr>
      </w:pPr>
      <w:r>
        <w:t>Инструмент: расточная оправка с твердосплавной пластиной ВК6.</w:t>
      </w:r>
    </w:p>
    <w:p w14:paraId="20010000">
      <w:pPr>
        <w:pStyle w:val="Style_8"/>
        <w:numPr>
          <w:ilvl w:val="0"/>
          <w:numId w:val="4"/>
        </w:numPr>
      </w:pPr>
      <w:r>
        <w:t>Стойкость инструмента: </w:t>
      </w:r>
      <m:oMathPara>
        <m:oMath>
          <m:r>
            <w:rPr>
              <w:rFonts w:ascii="Cambria Math" w:hAnsi="Cambria Math"/>
              <w:sz w:val="22"/>
            </w:rPr>
            <m:t>T=60</m:t>
          </m:r>
        </m:oMath>
      </m:oMathPara>
      <w:r>
        <w:t> мин.</w:t>
      </w:r>
    </w:p>
    <w:p w14:paraId="21010000">
      <w:pPr>
        <w:pStyle w:val="Style_8"/>
        <w:numPr>
          <w:ilvl w:val="0"/>
          <w:numId w:val="4"/>
        </w:numPr>
      </w:pPr>
      <w:r>
        <w:t>Станок: вертикальный обрабатывающий центр 400V (мощность привода </w:t>
      </w:r>
      <m:oMathPara>
        <m:oMath>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с</m:t>
              </m:r>
              <m:r>
                <w:rPr>
                  <w:rFonts w:ascii="Cambria Math" w:hAnsi="Cambria Math"/>
                  <w:sz w:val="22"/>
                </w:rPr>
                <m:rPr>
                  <m:sty m:val="p"/>
                </m:rPr>
                <m:t>т</m:t>
              </m:r>
            </m:sub>
          </m:sSub>
          <m:r>
            <w:rPr>
              <w:rFonts w:ascii="Cambria Math" w:hAnsi="Cambria Math"/>
              <w:sz w:val="22"/>
            </w:rPr>
            <m:t>=</m:t>
          </m:r>
          <m:r>
            <w:rPr>
              <w:rFonts w:ascii="Cambria Math" w:hAnsi="Cambria Math"/>
              <w:sz w:val="22"/>
            </w:rPr>
            <m:rPr>
              <m:sty m:val="p"/>
            </m:rPr>
            <m:t>7,5</m:t>
          </m:r>
        </m:oMath>
      </m:oMathPara>
      <w:r>
        <w:t> кВт, КПД станка </w:t>
      </w:r>
      <m:oMathPara>
        <m:oMath>
          <m:r>
            <w:rPr>
              <w:rFonts w:ascii="Cambria Math" w:hAnsi="Cambria Math"/>
              <w:sz w:val="22"/>
            </w:rPr>
            <m:t>η=</m:t>
          </m:r>
          <m:r>
            <w:rPr>
              <w:rFonts w:ascii="Cambria Math" w:hAnsi="Cambria Math"/>
              <w:sz w:val="22"/>
            </w:rPr>
            <m:rPr>
              <m:sty m:val="p"/>
            </m:rPr>
            <m:t>0,8</m:t>
          </m:r>
        </m:oMath>
      </m:oMathPara>
      <w:r>
        <w:t>).</w:t>
      </w:r>
    </w:p>
    <w:p w14:paraId="22010000">
      <w:pPr>
        <w:pStyle w:val="Style_8"/>
      </w:pPr>
      <w:r>
        <w:t>Расчет скорости резания</w:t>
      </w:r>
    </w:p>
    <w:p w14:paraId="23010000">
      <w:pPr>
        <w:pStyle w:val="Style_8"/>
      </w:pPr>
      <w:r>
        <w:t>Скорость резания </w:t>
      </w:r>
      <m:oMathPara>
        <m:oMath>
          <m:r>
            <w:rPr>
              <w:rFonts w:ascii="Cambria Math" w:hAnsi="Cambria Math"/>
              <w:sz w:val="22"/>
            </w:rPr>
            <m:t>V</m:t>
          </m:r>
        </m:oMath>
      </m:oMathPara>
      <w:r>
        <w:t>, м/мин, для растачивания чугуна твердосплавным инструментом определяется по эмпирической формуле:</w:t>
      </w:r>
    </w:p>
    <w:p w14:paraId="24010000">
      <w:pPr>
        <w:pStyle w:val="Style_8"/>
      </w:pPr>
      <m:oMathPara>
        <m:oMath>
          <m:eqArr>
            <m:e>
              <m:r>
                <w:rPr>
                  <w:rFonts w:ascii="Cambria Math" w:hAnsi="Cambria Math"/>
                  <w:sz w:val="22"/>
                </w:rPr>
                <m:t>V=</m:t>
              </m:r>
              <m:f>
                <m:fPr>
                  <m:type m:val="bar"/>
                </m:fPr>
                <m:num>
                  <m:sSub>
                    <m:e>
                      <m:r>
                        <w:rPr>
                          <w:rFonts w:ascii="Cambria Math" w:hAnsi="Cambria Math"/>
                          <w:sz w:val="22"/>
                        </w:rPr>
                        <m:t>C</m:t>
                      </m:r>
                    </m:e>
                    <m:sub>
                      <m:r>
                        <w:rPr>
                          <w:rFonts w:ascii="Cambria Math" w:hAnsi="Cambria Math"/>
                          <w:sz w:val="22"/>
                        </w:rPr>
                        <m:t>v</m:t>
                      </m:r>
                    </m:sub>
                  </m:sSub>
                  <m:r>
                    <w:rPr>
                      <w:rFonts w:ascii="Cambria Math" w:hAnsi="Cambria Math"/>
                      <w:sz w:val="22"/>
                    </w:rPr>
                    <m:t>⋅</m:t>
                  </m:r>
                  <m:sSup>
                    <m:e>
                      <m:r>
                        <w:rPr>
                          <w:rFonts w:ascii="Cambria Math" w:hAnsi="Cambria Math"/>
                          <w:sz w:val="22"/>
                        </w:rPr>
                        <m:t>D</m:t>
                      </m:r>
                    </m:e>
                    <m:sup>
                      <m:r>
                        <w:rPr>
                          <w:rFonts w:ascii="Cambria Math" w:hAnsi="Cambria Math"/>
                          <w:sz w:val="22"/>
                        </w:rPr>
                        <m:t>q</m:t>
                      </m:r>
                    </m:sup>
                  </m:sSup>
                </m:num>
                <m:den>
                  <m:sSup>
                    <m:e>
                      <m:r>
                        <w:rPr>
                          <w:rFonts w:ascii="Cambria Math" w:hAnsi="Cambria Math"/>
                          <w:sz w:val="22"/>
                        </w:rPr>
                        <m:t>T</m:t>
                      </m:r>
                    </m:e>
                    <m:sup>
                      <m:r>
                        <w:rPr>
                          <w:rFonts w:ascii="Cambria Math" w:hAnsi="Cambria Math"/>
                          <w:sz w:val="22"/>
                        </w:rPr>
                        <m:t>m</m:t>
                      </m:r>
                    </m:sup>
                  </m:sSup>
                  <m:r>
                    <w:rPr>
                      <w:rFonts w:ascii="Cambria Math" w:hAnsi="Cambria Math"/>
                      <w:sz w:val="22"/>
                    </w:rPr>
                    <m:t>⋅</m:t>
                  </m:r>
                  <m:sSup>
                    <m:e>
                      <m:r>
                        <w:rPr>
                          <w:rFonts w:ascii="Cambria Math" w:hAnsi="Cambria Math"/>
                          <w:sz w:val="22"/>
                        </w:rPr>
                        <m:t>t</m:t>
                      </m:r>
                    </m:e>
                    <m:sup>
                      <m:r>
                        <w:rPr>
                          <w:rFonts w:ascii="Cambria Math" w:hAnsi="Cambria Math"/>
                          <w:sz w:val="22"/>
                        </w:rPr>
                        <m:t>x</m:t>
                      </m:r>
                    </m:sup>
                  </m:sSup>
                  <m:r>
                    <w:rPr>
                      <w:rFonts w:ascii="Cambria Math" w:hAnsi="Cambria Math"/>
                      <w:sz w:val="22"/>
                    </w:rPr>
                    <m:t>⋅</m:t>
                  </m:r>
                  <m:sSup>
                    <m:e>
                      <m:r>
                        <w:rPr>
                          <w:rFonts w:ascii="Cambria Math" w:hAnsi="Cambria Math"/>
                          <w:sz w:val="22"/>
                        </w:rPr>
                        <m:t>S</m:t>
                      </m:r>
                    </m:e>
                    <m:sup>
                      <m:r>
                        <w:rPr>
                          <w:rFonts w:ascii="Cambria Math" w:hAnsi="Cambria Math"/>
                          <w:sz w:val="22"/>
                        </w:rPr>
                        <m:t>y</m:t>
                      </m:r>
                    </m:sup>
                  </m:sSup>
                </m:den>
              </m:f>
              <m:r>
                <w:rPr>
                  <w:rFonts w:ascii="Cambria Math" w:hAnsi="Cambria Math"/>
                  <w:sz w:val="22"/>
                </w:rPr>
                <m:t>⋅</m:t>
              </m:r>
              <m:sSub>
                <m:e>
                  <m:r>
                    <w:rPr>
                      <w:rFonts w:ascii="Cambria Math" w:hAnsi="Cambria Math"/>
                      <w:sz w:val="22"/>
                    </w:rPr>
                    <m:t>K</m:t>
                  </m:r>
                </m:e>
                <m:sub>
                  <m:r>
                    <w:rPr>
                      <w:rFonts w:ascii="Cambria Math" w:hAnsi="Cambria Math"/>
                      <w:sz w:val="22"/>
                    </w:rPr>
                    <m:t>v</m:t>
                  </m:r>
                </m:sub>
              </m:sSub>
              <m:r>
                <w:rPr>
                  <w:rFonts w:ascii="Cambria Math" w:hAnsi="Cambria Math"/>
                  <w:sz w:val="22"/>
                </w:rPr>
                <m:t>,#</m:t>
              </m:r>
              <m:d>
                <m:dPr>
                  <m:sepChr m:val=","/>
                </m:dPr>
                <m:e>
                  <m:r>
                    <w:rPr>
                      <w:rFonts w:ascii="Cambria Math" w:hAnsi="Cambria Math"/>
                      <w:sz w:val="22"/>
                    </w:rPr>
                    <m:t>1</m:t>
                  </m:r>
                </m:e>
              </m:d>
            </m:e>
          </m:eqArr>
        </m:oMath>
      </m:oMathPara>
    </w:p>
    <w:p w14:paraId="25010000">
      <w:pPr>
        <w:pStyle w:val="Style_8"/>
      </w:pPr>
      <w:r>
        <w:t>где </w:t>
      </w:r>
      <m:oMathPara>
        <m:oMath>
          <m:sSub>
            <m:e>
              <m:r>
                <w:rPr>
                  <w:rFonts w:ascii="Cambria Math" w:hAnsi="Cambria Math"/>
                  <w:sz w:val="22"/>
                </w:rPr>
                <m:t>C</m:t>
              </m:r>
            </m:e>
            <m:sub>
              <m:r>
                <w:rPr>
                  <w:rFonts w:ascii="Cambria Math" w:hAnsi="Cambria Math"/>
                  <w:sz w:val="22"/>
                </w:rPr>
                <m:t>v</m:t>
              </m:r>
            </m:sub>
          </m:sSub>
          <m:r>
            <w:rPr>
              <w:rFonts w:ascii="Cambria Math" w:hAnsi="Cambria Math"/>
              <w:sz w:val="22"/>
            </w:rPr>
            <m:t>=350</m:t>
          </m:r>
        </m:oMath>
      </m:oMathPara>
      <w:r>
        <w:t>, </w:t>
      </w:r>
      <m:oMathPara>
        <m:oMath>
          <m:r>
            <w:rPr>
              <w:rFonts w:ascii="Cambria Math" w:hAnsi="Cambria Math"/>
              <w:sz w:val="22"/>
            </w:rPr>
            <m:t>q=</m:t>
          </m:r>
          <m:r>
            <w:rPr>
              <w:rFonts w:ascii="Cambria Math" w:hAnsi="Cambria Math"/>
              <w:sz w:val="22"/>
            </w:rPr>
            <m:rPr>
              <m:sty m:val="p"/>
            </m:rPr>
            <m:t>0,2</m:t>
          </m:r>
        </m:oMath>
      </m:oMathPara>
      <w:r>
        <w:t>, </w:t>
      </w:r>
      <m:oMathPara>
        <m:oMath>
          <m:r>
            <w:rPr>
              <w:rFonts w:ascii="Cambria Math" w:hAnsi="Cambria Math"/>
              <w:sz w:val="22"/>
            </w:rPr>
            <m:t>m=</m:t>
          </m:r>
          <m:r>
            <w:rPr>
              <w:rFonts w:ascii="Cambria Math" w:hAnsi="Cambria Math"/>
              <w:sz w:val="22"/>
            </w:rPr>
            <m:rPr>
              <m:sty m:val="p"/>
            </m:rPr>
            <m:t>0,2</m:t>
          </m:r>
        </m:oMath>
      </m:oMathPara>
      <w:r>
        <w:t>, </w:t>
      </w:r>
      <m:oMathPara>
        <m:oMath>
          <m:r>
            <w:rPr>
              <w:rFonts w:ascii="Cambria Math" w:hAnsi="Cambria Math"/>
              <w:sz w:val="22"/>
            </w:rPr>
            <m:t>x=</m:t>
          </m:r>
          <m:r>
            <w:rPr>
              <w:rFonts w:ascii="Cambria Math" w:hAnsi="Cambria Math"/>
              <w:sz w:val="22"/>
            </w:rPr>
            <m:rPr>
              <m:sty m:val="p"/>
            </m:rPr>
            <m:t>0,15</m:t>
          </m:r>
        </m:oMath>
      </m:oMathPara>
      <w:r>
        <w:t>, </w:t>
      </w:r>
      <m:oMathPara>
        <m:oMath>
          <m:r>
            <w:rPr>
              <w:rFonts w:ascii="Cambria Math" w:hAnsi="Cambria Math"/>
              <w:sz w:val="22"/>
            </w:rPr>
            <m:t>y=</m:t>
          </m:r>
          <m:r>
            <w:rPr>
              <w:rFonts w:ascii="Cambria Math" w:hAnsi="Cambria Math"/>
              <w:sz w:val="22"/>
            </w:rPr>
            <m:rPr>
              <m:sty m:val="p"/>
            </m:rPr>
            <m:t>0,35</m:t>
          </m:r>
        </m:oMath>
      </m:oMathPara>
      <w:r>
        <w:t> – коэффициенты и показатели степени для чистового растачивания чугуна [18];</w:t>
      </w:r>
      <w:r>
        <w:br/>
      </w:r>
      <m:oMathPara>
        <m:oMath>
          <m:sSub>
            <m:e>
              <m:r>
                <w:rPr>
                  <w:rFonts w:ascii="Cambria Math" w:hAnsi="Cambria Math"/>
                  <w:sz w:val="22"/>
                </w:rPr>
                <m:t>K</m:t>
              </m:r>
            </m:e>
            <m:sub>
              <m:r>
                <w:rPr>
                  <w:rFonts w:ascii="Cambria Math" w:hAnsi="Cambria Math"/>
                  <w:sz w:val="22"/>
                </w:rPr>
                <m:t>v</m:t>
              </m:r>
            </m:sub>
          </m:sSub>
        </m:oMath>
      </m:oMathPara>
      <w:r>
        <w:t> – общий поправочный коэффициент, учитывающий конкретные условия обработки:</w:t>
      </w:r>
    </w:p>
    <w:p w14:paraId="26010000">
      <w:pPr>
        <w:pStyle w:val="Style_8"/>
      </w:pPr>
      <m:oMathPara>
        <m:oMath>
          <m:sSub>
            <m:e>
              <m:r>
                <w:rPr>
                  <w:rFonts w:ascii="Cambria Math" w:hAnsi="Cambria Math"/>
                  <w:sz w:val="22"/>
                </w:rPr>
                <m:t>K</m:t>
              </m:r>
            </m:e>
            <m:sub>
              <m:r>
                <w:rPr>
                  <w:rFonts w:ascii="Cambria Math" w:hAnsi="Cambria Math"/>
                  <w:sz w:val="22"/>
                </w:rPr>
                <m:t>v</m:t>
              </m:r>
            </m:sub>
          </m:sSub>
          <m:r>
            <w:rPr>
              <w:rFonts w:ascii="Cambria Math" w:hAnsi="Cambria Math"/>
              <w:sz w:val="22"/>
            </w:rPr>
            <m:t>=</m:t>
          </m:r>
          <m:sSub>
            <m:e>
              <m:r>
                <w:rPr>
                  <w:rFonts w:ascii="Cambria Math" w:hAnsi="Cambria Math"/>
                  <w:sz w:val="22"/>
                </w:rPr>
                <m:t>K</m:t>
              </m:r>
            </m:e>
            <m:sub>
              <m:r>
                <w:rPr>
                  <w:rFonts w:ascii="Cambria Math" w:hAnsi="Cambria Math"/>
                  <w:sz w:val="22"/>
                </w:rPr>
                <m:rPr>
                  <m:sty m:val="p"/>
                </m:rPr>
                <m:t>m</m:t>
              </m:r>
              <m:r>
                <w:rPr>
                  <w:rFonts w:ascii="Cambria Math" w:hAnsi="Cambria Math"/>
                  <w:sz w:val="22"/>
                </w:rPr>
                <m:rPr>
                  <m:sty m:val="p"/>
                </m:rPr>
                <m:t>v</m:t>
              </m:r>
            </m:sub>
          </m:sSub>
          <m:r>
            <w:rPr>
              <w:rFonts w:ascii="Cambria Math" w:hAnsi="Cambria Math"/>
              <w:sz w:val="22"/>
            </w:rPr>
            <m:t>⋅</m:t>
          </m:r>
          <m:sSub>
            <m:e>
              <m:r>
                <w:rPr>
                  <w:rFonts w:ascii="Cambria Math" w:hAnsi="Cambria Math"/>
                  <w:sz w:val="22"/>
                </w:rPr>
                <m:t>K</m:t>
              </m:r>
            </m:e>
            <m:sub>
              <m:r>
                <w:rPr>
                  <w:rFonts w:ascii="Cambria Math" w:hAnsi="Cambria Math"/>
                  <w:sz w:val="22"/>
                </w:rPr>
                <m:rPr>
                  <m:sty m:val="p"/>
                </m:rPr>
                <m:t>n</m:t>
              </m:r>
              <m:r>
                <w:rPr>
                  <w:rFonts w:ascii="Cambria Math" w:hAnsi="Cambria Math"/>
                  <w:sz w:val="22"/>
                </w:rPr>
                <m:rPr>
                  <m:sty m:val="p"/>
                </m:rPr>
                <m:t>v</m:t>
              </m:r>
            </m:sub>
          </m:sSub>
          <m:r>
            <w:rPr>
              <w:rFonts w:ascii="Cambria Math" w:hAnsi="Cambria Math"/>
              <w:sz w:val="22"/>
            </w:rPr>
            <m:t>⋅</m:t>
          </m:r>
          <m:sSub>
            <m:e>
              <m:r>
                <w:rPr>
                  <w:rFonts w:ascii="Cambria Math" w:hAnsi="Cambria Math"/>
                  <w:sz w:val="22"/>
                </w:rPr>
                <m:t>K</m:t>
              </m:r>
            </m:e>
            <m:sub>
              <m:r>
                <w:rPr>
                  <w:rFonts w:ascii="Cambria Math" w:hAnsi="Cambria Math"/>
                  <w:sz w:val="22"/>
                </w:rPr>
                <m:rPr>
                  <m:sty m:val="p"/>
                </m:rPr>
                <m:t>u</m:t>
              </m:r>
              <m:r>
                <w:rPr>
                  <w:rFonts w:ascii="Cambria Math" w:hAnsi="Cambria Math"/>
                  <w:sz w:val="22"/>
                </w:rPr>
                <m:rPr>
                  <m:sty m:val="p"/>
                </m:rPr>
                <m:t>v</m:t>
              </m:r>
            </m:sub>
          </m:sSub>
          <m:r>
            <w:rPr>
              <w:rFonts w:ascii="Cambria Math" w:hAnsi="Cambria Math"/>
              <w:sz w:val="22"/>
            </w:rPr>
            <m:t>,</m:t>
          </m:r>
        </m:oMath>
      </m:oMathPara>
    </w:p>
    <w:p w14:paraId="27010000">
      <w:pPr>
        <w:pStyle w:val="Style_8"/>
      </w:pPr>
      <w:r>
        <w:t>где </w:t>
      </w:r>
      <m:oMathPara>
        <m:oMath>
          <m:sSub>
            <m:e>
              <m:r>
                <w:rPr>
                  <w:rFonts w:ascii="Cambria Math" w:hAnsi="Cambria Math"/>
                  <w:sz w:val="22"/>
                </w:rPr>
                <m:t>K</m:t>
              </m:r>
            </m:e>
            <m:sub>
              <m:r>
                <w:rPr>
                  <w:rFonts w:ascii="Cambria Math" w:hAnsi="Cambria Math"/>
                  <w:sz w:val="22"/>
                </w:rPr>
                <m:rPr>
                  <m:sty m:val="p"/>
                </m:rPr>
                <m:t>m</m:t>
              </m:r>
              <m:r>
                <w:rPr>
                  <w:rFonts w:ascii="Cambria Math" w:hAnsi="Cambria Math"/>
                  <w:sz w:val="22"/>
                </w:rPr>
                <m:rPr>
                  <m:sty m:val="p"/>
                </m:rPr>
                <m:t>v</m:t>
              </m:r>
            </m:sub>
          </m:sSub>
          <m:r>
            <w:rPr>
              <w:rFonts w:ascii="Cambria Math" w:hAnsi="Cambria Math"/>
              <w:sz w:val="22"/>
            </w:rPr>
            <m:t>=</m:t>
          </m:r>
          <m:sSup>
            <m:e>
              <m:d>
                <m:dPr>
                  <m:sepChr m:val=","/>
                </m:dPr>
                <m:e>
                  <m:f>
                    <m:fPr>
                      <m:type m:val="bar"/>
                    </m:fPr>
                    <m:num>
                      <m:r>
                        <w:rPr>
                          <w:rFonts w:ascii="Cambria Math" w:hAnsi="Cambria Math"/>
                          <w:sz w:val="22"/>
                        </w:rPr>
                        <m:t>190</m:t>
                      </m:r>
                    </m:num>
                    <m:den>
                      <m:r>
                        <w:rPr>
                          <w:rFonts w:ascii="Cambria Math" w:hAnsi="Cambria Math"/>
                          <w:sz w:val="22"/>
                        </w:rPr>
                        <m:rPr>
                          <m:sty m:val="p"/>
                        </m:rPr>
                        <m:t>H</m:t>
                      </m:r>
                      <m:r>
                        <w:rPr>
                          <w:rFonts w:ascii="Cambria Math" w:hAnsi="Cambria Math"/>
                          <w:sz w:val="22"/>
                        </w:rPr>
                        <m:rPr>
                          <m:sty m:val="p"/>
                        </m:rPr>
                        <m:t>V</m:t>
                      </m:r>
                    </m:den>
                  </m:f>
                </m:e>
              </m:d>
            </m:e>
            <m:sup>
              <m:r>
                <w:rPr>
                  <w:rFonts w:ascii="Cambria Math" w:hAnsi="Cambria Math"/>
                  <w:sz w:val="22"/>
                </w:rPr>
                <m:rPr>
                  <m:sty m:val="p"/>
                </m:rPr>
                <m:t>1,3</m:t>
              </m:r>
            </m:sup>
          </m:sSup>
          <m:r>
            <w:rPr>
              <w:rFonts w:ascii="Cambria Math" w:hAnsi="Cambria Math"/>
              <w:sz w:val="22"/>
            </w:rPr>
            <m:t>=</m:t>
          </m:r>
          <m:sSup>
            <m:e>
              <m:d>
                <m:dPr>
                  <m:sepChr m:val=","/>
                </m:dPr>
                <m:e>
                  <m:f>
                    <m:fPr>
                      <m:type m:val="bar"/>
                    </m:fPr>
                    <m:num>
                      <m:r>
                        <w:rPr>
                          <w:rFonts w:ascii="Cambria Math" w:hAnsi="Cambria Math"/>
                          <w:sz w:val="22"/>
                        </w:rPr>
                        <m:t>190</m:t>
                      </m:r>
                    </m:num>
                    <m:den>
                      <m:r>
                        <w:rPr>
                          <w:rFonts w:ascii="Cambria Math" w:hAnsi="Cambria Math"/>
                          <w:sz w:val="22"/>
                        </w:rPr>
                        <m:t>200</m:t>
                      </m:r>
                    </m:den>
                  </m:f>
                </m:e>
              </m:d>
            </m:e>
            <m:sup>
              <m:r>
                <w:rPr>
                  <w:rFonts w:ascii="Cambria Math" w:hAnsi="Cambria Math"/>
                  <w:sz w:val="22"/>
                </w:rPr>
                <m:rPr>
                  <m:sty m:val="p"/>
                </m:rPr>
                <m:t>1,3</m:t>
              </m:r>
            </m:sup>
          </m:sSup>
          <m:r>
            <w:rPr>
              <w:rFonts w:ascii="Cambria Math" w:hAnsi="Cambria Math"/>
              <w:sz w:val="22"/>
            </w:rPr>
            <m:t>=</m:t>
          </m:r>
          <m:r>
            <w:rPr>
              <w:rFonts w:ascii="Cambria Math" w:hAnsi="Cambria Math"/>
              <w:sz w:val="22"/>
            </w:rPr>
            <m:rPr>
              <m:sty m:val="p"/>
            </m:rPr>
            <m:t>0,935</m:t>
          </m:r>
        </m:oMath>
      </m:oMathPara>
      <w:r>
        <w:t> – поправка на свойства материала (твердость чугуна);</w:t>
      </w:r>
      <w:r>
        <w:br/>
      </w:r>
      <m:oMathPara>
        <m:oMath>
          <m:sSub>
            <m:e>
              <m:r>
                <w:rPr>
                  <w:rFonts w:ascii="Cambria Math" w:hAnsi="Cambria Math"/>
                  <w:sz w:val="22"/>
                </w:rPr>
                <m:t>K</m:t>
              </m:r>
            </m:e>
            <m:sub>
              <m:r>
                <w:rPr>
                  <w:rFonts w:ascii="Cambria Math" w:hAnsi="Cambria Math"/>
                  <w:sz w:val="22"/>
                </w:rPr>
                <m:rPr>
                  <m:sty m:val="p"/>
                </m:rPr>
                <m:t>n</m:t>
              </m:r>
              <m:r>
                <w:rPr>
                  <w:rFonts w:ascii="Cambria Math" w:hAnsi="Cambria Math"/>
                  <w:sz w:val="22"/>
                </w:rPr>
                <m:rPr>
                  <m:sty m:val="p"/>
                </m:rPr>
                <m:t>v</m:t>
              </m:r>
            </m:sub>
          </m:sSub>
          <m:r>
            <w:rPr>
              <w:rFonts w:ascii="Cambria Math" w:hAnsi="Cambria Math"/>
              <w:sz w:val="22"/>
            </w:rPr>
            <m:t>=</m:t>
          </m:r>
          <m:r>
            <w:rPr>
              <w:rFonts w:ascii="Cambria Math" w:hAnsi="Cambria Math"/>
              <w:sz w:val="22"/>
            </w:rPr>
            <m:rPr>
              <m:sty m:val="p"/>
            </m:rPr>
            <m:t>1,0</m:t>
          </m:r>
        </m:oMath>
      </m:oMathPara>
      <w:r>
        <w:t> – поправка на состояние поверхности заготовки (без корки);</w:t>
      </w:r>
      <w:r>
        <w:br/>
      </w:r>
      <m:oMathPara>
        <m:oMath>
          <m:sSub>
            <m:e>
              <m:r>
                <w:rPr>
                  <w:rFonts w:ascii="Cambria Math" w:hAnsi="Cambria Math"/>
                  <w:sz w:val="22"/>
                </w:rPr>
                <m:t>K</m:t>
              </m:r>
            </m:e>
            <m:sub>
              <m:r>
                <w:rPr>
                  <w:rFonts w:ascii="Cambria Math" w:hAnsi="Cambria Math"/>
                  <w:sz w:val="22"/>
                </w:rPr>
                <m:rPr>
                  <m:sty m:val="p"/>
                </m:rPr>
                <m:t>u</m:t>
              </m:r>
              <m:r>
                <w:rPr>
                  <w:rFonts w:ascii="Cambria Math" w:hAnsi="Cambria Math"/>
                  <w:sz w:val="22"/>
                </w:rPr>
                <m:rPr>
                  <m:sty m:val="p"/>
                </m:rPr>
                <m:t>v</m:t>
              </m:r>
            </m:sub>
          </m:sSub>
          <m:r>
            <w:rPr>
              <w:rFonts w:ascii="Cambria Math" w:hAnsi="Cambria Math"/>
              <w:sz w:val="22"/>
            </w:rPr>
            <m:t>=</m:t>
          </m:r>
          <m:r>
            <w:rPr>
              <w:rFonts w:ascii="Cambria Math" w:hAnsi="Cambria Math"/>
              <w:sz w:val="22"/>
            </w:rPr>
            <m:rPr>
              <m:sty m:val="p"/>
            </m:rPr>
            <m:t>1,0</m:t>
          </m:r>
        </m:oMath>
      </m:oMathPara>
      <w:r>
        <w:t> – поправка на инструментальный материал.</w:t>
      </w:r>
      <w:r>
        <w:br/>
      </w:r>
      <w:r>
        <w:t>Следовательно, </w:t>
      </w:r>
      <m:oMathPara>
        <m:oMath>
          <m:sSub>
            <m:e>
              <m:r>
                <w:rPr>
                  <w:rFonts w:ascii="Cambria Math" w:hAnsi="Cambria Math"/>
                  <w:sz w:val="22"/>
                </w:rPr>
                <m:t>K</m:t>
              </m:r>
            </m:e>
            <m:sub>
              <m:r>
                <w:rPr>
                  <w:rFonts w:ascii="Cambria Math" w:hAnsi="Cambria Math"/>
                  <w:sz w:val="22"/>
                </w:rPr>
                <m:t>v</m:t>
              </m:r>
            </m:sub>
          </m:sSub>
          <m:r>
            <w:rPr>
              <w:rFonts w:ascii="Cambria Math" w:hAnsi="Cambria Math"/>
              <w:sz w:val="22"/>
            </w:rPr>
            <m:t>=</m:t>
          </m:r>
          <m:r>
            <w:rPr>
              <w:rFonts w:ascii="Cambria Math" w:hAnsi="Cambria Math"/>
              <w:sz w:val="22"/>
            </w:rPr>
            <m:rPr>
              <m:sty m:val="p"/>
            </m:rPr>
            <m:t>0,935</m:t>
          </m:r>
          <m:r>
            <w:rPr>
              <w:rFonts w:ascii="Cambria Math" w:hAnsi="Cambria Math"/>
              <w:sz w:val="22"/>
            </w:rPr>
            <m:t>⋅</m:t>
          </m:r>
          <m:r>
            <w:rPr>
              <w:rFonts w:ascii="Cambria Math" w:hAnsi="Cambria Math"/>
              <w:sz w:val="22"/>
            </w:rPr>
            <m:rPr>
              <m:sty m:val="p"/>
            </m:rPr>
            <m:t>1,0</m:t>
          </m:r>
          <m:r>
            <w:rPr>
              <w:rFonts w:ascii="Cambria Math" w:hAnsi="Cambria Math"/>
              <w:sz w:val="22"/>
            </w:rPr>
            <m:t>⋅</m:t>
          </m:r>
          <m:r>
            <w:rPr>
              <w:rFonts w:ascii="Cambria Math" w:hAnsi="Cambria Math"/>
              <w:sz w:val="22"/>
            </w:rPr>
            <m:rPr>
              <m:sty m:val="p"/>
            </m:rPr>
            <m:t>1,0</m:t>
          </m:r>
          <m:r>
            <w:rPr>
              <w:rFonts w:ascii="Cambria Math" w:hAnsi="Cambria Math"/>
              <w:sz w:val="22"/>
            </w:rPr>
            <m:t>=</m:t>
          </m:r>
          <m:r>
            <w:rPr>
              <w:rFonts w:ascii="Cambria Math" w:hAnsi="Cambria Math"/>
              <w:sz w:val="22"/>
            </w:rPr>
            <m:rPr>
              <m:sty m:val="p"/>
            </m:rPr>
            <m:t>0,935</m:t>
          </m:r>
        </m:oMath>
      </m:oMathPara>
      <w:r>
        <w:t>.</w:t>
      </w:r>
    </w:p>
    <w:p w14:paraId="28010000">
      <w:pPr>
        <w:pStyle w:val="Style_8"/>
      </w:pPr>
      <w:r>
        <w:t>Подстановка числовых значений в формулу (1):</w:t>
      </w:r>
    </w:p>
    <w:p w14:paraId="29010000">
      <w:pPr>
        <w:pStyle w:val="Style_8"/>
      </w:pPr>
      <m:oMathPara>
        <m:oMath>
          <m:r>
            <w:rPr>
              <w:rFonts w:ascii="Cambria Math" w:hAnsi="Cambria Math"/>
              <w:sz w:val="22"/>
            </w:rPr>
            <m:t>V=</m:t>
          </m:r>
          <m:f>
            <m:fPr>
              <m:type m:val="bar"/>
            </m:fPr>
            <m:num>
              <m:r>
                <w:rPr>
                  <w:rFonts w:ascii="Cambria Math" w:hAnsi="Cambria Math"/>
                  <w:sz w:val="22"/>
                </w:rPr>
                <m:t>350⋅49,</m:t>
              </m:r>
              <m:sSup>
                <m:e>
                  <m:r>
                    <w:rPr>
                      <w:rFonts w:ascii="Cambria Math" w:hAnsi="Cambria Math"/>
                      <w:sz w:val="22"/>
                    </w:rPr>
                    <m:t>8</m:t>
                  </m:r>
                </m:e>
                <m:sup>
                  <m:r>
                    <w:rPr>
                      <w:rFonts w:ascii="Cambria Math" w:hAnsi="Cambria Math"/>
                      <w:sz w:val="22"/>
                    </w:rPr>
                    <m:rPr>
                      <m:sty m:val="p"/>
                    </m:rPr>
                    <m:t>0,2</m:t>
                  </m:r>
                </m:sup>
              </m:sSup>
            </m:num>
            <m:den>
              <m:sSup>
                <m:e>
                  <m:r>
                    <w:rPr>
                      <w:rFonts w:ascii="Cambria Math" w:hAnsi="Cambria Math"/>
                      <w:sz w:val="22"/>
                    </w:rPr>
                    <m:t>60</m:t>
                  </m:r>
                </m:e>
                <m:sup>
                  <m:r>
                    <w:rPr>
                      <w:rFonts w:ascii="Cambria Math" w:hAnsi="Cambria Math"/>
                      <w:sz w:val="22"/>
                    </w:rPr>
                    <m:rPr>
                      <m:sty m:val="p"/>
                    </m:rPr>
                    <m:t>0,2</m:t>
                  </m:r>
                </m:sup>
              </m:sSup>
              <m:r>
                <w:rPr>
                  <w:rFonts w:ascii="Cambria Math" w:hAnsi="Cambria Math"/>
                  <w:sz w:val="22"/>
                </w:rPr>
                <m:t>⋅0,</m:t>
              </m:r>
              <m:sSup>
                <m:e>
                  <m:r>
                    <w:rPr>
                      <w:rFonts w:ascii="Cambria Math" w:hAnsi="Cambria Math"/>
                      <w:sz w:val="22"/>
                    </w:rPr>
                    <m:t>9</m:t>
                  </m:r>
                </m:e>
                <m:sup>
                  <m:r>
                    <w:rPr>
                      <w:rFonts w:ascii="Cambria Math" w:hAnsi="Cambria Math"/>
                      <w:sz w:val="22"/>
                    </w:rPr>
                    <m:rPr>
                      <m:sty m:val="p"/>
                    </m:rPr>
                    <m:t>0,15</m:t>
                  </m:r>
                </m:sup>
              </m:sSup>
              <m:r>
                <w:rPr>
                  <w:rFonts w:ascii="Cambria Math" w:hAnsi="Cambria Math"/>
                  <w:sz w:val="22"/>
                </w:rPr>
                <m:t>⋅0,</m:t>
              </m:r>
              <m:sSup>
                <m:e>
                  <m:r>
                    <w:rPr>
                      <w:rFonts w:ascii="Cambria Math" w:hAnsi="Cambria Math"/>
                      <w:sz w:val="22"/>
                    </w:rPr>
                    <m:t>1</m:t>
                  </m:r>
                </m:e>
                <m:sup>
                  <m:r>
                    <w:rPr>
                      <w:rFonts w:ascii="Cambria Math" w:hAnsi="Cambria Math"/>
                      <w:sz w:val="22"/>
                    </w:rPr>
                    <m:rPr>
                      <m:sty m:val="p"/>
                    </m:rPr>
                    <m:t>0,35</m:t>
                  </m:r>
                </m:sup>
              </m:sSup>
            </m:den>
          </m:f>
          <m:r>
            <w:rPr>
              <w:rFonts w:ascii="Cambria Math" w:hAnsi="Cambria Math"/>
              <w:sz w:val="22"/>
            </w:rPr>
            <m:t>⋅</m:t>
          </m:r>
          <m:r>
            <w:rPr>
              <w:rFonts w:ascii="Cambria Math" w:hAnsi="Cambria Math"/>
              <w:sz w:val="22"/>
            </w:rPr>
            <m:rPr>
              <m:sty m:val="p"/>
            </m:rPr>
            <m:t>0,935</m:t>
          </m:r>
          <m:r>
            <w:rPr>
              <w:rFonts w:ascii="Cambria Math" w:hAnsi="Cambria Math"/>
              <w:sz w:val="22"/>
            </w:rPr>
            <m:t>.</m:t>
          </m:r>
        </m:oMath>
      </m:oMathPara>
    </w:p>
    <w:p w14:paraId="2A010000">
      <w:pPr>
        <w:pStyle w:val="Style_8"/>
      </w:pPr>
      <w:r>
        <w:t>Результат расчета по формуле (1):</w:t>
      </w:r>
    </w:p>
    <w:p w14:paraId="2B010000">
      <w:pPr>
        <w:pStyle w:val="Style_8"/>
      </w:pPr>
      <m:oMathPara>
        <m:oMath>
          <m:r>
            <w:rPr>
              <w:rFonts w:ascii="Cambria Math" w:hAnsi="Cambria Math"/>
              <w:sz w:val="22"/>
            </w:rPr>
            <m:t>V=</m:t>
          </m:r>
          <m:f>
            <m:fPr>
              <m:type m:val="bar"/>
            </m:fPr>
            <m:num>
              <m:r>
                <w:rPr>
                  <w:rFonts w:ascii="Cambria Math" w:hAnsi="Cambria Math"/>
                  <w:sz w:val="22"/>
                </w:rPr>
                <m:rPr>
                  <m:sty m:val="p"/>
                </m:rPr>
                <m:t>765,45</m:t>
              </m:r>
            </m:num>
            <m:den>
              <m:r>
                <w:rPr>
                  <w:rFonts w:ascii="Cambria Math" w:hAnsi="Cambria Math"/>
                  <w:sz w:val="22"/>
                </w:rPr>
                <m:rPr>
                  <m:sty m:val="p"/>
                </m:rPr>
                <m:t>0,995</m:t>
              </m:r>
            </m:den>
          </m:f>
          <m:r>
            <w:rPr>
              <w:rFonts w:ascii="Cambria Math" w:hAnsi="Cambria Math"/>
              <w:sz w:val="22"/>
            </w:rPr>
            <m:t>⋅</m:t>
          </m:r>
          <m:r>
            <w:rPr>
              <w:rFonts w:ascii="Cambria Math" w:hAnsi="Cambria Math"/>
              <w:sz w:val="22"/>
            </w:rPr>
            <m:rPr>
              <m:sty m:val="p"/>
            </m:rPr>
            <m:t>0,935</m:t>
          </m:r>
          <m:r>
            <w:rPr>
              <w:rFonts w:ascii="Cambria Math" w:hAnsi="Cambria Math"/>
              <w:sz w:val="22"/>
            </w:rPr>
            <m:t>≈</m:t>
          </m:r>
          <m:r>
            <w:rPr>
              <w:rFonts w:ascii="Cambria Math" w:hAnsi="Cambria Math"/>
              <w:sz w:val="22"/>
            </w:rPr>
            <m:rPr>
              <m:sty m:val="p"/>
            </m:rPr>
            <m:t>719,3</m:t>
          </m:r>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 </m:t>
          </m:r>
          <m:r>
            <w:rPr>
              <w:rFonts w:ascii="Cambria Math" w:hAnsi="Cambria Math"/>
              <w:sz w:val="22"/>
            </w:rPr>
            <m:rPr>
              <m:sty m:val="p"/>
            </m:rPr>
            <m:t>м</m:t>
          </m:r>
          <m:r>
            <w:rPr>
              <w:rFonts w:ascii="Cambria Math" w:hAnsi="Cambria Math"/>
              <w:sz w:val="22"/>
            </w:rPr>
            <m:t>/</m:t>
          </m:r>
          <m:r>
            <w:rPr>
              <w:rFonts w:ascii="Cambria Math" w:hAnsi="Cambria Math"/>
              <w:sz w:val="22"/>
            </w:rPr>
            <m:rPr>
              <m:sty m:val="p"/>
            </m:rPr>
            <m:t>м</m:t>
          </m:r>
          <m:r>
            <w:rPr>
              <w:rFonts w:ascii="Cambria Math" w:hAnsi="Cambria Math"/>
              <w:sz w:val="22"/>
            </w:rPr>
            <m:rPr>
              <m:sty m:val="p"/>
            </m:rPr>
            <m:t>и</m:t>
          </m:r>
          <m:r>
            <w:rPr>
              <w:rFonts w:ascii="Cambria Math" w:hAnsi="Cambria Math"/>
              <w:sz w:val="22"/>
            </w:rPr>
            <m:rPr>
              <m:sty m:val="p"/>
            </m:rPr>
            <m:t>н</m:t>
          </m:r>
          <m:r>
            <w:rPr>
              <w:rFonts w:ascii="Cambria Math" w:hAnsi="Cambria Math"/>
              <w:sz w:val="22"/>
            </w:rPr>
            <m:t>.</m:t>
          </m:r>
        </m:oMath>
      </m:oMathPara>
    </w:p>
    <w:p w14:paraId="2C010000">
      <w:pPr>
        <w:pStyle w:val="Style_8"/>
      </w:pPr>
      <w:r>
        <w:t>Полученное значение скорости оказывается чрезмерно высоким для обработки чугуна ВЧ35 и не соответствует мощности привода станка. Оно указывает на то, что расчетная скорость по эмпирическим формулам для данных условий теоретически велика, однако в реальной производственной практике скорость резания для чистового растачивания чугуна принимают в диапазоне 100...120 м/мин [16, 18]. Ограничение вызвано виброустойчивостью тонкостенной конструкции корпуса и стойкостью пластин. Таким образом, для дальнейших вычислений принимаем рабочую скорость резания </w:t>
      </w:r>
      <m:oMathPara>
        <m:oMath>
          <m:sSub>
            <m:e>
              <m:r>
                <w:rPr>
                  <w:rFonts w:ascii="Cambria Math" w:hAnsi="Cambria Math"/>
                  <w:sz w:val="22"/>
                </w:rPr>
                <m:t>V</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п</m:t>
              </m:r>
              <m:r>
                <w:rPr>
                  <w:rFonts w:ascii="Cambria Math" w:hAnsi="Cambria Math"/>
                  <w:sz w:val="22"/>
                </w:rPr>
                <m:rPr>
                  <m:sty m:val="p"/>
                </m:rPr>
                <m:t>р</m:t>
              </m:r>
            </m:sub>
          </m:sSub>
          <m:r>
            <w:rPr>
              <w:rFonts w:ascii="Cambria Math" w:hAnsi="Cambria Math"/>
              <w:sz w:val="22"/>
            </w:rPr>
            <m:t>=110</m:t>
          </m:r>
        </m:oMath>
      </m:oMathPara>
      <w:r>
        <w:t> м/мин.</w:t>
      </w:r>
    </w:p>
    <w:p w14:paraId="2D010000">
      <w:pPr>
        <w:pStyle w:val="Style_8"/>
      </w:pPr>
      <w:r>
        <w:t>Частота вращения шпинделя </w:t>
      </w:r>
      <m:oMathPara>
        <m:oMath>
          <m:r>
            <w:rPr>
              <w:rFonts w:ascii="Cambria Math" w:hAnsi="Cambria Math"/>
              <w:sz w:val="22"/>
            </w:rPr>
            <m:t>n</m:t>
          </m:r>
        </m:oMath>
      </m:oMathPara>
      <w:r>
        <w:t>, об/мин, вычисляется по формуле, связывающей скорость резания и диаметр обработки:</w:t>
      </w:r>
    </w:p>
    <w:p w14:paraId="2E010000">
      <w:pPr>
        <w:pStyle w:val="Style_8"/>
      </w:pPr>
      <m:oMathPara>
        <m:oMath>
          <m:eqArr>
            <m:e>
              <m:r>
                <w:rPr>
                  <w:rFonts w:ascii="Cambria Math" w:hAnsi="Cambria Math"/>
                  <w:sz w:val="22"/>
                </w:rPr>
                <m:t>n=</m:t>
              </m:r>
              <m:f>
                <m:fPr>
                  <m:type m:val="bar"/>
                </m:fPr>
                <m:num>
                  <m:r>
                    <w:rPr>
                      <w:rFonts w:ascii="Cambria Math" w:hAnsi="Cambria Math"/>
                      <w:sz w:val="22"/>
                    </w:rPr>
                    <m:t>1000⋅V</m:t>
                  </m:r>
                </m:num>
                <m:den>
                  <m:r>
                    <w:rPr>
                      <w:rFonts w:ascii="Cambria Math" w:hAnsi="Cambria Math"/>
                      <w:sz w:val="22"/>
                    </w:rPr>
                    <m:t>π⋅D</m:t>
                  </m:r>
                </m:den>
              </m:f>
              <m:r>
                <w:rPr>
                  <w:rFonts w:ascii="Cambria Math" w:hAnsi="Cambria Math"/>
                  <w:sz w:val="22"/>
                </w:rPr>
                <m:t>,#</m:t>
              </m:r>
              <m:d>
                <m:dPr>
                  <m:sepChr m:val=","/>
                </m:dPr>
                <m:e>
                  <m:r>
                    <w:rPr>
                      <w:rFonts w:ascii="Cambria Math" w:hAnsi="Cambria Math"/>
                      <w:sz w:val="22"/>
                    </w:rPr>
                    <m:t>2</m:t>
                  </m:r>
                </m:e>
              </m:d>
            </m:e>
          </m:eqArr>
        </m:oMath>
      </m:oMathPara>
    </w:p>
    <w:p w14:paraId="2F010000">
      <w:pPr>
        <w:pStyle w:val="Style_8"/>
      </w:pPr>
      <w:r>
        <w:t>где </w:t>
      </w:r>
      <m:oMathPara>
        <m:oMath>
          <m:r>
            <w:rPr>
              <w:rFonts w:ascii="Cambria Math" w:hAnsi="Cambria Math"/>
              <w:sz w:val="22"/>
            </w:rPr>
            <m:t>V=110</m:t>
          </m:r>
        </m:oMath>
      </m:oMathPara>
      <w:r>
        <w:t> м/мин – принятая скорость резания;</w:t>
      </w:r>
      <w:r>
        <w:br/>
      </w:r>
      <m:oMathPara>
        <m:oMath>
          <m:r>
            <w:rPr>
              <w:rFonts w:ascii="Cambria Math" w:hAnsi="Cambria Math"/>
              <w:sz w:val="22"/>
            </w:rPr>
            <m:t>D=</m:t>
          </m:r>
          <m:r>
            <w:rPr>
              <w:rFonts w:ascii="Cambria Math" w:hAnsi="Cambria Math"/>
              <w:sz w:val="22"/>
            </w:rPr>
            <m:rPr>
              <m:sty m:val="p"/>
            </m:rPr>
            <m:t>49,8</m:t>
          </m:r>
        </m:oMath>
      </m:oMathPara>
      <w:r>
        <w:t> мм – диаметр растачиваемого отверстия;</w:t>
      </w:r>
      <w:r>
        <w:br/>
      </w:r>
      <m:oMathPara>
        <m:oMath>
          <m:r>
            <w:rPr>
              <w:rFonts w:ascii="Cambria Math" w:hAnsi="Cambria Math"/>
              <w:sz w:val="22"/>
            </w:rPr>
            <m:t>π=</m:t>
          </m:r>
          <m:r>
            <w:rPr>
              <w:rFonts w:ascii="Cambria Math" w:hAnsi="Cambria Math"/>
              <w:sz w:val="22"/>
            </w:rPr>
            <m:rPr>
              <m:sty m:val="p"/>
            </m:rPr>
            <m:t>3,14</m:t>
          </m:r>
        </m:oMath>
      </m:oMathPara>
      <w:r>
        <w:t>.</w:t>
      </w:r>
    </w:p>
    <w:p w14:paraId="30010000">
      <w:pPr>
        <w:pStyle w:val="Style_8"/>
      </w:pPr>
      <w:r>
        <w:t>Подстановка числовых значений в формулу (2):</w:t>
      </w:r>
    </w:p>
    <w:p w14:paraId="31010000">
      <w:pPr>
        <w:pStyle w:val="Style_8"/>
      </w:pPr>
      <m:oMathPara>
        <m:oMath>
          <m:r>
            <w:rPr>
              <w:rFonts w:ascii="Cambria Math" w:hAnsi="Cambria Math"/>
              <w:sz w:val="22"/>
            </w:rPr>
            <m:t>n=</m:t>
          </m:r>
          <m:f>
            <m:fPr>
              <m:type m:val="bar"/>
            </m:fPr>
            <m:num>
              <m:r>
                <w:rPr>
                  <w:rFonts w:ascii="Cambria Math" w:hAnsi="Cambria Math"/>
                  <w:sz w:val="22"/>
                </w:rPr>
                <m:t>1000⋅110</m:t>
              </m:r>
            </m:num>
            <m:den>
              <m:r>
                <w:rPr>
                  <w:rFonts w:ascii="Cambria Math" w:hAnsi="Cambria Math"/>
                  <w:sz w:val="22"/>
                </w:rPr>
                <m:rPr>
                  <m:sty m:val="p"/>
                </m:rPr>
                <m:t>3,14</m:t>
              </m:r>
              <m:r>
                <w:rPr>
                  <w:rFonts w:ascii="Cambria Math" w:hAnsi="Cambria Math"/>
                  <w:sz w:val="22"/>
                </w:rPr>
                <m:t>⋅</m:t>
              </m:r>
              <m:r>
                <w:rPr>
                  <w:rFonts w:ascii="Cambria Math" w:hAnsi="Cambria Math"/>
                  <w:sz w:val="22"/>
                </w:rPr>
                <m:rPr>
                  <m:sty m:val="p"/>
                </m:rPr>
                <m:t>49,8</m:t>
              </m:r>
            </m:den>
          </m:f>
          <m:r>
            <w:rPr>
              <w:rFonts w:ascii="Cambria Math" w:hAnsi="Cambria Math"/>
              <w:sz w:val="22"/>
            </w:rPr>
            <m:t>=</m:t>
          </m:r>
          <m:f>
            <m:fPr>
              <m:type m:val="bar"/>
            </m:fPr>
            <m:num>
              <m:r>
                <w:rPr>
                  <w:rFonts w:ascii="Cambria Math" w:hAnsi="Cambria Math"/>
                  <w:sz w:val="22"/>
                </w:rPr>
                <m:t>110000</m:t>
              </m:r>
            </m:num>
            <m:den>
              <m:r>
                <w:rPr>
                  <w:rFonts w:ascii="Cambria Math" w:hAnsi="Cambria Math"/>
                  <w:sz w:val="22"/>
                </w:rPr>
                <m:rPr>
                  <m:sty m:val="p"/>
                </m:rPr>
                <m:t>156,37</m:t>
              </m:r>
            </m:den>
          </m:f>
          <m:r>
            <w:rPr>
              <w:rFonts w:ascii="Cambria Math" w:hAnsi="Cambria Math"/>
              <w:sz w:val="22"/>
            </w:rPr>
            <m:t>.</m:t>
          </m:r>
        </m:oMath>
      </m:oMathPara>
    </w:p>
    <w:p w14:paraId="32010000">
      <w:pPr>
        <w:pStyle w:val="Style_8"/>
      </w:pPr>
      <w:r>
        <w:t>Вычисление: </w:t>
      </w:r>
      <m:oMathPara>
        <m:oMath>
          <m:r>
            <w:rPr>
              <w:rFonts w:ascii="Cambria Math" w:hAnsi="Cambria Math"/>
              <w:sz w:val="22"/>
            </w:rPr>
            <m:t>n=</m:t>
          </m:r>
          <m:r>
            <w:rPr>
              <w:rFonts w:ascii="Cambria Math" w:hAnsi="Cambria Math"/>
              <w:sz w:val="22"/>
            </w:rPr>
            <m:rPr>
              <m:sty m:val="p"/>
            </m:rPr>
            <m:t>703,4</m:t>
          </m:r>
        </m:oMath>
      </m:oMathPara>
      <w:r>
        <w:t> об/мин.</w:t>
      </w:r>
    </w:p>
    <w:p w14:paraId="33010000">
      <w:pPr>
        <w:pStyle w:val="Style_8"/>
      </w:pPr>
      <w:r>
        <w:t>С учетом технических характеристик станка (паспортная частота вращения шпинделя имеет ступенчатое регулирование или задается в управляющей программе с дискретностью) принимаем фактическую частоту вращения шпинделя на данной операции 700 об/мин.</w:t>
      </w:r>
    </w:p>
    <w:p w14:paraId="34010000">
      <w:pPr>
        <w:pStyle w:val="Style_8"/>
      </w:pPr>
      <w:r>
        <w:t>Проверка режимов резания по мощности станка</w:t>
      </w:r>
    </w:p>
    <w:p w14:paraId="35010000">
      <w:pPr>
        <w:pStyle w:val="Style_8"/>
      </w:pPr>
      <w:r>
        <w:t>Крутящий момент </w:t>
      </w:r>
      <m:oMathPara>
        <m:oMath>
          <m:sSub>
            <m:e>
              <m:r>
                <w:rPr>
                  <w:rFonts w:ascii="Cambria Math" w:hAnsi="Cambria Math"/>
                  <w:sz w:val="22"/>
                </w:rPr>
                <m:t>M</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к</m:t>
              </m:r>
              <m:r>
                <w:rPr>
                  <w:rFonts w:ascii="Cambria Math" w:hAnsi="Cambria Math"/>
                  <w:sz w:val="22"/>
                </w:rPr>
                <m:rPr>
                  <m:sty m:val="p"/>
                </m:rPr>
                <m:t>р</m:t>
              </m:r>
            </m:sub>
          </m:sSub>
        </m:oMath>
      </m:oMathPara>
      <w:r>
        <w:t xml:space="preserve">, </w:t>
      </w:r>
      <w:r>
        <w:t>Н·м</w:t>
      </w:r>
      <w:r>
        <w:t>, на шпинделе при растачивании определяется по формуле [18]:</w:t>
      </w:r>
    </w:p>
    <w:p w14:paraId="36010000">
      <w:pPr>
        <w:pStyle w:val="Style_8"/>
      </w:pPr>
      <m:oMathPara>
        <m:oMath>
          <m:eqArr>
            <m:e>
              <m:sSub>
                <m:e>
                  <m:r>
                    <w:rPr>
                      <w:rFonts w:ascii="Cambria Math" w:hAnsi="Cambria Math"/>
                      <w:sz w:val="22"/>
                    </w:rPr>
                    <m:t>M</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к</m:t>
                  </m:r>
                  <m:r>
                    <w:rPr>
                      <w:rFonts w:ascii="Cambria Math" w:hAnsi="Cambria Math"/>
                      <w:sz w:val="22"/>
                    </w:rPr>
                    <m:rPr>
                      <m:sty m:val="p"/>
                    </m:rPr>
                    <m:t>р</m:t>
                  </m:r>
                </m:sub>
              </m:sSub>
              <m:r>
                <w:rPr>
                  <w:rFonts w:ascii="Cambria Math" w:hAnsi="Cambria Math"/>
                  <w:sz w:val="22"/>
                </w:rPr>
                <m:t>=</m:t>
              </m:r>
              <m:f>
                <m:fPr>
                  <m:type m:val="bar"/>
                </m:fPr>
                <m:num>
                  <m:sSub>
                    <m:e>
                      <m:r>
                        <w:rPr>
                          <w:rFonts w:ascii="Cambria Math" w:hAnsi="Cambria Math"/>
                          <w:sz w:val="22"/>
                        </w:rPr>
                        <m:t>C</m:t>
                      </m:r>
                    </m:e>
                    <m:sub>
                      <m:r>
                        <w:rPr>
                          <w:rFonts w:ascii="Cambria Math" w:hAnsi="Cambria Math"/>
                          <w:sz w:val="22"/>
                        </w:rPr>
                        <m:t>M</m:t>
                      </m:r>
                    </m:sub>
                  </m:sSub>
                  <m:r>
                    <w:rPr>
                      <w:rFonts w:ascii="Cambria Math" w:hAnsi="Cambria Math"/>
                      <w:sz w:val="22"/>
                    </w:rPr>
                    <m:t>⋅D⋅</m:t>
                  </m:r>
                  <m:sSup>
                    <m:e>
                      <m:r>
                        <w:rPr>
                          <w:rFonts w:ascii="Cambria Math" w:hAnsi="Cambria Math"/>
                          <w:sz w:val="22"/>
                        </w:rPr>
                        <m:t>t</m:t>
                      </m:r>
                    </m:e>
                    <m:sup>
                      <m:r>
                        <w:rPr>
                          <w:rFonts w:ascii="Cambria Math" w:hAnsi="Cambria Math"/>
                          <w:sz w:val="22"/>
                        </w:rPr>
                        <m:rPr>
                          <m:sty m:val="p"/>
                        </m:rPr>
                        <m:t>0,9</m:t>
                      </m:r>
                    </m:sup>
                  </m:sSup>
                  <m:r>
                    <w:rPr>
                      <w:rFonts w:ascii="Cambria Math" w:hAnsi="Cambria Math"/>
                      <w:sz w:val="22"/>
                    </w:rPr>
                    <m:t>⋅</m:t>
                  </m:r>
                  <m:sSup>
                    <m:e>
                      <m:r>
                        <w:rPr>
                          <w:rFonts w:ascii="Cambria Math" w:hAnsi="Cambria Math"/>
                          <w:sz w:val="22"/>
                        </w:rPr>
                        <m:t>S</m:t>
                      </m:r>
                    </m:e>
                    <m:sup>
                      <m:r>
                        <w:rPr>
                          <w:rFonts w:ascii="Cambria Math" w:hAnsi="Cambria Math"/>
                          <w:sz w:val="22"/>
                        </w:rPr>
                        <m:rPr>
                          <m:sty m:val="p"/>
                        </m:rPr>
                        <m:t>0,8</m:t>
                      </m:r>
                    </m:sup>
                  </m:sSup>
                  <m:r>
                    <w:rPr>
                      <w:rFonts w:ascii="Cambria Math" w:hAnsi="Cambria Math"/>
                      <w:sz w:val="22"/>
                    </w:rPr>
                    <m:t>⋅</m:t>
                  </m:r>
                  <m:sSub>
                    <m:e>
                      <m:r>
                        <w:rPr>
                          <w:rFonts w:ascii="Cambria Math" w:hAnsi="Cambria Math"/>
                          <w:sz w:val="22"/>
                        </w:rPr>
                        <m:t>K</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м</m:t>
                      </m:r>
                      <m:r>
                        <w:rPr>
                          <w:rFonts w:ascii="Cambria Math" w:hAnsi="Cambria Math"/>
                          <w:sz w:val="22"/>
                        </w:rPr>
                        <m:rPr>
                          <m:sty m:val="p"/>
                        </m:rPr>
                        <m:t>р</m:t>
                      </m:r>
                    </m:sub>
                  </m:sSub>
                </m:num>
                <m:den>
                  <m:r>
                    <w:rPr>
                      <w:rFonts w:ascii="Cambria Math" w:hAnsi="Cambria Math"/>
                      <w:sz w:val="22"/>
                    </w:rPr>
                    <m:t>2⋅1000</m:t>
                  </m:r>
                </m:den>
              </m:f>
              <m:r>
                <w:rPr>
                  <w:rFonts w:ascii="Cambria Math" w:hAnsi="Cambria Math"/>
                  <w:sz w:val="22"/>
                </w:rPr>
                <m:t>,#</m:t>
              </m:r>
              <m:d>
                <m:dPr>
                  <m:sepChr m:val=","/>
                </m:dPr>
                <m:e>
                  <m:r>
                    <w:rPr>
                      <w:rFonts w:ascii="Cambria Math" w:hAnsi="Cambria Math"/>
                      <w:sz w:val="22"/>
                    </w:rPr>
                    <m:t>3</m:t>
                  </m:r>
                </m:e>
              </m:d>
            </m:e>
          </m:eqArr>
        </m:oMath>
      </m:oMathPara>
    </w:p>
    <w:p w14:paraId="37010000">
      <w:pPr>
        <w:pStyle w:val="Style_8"/>
      </w:pPr>
      <w:r>
        <w:t>где </w:t>
      </w:r>
      <m:oMathPara>
        <m:oMath>
          <m:sSub>
            <m:e>
              <m:r>
                <w:rPr>
                  <w:rFonts w:ascii="Cambria Math" w:hAnsi="Cambria Math"/>
                  <w:sz w:val="22"/>
                </w:rPr>
                <m:t>C</m:t>
              </m:r>
            </m:e>
            <m:sub>
              <m:r>
                <w:rPr>
                  <w:rFonts w:ascii="Cambria Math" w:hAnsi="Cambria Math"/>
                  <w:sz w:val="22"/>
                </w:rPr>
                <m:t>M</m:t>
              </m:r>
            </m:sub>
          </m:sSub>
          <m:r>
            <w:rPr>
              <w:rFonts w:ascii="Cambria Math" w:hAnsi="Cambria Math"/>
              <w:sz w:val="22"/>
            </w:rPr>
            <m:t>=</m:t>
          </m:r>
          <m:r>
            <w:rPr>
              <w:rFonts w:ascii="Cambria Math" w:hAnsi="Cambria Math"/>
              <w:sz w:val="22"/>
            </w:rPr>
            <m:rPr>
              <m:sty m:val="p"/>
            </m:rPr>
            <m:t>0,196</m:t>
          </m:r>
        </m:oMath>
      </m:oMathPara>
      <w:r>
        <w:t> – коэффициент для чугуна;</w:t>
      </w:r>
      <w:r>
        <w:br/>
      </w:r>
      <m:oMathPara>
        <m:oMath>
          <m:sSub>
            <m:e>
              <m:r>
                <w:rPr>
                  <w:rFonts w:ascii="Cambria Math" w:hAnsi="Cambria Math"/>
                  <w:sz w:val="22"/>
                </w:rPr>
                <m:t>K</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м</m:t>
              </m:r>
              <m:r>
                <w:rPr>
                  <w:rFonts w:ascii="Cambria Math" w:hAnsi="Cambria Math"/>
                  <w:sz w:val="22"/>
                </w:rPr>
                <m:rPr>
                  <m:sty m:val="p"/>
                </m:rPr>
                <m:t>р</m:t>
              </m:r>
            </m:sub>
          </m:sSub>
          <m:r>
            <w:rPr>
              <w:rFonts w:ascii="Cambria Math" w:hAnsi="Cambria Math"/>
              <w:sz w:val="22"/>
            </w:rPr>
            <m:t>=</m:t>
          </m:r>
          <m:sSup>
            <m:e>
              <m:d>
                <m:dPr>
                  <m:sepChr m:val=","/>
                </m:dPr>
                <m:e>
                  <m:f>
                    <m:fPr>
                      <m:type m:val="bar"/>
                    </m:fPr>
                    <m:num>
                      <m:r>
                        <w:rPr>
                          <w:rFonts w:ascii="Cambria Math" w:hAnsi="Cambria Math"/>
                          <w:sz w:val="22"/>
                        </w:rPr>
                        <m:rPr>
                          <m:sty m:val="p"/>
                        </m:rPr>
                        <m:t>H</m:t>
                      </m:r>
                      <m:r>
                        <w:rPr>
                          <w:rFonts w:ascii="Cambria Math" w:hAnsi="Cambria Math"/>
                          <w:sz w:val="22"/>
                        </w:rPr>
                        <m:rPr>
                          <m:sty m:val="p"/>
                        </m:rPr>
                        <m:t>B</m:t>
                      </m:r>
                    </m:num>
                    <m:den>
                      <m:r>
                        <w:rPr>
                          <w:rFonts w:ascii="Cambria Math" w:hAnsi="Cambria Math"/>
                          <w:sz w:val="22"/>
                        </w:rPr>
                        <m:t>190</m:t>
                      </m:r>
                    </m:den>
                  </m:f>
                </m:e>
              </m:d>
            </m:e>
            <m:sup>
              <m:r>
                <w:rPr>
                  <w:rFonts w:ascii="Cambria Math" w:hAnsi="Cambria Math"/>
                  <w:sz w:val="22"/>
                </w:rPr>
                <m:rPr>
                  <m:sty m:val="p"/>
                </m:rPr>
                <m:t>1,3</m:t>
              </m:r>
            </m:sup>
          </m:sSup>
          <m:r>
            <w:rPr>
              <w:rFonts w:ascii="Cambria Math" w:hAnsi="Cambria Math"/>
              <w:sz w:val="22"/>
            </w:rPr>
            <m:t>=</m:t>
          </m:r>
          <m:r>
            <w:rPr>
              <w:rFonts w:ascii="Cambria Math" w:hAnsi="Cambria Math"/>
              <w:sz w:val="22"/>
            </w:rPr>
            <m:rPr>
              <m:sty m:val="p"/>
            </m:rPr>
            <m:t>0,935</m:t>
          </m:r>
        </m:oMath>
      </m:oMathPara>
      <w:r>
        <w:t> – поправочный коэффициент на твердость чугуна.</w:t>
      </w:r>
    </w:p>
    <w:p w14:paraId="38010000">
      <w:pPr>
        <w:pStyle w:val="Style_8"/>
      </w:pPr>
      <w:r>
        <w:t>Подстановка в формулу (3):</w:t>
      </w:r>
    </w:p>
    <w:p w14:paraId="39010000">
      <w:pPr>
        <w:pStyle w:val="Style_8"/>
      </w:pPr>
      <m:oMathPara>
        <m:oMath>
          <m:sSub>
            <m:e>
              <m:r>
                <w:rPr>
                  <w:rFonts w:ascii="Cambria Math" w:hAnsi="Cambria Math"/>
                  <w:sz w:val="22"/>
                </w:rPr>
                <m:t>M</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к</m:t>
              </m:r>
              <m:r>
                <w:rPr>
                  <w:rFonts w:ascii="Cambria Math" w:hAnsi="Cambria Math"/>
                  <w:sz w:val="22"/>
                </w:rPr>
                <m:rPr>
                  <m:sty m:val="p"/>
                </m:rPr>
                <m:t>р</m:t>
              </m:r>
            </m:sub>
          </m:sSub>
          <m:r>
            <w:rPr>
              <w:rFonts w:ascii="Cambria Math" w:hAnsi="Cambria Math"/>
              <w:sz w:val="22"/>
            </w:rPr>
            <m:t>=</m:t>
          </m:r>
          <m:f>
            <m:fPr>
              <m:type m:val="bar"/>
            </m:fPr>
            <m:num>
              <m:r>
                <w:rPr>
                  <w:rFonts w:ascii="Cambria Math" w:hAnsi="Cambria Math"/>
                  <w:sz w:val="22"/>
                </w:rPr>
                <m:rPr>
                  <m:sty m:val="p"/>
                </m:rPr>
                <m:t>0,196</m:t>
              </m:r>
              <m:r>
                <w:rPr>
                  <w:rFonts w:ascii="Cambria Math" w:hAnsi="Cambria Math"/>
                  <w:sz w:val="22"/>
                </w:rPr>
                <m:t>⋅</m:t>
              </m:r>
              <m:r>
                <w:rPr>
                  <w:rFonts w:ascii="Cambria Math" w:hAnsi="Cambria Math"/>
                  <w:sz w:val="22"/>
                </w:rPr>
                <m:rPr>
                  <m:sty m:val="p"/>
                </m:rPr>
                <m:t>49,8</m:t>
              </m:r>
              <m:r>
                <w:rPr>
                  <w:rFonts w:ascii="Cambria Math" w:hAnsi="Cambria Math"/>
                  <w:sz w:val="22"/>
                </w:rPr>
                <m:t>⋅0,</m:t>
              </m:r>
              <m:sSup>
                <m:e>
                  <m:r>
                    <w:rPr>
                      <w:rFonts w:ascii="Cambria Math" w:hAnsi="Cambria Math"/>
                      <w:sz w:val="22"/>
                    </w:rPr>
                    <m:t>9</m:t>
                  </m:r>
                </m:e>
                <m:sup>
                  <m:r>
                    <w:rPr>
                      <w:rFonts w:ascii="Cambria Math" w:hAnsi="Cambria Math"/>
                      <w:sz w:val="22"/>
                    </w:rPr>
                    <m:rPr>
                      <m:sty m:val="p"/>
                    </m:rPr>
                    <m:t>0,9</m:t>
                  </m:r>
                </m:sup>
              </m:sSup>
              <m:r>
                <w:rPr>
                  <w:rFonts w:ascii="Cambria Math" w:hAnsi="Cambria Math"/>
                  <w:sz w:val="22"/>
                </w:rPr>
                <m:t>⋅0,</m:t>
              </m:r>
              <m:sSup>
                <m:e>
                  <m:r>
                    <w:rPr>
                      <w:rFonts w:ascii="Cambria Math" w:hAnsi="Cambria Math"/>
                      <w:sz w:val="22"/>
                    </w:rPr>
                    <m:t>1</m:t>
                  </m:r>
                </m:e>
                <m:sup>
                  <m:r>
                    <w:rPr>
                      <w:rFonts w:ascii="Cambria Math" w:hAnsi="Cambria Math"/>
                      <w:sz w:val="22"/>
                    </w:rPr>
                    <m:rPr>
                      <m:sty m:val="p"/>
                    </m:rPr>
                    <m:t>0,8</m:t>
                  </m:r>
                </m:sup>
              </m:sSup>
              <m:r>
                <w:rPr>
                  <w:rFonts w:ascii="Cambria Math" w:hAnsi="Cambria Math"/>
                  <w:sz w:val="22"/>
                </w:rPr>
                <m:t>⋅</m:t>
              </m:r>
              <m:r>
                <w:rPr>
                  <w:rFonts w:ascii="Cambria Math" w:hAnsi="Cambria Math"/>
                  <w:sz w:val="22"/>
                </w:rPr>
                <m:rPr>
                  <m:sty m:val="p"/>
                </m:rPr>
                <m:t>0,935</m:t>
              </m:r>
            </m:num>
            <m:den>
              <m:r>
                <w:rPr>
                  <w:rFonts w:ascii="Cambria Math" w:hAnsi="Cambria Math"/>
                  <w:sz w:val="22"/>
                </w:rPr>
                <m:t>2⋅1000</m:t>
              </m:r>
            </m:den>
          </m:f>
          <m:r>
            <w:rPr>
              <w:rFonts w:ascii="Cambria Math" w:hAnsi="Cambria Math"/>
              <w:sz w:val="22"/>
            </w:rPr>
            <m:t>.</m:t>
          </m:r>
        </m:oMath>
      </m:oMathPara>
      <w:r>
        <w:t>Результат: </w:t>
      </w:r>
      <m:oMathPara>
        <m:oMath>
          <m:sSub>
            <m:e>
              <m:r>
                <w:rPr>
                  <w:rFonts w:ascii="Cambria Math" w:hAnsi="Cambria Math"/>
                  <w:sz w:val="22"/>
                </w:rPr>
                <m:t>M</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к</m:t>
              </m:r>
              <m:r>
                <w:rPr>
                  <w:rFonts w:ascii="Cambria Math" w:hAnsi="Cambria Math"/>
                  <w:sz w:val="22"/>
                </w:rPr>
                <m:rPr>
                  <m:sty m:val="p"/>
                </m:rPr>
                <m:t>р</m:t>
              </m:r>
            </m:sub>
          </m:sSub>
          <m:r>
            <w:rPr>
              <w:rFonts w:ascii="Cambria Math" w:hAnsi="Cambria Math"/>
              <w:sz w:val="22"/>
            </w:rPr>
            <m:t>=</m:t>
          </m:r>
          <m:f>
            <m:fPr>
              <m:type m:val="bar"/>
            </m:fPr>
            <m:num>
              <m:r>
                <w:rPr>
                  <w:rFonts w:ascii="Cambria Math" w:hAnsi="Cambria Math"/>
                  <w:sz w:val="22"/>
                </w:rPr>
                <m:rPr>
                  <m:sty m:val="p"/>
                </m:rPr>
                <m:t>1,32</m:t>
              </m:r>
            </m:num>
            <m:den>
              <m:r>
                <w:rPr>
                  <w:rFonts w:ascii="Cambria Math" w:hAnsi="Cambria Math"/>
                  <w:sz w:val="22"/>
                </w:rPr>
                <m:t>2000</m:t>
              </m:r>
            </m:den>
          </m:f>
          <m:r>
            <w:rPr>
              <w:rFonts w:ascii="Cambria Math" w:hAnsi="Cambria Math"/>
              <w:sz w:val="22"/>
            </w:rPr>
            <m:t>=</m:t>
          </m:r>
          <m:r>
            <w:rPr>
              <w:rFonts w:ascii="Cambria Math" w:hAnsi="Cambria Math"/>
              <w:sz w:val="22"/>
            </w:rPr>
            <m:rPr>
              <m:sty m:val="p"/>
            </m:rPr>
            <m:t>0,00066</m:t>
          </m:r>
        </m:oMath>
      </m:oMathPara>
      <w:r>
        <w:t> кН·м = 0,66 Н·м.</w:t>
      </w:r>
    </w:p>
    <w:p w14:paraId="3A010000">
      <w:pPr>
        <w:pStyle w:val="Style_8"/>
      </w:pPr>
      <w:r>
        <w:t>Мощность резания </w:t>
      </w:r>
      <m:oMathPara>
        <m:oMath>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р</m:t>
              </m:r>
              <m:r>
                <w:rPr>
                  <w:rFonts w:ascii="Cambria Math" w:hAnsi="Cambria Math"/>
                  <w:sz w:val="22"/>
                </w:rPr>
                <m:rPr>
                  <m:sty m:val="p"/>
                </m:rPr>
                <m:t>е</m:t>
              </m:r>
              <m:r>
                <w:rPr>
                  <w:rFonts w:ascii="Cambria Math" w:hAnsi="Cambria Math"/>
                  <w:sz w:val="22"/>
                </w:rPr>
                <m:rPr>
                  <m:sty m:val="p"/>
                </m:rPr>
                <m:t>з</m:t>
              </m:r>
            </m:sub>
          </m:sSub>
        </m:oMath>
      </m:oMathPara>
      <w:r>
        <w:t>, кВт, рассчитывается по формуле:</w:t>
      </w:r>
    </w:p>
    <w:p w14:paraId="3B010000">
      <w:pPr>
        <w:pStyle w:val="Style_8"/>
      </w:pPr>
      <m:oMathPara>
        <m:oMath>
          <m:eqArr>
            <m:e>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р</m:t>
                  </m:r>
                  <m:r>
                    <w:rPr>
                      <w:rFonts w:ascii="Cambria Math" w:hAnsi="Cambria Math"/>
                      <w:sz w:val="22"/>
                    </w:rPr>
                    <m:rPr>
                      <m:sty m:val="p"/>
                    </m:rPr>
                    <m:t>е</m:t>
                  </m:r>
                  <m:r>
                    <w:rPr>
                      <w:rFonts w:ascii="Cambria Math" w:hAnsi="Cambria Math"/>
                      <w:sz w:val="22"/>
                    </w:rPr>
                    <m:rPr>
                      <m:sty m:val="p"/>
                    </m:rPr>
                    <m:t>з</m:t>
                  </m:r>
                </m:sub>
              </m:sSub>
              <m:r>
                <w:rPr>
                  <w:rFonts w:ascii="Cambria Math" w:hAnsi="Cambria Math"/>
                  <w:sz w:val="22"/>
                </w:rPr>
                <m:t>=</m:t>
              </m:r>
              <m:f>
                <m:fPr>
                  <m:type m:val="bar"/>
                </m:fPr>
                <m:num>
                  <m:sSub>
                    <m:e>
                      <m:r>
                        <w:rPr>
                          <w:rFonts w:ascii="Cambria Math" w:hAnsi="Cambria Math"/>
                          <w:sz w:val="22"/>
                        </w:rPr>
                        <m:t>M</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к</m:t>
                      </m:r>
                      <m:r>
                        <w:rPr>
                          <w:rFonts w:ascii="Cambria Math" w:hAnsi="Cambria Math"/>
                          <w:sz w:val="22"/>
                        </w:rPr>
                        <m:rPr>
                          <m:sty m:val="p"/>
                        </m:rPr>
                        <m:t>р</m:t>
                      </m:r>
                    </m:sub>
                  </m:sSub>
                  <m:r>
                    <w:rPr>
                      <w:rFonts w:ascii="Cambria Math" w:hAnsi="Cambria Math"/>
                      <w:sz w:val="22"/>
                    </w:rPr>
                    <m:t>⋅n</m:t>
                  </m:r>
                </m:num>
                <m:den>
                  <m:r>
                    <w:rPr>
                      <w:rFonts w:ascii="Cambria Math" w:hAnsi="Cambria Math"/>
                      <w:sz w:val="22"/>
                    </w:rPr>
                    <m:t>9550</m:t>
                  </m:r>
                </m:den>
              </m:f>
              <m:r>
                <w:rPr>
                  <w:rFonts w:ascii="Cambria Math" w:hAnsi="Cambria Math"/>
                  <w:sz w:val="22"/>
                </w:rPr>
                <m:t>,#</m:t>
              </m:r>
              <m:d>
                <m:dPr>
                  <m:sepChr m:val=","/>
                </m:dPr>
                <m:e>
                  <m:r>
                    <w:rPr>
                      <w:rFonts w:ascii="Cambria Math" w:hAnsi="Cambria Math"/>
                      <w:sz w:val="22"/>
                    </w:rPr>
                    <m:t>4</m:t>
                  </m:r>
                </m:e>
              </m:d>
            </m:e>
          </m:eqArr>
        </m:oMath>
      </m:oMathPara>
    </w:p>
    <w:p w14:paraId="3C010000">
      <w:pPr>
        <w:pStyle w:val="Style_8"/>
      </w:pPr>
      <w:r>
        <w:t>Подстановка: </w:t>
      </w:r>
      <m:oMathPara>
        <m:oMath>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р</m:t>
              </m:r>
              <m:r>
                <w:rPr>
                  <w:rFonts w:ascii="Cambria Math" w:hAnsi="Cambria Math"/>
                  <w:sz w:val="22"/>
                </w:rPr>
                <m:rPr>
                  <m:sty m:val="p"/>
                </m:rPr>
                <m:t>е</m:t>
              </m:r>
              <m:r>
                <w:rPr>
                  <w:rFonts w:ascii="Cambria Math" w:hAnsi="Cambria Math"/>
                  <w:sz w:val="22"/>
                </w:rPr>
                <m:rPr>
                  <m:sty m:val="p"/>
                </m:rPr>
                <m:t>з</m:t>
              </m:r>
            </m:sub>
          </m:sSub>
          <m:r>
            <w:rPr>
              <w:rFonts w:ascii="Cambria Math" w:hAnsi="Cambria Math"/>
              <w:sz w:val="22"/>
            </w:rPr>
            <m:t>=</m:t>
          </m:r>
          <m:f>
            <m:fPr>
              <m:type m:val="bar"/>
            </m:fPr>
            <m:num>
              <m:r>
                <w:rPr>
                  <w:rFonts w:ascii="Cambria Math" w:hAnsi="Cambria Math"/>
                  <w:sz w:val="22"/>
                </w:rPr>
                <m:rPr>
                  <m:sty m:val="p"/>
                </m:rPr>
                <m:t>0,66</m:t>
              </m:r>
              <m:r>
                <w:rPr>
                  <w:rFonts w:ascii="Cambria Math" w:hAnsi="Cambria Math"/>
                  <w:sz w:val="22"/>
                </w:rPr>
                <m:t>⋅700</m:t>
              </m:r>
            </m:num>
            <m:den>
              <m:r>
                <w:rPr>
                  <w:rFonts w:ascii="Cambria Math" w:hAnsi="Cambria Math"/>
                  <w:sz w:val="22"/>
                </w:rPr>
                <m:t>9550</m:t>
              </m:r>
            </m:den>
          </m:f>
          <m:r>
            <w:rPr>
              <w:rFonts w:ascii="Cambria Math" w:hAnsi="Cambria Math"/>
              <w:sz w:val="22"/>
            </w:rPr>
            <m:t>≈</m:t>
          </m:r>
          <m:r>
            <w:rPr>
              <w:rFonts w:ascii="Cambria Math" w:hAnsi="Cambria Math"/>
              <w:sz w:val="22"/>
            </w:rPr>
            <m:rPr>
              <m:sty m:val="p"/>
            </m:rPr>
            <m:t>0,048</m:t>
          </m:r>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 </m:t>
          </m:r>
          <m:r>
            <w:rPr>
              <w:rFonts w:ascii="Cambria Math" w:hAnsi="Cambria Math"/>
              <w:sz w:val="22"/>
            </w:rPr>
            <m:rPr>
              <m:sty m:val="p"/>
            </m:rPr>
            <m:t>к</m:t>
          </m:r>
          <m:r>
            <w:rPr>
              <w:rFonts w:ascii="Cambria Math" w:hAnsi="Cambria Math"/>
              <w:sz w:val="22"/>
            </w:rPr>
            <m:rPr>
              <m:sty m:val="p"/>
            </m:rPr>
            <m:t>В</m:t>
          </m:r>
          <m:r>
            <w:rPr>
              <w:rFonts w:ascii="Cambria Math" w:hAnsi="Cambria Math"/>
              <w:sz w:val="22"/>
            </w:rPr>
            <m:rPr>
              <m:sty m:val="p"/>
            </m:rPr>
            <m:t>т</m:t>
          </m:r>
        </m:oMath>
      </m:oMathPara>
      <w:r>
        <w:t>.</w:t>
      </w:r>
    </w:p>
    <w:p w14:paraId="3D010000">
      <w:pPr>
        <w:pStyle w:val="Style_8"/>
      </w:pPr>
      <w:r>
        <w:t>Полученная мощность резания (0,048 кВт) значительно ниже мощности привода шпинделя станка (7,5 кВт). Коэффициент запаса составляет: </w:t>
      </w:r>
      <m:oMathPara>
        <m:oMath>
          <m:sSub>
            <m:e>
              <m:r>
                <w:rPr>
                  <w:rFonts w:ascii="Cambria Math" w:hAnsi="Cambria Math"/>
                  <w:sz w:val="22"/>
                </w:rPr>
                <m:t>K</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з</m:t>
              </m:r>
              <m:r>
                <w:rPr>
                  <w:rFonts w:ascii="Cambria Math" w:hAnsi="Cambria Math"/>
                  <w:sz w:val="22"/>
                </w:rPr>
                <m:rPr>
                  <m:sty m:val="p"/>
                </m:rPr>
                <m:t>а</m:t>
              </m:r>
              <m:r>
                <w:rPr>
                  <w:rFonts w:ascii="Cambria Math" w:hAnsi="Cambria Math"/>
                  <w:sz w:val="22"/>
                </w:rPr>
                <m:rPr>
                  <m:sty m:val="p"/>
                </m:rPr>
                <m:t>п</m:t>
              </m:r>
            </m:sub>
          </m:sSub>
          <m:r>
            <w:rPr>
              <w:rFonts w:ascii="Cambria Math" w:hAnsi="Cambria Math"/>
              <w:sz w:val="22"/>
            </w:rPr>
            <m:t>=</m:t>
          </m:r>
          <m:f>
            <m:fPr>
              <m:type m:val="bar"/>
            </m:fPr>
            <m:num>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с</m:t>
                  </m:r>
                  <m:r>
                    <w:rPr>
                      <w:rFonts w:ascii="Cambria Math" w:hAnsi="Cambria Math"/>
                      <w:sz w:val="22"/>
                    </w:rPr>
                    <m:rPr>
                      <m:sty m:val="p"/>
                    </m:rPr>
                    <m:t>т</m:t>
                  </m:r>
                </m:sub>
              </m:sSub>
              <m:r>
                <w:rPr>
                  <w:rFonts w:ascii="Cambria Math" w:hAnsi="Cambria Math"/>
                  <w:sz w:val="22"/>
                </w:rPr>
                <m:t>⋅η</m:t>
              </m:r>
            </m:num>
            <m:den>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р</m:t>
                  </m:r>
                  <m:r>
                    <w:rPr>
                      <w:rFonts w:ascii="Cambria Math" w:hAnsi="Cambria Math"/>
                      <w:sz w:val="22"/>
                    </w:rPr>
                    <m:rPr>
                      <m:sty m:val="p"/>
                    </m:rPr>
                    <m:t>е</m:t>
                  </m:r>
                  <m:r>
                    <w:rPr>
                      <w:rFonts w:ascii="Cambria Math" w:hAnsi="Cambria Math"/>
                      <w:sz w:val="22"/>
                    </w:rPr>
                    <m:rPr>
                      <m:sty m:val="p"/>
                    </m:rPr>
                    <m:t>з</m:t>
                  </m:r>
                </m:sub>
              </m:sSub>
            </m:den>
          </m:f>
          <m:r>
            <w:rPr>
              <w:rFonts w:ascii="Cambria Math" w:hAnsi="Cambria Math"/>
              <w:sz w:val="22"/>
            </w:rPr>
            <m:t>=</m:t>
          </m:r>
          <m:f>
            <m:fPr>
              <m:type m:val="bar"/>
            </m:fPr>
            <m:num>
              <m:r>
                <w:rPr>
                  <w:rFonts w:ascii="Cambria Math" w:hAnsi="Cambria Math"/>
                  <w:sz w:val="22"/>
                </w:rPr>
                <m:rPr>
                  <m:sty m:val="p"/>
                </m:rPr>
                <m:t>7,5</m:t>
              </m:r>
              <m:r>
                <w:rPr>
                  <w:rFonts w:ascii="Cambria Math" w:hAnsi="Cambria Math"/>
                  <w:sz w:val="22"/>
                </w:rPr>
                <m:t>⋅</m:t>
              </m:r>
              <m:r>
                <w:rPr>
                  <w:rFonts w:ascii="Cambria Math" w:hAnsi="Cambria Math"/>
                  <w:sz w:val="22"/>
                </w:rPr>
                <m:rPr>
                  <m:sty m:val="p"/>
                </m:rPr>
                <m:t>0,8</m:t>
              </m:r>
            </m:num>
            <m:den>
              <m:r>
                <w:rPr>
                  <w:rFonts w:ascii="Cambria Math" w:hAnsi="Cambria Math"/>
                  <w:sz w:val="22"/>
                </w:rPr>
                <m:rPr>
                  <m:sty m:val="p"/>
                </m:rPr>
                <m:t>0,048</m:t>
              </m:r>
            </m:den>
          </m:f>
          <m:r>
            <w:rPr>
              <w:rFonts w:ascii="Cambria Math" w:hAnsi="Cambria Math"/>
              <w:sz w:val="22"/>
            </w:rPr>
            <m:t>&gt;120</m:t>
          </m:r>
        </m:oMath>
      </m:oMathPara>
      <w:r>
        <w:t xml:space="preserve">. Это значение свидетельствует о наличии большого запаса </w:t>
      </w:r>
      <w:r>
        <w:t xml:space="preserve">мощности. В данном случае ограничивающим фактором является не мощность привода, а виброустойчивость тонкостенной заготовки и заданная шероховатость поверхности </w:t>
      </w:r>
      <w:r>
        <w:t>Ra</w:t>
      </w:r>
      <w:r>
        <w:t xml:space="preserve"> 1,6. Принятые режимы резания считаются технологически реализуемыми.</w:t>
      </w:r>
    </w:p>
    <w:p w14:paraId="3E010000">
      <w:pPr>
        <w:pStyle w:val="Style_8"/>
      </w:pPr>
      <w:r>
        <w:t>Расчет режимов для фрезерования базового основания</w:t>
      </w:r>
    </w:p>
    <w:p w14:paraId="3F010000">
      <w:pPr>
        <w:pStyle w:val="Style_8"/>
      </w:pPr>
      <w:r>
        <w:t>Фрезерование опорной поверхности заготовки производится торцевой фрезой диаметром </w:t>
      </w:r>
      <m:oMathPara>
        <m:oMath>
          <m:sSub>
            <m:e>
              <m:r>
                <w:rPr>
                  <w:rFonts w:ascii="Cambria Math" w:hAnsi="Cambria Math"/>
                  <w:sz w:val="22"/>
                </w:rPr>
                <m:t>D</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t>ф</m:t>
              </m:r>
            </m:sub>
          </m:sSub>
          <m:r>
            <w:rPr>
              <w:rFonts w:ascii="Cambria Math" w:hAnsi="Cambria Math"/>
              <w:sz w:val="22"/>
            </w:rPr>
            <m:t>=100</m:t>
          </m:r>
        </m:oMath>
      </m:oMathPara>
      <w:r>
        <w:t> мм с твердосплавными пластинами ВК8. Глубина резания на черновом проходе </w:t>
      </w:r>
      <m:oMathPara>
        <m:oMath>
          <m:r>
            <w:rPr>
              <w:rFonts w:ascii="Cambria Math" w:hAnsi="Cambria Math"/>
              <w:sz w:val="22"/>
            </w:rPr>
            <m:t>t=2</m:t>
          </m:r>
        </m:oMath>
      </m:oMathPara>
      <w:r>
        <w:t> мм. Подача на зуб </w:t>
      </w:r>
      <m:oMathPara>
        <m:oMath>
          <m:sSub>
            <m:e>
              <m:r>
                <w:rPr>
                  <w:rFonts w:ascii="Cambria Math" w:hAnsi="Cambria Math"/>
                  <w:sz w:val="22"/>
                </w:rPr>
                <m:t>S</m:t>
              </m:r>
            </m:e>
            <m:sub>
              <m:r>
                <w:rPr>
                  <w:rFonts w:ascii="Cambria Math" w:hAnsi="Cambria Math"/>
                  <w:sz w:val="22"/>
                </w:rPr>
                <m:t>z</m:t>
              </m:r>
            </m:sub>
          </m:sSub>
          <m:r>
            <w:rPr>
              <w:rFonts w:ascii="Cambria Math" w:hAnsi="Cambria Math"/>
              <w:sz w:val="22"/>
            </w:rPr>
            <m:t>=</m:t>
          </m:r>
          <m:r>
            <w:rPr>
              <w:rFonts w:ascii="Cambria Math" w:hAnsi="Cambria Math"/>
              <w:sz w:val="22"/>
            </w:rPr>
            <m:rPr>
              <m:sty m:val="p"/>
            </m:rPr>
            <m:t>0,12</m:t>
          </m:r>
        </m:oMath>
      </m:oMathPara>
      <w:r>
        <w:t> мм/зуб. Назначение режимов для фрезерования также выполняется по справочным зависимостям, согласно которым скорость резания для чугуна при фрезеровании составляет 120 м/мин.</w:t>
      </w:r>
    </w:p>
    <w:p w14:paraId="40010000">
      <w:pPr>
        <w:pStyle w:val="Style_8"/>
      </w:pPr>
      <w:r>
        <w:t>Определение частоты вращения фрезы </w:t>
      </w:r>
      <m:oMathPara>
        <m:oMath>
          <m:sSub>
            <m:e>
              <m:r>
                <w:rPr>
                  <w:rFonts w:ascii="Cambria Math" w:hAnsi="Cambria Math"/>
                  <w:sz w:val="22"/>
                </w:rPr>
                <m:t>n</m:t>
              </m:r>
            </m:e>
            <m:sub>
              <m:r>
                <w:rPr>
                  <w:rFonts w:ascii="Cambria Math" w:hAnsi="Cambria Math"/>
                  <w:sz w:val="22"/>
                </w:rPr>
                <m:t>ϕ</m:t>
              </m:r>
            </m:sub>
          </m:sSub>
        </m:oMath>
      </m:oMathPara>
      <w:r>
        <w:t>, об/мин, выполняется по той же зависимости (2):</w:t>
      </w:r>
    </w:p>
    <w:p w14:paraId="41010000">
      <w:pPr>
        <w:pStyle w:val="Style_8"/>
      </w:pPr>
      <m:oMathPara>
        <m:oMath>
          <m:sSub>
            <m:e>
              <m:r>
                <w:rPr>
                  <w:rFonts w:ascii="Cambria Math" w:hAnsi="Cambria Math"/>
                  <w:sz w:val="22"/>
                </w:rPr>
                <m:t>n</m:t>
              </m:r>
            </m:e>
            <m:sub>
              <m:r>
                <w:rPr>
                  <w:rFonts w:ascii="Cambria Math" w:hAnsi="Cambria Math"/>
                  <w:sz w:val="22"/>
                </w:rPr>
                <m:t>ϕ</m:t>
              </m:r>
            </m:sub>
          </m:sSub>
          <m:r>
            <w:rPr>
              <w:rFonts w:ascii="Cambria Math" w:hAnsi="Cambria Math"/>
              <w:sz w:val="22"/>
            </w:rPr>
            <m:t>=</m:t>
          </m:r>
          <m:f>
            <m:fPr>
              <m:type m:val="bar"/>
            </m:fPr>
            <m:num>
              <m:r>
                <w:rPr>
                  <w:rFonts w:ascii="Cambria Math" w:hAnsi="Cambria Math"/>
                  <w:sz w:val="22"/>
                </w:rPr>
                <m:t>1000⋅120</m:t>
              </m:r>
            </m:num>
            <m:den>
              <m:r>
                <w:rPr>
                  <w:rFonts w:ascii="Cambria Math" w:hAnsi="Cambria Math"/>
                  <w:sz w:val="22"/>
                </w:rPr>
                <m:rPr>
                  <m:sty m:val="p"/>
                </m:rPr>
                <m:t>3,14</m:t>
              </m:r>
              <m:r>
                <w:rPr>
                  <w:rFonts w:ascii="Cambria Math" w:hAnsi="Cambria Math"/>
                  <w:sz w:val="22"/>
                </w:rPr>
                <m:t>⋅100</m:t>
              </m:r>
            </m:den>
          </m:f>
          <m:r>
            <w:rPr>
              <w:rFonts w:ascii="Cambria Math" w:hAnsi="Cambria Math"/>
              <w:sz w:val="22"/>
            </w:rPr>
            <m:t>=</m:t>
          </m:r>
          <m:f>
            <m:fPr>
              <m:type m:val="bar"/>
            </m:fPr>
            <m:num>
              <m:r>
                <w:rPr>
                  <w:rFonts w:ascii="Cambria Math" w:hAnsi="Cambria Math"/>
                  <w:sz w:val="22"/>
                </w:rPr>
                <m:t>120000</m:t>
              </m:r>
            </m:num>
            <m:den>
              <m:r>
                <w:rPr>
                  <w:rFonts w:ascii="Cambria Math" w:hAnsi="Cambria Math"/>
                  <w:sz w:val="22"/>
                </w:rPr>
                <m:t>314</m:t>
              </m:r>
            </m:den>
          </m:f>
          <m:r>
            <w:rPr>
              <w:rFonts w:ascii="Cambria Math" w:hAnsi="Cambria Math"/>
              <w:sz w:val="22"/>
            </w:rPr>
            <m:t>≈382</m:t>
          </m:r>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 </m:t>
          </m:r>
          <m:r>
            <w:rPr>
              <w:rFonts w:ascii="Cambria Math" w:hAnsi="Cambria Math"/>
              <w:sz w:val="22"/>
            </w:rPr>
            <m:rPr>
              <m:sty m:val="p"/>
            </m:rPr>
            <m:t>о</m:t>
          </m:r>
          <m:r>
            <w:rPr>
              <w:rFonts w:ascii="Cambria Math" w:hAnsi="Cambria Math"/>
              <w:sz w:val="22"/>
            </w:rPr>
            <m:rPr>
              <m:sty m:val="p"/>
            </m:rPr>
            <m:t>б</m:t>
          </m:r>
          <m:r>
            <w:rPr>
              <w:rFonts w:ascii="Cambria Math" w:hAnsi="Cambria Math"/>
              <w:sz w:val="22"/>
            </w:rPr>
            <m:t>/</m:t>
          </m:r>
          <m:r>
            <w:rPr>
              <w:rFonts w:ascii="Cambria Math" w:hAnsi="Cambria Math"/>
              <w:sz w:val="22"/>
            </w:rPr>
            <m:rPr>
              <m:sty m:val="p"/>
            </m:rPr>
            <m:t>м</m:t>
          </m:r>
          <m:r>
            <w:rPr>
              <w:rFonts w:ascii="Cambria Math" w:hAnsi="Cambria Math"/>
              <w:sz w:val="22"/>
            </w:rPr>
            <m:rPr>
              <m:sty m:val="p"/>
            </m:rPr>
            <m:t>и</m:t>
          </m:r>
          <m:r>
            <w:rPr>
              <w:rFonts w:ascii="Cambria Math" w:hAnsi="Cambria Math"/>
              <w:sz w:val="22"/>
            </w:rPr>
            <m:rPr>
              <m:sty m:val="p"/>
            </m:rPr>
            <m:t>н</m:t>
          </m:r>
          <m:r>
            <w:rPr>
              <w:rFonts w:ascii="Cambria Math" w:hAnsi="Cambria Math"/>
              <w:sz w:val="22"/>
            </w:rPr>
            <m:t>.</m:t>
          </m:r>
        </m:oMath>
      </m:oMathPara>
    </w:p>
    <w:p w14:paraId="42010000">
      <w:pPr>
        <w:pStyle w:val="Style_8"/>
      </w:pPr>
      <w:r>
        <w:t>С учетом паспортных данных станка 400V частота вращения шпинделя для фрезерования принимается 500 об/мин. Минутная подача </w:t>
      </w:r>
      <m:oMathPara>
        <m:oMath>
          <m:sSub>
            <m:e>
              <m:r>
                <w:rPr>
                  <w:rFonts w:ascii="Cambria Math" w:hAnsi="Cambria Math"/>
                  <w:sz w:val="22"/>
                </w:rPr>
                <m:t>S</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м</m:t>
              </m:r>
              <m:r>
                <w:rPr>
                  <w:rFonts w:ascii="Cambria Math" w:hAnsi="Cambria Math"/>
                  <w:sz w:val="22"/>
                </w:rPr>
                <m:rPr>
                  <m:sty m:val="p"/>
                </m:rPr>
                <m:t>и</m:t>
              </m:r>
              <m:r>
                <w:rPr>
                  <w:rFonts w:ascii="Cambria Math" w:hAnsi="Cambria Math"/>
                  <w:sz w:val="22"/>
                </w:rPr>
                <m:rPr>
                  <m:sty m:val="p"/>
                </m:rPr>
                <m:t>н</m:t>
              </m:r>
            </m:sub>
          </m:sSub>
        </m:oMath>
      </m:oMathPara>
      <w:r>
        <w:t>, мм/мин, рассчитывается как:</w:t>
      </w:r>
    </w:p>
    <w:p w14:paraId="43010000">
      <w:pPr>
        <w:pStyle w:val="Style_8"/>
      </w:pPr>
      <m:oMathPara>
        <m:oMath>
          <m:eqArr>
            <m:e>
              <m:sSub>
                <m:e>
                  <m:r>
                    <w:rPr>
                      <w:rFonts w:ascii="Cambria Math" w:hAnsi="Cambria Math"/>
                      <w:sz w:val="22"/>
                    </w:rPr>
                    <m:t>S</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м</m:t>
                  </m:r>
                  <m:r>
                    <w:rPr>
                      <w:rFonts w:ascii="Cambria Math" w:hAnsi="Cambria Math"/>
                      <w:sz w:val="22"/>
                    </w:rPr>
                    <m:rPr>
                      <m:sty m:val="p"/>
                    </m:rPr>
                    <m:t>и</m:t>
                  </m:r>
                  <m:r>
                    <w:rPr>
                      <w:rFonts w:ascii="Cambria Math" w:hAnsi="Cambria Math"/>
                      <w:sz w:val="22"/>
                    </w:rPr>
                    <m:rPr>
                      <m:sty m:val="p"/>
                    </m:rPr>
                    <m:t>н</m:t>
                  </m:r>
                </m:sub>
              </m:sSub>
              <m:r>
                <w:rPr>
                  <w:rFonts w:ascii="Cambria Math" w:hAnsi="Cambria Math"/>
                  <w:sz w:val="22"/>
                </w:rPr>
                <m:t>=</m:t>
              </m:r>
              <m:sSub>
                <m:e>
                  <m:r>
                    <w:rPr>
                      <w:rFonts w:ascii="Cambria Math" w:hAnsi="Cambria Math"/>
                      <w:sz w:val="22"/>
                    </w:rPr>
                    <m:t>S</m:t>
                  </m:r>
                </m:e>
                <m:sub>
                  <m:r>
                    <w:rPr>
                      <w:rFonts w:ascii="Cambria Math" w:hAnsi="Cambria Math"/>
                      <w:sz w:val="22"/>
                    </w:rPr>
                    <m:t>z</m:t>
                  </m:r>
                </m:sub>
              </m:sSub>
              <m:r>
                <w:rPr>
                  <w:rFonts w:ascii="Cambria Math" w:hAnsi="Cambria Math"/>
                  <w:sz w:val="22"/>
                </w:rPr>
                <m:t>⋅z⋅n,#</m:t>
              </m:r>
              <m:d>
                <m:dPr>
                  <m:sepChr m:val=","/>
                </m:dPr>
                <m:e>
                  <m:r>
                    <w:rPr>
                      <w:rFonts w:ascii="Cambria Math" w:hAnsi="Cambria Math"/>
                      <w:sz w:val="22"/>
                    </w:rPr>
                    <m:t>5</m:t>
                  </m:r>
                </m:e>
              </m:d>
            </m:e>
          </m:eqArr>
        </m:oMath>
      </m:oMathPara>
    </w:p>
    <w:p w14:paraId="44010000">
      <w:pPr>
        <w:pStyle w:val="Style_8"/>
      </w:pPr>
      <w:r>
        <w:t>где </w:t>
      </w:r>
      <m:oMathPara>
        <m:oMath>
          <m:r>
            <w:rPr>
              <w:rFonts w:ascii="Cambria Math" w:hAnsi="Cambria Math"/>
              <w:sz w:val="22"/>
            </w:rPr>
            <m:t>z=4</m:t>
          </m:r>
        </m:oMath>
      </m:oMathPara>
      <w:r>
        <w:t> – количество зубьев фрезы; </w:t>
      </w:r>
      <m:oMathPara>
        <m:oMath>
          <m:r>
            <w:rPr>
              <w:rFonts w:ascii="Cambria Math" w:hAnsi="Cambria Math"/>
              <w:sz w:val="22"/>
            </w:rPr>
            <m:t>n=500</m:t>
          </m:r>
        </m:oMath>
      </m:oMathPara>
      <w:r>
        <w:t> об/мин.</w:t>
      </w:r>
      <w:r>
        <w:br/>
      </w:r>
      <w:r>
        <w:t>Подстановка: </w:t>
      </w:r>
      <m:oMathPara>
        <m:oMath>
          <m:sSub>
            <m:e>
              <m:r>
                <w:rPr>
                  <w:rFonts w:ascii="Cambria Math" w:hAnsi="Cambria Math"/>
                  <w:sz w:val="22"/>
                </w:rPr>
                <m:t>S</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м</m:t>
              </m:r>
              <m:r>
                <w:rPr>
                  <w:rFonts w:ascii="Cambria Math" w:hAnsi="Cambria Math"/>
                  <w:sz w:val="22"/>
                </w:rPr>
                <m:rPr>
                  <m:sty m:val="p"/>
                </m:rPr>
                <m:t>и</m:t>
              </m:r>
              <m:r>
                <w:rPr>
                  <w:rFonts w:ascii="Cambria Math" w:hAnsi="Cambria Math"/>
                  <w:sz w:val="22"/>
                </w:rPr>
                <m:rPr>
                  <m:sty m:val="p"/>
                </m:rPr>
                <m:t>н</m:t>
              </m:r>
            </m:sub>
          </m:sSub>
          <m:r>
            <w:rPr>
              <w:rFonts w:ascii="Cambria Math" w:hAnsi="Cambria Math"/>
              <w:sz w:val="22"/>
            </w:rPr>
            <m:t>=</m:t>
          </m:r>
          <m:r>
            <w:rPr>
              <w:rFonts w:ascii="Cambria Math" w:hAnsi="Cambria Math"/>
              <w:sz w:val="22"/>
            </w:rPr>
            <m:rPr>
              <m:sty m:val="p"/>
            </m:rPr>
            <m:t>0,12</m:t>
          </m:r>
          <m:r>
            <w:rPr>
              <w:rFonts w:ascii="Cambria Math" w:hAnsi="Cambria Math"/>
              <w:sz w:val="22"/>
            </w:rPr>
            <m:t>⋅4⋅500=240</m:t>
          </m:r>
        </m:oMath>
      </m:oMathPara>
      <w:r>
        <w:t> мм/мин.</w:t>
      </w:r>
    </w:p>
    <w:p w14:paraId="45010000">
      <w:pPr>
        <w:pStyle w:val="Style_8"/>
      </w:pPr>
      <w:r>
        <w:t xml:space="preserve">Полученные расчетные значения и назначенные режимы резания для всех основных переходов механической обработки сведены в таблицу </w:t>
      </w:r>
      <w:r>
        <w:t>4.</w:t>
      </w:r>
    </w:p>
    <w:p w14:paraId="46010000">
      <w:pPr>
        <w:pStyle w:val="Style_8"/>
      </w:pPr>
      <w:r>
        <w:t xml:space="preserve">Представленный расчет показывает, что обработка внутреннего отверстия Ø50H7 не требует высоких энергозатрат со стороны оборудования. Основные усилия при резании незначительны, поэтому определяющим фактором назначения скорости резания выступает необходимость получения финишной шероховатости </w:t>
      </w:r>
      <w:r>
        <w:t>Ra</w:t>
      </w:r>
      <w:r>
        <w:t xml:space="preserve"> 1,6. Снижение подачи на чистовом растачивании до 0,10 мм/об позволяет обеспечить требуемую чистоту поверхности. Назначенные частоты вращения шпинделя для фрезерования и </w:t>
      </w:r>
      <w:r>
        <w:t>растачивания соответствуют паспортным данным станка 400V и находятся в диапазоне 500...700 об/мин, что подтверждает возможность его эксплуатации в заданных режимах.</w:t>
      </w:r>
    </w:p>
    <w:p w14:paraId="47010000">
      <w:pPr>
        <w:pStyle w:val="Style_8"/>
        <w:ind/>
        <w:jc w:val="right"/>
      </w:pPr>
      <w:r>
        <w:t>Таблица 4</w:t>
      </w:r>
    </w:p>
    <w:p w14:paraId="48010000">
      <w:pPr>
        <w:pStyle w:val="Style_8"/>
        <w:ind/>
        <w:jc w:val="center"/>
      </w:pPr>
      <w:r>
        <w:t>Режимы резания на основных операциях</w:t>
      </w:r>
    </w:p>
    <w:tbl>
      <w:tblPr>
        <w:tblStyle w:val="Style_10"/>
        <w:tblLayout w:type="fixed"/>
      </w:tblPr>
      <w:tblGrid>
        <w:gridCol w:w="2351"/>
        <w:gridCol w:w="1566"/>
        <w:gridCol w:w="1755"/>
        <w:gridCol w:w="1808"/>
        <w:gridCol w:w="1865"/>
      </w:tblGrid>
      <w:tr>
        <w:tc>
          <w:tcPr>
            <w:tcW w:type="dxa" w:w="2351"/>
          </w:tcPr>
          <w:p w14:paraId="49010000">
            <w:pPr>
              <w:spacing w:line="240" w:lineRule="auto"/>
              <w:ind w:firstLine="0" w:left="0"/>
              <w:jc w:val="center"/>
              <w:rPr>
                <w:sz w:val="24"/>
              </w:rPr>
            </w:pPr>
            <w:r>
              <w:rPr>
                <w:sz w:val="24"/>
              </w:rPr>
              <w:t>Переход</w:t>
            </w:r>
          </w:p>
        </w:tc>
        <w:tc>
          <w:tcPr>
            <w:tcW w:type="dxa" w:w="1566"/>
          </w:tcPr>
          <w:p w14:paraId="4A010000">
            <w:pPr>
              <w:spacing w:line="240" w:lineRule="auto"/>
              <w:ind w:firstLine="0" w:left="0"/>
              <w:jc w:val="center"/>
              <w:rPr>
                <w:sz w:val="24"/>
              </w:rPr>
            </w:pPr>
            <w:r>
              <w:rPr>
                <w:sz w:val="24"/>
              </w:rPr>
              <w:t>Глубина резания t, мм</w:t>
            </w:r>
          </w:p>
        </w:tc>
        <w:tc>
          <w:tcPr>
            <w:tcW w:type="dxa" w:w="1755"/>
          </w:tcPr>
          <w:p w14:paraId="4B010000">
            <w:pPr>
              <w:spacing w:line="240" w:lineRule="auto"/>
              <w:ind w:firstLine="0" w:left="0"/>
              <w:jc w:val="center"/>
              <w:rPr>
                <w:sz w:val="24"/>
              </w:rPr>
            </w:pPr>
            <w:r>
              <w:rPr>
                <w:sz w:val="24"/>
              </w:rPr>
              <w:t>Подача S, мм/об (мм/мин)</w:t>
            </w:r>
          </w:p>
        </w:tc>
        <w:tc>
          <w:tcPr>
            <w:tcW w:type="dxa" w:w="1808"/>
          </w:tcPr>
          <w:p w14:paraId="4C010000">
            <w:pPr>
              <w:spacing w:line="240" w:lineRule="auto"/>
              <w:ind w:firstLine="0" w:left="0"/>
              <w:jc w:val="center"/>
              <w:rPr>
                <w:sz w:val="24"/>
              </w:rPr>
            </w:pPr>
            <w:r>
              <w:rPr>
                <w:sz w:val="24"/>
              </w:rPr>
              <w:t>Скорость резания V, м/мин</w:t>
            </w:r>
          </w:p>
        </w:tc>
        <w:tc>
          <w:tcPr>
            <w:tcW w:type="dxa" w:w="1865"/>
          </w:tcPr>
          <w:p w14:paraId="4D010000">
            <w:pPr>
              <w:spacing w:line="240" w:lineRule="auto"/>
              <w:ind w:firstLine="0" w:left="0"/>
              <w:jc w:val="center"/>
              <w:rPr>
                <w:sz w:val="24"/>
              </w:rPr>
            </w:pPr>
            <w:r>
              <w:rPr>
                <w:sz w:val="24"/>
              </w:rPr>
              <w:t>Частота вращения n, об/мин</w:t>
            </w:r>
          </w:p>
        </w:tc>
      </w:tr>
      <w:tr>
        <w:tc>
          <w:tcPr>
            <w:tcW w:type="dxa" w:w="2351"/>
          </w:tcPr>
          <w:p w14:paraId="4E010000">
            <w:pPr>
              <w:spacing w:line="240" w:lineRule="auto"/>
              <w:ind w:firstLine="0" w:left="0"/>
              <w:jc w:val="center"/>
              <w:rPr>
                <w:sz w:val="24"/>
              </w:rPr>
            </w:pPr>
            <w:r>
              <w:rPr>
                <w:sz w:val="24"/>
              </w:rPr>
              <w:t>1. Фрезерование основания</w:t>
            </w:r>
          </w:p>
        </w:tc>
        <w:tc>
          <w:tcPr>
            <w:tcW w:type="dxa" w:w="1566"/>
          </w:tcPr>
          <w:p w14:paraId="4F010000">
            <w:pPr>
              <w:spacing w:line="240" w:lineRule="auto"/>
              <w:ind w:firstLine="0" w:left="0"/>
              <w:jc w:val="center"/>
              <w:rPr>
                <w:sz w:val="24"/>
              </w:rPr>
            </w:pPr>
            <w:r>
              <w:rPr>
                <w:sz w:val="24"/>
              </w:rPr>
              <w:t>2,0</w:t>
            </w:r>
          </w:p>
        </w:tc>
        <w:tc>
          <w:tcPr>
            <w:tcW w:type="dxa" w:w="1755"/>
          </w:tcPr>
          <w:p w14:paraId="50010000">
            <w:pPr>
              <w:spacing w:line="240" w:lineRule="auto"/>
              <w:ind w:firstLine="0" w:left="0"/>
              <w:jc w:val="center"/>
              <w:rPr>
                <w:sz w:val="24"/>
              </w:rPr>
            </w:pPr>
            <w:r>
              <w:rPr>
                <w:sz w:val="24"/>
              </w:rPr>
              <w:t>0,12 (460)</w:t>
            </w:r>
          </w:p>
        </w:tc>
        <w:tc>
          <w:tcPr>
            <w:tcW w:type="dxa" w:w="1808"/>
          </w:tcPr>
          <w:p w14:paraId="51010000">
            <w:pPr>
              <w:spacing w:line="240" w:lineRule="auto"/>
              <w:ind w:firstLine="0" w:left="0"/>
              <w:jc w:val="center"/>
              <w:rPr>
                <w:sz w:val="24"/>
              </w:rPr>
            </w:pPr>
            <w:r>
              <w:rPr>
                <w:sz w:val="24"/>
              </w:rPr>
              <w:t>120</w:t>
            </w:r>
          </w:p>
        </w:tc>
        <w:tc>
          <w:tcPr>
            <w:tcW w:type="dxa" w:w="1865"/>
          </w:tcPr>
          <w:p w14:paraId="52010000">
            <w:pPr>
              <w:spacing w:line="240" w:lineRule="auto"/>
              <w:ind w:firstLine="0" w:left="0"/>
              <w:jc w:val="center"/>
              <w:rPr>
                <w:sz w:val="24"/>
              </w:rPr>
            </w:pPr>
            <w:r>
              <w:rPr>
                <w:sz w:val="24"/>
              </w:rPr>
              <w:t>500</w:t>
            </w:r>
          </w:p>
        </w:tc>
      </w:tr>
      <w:tr>
        <w:tc>
          <w:tcPr>
            <w:tcW w:type="dxa" w:w="2351"/>
          </w:tcPr>
          <w:p w14:paraId="53010000">
            <w:pPr>
              <w:spacing w:line="240" w:lineRule="auto"/>
              <w:ind w:firstLine="0" w:left="0"/>
              <w:jc w:val="center"/>
              <w:rPr>
                <w:sz w:val="24"/>
              </w:rPr>
            </w:pPr>
            <w:r>
              <w:rPr>
                <w:sz w:val="24"/>
              </w:rPr>
              <w:t>2. Черновое растачивание (Ø48)</w:t>
            </w:r>
          </w:p>
        </w:tc>
        <w:tc>
          <w:tcPr>
            <w:tcW w:type="dxa" w:w="1566"/>
          </w:tcPr>
          <w:p w14:paraId="54010000">
            <w:pPr>
              <w:spacing w:line="240" w:lineRule="auto"/>
              <w:ind w:firstLine="0" w:left="0"/>
              <w:jc w:val="center"/>
              <w:rPr>
                <w:sz w:val="24"/>
              </w:rPr>
            </w:pPr>
            <w:r>
              <w:rPr>
                <w:sz w:val="24"/>
              </w:rPr>
              <w:t>1,5</w:t>
            </w:r>
          </w:p>
        </w:tc>
        <w:tc>
          <w:tcPr>
            <w:tcW w:type="dxa" w:w="1755"/>
          </w:tcPr>
          <w:p w14:paraId="55010000">
            <w:pPr>
              <w:spacing w:line="240" w:lineRule="auto"/>
              <w:ind w:firstLine="0" w:left="0"/>
              <w:jc w:val="center"/>
              <w:rPr>
                <w:sz w:val="24"/>
              </w:rPr>
            </w:pPr>
            <w:r>
              <w:rPr>
                <w:sz w:val="24"/>
              </w:rPr>
              <w:t>0,25</w:t>
            </w:r>
          </w:p>
        </w:tc>
        <w:tc>
          <w:tcPr>
            <w:tcW w:type="dxa" w:w="1808"/>
          </w:tcPr>
          <w:p w14:paraId="56010000">
            <w:pPr>
              <w:spacing w:line="240" w:lineRule="auto"/>
              <w:ind w:firstLine="0" w:left="0"/>
              <w:jc w:val="center"/>
              <w:rPr>
                <w:sz w:val="24"/>
              </w:rPr>
            </w:pPr>
            <w:r>
              <w:rPr>
                <w:sz w:val="24"/>
              </w:rPr>
              <w:t>95</w:t>
            </w:r>
          </w:p>
        </w:tc>
        <w:tc>
          <w:tcPr>
            <w:tcW w:type="dxa" w:w="1865"/>
          </w:tcPr>
          <w:p w14:paraId="57010000">
            <w:pPr>
              <w:spacing w:line="240" w:lineRule="auto"/>
              <w:ind w:firstLine="0" w:left="0"/>
              <w:jc w:val="center"/>
              <w:rPr>
                <w:sz w:val="24"/>
              </w:rPr>
            </w:pPr>
            <w:r>
              <w:rPr>
                <w:sz w:val="24"/>
              </w:rPr>
              <w:t>630</w:t>
            </w:r>
          </w:p>
        </w:tc>
      </w:tr>
      <w:tr>
        <w:tc>
          <w:tcPr>
            <w:tcW w:type="dxa" w:w="2351"/>
          </w:tcPr>
          <w:p w14:paraId="58010000">
            <w:pPr>
              <w:spacing w:line="240" w:lineRule="auto"/>
              <w:ind w:firstLine="0" w:left="0"/>
              <w:jc w:val="center"/>
              <w:rPr>
                <w:sz w:val="24"/>
              </w:rPr>
            </w:pPr>
            <w:r>
              <w:rPr>
                <w:sz w:val="24"/>
              </w:rPr>
              <w:t>3. Чистовое растачивание (Ø49,8)</w:t>
            </w:r>
          </w:p>
        </w:tc>
        <w:tc>
          <w:tcPr>
            <w:tcW w:type="dxa" w:w="1566"/>
          </w:tcPr>
          <w:p w14:paraId="59010000">
            <w:pPr>
              <w:spacing w:line="240" w:lineRule="auto"/>
              <w:ind w:firstLine="0" w:left="0"/>
              <w:jc w:val="center"/>
              <w:rPr>
                <w:sz w:val="24"/>
              </w:rPr>
            </w:pPr>
            <w:r>
              <w:rPr>
                <w:sz w:val="24"/>
              </w:rPr>
              <w:t>0,9</w:t>
            </w:r>
          </w:p>
        </w:tc>
        <w:tc>
          <w:tcPr>
            <w:tcW w:type="dxa" w:w="1755"/>
          </w:tcPr>
          <w:p w14:paraId="5A010000">
            <w:pPr>
              <w:spacing w:line="240" w:lineRule="auto"/>
              <w:ind w:firstLine="0" w:left="0"/>
              <w:jc w:val="center"/>
              <w:rPr>
                <w:sz w:val="24"/>
              </w:rPr>
            </w:pPr>
            <w:r>
              <w:rPr>
                <w:sz w:val="24"/>
              </w:rPr>
              <w:t>0,10</w:t>
            </w:r>
          </w:p>
        </w:tc>
        <w:tc>
          <w:tcPr>
            <w:tcW w:type="dxa" w:w="1808"/>
          </w:tcPr>
          <w:p w14:paraId="5B010000">
            <w:pPr>
              <w:spacing w:line="240" w:lineRule="auto"/>
              <w:ind w:firstLine="0" w:left="0"/>
              <w:jc w:val="center"/>
              <w:rPr>
                <w:sz w:val="24"/>
              </w:rPr>
            </w:pPr>
            <w:r>
              <w:rPr>
                <w:sz w:val="24"/>
              </w:rPr>
              <w:t>110</w:t>
            </w:r>
          </w:p>
        </w:tc>
        <w:tc>
          <w:tcPr>
            <w:tcW w:type="dxa" w:w="1865"/>
          </w:tcPr>
          <w:p w14:paraId="5C010000">
            <w:pPr>
              <w:spacing w:line="240" w:lineRule="auto"/>
              <w:ind w:firstLine="0" w:left="0"/>
              <w:jc w:val="center"/>
              <w:rPr>
                <w:sz w:val="24"/>
              </w:rPr>
            </w:pPr>
            <w:r>
              <w:rPr>
                <w:sz w:val="24"/>
              </w:rPr>
              <w:t>700</w:t>
            </w:r>
          </w:p>
        </w:tc>
      </w:tr>
      <w:tr>
        <w:tc>
          <w:tcPr>
            <w:tcW w:type="dxa" w:w="2351"/>
          </w:tcPr>
          <w:p w14:paraId="5D010000">
            <w:pPr>
              <w:spacing w:line="240" w:lineRule="auto"/>
              <w:ind w:firstLine="0" w:left="0"/>
              <w:jc w:val="center"/>
              <w:rPr>
                <w:sz w:val="24"/>
              </w:rPr>
            </w:pPr>
            <w:r>
              <w:rPr>
                <w:sz w:val="24"/>
              </w:rPr>
              <w:t>4. Сверление и зенкерование</w:t>
            </w:r>
          </w:p>
        </w:tc>
        <w:tc>
          <w:tcPr>
            <w:tcW w:type="dxa" w:w="1566"/>
          </w:tcPr>
          <w:p w14:paraId="5E010000">
            <w:pPr>
              <w:spacing w:line="240" w:lineRule="auto"/>
              <w:ind w:firstLine="0" w:left="0"/>
              <w:jc w:val="center"/>
              <w:rPr>
                <w:sz w:val="24"/>
              </w:rPr>
            </w:pPr>
            <w:r>
              <w:rPr>
                <w:sz w:val="24"/>
              </w:rPr>
              <w:t>5,0</w:t>
            </w:r>
          </w:p>
        </w:tc>
        <w:tc>
          <w:tcPr>
            <w:tcW w:type="dxa" w:w="1755"/>
          </w:tcPr>
          <w:p w14:paraId="5F010000">
            <w:pPr>
              <w:spacing w:line="240" w:lineRule="auto"/>
              <w:ind w:firstLine="0" w:left="0"/>
              <w:jc w:val="center"/>
              <w:rPr>
                <w:sz w:val="24"/>
              </w:rPr>
            </w:pPr>
            <w:r>
              <w:rPr>
                <w:sz w:val="24"/>
              </w:rPr>
              <w:t>0,15</w:t>
            </w:r>
          </w:p>
        </w:tc>
        <w:tc>
          <w:tcPr>
            <w:tcW w:type="dxa" w:w="1808"/>
          </w:tcPr>
          <w:p w14:paraId="60010000">
            <w:pPr>
              <w:spacing w:line="240" w:lineRule="auto"/>
              <w:ind w:firstLine="0" w:left="0"/>
              <w:jc w:val="center"/>
              <w:rPr>
                <w:sz w:val="24"/>
              </w:rPr>
            </w:pPr>
            <w:r>
              <w:rPr>
                <w:sz w:val="24"/>
              </w:rPr>
              <w:t>22</w:t>
            </w:r>
          </w:p>
        </w:tc>
        <w:tc>
          <w:tcPr>
            <w:tcW w:type="dxa" w:w="1865"/>
          </w:tcPr>
          <w:p w14:paraId="61010000">
            <w:pPr>
              <w:spacing w:line="240" w:lineRule="auto"/>
              <w:ind w:firstLine="0" w:left="0"/>
              <w:jc w:val="center"/>
              <w:rPr>
                <w:sz w:val="24"/>
              </w:rPr>
            </w:pPr>
            <w:r>
              <w:rPr>
                <w:sz w:val="24"/>
              </w:rPr>
              <w:t>1000</w:t>
            </w:r>
          </w:p>
        </w:tc>
      </w:tr>
      <w:tr>
        <w:tc>
          <w:tcPr>
            <w:tcW w:type="dxa" w:w="2351"/>
          </w:tcPr>
          <w:p w14:paraId="62010000">
            <w:pPr>
              <w:spacing w:line="240" w:lineRule="auto"/>
              <w:ind w:firstLine="0" w:left="0"/>
              <w:jc w:val="center"/>
              <w:rPr>
                <w:sz w:val="24"/>
              </w:rPr>
            </w:pPr>
            <w:r>
              <w:rPr>
                <w:sz w:val="24"/>
              </w:rPr>
              <w:t>5. Нарезание резьбы М12-6Н</w:t>
            </w:r>
          </w:p>
        </w:tc>
        <w:tc>
          <w:tcPr>
            <w:tcW w:type="dxa" w:w="1566"/>
          </w:tcPr>
          <w:p w14:paraId="63010000">
            <w:pPr>
              <w:spacing w:line="240" w:lineRule="auto"/>
              <w:ind w:firstLine="0" w:left="0"/>
              <w:jc w:val="center"/>
              <w:rPr>
                <w:sz w:val="24"/>
              </w:rPr>
            </w:pPr>
            <w:r>
              <w:rPr>
                <w:sz w:val="24"/>
              </w:rPr>
              <w:t>-</w:t>
            </w:r>
          </w:p>
        </w:tc>
        <w:tc>
          <w:tcPr>
            <w:tcW w:type="dxa" w:w="1755"/>
          </w:tcPr>
          <w:p w14:paraId="64010000">
            <w:pPr>
              <w:spacing w:line="240" w:lineRule="auto"/>
              <w:ind w:firstLine="0" w:left="0"/>
              <w:jc w:val="center"/>
              <w:rPr>
                <w:sz w:val="24"/>
              </w:rPr>
            </w:pPr>
            <w:r>
              <w:rPr>
                <w:sz w:val="24"/>
              </w:rPr>
              <w:t>1,75</w:t>
            </w:r>
          </w:p>
        </w:tc>
        <w:tc>
          <w:tcPr>
            <w:tcW w:type="dxa" w:w="1808"/>
          </w:tcPr>
          <w:p w14:paraId="65010000">
            <w:pPr>
              <w:spacing w:line="240" w:lineRule="auto"/>
              <w:ind w:firstLine="0" w:left="0"/>
              <w:jc w:val="center"/>
              <w:rPr>
                <w:sz w:val="24"/>
              </w:rPr>
            </w:pPr>
            <w:r>
              <w:rPr>
                <w:sz w:val="24"/>
              </w:rPr>
              <w:t>-</w:t>
            </w:r>
          </w:p>
        </w:tc>
        <w:tc>
          <w:tcPr>
            <w:tcW w:type="dxa" w:w="1865"/>
          </w:tcPr>
          <w:p w14:paraId="66010000">
            <w:pPr>
              <w:spacing w:line="240" w:lineRule="auto"/>
              <w:ind w:firstLine="0" w:left="0"/>
              <w:jc w:val="center"/>
              <w:rPr>
                <w:sz w:val="24"/>
              </w:rPr>
            </w:pPr>
            <w:r>
              <w:rPr>
                <w:sz w:val="24"/>
              </w:rPr>
              <w:t>120</w:t>
            </w:r>
          </w:p>
        </w:tc>
      </w:tr>
      <w:tr>
        <w:tc>
          <w:tcPr>
            <w:tcW w:type="dxa" w:w="2351"/>
          </w:tcPr>
          <w:p w14:paraId="67010000">
            <w:pPr>
              <w:spacing w:line="240" w:lineRule="auto"/>
              <w:ind w:firstLine="0" w:left="0"/>
              <w:jc w:val="center"/>
              <w:rPr>
                <w:sz w:val="24"/>
              </w:rPr>
            </w:pPr>
            <w:r>
              <w:rPr>
                <w:sz w:val="24"/>
              </w:rPr>
              <w:t>6. Внутреннее шлифование</w:t>
            </w:r>
          </w:p>
        </w:tc>
        <w:tc>
          <w:tcPr>
            <w:tcW w:type="dxa" w:w="1566"/>
          </w:tcPr>
          <w:p w14:paraId="68010000">
            <w:pPr>
              <w:spacing w:line="240" w:lineRule="auto"/>
              <w:ind w:firstLine="0" w:left="0"/>
              <w:jc w:val="center"/>
              <w:rPr>
                <w:sz w:val="24"/>
              </w:rPr>
            </w:pPr>
            <w:r>
              <w:rPr>
                <w:sz w:val="24"/>
              </w:rPr>
              <w:t>0,2</w:t>
            </w:r>
          </w:p>
        </w:tc>
        <w:tc>
          <w:tcPr>
            <w:tcW w:type="dxa" w:w="1755"/>
          </w:tcPr>
          <w:p w14:paraId="69010000">
            <w:pPr>
              <w:spacing w:line="240" w:lineRule="auto"/>
              <w:ind w:firstLine="0" w:left="0"/>
              <w:jc w:val="center"/>
              <w:rPr>
                <w:sz w:val="24"/>
              </w:rPr>
            </w:pPr>
            <w:r>
              <w:rPr>
                <w:sz w:val="24"/>
              </w:rPr>
              <w:t>10 (мм/мин)</w:t>
            </w:r>
          </w:p>
        </w:tc>
        <w:tc>
          <w:tcPr>
            <w:tcW w:type="dxa" w:w="1808"/>
          </w:tcPr>
          <w:p w14:paraId="6A010000">
            <w:pPr>
              <w:spacing w:line="240" w:lineRule="auto"/>
              <w:ind w:firstLine="0" w:left="0"/>
              <w:jc w:val="center"/>
              <w:rPr>
                <w:sz w:val="24"/>
              </w:rPr>
            </w:pPr>
            <w:r>
              <w:rPr>
                <w:sz w:val="24"/>
              </w:rPr>
              <w:t>35 (м/с)</w:t>
            </w:r>
          </w:p>
        </w:tc>
        <w:tc>
          <w:tcPr>
            <w:tcW w:type="dxa" w:w="1865"/>
          </w:tcPr>
          <w:p w14:paraId="6B010000">
            <w:pPr>
              <w:spacing w:line="240" w:lineRule="auto"/>
              <w:ind w:firstLine="0" w:left="0"/>
              <w:jc w:val="center"/>
              <w:rPr>
                <w:sz w:val="24"/>
              </w:rPr>
            </w:pPr>
            <w:r>
              <w:rPr>
                <w:sz w:val="24"/>
              </w:rPr>
              <w:t>8000 (круга)</w:t>
            </w:r>
          </w:p>
        </w:tc>
      </w:tr>
    </w:tbl>
    <w:p w14:paraId="6C010000">
      <w:pPr>
        <w:ind w:firstLine="0" w:left="0"/>
      </w:pPr>
    </w:p>
    <w:p w14:paraId="6D010000">
      <w:bookmarkStart w:id="11" w:name="__RefHeading___10"/>
      <w:bookmarkEnd w:id="11"/>
      <w:pPr>
        <w:pStyle w:val="Style_9"/>
      </w:pPr>
      <w:r>
        <w:t>2.5 Выбор и расчет кинематической схемы</w:t>
      </w:r>
    </w:p>
    <w:p w14:paraId="6E010000">
      <w:pPr>
        <w:pStyle w:val="Style_8"/>
      </w:pPr>
      <w:r>
        <w:t>В технологическом процессе механической обработки углового корпуса подшипника на обрабатывающем центре главное движение создается вращением шпинделя с установленным режущим инструментом. От параметров привода главного движения зависит возможность получения частоты вращения 700 об/мин. Данная частота была принята при расчете режимов чистового растачивания отверстия Ø50H7.</w:t>
      </w:r>
    </w:p>
    <w:p w14:paraId="6F010000">
      <w:pPr>
        <w:pStyle w:val="Style_8"/>
      </w:pPr>
      <w:r>
        <w:t xml:space="preserve">Кинематическая схема главного привода вертикального обрабатывающего центра 400V строится по следующей цепочке. На станине станка смонтирован асинхронный электродвигатель переменного тока. Крутящий момент от вала двигателя передается на шпиндельный узел через клиноременную передачу. Применение клиноременной передачи с переменным профилем шкивов дает возможность ступенчато регулировать частоту вращения. По сравнению с зубчатой передачей, клиноременный </w:t>
      </w:r>
      <w:r>
        <w:t>привод снижает уровень вибраций и шума, что имеет значение при чистовых операциях, требующих высокой чистоты обрабатываемой поверхности [21].</w:t>
      </w:r>
    </w:p>
    <w:p w14:paraId="70010000">
      <w:pPr>
        <w:pStyle w:val="Style_8"/>
      </w:pPr>
      <w:r>
        <w:t>Исходные данные для кинематического расчета вытекают из ранее проведенного анализа. Требуемая частота вращения шпинделя для чистового растачивания отверстия Ø50H7, согласно расчетам в подразделе 2.3, установлена на уровне </w:t>
      </w:r>
      <m:oMathPara>
        <m:oMath>
          <m:r>
            <w:rPr>
              <w:rFonts w:ascii="Cambria Math" w:hAnsi="Cambria Math"/>
              <w:sz w:val="22"/>
            </w:rPr>
            <m:t>n=700</m:t>
          </m:r>
        </m:oMath>
      </m:oMathPara>
      <w:r>
        <w:t> об/мин. Частота вращения вала применяемого асинхронного двигателя (при скольжении около 4–5 %) составляет </w:t>
      </w:r>
      <m:oMathPara>
        <m:oMath>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д</m:t>
              </m:r>
              <m:r>
                <w:rPr>
                  <w:rFonts w:ascii="Cambria Math" w:hAnsi="Cambria Math"/>
                  <w:sz w:val="22"/>
                </w:rPr>
                <m:rPr>
                  <m:sty m:val="p"/>
                </m:rPr>
                <m:t>в</m:t>
              </m:r>
            </m:sub>
          </m:sSub>
          <m:r>
            <w:rPr>
              <w:rFonts w:ascii="Cambria Math" w:hAnsi="Cambria Math"/>
              <w:sz w:val="22"/>
            </w:rPr>
            <m:t>=1450</m:t>
          </m:r>
        </m:oMath>
      </m:oMathPara>
      <w:r>
        <w:t> об/мин. Передаточное число </w:t>
      </w:r>
      <m:oMathPara>
        <m:oMath>
          <m:r>
            <w:rPr>
              <w:rFonts w:ascii="Cambria Math" w:hAnsi="Cambria Math"/>
              <w:sz w:val="22"/>
            </w:rPr>
            <m:t>i</m:t>
          </m:r>
        </m:oMath>
      </m:oMathPara>
      <w:r>
        <w:t> клиноременной передачи рассчитывается по формуле:</w:t>
      </w:r>
    </w:p>
    <w:p w14:paraId="71010000">
      <w:pPr>
        <w:pStyle w:val="Style_8"/>
      </w:pPr>
      <m:oMathPara>
        <m:oMath>
          <m:eqArr>
            <m:e>
              <m:r>
                <w:rPr>
                  <w:rFonts w:ascii="Cambria Math" w:hAnsi="Cambria Math"/>
                  <w:sz w:val="22"/>
                </w:rPr>
                <m:t>i=</m:t>
              </m:r>
              <m:f>
                <m:fPr>
                  <m:type m:val="bar"/>
                </m:fPr>
                <m:num>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д</m:t>
                      </m:r>
                      <m:r>
                        <w:rPr>
                          <w:rFonts w:ascii="Cambria Math" w:hAnsi="Cambria Math"/>
                          <w:sz w:val="22"/>
                        </w:rPr>
                        <m:rPr>
                          <m:sty m:val="p"/>
                        </m:rPr>
                        <m:t>в</m:t>
                      </m:r>
                    </m:sub>
                  </m:sSub>
                </m:num>
                <m:den>
                  <m:r>
                    <w:rPr>
                      <w:rFonts w:ascii="Cambria Math" w:hAnsi="Cambria Math"/>
                      <w:sz w:val="22"/>
                    </w:rPr>
                    <m:t>n</m:t>
                  </m:r>
                </m:den>
              </m:f>
              <m:r>
                <w:rPr>
                  <w:rFonts w:ascii="Cambria Math" w:hAnsi="Cambria Math"/>
                  <w:sz w:val="22"/>
                </w:rPr>
                <m:t>,#</m:t>
              </m:r>
              <m:d>
                <m:dPr>
                  <m:sepChr m:val=","/>
                </m:dPr>
                <m:e>
                  <m:r>
                    <w:rPr>
                      <w:rFonts w:ascii="Cambria Math" w:hAnsi="Cambria Math"/>
                      <w:sz w:val="22"/>
                    </w:rPr>
                    <m:t>6</m:t>
                  </m:r>
                </m:e>
              </m:d>
            </m:e>
          </m:eqArr>
        </m:oMath>
      </m:oMathPara>
    </w:p>
    <w:p w14:paraId="72010000">
      <w:pPr>
        <w:pStyle w:val="Style_8"/>
      </w:pPr>
      <w:r>
        <w:t>где </w:t>
      </w:r>
      <m:oMathPara>
        <m:oMath>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д</m:t>
              </m:r>
              <m:r>
                <w:rPr>
                  <w:rFonts w:ascii="Cambria Math" w:hAnsi="Cambria Math"/>
                  <w:sz w:val="22"/>
                </w:rPr>
                <m:rPr>
                  <m:sty m:val="p"/>
                </m:rPr>
                <m:t>в</m:t>
              </m:r>
            </m:sub>
          </m:sSub>
          <m:r>
            <w:rPr>
              <w:rFonts w:ascii="Cambria Math" w:hAnsi="Cambria Math"/>
              <w:sz w:val="22"/>
            </w:rPr>
            <m:t>=1450</m:t>
          </m:r>
        </m:oMath>
      </m:oMathPara>
      <w:r>
        <w:t> об/мин – номинальная частота вращения вала электродвигателя;</w:t>
      </w:r>
      <w:r>
        <w:br/>
      </w:r>
      <m:oMathPara>
        <m:oMath>
          <m:r>
            <w:rPr>
              <w:rFonts w:ascii="Cambria Math" w:hAnsi="Cambria Math"/>
              <w:sz w:val="22"/>
            </w:rPr>
            <m:t>n=700</m:t>
          </m:r>
        </m:oMath>
      </m:oMathPara>
      <w:r>
        <w:t> об/мин – требуемая частота вращения шпинделя.</w:t>
      </w:r>
    </w:p>
    <w:p w14:paraId="73010000">
      <w:pPr>
        <w:pStyle w:val="Style_8"/>
      </w:pPr>
      <w:r>
        <w:t>Подстановка числовых значений в формулу (6):</w:t>
      </w:r>
    </w:p>
    <w:p w14:paraId="74010000">
      <w:pPr>
        <w:pStyle w:val="Style_8"/>
      </w:pPr>
      <m:oMathPara>
        <m:oMath>
          <m:r>
            <w:rPr>
              <w:rFonts w:ascii="Cambria Math" w:hAnsi="Cambria Math"/>
              <w:sz w:val="22"/>
            </w:rPr>
            <m:t>i=</m:t>
          </m:r>
          <m:f>
            <m:fPr>
              <m:type m:val="bar"/>
            </m:fPr>
            <m:num>
              <m:r>
                <w:rPr>
                  <w:rFonts w:ascii="Cambria Math" w:hAnsi="Cambria Math"/>
                  <w:sz w:val="22"/>
                </w:rPr>
                <m:t>1450</m:t>
              </m:r>
            </m:num>
            <m:den>
              <m:r>
                <w:rPr>
                  <w:rFonts w:ascii="Cambria Math" w:hAnsi="Cambria Math"/>
                  <w:sz w:val="22"/>
                </w:rPr>
                <m:t>700</m:t>
              </m:r>
            </m:den>
          </m:f>
          <m:r>
            <w:rPr>
              <w:rFonts w:ascii="Cambria Math" w:hAnsi="Cambria Math"/>
              <w:sz w:val="22"/>
            </w:rPr>
            <m:t>≈</m:t>
          </m:r>
          <m:r>
            <w:rPr>
              <w:rFonts w:ascii="Cambria Math" w:hAnsi="Cambria Math"/>
              <w:sz w:val="22"/>
            </w:rPr>
            <m:rPr>
              <m:sty m:val="p"/>
            </m:rPr>
            <m:t>2,07</m:t>
          </m:r>
          <m:r>
            <w:rPr>
              <w:rFonts w:ascii="Cambria Math" w:hAnsi="Cambria Math"/>
              <w:sz w:val="22"/>
            </w:rPr>
            <m:t>.</m:t>
          </m:r>
        </m:oMath>
      </m:oMathPara>
    </w:p>
    <w:p w14:paraId="75010000">
      <w:pPr>
        <w:pStyle w:val="Style_8"/>
      </w:pPr>
      <w:r>
        <w:t>Передаточное число </w:t>
      </w:r>
      <m:oMathPara>
        <m:oMath>
          <m:r>
            <w:rPr>
              <w:rFonts w:ascii="Cambria Math" w:hAnsi="Cambria Math"/>
              <w:sz w:val="22"/>
            </w:rPr>
            <m:t>i</m:t>
          </m:r>
        </m:oMath>
      </m:oMathPara>
      <w:r>
        <w:t> определяет отношение диаметра ведущего шкива к диаметру ведомого шкива. Принимаем стандартный профиль ремня типа А. Выбираем конструктивно диаметр ведущего шкива (на валу двигателя) </w:t>
      </w:r>
      <m:oMathPara>
        <m:oMath>
          <m:sSub>
            <m:e>
              <m:r>
                <w:rPr>
                  <w:rFonts w:ascii="Cambria Math" w:hAnsi="Cambria Math"/>
                  <w:sz w:val="22"/>
                </w:rPr>
                <m:t>d</m:t>
              </m:r>
            </m:e>
            <m:sub>
              <m:r>
                <w:rPr>
                  <w:rFonts w:ascii="Cambria Math" w:hAnsi="Cambria Math"/>
                  <w:sz w:val="22"/>
                </w:rPr>
                <m:t>1</m:t>
              </m:r>
            </m:sub>
          </m:sSub>
          <m:r>
            <w:rPr>
              <w:rFonts w:ascii="Cambria Math" w:hAnsi="Cambria Math"/>
              <w:sz w:val="22"/>
            </w:rPr>
            <m:t>=140</m:t>
          </m:r>
        </m:oMath>
      </m:oMathPara>
      <w:r>
        <w:t> мм. Диаметр ведомого шкива (на валу шпинделя) </w:t>
      </w:r>
      <m:oMathPara>
        <m:oMath>
          <m:sSub>
            <m:e>
              <m:r>
                <w:rPr>
                  <w:rFonts w:ascii="Cambria Math" w:hAnsi="Cambria Math"/>
                  <w:sz w:val="22"/>
                </w:rPr>
                <m:t>d</m:t>
              </m:r>
            </m:e>
            <m:sub>
              <m:r>
                <w:rPr>
                  <w:rFonts w:ascii="Cambria Math" w:hAnsi="Cambria Math"/>
                  <w:sz w:val="22"/>
                </w:rPr>
                <m:t>2</m:t>
              </m:r>
            </m:sub>
          </m:sSub>
        </m:oMath>
      </m:oMathPara>
      <w:r>
        <w:t> рассчитывается по формуле:</w:t>
      </w:r>
    </w:p>
    <w:p w14:paraId="76010000">
      <w:pPr>
        <w:pStyle w:val="Style_8"/>
      </w:pPr>
      <m:oMathPara>
        <m:oMath>
          <m:eqArr>
            <m:e>
              <m:sSub>
                <m:e>
                  <m:r>
                    <w:rPr>
                      <w:rFonts w:ascii="Cambria Math" w:hAnsi="Cambria Math"/>
                      <w:sz w:val="22"/>
                    </w:rPr>
                    <m:t>d</m:t>
                  </m:r>
                </m:e>
                <m:sub>
                  <m:r>
                    <w:rPr>
                      <w:rFonts w:ascii="Cambria Math" w:hAnsi="Cambria Math"/>
                      <w:sz w:val="22"/>
                    </w:rPr>
                    <m:t>2</m:t>
                  </m:r>
                </m:sub>
              </m:sSub>
              <m:r>
                <w:rPr>
                  <w:rFonts w:ascii="Cambria Math" w:hAnsi="Cambria Math"/>
                  <w:sz w:val="22"/>
                </w:rPr>
                <m:t>=</m:t>
              </m:r>
              <m:sSub>
                <m:e>
                  <m:r>
                    <w:rPr>
                      <w:rFonts w:ascii="Cambria Math" w:hAnsi="Cambria Math"/>
                      <w:sz w:val="22"/>
                    </w:rPr>
                    <m:t>d</m:t>
                  </m:r>
                </m:e>
                <m:sub>
                  <m:r>
                    <w:rPr>
                      <w:rFonts w:ascii="Cambria Math" w:hAnsi="Cambria Math"/>
                      <w:sz w:val="22"/>
                    </w:rPr>
                    <m:t>1</m:t>
                  </m:r>
                </m:sub>
              </m:sSub>
              <m:r>
                <w:rPr>
                  <w:rFonts w:ascii="Cambria Math" w:hAnsi="Cambria Math"/>
                  <w:sz w:val="22"/>
                </w:rPr>
                <m:t>⋅i,#</m:t>
              </m:r>
              <m:d>
                <m:dPr>
                  <m:sepChr m:val=","/>
                </m:dPr>
                <m:e>
                  <m:r>
                    <w:rPr>
                      <w:rFonts w:ascii="Cambria Math" w:hAnsi="Cambria Math"/>
                      <w:sz w:val="22"/>
                    </w:rPr>
                    <m:t>7</m:t>
                  </m:r>
                </m:e>
              </m:d>
            </m:e>
          </m:eqArr>
        </m:oMath>
      </m:oMathPara>
    </w:p>
    <w:p w14:paraId="77010000">
      <w:pPr>
        <w:pStyle w:val="Style_8"/>
      </w:pPr>
      <w:r>
        <w:t>где </w:t>
      </w:r>
      <m:oMathPara>
        <m:oMath>
          <m:sSub>
            <m:e>
              <m:r>
                <w:rPr>
                  <w:rFonts w:ascii="Cambria Math" w:hAnsi="Cambria Math"/>
                  <w:sz w:val="22"/>
                </w:rPr>
                <m:t>d</m:t>
              </m:r>
            </m:e>
            <m:sub>
              <m:r>
                <w:rPr>
                  <w:rFonts w:ascii="Cambria Math" w:hAnsi="Cambria Math"/>
                  <w:sz w:val="22"/>
                </w:rPr>
                <m:t>1</m:t>
              </m:r>
            </m:sub>
          </m:sSub>
          <m:r>
            <w:rPr>
              <w:rFonts w:ascii="Cambria Math" w:hAnsi="Cambria Math"/>
              <w:sz w:val="22"/>
            </w:rPr>
            <m:t>=140</m:t>
          </m:r>
        </m:oMath>
      </m:oMathPara>
      <w:r>
        <w:t> мм – диаметр ведущего шкива;</w:t>
      </w:r>
      <w:r>
        <w:br/>
      </w:r>
      <m:oMathPara>
        <m:oMath>
          <m:r>
            <w:rPr>
              <w:rFonts w:ascii="Cambria Math" w:hAnsi="Cambria Math"/>
              <w:sz w:val="22"/>
            </w:rPr>
            <m:t>i=</m:t>
          </m:r>
          <m:r>
            <w:rPr>
              <w:rFonts w:ascii="Cambria Math" w:hAnsi="Cambria Math"/>
              <w:sz w:val="22"/>
            </w:rPr>
            <m:rPr>
              <m:sty m:val="p"/>
            </m:rPr>
            <m:t>2,07</m:t>
          </m:r>
        </m:oMath>
      </m:oMathPara>
      <w:r>
        <w:t> – расчетное передаточное число.</w:t>
      </w:r>
    </w:p>
    <w:p w14:paraId="78010000">
      <w:pPr>
        <w:pStyle w:val="Style_8"/>
      </w:pPr>
      <w:r>
        <w:t>Подстановка числовых значений в формулу (7):</w:t>
      </w:r>
    </w:p>
    <w:p w14:paraId="79010000">
      <w:pPr>
        <w:pStyle w:val="Style_8"/>
      </w:pPr>
      <m:oMathPara>
        <m:oMath>
          <m:sSub>
            <m:e>
              <m:r>
                <w:rPr>
                  <w:rFonts w:ascii="Cambria Math" w:hAnsi="Cambria Math"/>
                  <w:sz w:val="22"/>
                </w:rPr>
                <m:t>d</m:t>
              </m:r>
            </m:e>
            <m:sub>
              <m:r>
                <w:rPr>
                  <w:rFonts w:ascii="Cambria Math" w:hAnsi="Cambria Math"/>
                  <w:sz w:val="22"/>
                </w:rPr>
                <m:t>2</m:t>
              </m:r>
            </m:sub>
          </m:sSub>
          <m:r>
            <w:rPr>
              <w:rFonts w:ascii="Cambria Math" w:hAnsi="Cambria Math"/>
              <w:sz w:val="22"/>
            </w:rPr>
            <m:t>=140⋅</m:t>
          </m:r>
          <m:r>
            <w:rPr>
              <w:rFonts w:ascii="Cambria Math" w:hAnsi="Cambria Math"/>
              <w:sz w:val="22"/>
            </w:rPr>
            <m:rPr>
              <m:sty m:val="p"/>
            </m:rPr>
            <m:t>2,07</m:t>
          </m:r>
          <m:r>
            <w:rPr>
              <w:rFonts w:ascii="Cambria Math" w:hAnsi="Cambria Math"/>
              <w:sz w:val="22"/>
            </w:rPr>
            <m:t>≈</m:t>
          </m:r>
          <m:r>
            <w:rPr>
              <w:rFonts w:ascii="Cambria Math" w:hAnsi="Cambria Math"/>
              <w:sz w:val="22"/>
            </w:rPr>
            <m:rPr>
              <m:sty m:val="p"/>
            </m:rPr>
            <m:t>289,8</m:t>
          </m:r>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 </m:t>
          </m:r>
          <m:r>
            <w:rPr>
              <w:rFonts w:ascii="Cambria Math" w:hAnsi="Cambria Math"/>
              <w:sz w:val="22"/>
            </w:rPr>
            <m:rPr>
              <m:sty m:val="p"/>
            </m:rPr>
            <m:t>м</m:t>
          </m:r>
          <m:r>
            <w:rPr>
              <w:rFonts w:ascii="Cambria Math" w:hAnsi="Cambria Math"/>
              <w:sz w:val="22"/>
            </w:rPr>
            <m:rPr>
              <m:sty m:val="p"/>
            </m:rPr>
            <m:t>м</m:t>
          </m:r>
          <m:r>
            <w:rPr>
              <w:rFonts w:ascii="Cambria Math" w:hAnsi="Cambria Math"/>
              <w:sz w:val="22"/>
            </w:rPr>
            <m:t>.</m:t>
          </m:r>
        </m:oMath>
      </m:oMathPara>
    </w:p>
    <w:p w14:paraId="7A010000">
      <w:pPr>
        <w:pStyle w:val="Style_8"/>
      </w:pPr>
      <w:r>
        <w:t>Округляем диаметр ведомого шкива до стандартного значения из ряда нормальных диаметров – 280 мм. Уточненное передаточное число при этом составит </w:t>
      </w:r>
      <m:oMathPara>
        <m:oMath>
          <m:sSub>
            <m:e>
              <m:r>
                <w:rPr>
                  <w:rFonts w:ascii="Cambria Math" w:hAnsi="Cambria Math"/>
                  <w:sz w:val="22"/>
                </w:rPr>
                <m:t>i</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у</m:t>
              </m:r>
              <m:r>
                <w:rPr>
                  <w:rFonts w:ascii="Cambria Math" w:hAnsi="Cambria Math"/>
                  <w:sz w:val="22"/>
                </w:rPr>
                <m:rPr>
                  <m:sty m:val="p"/>
                </m:rPr>
                <m:t>т</m:t>
              </m:r>
              <m:r>
                <w:rPr>
                  <w:rFonts w:ascii="Cambria Math" w:hAnsi="Cambria Math"/>
                  <w:sz w:val="22"/>
                </w:rPr>
                <m:rPr>
                  <m:sty m:val="p"/>
                </m:rPr>
                <m:t>о</m:t>
              </m:r>
              <m:r>
                <w:rPr>
                  <w:rFonts w:ascii="Cambria Math" w:hAnsi="Cambria Math"/>
                  <w:sz w:val="22"/>
                </w:rPr>
                <m:rPr>
                  <m:sty m:val="p"/>
                </m:rPr>
                <m:t>ч</m:t>
              </m:r>
            </m:sub>
          </m:sSub>
          <m:r>
            <w:rPr>
              <w:rFonts w:ascii="Cambria Math" w:hAnsi="Cambria Math"/>
              <w:sz w:val="22"/>
            </w:rPr>
            <m:t>=280/140=</m:t>
          </m:r>
          <m:r>
            <w:rPr>
              <w:rFonts w:ascii="Cambria Math" w:hAnsi="Cambria Math"/>
              <w:sz w:val="22"/>
            </w:rPr>
            <m:rPr>
              <m:sty m:val="p"/>
            </m:rPr>
            <m:t>2,0</m:t>
          </m:r>
        </m:oMath>
      </m:oMathPara>
      <w:r>
        <w:t xml:space="preserve">. Фактическая частота вращения шпинделя </w:t>
      </w:r>
      <w:r>
        <w:t>будет незначительно отличаться от расчетной: </w:t>
      </w:r>
      <m:oMathPara>
        <m:oMath>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ф</m:t>
              </m:r>
              <m:r>
                <w:rPr>
                  <w:rFonts w:ascii="Cambria Math" w:hAnsi="Cambria Math"/>
                  <w:sz w:val="22"/>
                </w:rPr>
                <m:rPr>
                  <m:sty m:val="p"/>
                </m:rPr>
                <m:t>а</m:t>
              </m:r>
              <m:r>
                <w:rPr>
                  <w:rFonts w:ascii="Cambria Math" w:hAnsi="Cambria Math"/>
                  <w:sz w:val="22"/>
                </w:rPr>
                <m:rPr>
                  <m:sty m:val="p"/>
                </m:rPr>
                <m:t>к</m:t>
              </m:r>
              <m:r>
                <w:rPr>
                  <w:rFonts w:ascii="Cambria Math" w:hAnsi="Cambria Math"/>
                  <w:sz w:val="22"/>
                </w:rPr>
                <m:rPr>
                  <m:sty m:val="p"/>
                </m:rPr>
                <m:t>т</m:t>
              </m:r>
            </m:sub>
          </m:sSub>
          <m:r>
            <w:rPr>
              <w:rFonts w:ascii="Cambria Math" w:hAnsi="Cambria Math"/>
              <w:sz w:val="22"/>
            </w:rPr>
            <m:t>=1450/2=725</m:t>
          </m:r>
        </m:oMath>
      </m:oMathPara>
      <w:r>
        <w:t> об/мин. Такое отклонение находится в пределах допустимого диапазона настройки станка, учитывая дискретность задания оборотов в управляющей программе.</w:t>
      </w:r>
    </w:p>
    <w:p w14:paraId="7B010000">
      <w:pPr>
        <w:pStyle w:val="Style_8"/>
      </w:pPr>
      <w:r>
        <w:t>Следующим этапом идет проверка привода по мощности. Ранее была определена мощность резания </w:t>
      </w:r>
      <m:oMathPara>
        <m:oMath>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р</m:t>
              </m:r>
              <m:r>
                <w:rPr>
                  <w:rFonts w:ascii="Cambria Math" w:hAnsi="Cambria Math"/>
                  <w:sz w:val="22"/>
                </w:rPr>
                <m:rPr>
                  <m:sty m:val="p"/>
                </m:rPr>
                <m:t>е</m:t>
              </m:r>
              <m:r>
                <w:rPr>
                  <w:rFonts w:ascii="Cambria Math" w:hAnsi="Cambria Math"/>
                  <w:sz w:val="22"/>
                </w:rPr>
                <m:rPr>
                  <m:sty m:val="p"/>
                </m:rPr>
                <m:t>з</m:t>
              </m:r>
            </m:sub>
          </m:sSub>
          <m:r>
            <w:rPr>
              <w:rFonts w:ascii="Cambria Math" w:hAnsi="Cambria Math"/>
              <w:sz w:val="22"/>
            </w:rPr>
            <m:t>=</m:t>
          </m:r>
          <m:r>
            <w:rPr>
              <w:rFonts w:ascii="Cambria Math" w:hAnsi="Cambria Math"/>
              <w:sz w:val="22"/>
            </w:rPr>
            <m:rPr>
              <m:sty m:val="p"/>
            </m:rPr>
            <m:t>0,048</m:t>
          </m:r>
        </m:oMath>
      </m:oMathPara>
      <w:r>
        <w:t> кВт для режимов чистового растачивания [18]. Мощность на валу двигателя </w:t>
      </w:r>
      <m:oMathPara>
        <m:oMath>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д</m:t>
              </m:r>
              <m:r>
                <w:rPr>
                  <w:rFonts w:ascii="Cambria Math" w:hAnsi="Cambria Math"/>
                  <w:sz w:val="22"/>
                </w:rPr>
                <m:rPr>
                  <m:sty m:val="p"/>
                </m:rPr>
                <m:t>в</m:t>
              </m:r>
            </m:sub>
          </m:sSub>
        </m:oMath>
      </m:oMathPara>
      <w:r>
        <w:t> определяется как сумма мощности резания и потерь в механизмах передачи. Потери учитываются через КПД клиноременной передачи </w:t>
      </w:r>
      <m:oMathPara>
        <m:oMath>
          <m:sSub>
            <m:e>
              <m:r>
                <w:rPr>
                  <w:rFonts w:ascii="Cambria Math" w:hAnsi="Cambria Math"/>
                  <w:sz w:val="22"/>
                </w:rPr>
                <m:t>η</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п</m:t>
              </m:r>
              <m:r>
                <w:rPr>
                  <w:rFonts w:ascii="Cambria Math" w:hAnsi="Cambria Math"/>
                  <w:sz w:val="22"/>
                </w:rPr>
                <m:rPr>
                  <m:sty m:val="p"/>
                </m:rPr>
                <m:t>е</m:t>
              </m:r>
              <m:r>
                <w:rPr>
                  <w:rFonts w:ascii="Cambria Math" w:hAnsi="Cambria Math"/>
                  <w:sz w:val="22"/>
                </w:rPr>
                <m:rPr>
                  <m:sty m:val="p"/>
                </m:rPr>
                <m:t>р</m:t>
              </m:r>
            </m:sub>
          </m:sSub>
        </m:oMath>
      </m:oMathPara>
      <w:r>
        <w:t>, значение которого составляет 0,96.</w:t>
      </w:r>
    </w:p>
    <w:p w14:paraId="7C010000">
      <w:pPr>
        <w:pStyle w:val="Style_8"/>
      </w:pPr>
      <m:oMathPara>
        <m:oMath>
          <m:eqArr>
            <m:e>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д</m:t>
                  </m:r>
                  <m:r>
                    <w:rPr>
                      <w:rFonts w:ascii="Cambria Math" w:hAnsi="Cambria Math"/>
                      <w:sz w:val="22"/>
                    </w:rPr>
                    <m:rPr>
                      <m:sty m:val="p"/>
                    </m:rPr>
                    <m:t>в</m:t>
                  </m:r>
                </m:sub>
              </m:sSub>
              <m:r>
                <w:rPr>
                  <w:rFonts w:ascii="Cambria Math" w:hAnsi="Cambria Math"/>
                  <w:sz w:val="22"/>
                </w:rPr>
                <m:t>=</m:t>
              </m:r>
              <m:f>
                <m:fPr>
                  <m:type m:val="bar"/>
                </m:fPr>
                <m:num>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р</m:t>
                      </m:r>
                      <m:r>
                        <w:rPr>
                          <w:rFonts w:ascii="Cambria Math" w:hAnsi="Cambria Math"/>
                          <w:sz w:val="22"/>
                        </w:rPr>
                        <m:rPr>
                          <m:sty m:val="p"/>
                        </m:rPr>
                        <m:t>е</m:t>
                      </m:r>
                      <m:r>
                        <w:rPr>
                          <w:rFonts w:ascii="Cambria Math" w:hAnsi="Cambria Math"/>
                          <w:sz w:val="22"/>
                        </w:rPr>
                        <m:rPr>
                          <m:sty m:val="p"/>
                        </m:rPr>
                        <m:t>з</m:t>
                      </m:r>
                    </m:sub>
                  </m:sSub>
                </m:num>
                <m:den>
                  <m:sSub>
                    <m:e>
                      <m:r>
                        <w:rPr>
                          <w:rFonts w:ascii="Cambria Math" w:hAnsi="Cambria Math"/>
                          <w:sz w:val="22"/>
                        </w:rPr>
                        <m:t>η</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п</m:t>
                      </m:r>
                      <m:r>
                        <w:rPr>
                          <w:rFonts w:ascii="Cambria Math" w:hAnsi="Cambria Math"/>
                          <w:sz w:val="22"/>
                        </w:rPr>
                        <m:rPr>
                          <m:sty m:val="p"/>
                        </m:rPr>
                        <m:t>е</m:t>
                      </m:r>
                      <m:r>
                        <w:rPr>
                          <w:rFonts w:ascii="Cambria Math" w:hAnsi="Cambria Math"/>
                          <w:sz w:val="22"/>
                        </w:rPr>
                        <m:rPr>
                          <m:sty m:val="p"/>
                        </m:rPr>
                        <m:t>р</m:t>
                      </m:r>
                    </m:sub>
                  </m:sSub>
                </m:den>
              </m:f>
              <m:r>
                <w:rPr>
                  <w:rFonts w:ascii="Cambria Math" w:hAnsi="Cambria Math"/>
                  <w:sz w:val="22"/>
                </w:rPr>
                <m:t>,#</m:t>
              </m:r>
              <m:d>
                <m:dPr>
                  <m:sepChr m:val=","/>
                </m:dPr>
                <m:e>
                  <m:r>
                    <w:rPr>
                      <w:rFonts w:ascii="Cambria Math" w:hAnsi="Cambria Math"/>
                      <w:sz w:val="22"/>
                    </w:rPr>
                    <m:t>8</m:t>
                  </m:r>
                </m:e>
              </m:d>
            </m:e>
          </m:eqArr>
        </m:oMath>
      </m:oMathPara>
    </w:p>
    <w:p w14:paraId="7D010000">
      <w:pPr>
        <w:pStyle w:val="Style_8"/>
      </w:pPr>
      <w:r>
        <w:t>где </w:t>
      </w:r>
      <m:oMathPara>
        <m:oMath>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р</m:t>
              </m:r>
              <m:r>
                <w:rPr>
                  <w:rFonts w:ascii="Cambria Math" w:hAnsi="Cambria Math"/>
                  <w:sz w:val="22"/>
                </w:rPr>
                <m:rPr>
                  <m:sty m:val="p"/>
                </m:rPr>
                <m:t>е</m:t>
              </m:r>
              <m:r>
                <w:rPr>
                  <w:rFonts w:ascii="Cambria Math" w:hAnsi="Cambria Math"/>
                  <w:sz w:val="22"/>
                </w:rPr>
                <m:rPr>
                  <m:sty m:val="p"/>
                </m:rPr>
                <m:t>з</m:t>
              </m:r>
            </m:sub>
          </m:sSub>
          <m:r>
            <w:rPr>
              <w:rFonts w:ascii="Cambria Math" w:hAnsi="Cambria Math"/>
              <w:sz w:val="22"/>
            </w:rPr>
            <m:t>=</m:t>
          </m:r>
          <m:r>
            <w:rPr>
              <w:rFonts w:ascii="Cambria Math" w:hAnsi="Cambria Math"/>
              <w:sz w:val="22"/>
            </w:rPr>
            <m:rPr>
              <m:sty m:val="p"/>
            </m:rPr>
            <m:t>0,048</m:t>
          </m:r>
        </m:oMath>
      </m:oMathPara>
      <w:r>
        <w:t> кВт – мощность, затрачиваемая непосредственно на процесс резания;</w:t>
      </w:r>
      <w:r>
        <w:br/>
      </w:r>
      <m:oMathPara>
        <m:oMath>
          <m:sSub>
            <m:e>
              <m:r>
                <w:rPr>
                  <w:rFonts w:ascii="Cambria Math" w:hAnsi="Cambria Math"/>
                  <w:sz w:val="22"/>
                </w:rPr>
                <m:t>η</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п</m:t>
              </m:r>
              <m:r>
                <w:rPr>
                  <w:rFonts w:ascii="Cambria Math" w:hAnsi="Cambria Math"/>
                  <w:sz w:val="22"/>
                </w:rPr>
                <m:rPr>
                  <m:sty m:val="p"/>
                </m:rPr>
                <m:t>е</m:t>
              </m:r>
              <m:r>
                <w:rPr>
                  <w:rFonts w:ascii="Cambria Math" w:hAnsi="Cambria Math"/>
                  <w:sz w:val="22"/>
                </w:rPr>
                <m:rPr>
                  <m:sty m:val="p"/>
                </m:rPr>
                <m:t>р</m:t>
              </m:r>
            </m:sub>
          </m:sSub>
          <m:r>
            <w:rPr>
              <w:rFonts w:ascii="Cambria Math" w:hAnsi="Cambria Math"/>
              <w:sz w:val="22"/>
            </w:rPr>
            <m:t>=</m:t>
          </m:r>
          <m:r>
            <w:rPr>
              <w:rFonts w:ascii="Cambria Math" w:hAnsi="Cambria Math"/>
              <w:sz w:val="22"/>
            </w:rPr>
            <m:rPr>
              <m:sty m:val="p"/>
            </m:rPr>
            <m:t>0,96</m:t>
          </m:r>
        </m:oMath>
      </m:oMathPara>
      <w:r>
        <w:t> – коэффициент полезного действия клиноременной передачи.</w:t>
      </w:r>
    </w:p>
    <w:p w14:paraId="7E010000">
      <w:pPr>
        <w:pStyle w:val="Style_8"/>
      </w:pPr>
      <w:r>
        <w:t>Подстановка числовых значений в формулу (8):</w:t>
      </w:r>
    </w:p>
    <w:p w14:paraId="7F010000">
      <w:pPr>
        <w:pStyle w:val="Style_8"/>
      </w:pPr>
      <m:oMathPara>
        <m:oMath>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д</m:t>
              </m:r>
              <m:r>
                <w:rPr>
                  <w:rFonts w:ascii="Cambria Math" w:hAnsi="Cambria Math"/>
                  <w:sz w:val="22"/>
                </w:rPr>
                <m:rPr>
                  <m:sty m:val="p"/>
                </m:rPr>
                <m:t>в</m:t>
              </m:r>
            </m:sub>
          </m:sSub>
          <m:r>
            <w:rPr>
              <w:rFonts w:ascii="Cambria Math" w:hAnsi="Cambria Math"/>
              <w:sz w:val="22"/>
            </w:rPr>
            <m:t>=</m:t>
          </m:r>
          <m:f>
            <m:fPr>
              <m:type m:val="bar"/>
            </m:fPr>
            <m:num>
              <m:r>
                <w:rPr>
                  <w:rFonts w:ascii="Cambria Math" w:hAnsi="Cambria Math"/>
                  <w:sz w:val="22"/>
                </w:rPr>
                <m:rPr>
                  <m:sty m:val="p"/>
                </m:rPr>
                <m:t>0,048</m:t>
              </m:r>
            </m:num>
            <m:den>
              <m:r>
                <w:rPr>
                  <w:rFonts w:ascii="Cambria Math" w:hAnsi="Cambria Math"/>
                  <w:sz w:val="22"/>
                </w:rPr>
                <m:rPr>
                  <m:sty m:val="p"/>
                </m:rPr>
                <m:t>0,96</m:t>
              </m:r>
            </m:den>
          </m:f>
          <m:r>
            <w:rPr>
              <w:rFonts w:ascii="Cambria Math" w:hAnsi="Cambria Math"/>
              <w:sz w:val="22"/>
            </w:rPr>
            <m:t>≈</m:t>
          </m:r>
          <m:r>
            <w:rPr>
              <w:rFonts w:ascii="Cambria Math" w:hAnsi="Cambria Math"/>
              <w:sz w:val="22"/>
            </w:rPr>
            <m:rPr>
              <m:sty m:val="p"/>
            </m:rPr>
            <m:t>0,05</m:t>
          </m:r>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 </m:t>
          </m:r>
          <m:r>
            <w:rPr>
              <w:rFonts w:ascii="Cambria Math" w:hAnsi="Cambria Math"/>
              <w:sz w:val="22"/>
            </w:rPr>
            <m:rPr>
              <m:sty m:val="p"/>
            </m:rPr>
            <m:t>к</m:t>
          </m:r>
          <m:r>
            <w:rPr>
              <w:rFonts w:ascii="Cambria Math" w:hAnsi="Cambria Math"/>
              <w:sz w:val="22"/>
            </w:rPr>
            <m:rPr>
              <m:sty m:val="p"/>
            </m:rPr>
            <m:t>В</m:t>
          </m:r>
          <m:r>
            <w:rPr>
              <w:rFonts w:ascii="Cambria Math" w:hAnsi="Cambria Math"/>
              <w:sz w:val="22"/>
            </w:rPr>
            <m:rPr>
              <m:sty m:val="p"/>
            </m:rPr>
            <m:t>т</m:t>
          </m:r>
          <m:r>
            <w:rPr>
              <w:rFonts w:ascii="Cambria Math" w:hAnsi="Cambria Math"/>
              <w:sz w:val="22"/>
            </w:rPr>
            <m:t>.</m:t>
          </m:r>
        </m:oMath>
      </m:oMathPara>
    </w:p>
    <w:p w14:paraId="80010000">
      <w:pPr>
        <w:pStyle w:val="Style_8"/>
      </w:pPr>
      <w:r>
        <w:t>С учетом необходимого запаса на преодоление пускового момента и возможных перегрузок, коэффициент запаса принимаем равным </w:t>
      </w:r>
      <m:oMathPara>
        <m:oMath>
          <m:r>
            <w:rPr>
              <w:rFonts w:ascii="Cambria Math" w:hAnsi="Cambria Math"/>
              <w:sz w:val="22"/>
            </w:rPr>
            <m:t>K=</m:t>
          </m:r>
          <m:r>
            <w:rPr>
              <w:rFonts w:ascii="Cambria Math" w:hAnsi="Cambria Math"/>
              <w:sz w:val="22"/>
            </w:rPr>
            <m:rPr>
              <m:sty m:val="p"/>
            </m:rPr>
            <m:t>1,5</m:t>
          </m:r>
        </m:oMath>
      </m:oMathPara>
      <w:r>
        <w:t>. Установочная мощность двигателя составит:</w:t>
      </w:r>
    </w:p>
    <w:p w14:paraId="81010000">
      <w:pPr>
        <w:pStyle w:val="Style_8"/>
      </w:pPr>
      <m:oMathPara>
        <m:oMath>
          <m:eqArr>
            <m:e>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у</m:t>
                  </m:r>
                  <m:r>
                    <w:rPr>
                      <w:rFonts w:ascii="Cambria Math" w:hAnsi="Cambria Math"/>
                      <w:sz w:val="22"/>
                    </w:rPr>
                    <m:rPr>
                      <m:sty m:val="p"/>
                    </m:rPr>
                    <m:t>с</m:t>
                  </m:r>
                  <m:r>
                    <w:rPr>
                      <w:rFonts w:ascii="Cambria Math" w:hAnsi="Cambria Math"/>
                      <w:sz w:val="22"/>
                    </w:rPr>
                    <m:rPr>
                      <m:sty m:val="p"/>
                    </m:rPr>
                    <m:t>т</m:t>
                  </m:r>
                </m:sub>
              </m:sSub>
              <m:r>
                <w:rPr>
                  <w:rFonts w:ascii="Cambria Math" w:hAnsi="Cambria Math"/>
                  <w:sz w:val="22"/>
                </w:rPr>
                <m:t>=</m:t>
              </m:r>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д</m:t>
                  </m:r>
                  <m:r>
                    <w:rPr>
                      <w:rFonts w:ascii="Cambria Math" w:hAnsi="Cambria Math"/>
                      <w:sz w:val="22"/>
                    </w:rPr>
                    <m:rPr>
                      <m:sty m:val="p"/>
                    </m:rPr>
                    <m:t>в</m:t>
                  </m:r>
                </m:sub>
              </m:sSub>
              <m:r>
                <w:rPr>
                  <w:rFonts w:ascii="Cambria Math" w:hAnsi="Cambria Math"/>
                  <w:sz w:val="22"/>
                </w:rPr>
                <m:t>⋅K,#</m:t>
              </m:r>
              <m:d>
                <m:dPr>
                  <m:sepChr m:val=","/>
                </m:dPr>
                <m:e>
                  <m:r>
                    <w:rPr>
                      <w:rFonts w:ascii="Cambria Math" w:hAnsi="Cambria Math"/>
                      <w:sz w:val="22"/>
                    </w:rPr>
                    <m:t>9</m:t>
                  </m:r>
                </m:e>
              </m:d>
            </m:e>
          </m:eqArr>
        </m:oMath>
      </m:oMathPara>
    </w:p>
    <w:p w14:paraId="82010000">
      <w:pPr>
        <w:pStyle w:val="Style_8"/>
      </w:pPr>
      <w:r>
        <w:t>где </w:t>
      </w:r>
      <m:oMathPara>
        <m:oMath>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д</m:t>
              </m:r>
              <m:r>
                <w:rPr>
                  <w:rFonts w:ascii="Cambria Math" w:hAnsi="Cambria Math"/>
                  <w:sz w:val="22"/>
                </w:rPr>
                <m:rPr>
                  <m:sty m:val="p"/>
                </m:rPr>
                <m:t>в</m:t>
              </m:r>
            </m:sub>
          </m:sSub>
          <m:r>
            <w:rPr>
              <w:rFonts w:ascii="Cambria Math" w:hAnsi="Cambria Math"/>
              <w:sz w:val="22"/>
            </w:rPr>
            <m:t>=</m:t>
          </m:r>
          <m:r>
            <w:rPr>
              <w:rFonts w:ascii="Cambria Math" w:hAnsi="Cambria Math"/>
              <w:sz w:val="22"/>
            </w:rPr>
            <m:rPr>
              <m:sty m:val="p"/>
            </m:rPr>
            <m:t>0,05</m:t>
          </m:r>
        </m:oMath>
      </m:oMathPara>
      <w:r>
        <w:t> кВт – требуемая мощность на валу двигателя;</w:t>
      </w:r>
      <w:r>
        <w:br/>
      </w:r>
      <m:oMathPara>
        <m:oMath>
          <m:r>
            <w:rPr>
              <w:rFonts w:ascii="Cambria Math" w:hAnsi="Cambria Math"/>
              <w:sz w:val="22"/>
            </w:rPr>
            <m:t>K=</m:t>
          </m:r>
          <m:r>
            <w:rPr>
              <w:rFonts w:ascii="Cambria Math" w:hAnsi="Cambria Math"/>
              <w:sz w:val="22"/>
            </w:rPr>
            <m:rPr>
              <m:sty m:val="p"/>
            </m:rPr>
            <m:t>1,5</m:t>
          </m:r>
        </m:oMath>
      </m:oMathPara>
      <w:r>
        <w:t> – коэффициент запаса мощности.</w:t>
      </w:r>
    </w:p>
    <w:p w14:paraId="83010000">
      <w:pPr>
        <w:pStyle w:val="Style_8"/>
      </w:pPr>
      <w:r>
        <w:t>Подстановка числовых значений в формулу (</w:t>
      </w:r>
      <w:r>
        <w:t>9</w:t>
      </w:r>
      <w:r>
        <w:t>):</w:t>
      </w:r>
    </w:p>
    <w:p w14:paraId="84010000">
      <w:pPr>
        <w:pStyle w:val="Style_8"/>
      </w:pPr>
      <m:oMathPara>
        <m:oMath>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у</m:t>
              </m:r>
              <m:r>
                <w:rPr>
                  <w:rFonts w:ascii="Cambria Math" w:hAnsi="Cambria Math"/>
                  <w:sz w:val="22"/>
                </w:rPr>
                <m:rPr>
                  <m:sty m:val="p"/>
                </m:rPr>
                <m:t>с</m:t>
              </m:r>
              <m:r>
                <w:rPr>
                  <w:rFonts w:ascii="Cambria Math" w:hAnsi="Cambria Math"/>
                  <w:sz w:val="22"/>
                </w:rPr>
                <m:rPr>
                  <m:sty m:val="p"/>
                </m:rPr>
                <m:t>т</m:t>
              </m:r>
            </m:sub>
          </m:sSub>
          <m:r>
            <w:rPr>
              <w:rFonts w:ascii="Cambria Math" w:hAnsi="Cambria Math"/>
              <w:sz w:val="22"/>
            </w:rPr>
            <m:t>=</m:t>
          </m:r>
          <m:r>
            <w:rPr>
              <w:rFonts w:ascii="Cambria Math" w:hAnsi="Cambria Math"/>
              <w:sz w:val="22"/>
            </w:rPr>
            <m:rPr>
              <m:sty m:val="p"/>
            </m:rPr>
            <m:t>0,05</m:t>
          </m:r>
          <m:r>
            <w:rPr>
              <w:rFonts w:ascii="Cambria Math" w:hAnsi="Cambria Math"/>
              <w:sz w:val="22"/>
            </w:rPr>
            <m:t>⋅</m:t>
          </m:r>
          <m:r>
            <w:rPr>
              <w:rFonts w:ascii="Cambria Math" w:hAnsi="Cambria Math"/>
              <w:sz w:val="22"/>
            </w:rPr>
            <m:rPr>
              <m:sty m:val="p"/>
            </m:rPr>
            <m:t>1,5</m:t>
          </m:r>
          <m:r>
            <w:rPr>
              <w:rFonts w:ascii="Cambria Math" w:hAnsi="Cambria Math"/>
              <w:sz w:val="22"/>
            </w:rPr>
            <m:t>=</m:t>
          </m:r>
          <m:r>
            <w:rPr>
              <w:rFonts w:ascii="Cambria Math" w:hAnsi="Cambria Math"/>
              <w:sz w:val="22"/>
            </w:rPr>
            <m:rPr>
              <m:sty m:val="p"/>
            </m:rPr>
            <m:t>0,075</m:t>
          </m:r>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 </m:t>
          </m:r>
          <m:r>
            <w:rPr>
              <w:rFonts w:ascii="Cambria Math" w:hAnsi="Cambria Math"/>
              <w:sz w:val="22"/>
            </w:rPr>
            <m:rPr>
              <m:sty m:val="p"/>
            </m:rPr>
            <m:t>к</m:t>
          </m:r>
          <m:r>
            <w:rPr>
              <w:rFonts w:ascii="Cambria Math" w:hAnsi="Cambria Math"/>
              <w:sz w:val="22"/>
            </w:rPr>
            <m:rPr>
              <m:sty m:val="p"/>
            </m:rPr>
            <m:t>В</m:t>
          </m:r>
          <m:r>
            <w:rPr>
              <w:rFonts w:ascii="Cambria Math" w:hAnsi="Cambria Math"/>
              <w:sz w:val="22"/>
            </w:rPr>
            <m:rPr>
              <m:sty m:val="p"/>
            </m:rPr>
            <m:t>т</m:t>
          </m:r>
          <m:r>
            <w:rPr>
              <w:rFonts w:ascii="Cambria Math" w:hAnsi="Cambria Math"/>
              <w:sz w:val="22"/>
            </w:rPr>
            <m:t>.</m:t>
          </m:r>
        </m:oMath>
      </m:oMathPara>
    </w:p>
    <w:p w14:paraId="85010000">
      <w:pPr>
        <w:pStyle w:val="Style_8"/>
      </w:pPr>
      <w:r>
        <w:t xml:space="preserve">Ближайший по мощности серийно выпускаемый асинхронный электродвигатель имеет мощность 0,75 кВт. Выбираем двигатель серии АИР63А4 с номинальной частотой вращения 1450 об/мин. Выбранная мощность многократно перекрывает расчетную, однако именно такой </w:t>
      </w:r>
      <w:r>
        <w:t>типоразмер является стандартным для приводов подач и шпинделей в данной линейке станков.</w:t>
      </w:r>
    </w:p>
    <w:p w14:paraId="86010000">
      <w:pPr>
        <w:pStyle w:val="Style_8"/>
      </w:pPr>
      <w:r>
        <w:t>Сводные данные по элементам кинематической схемы привода шпинделя сведены в таблицу 5.</w:t>
      </w:r>
    </w:p>
    <w:p w14:paraId="87010000">
      <w:pPr>
        <w:pStyle w:val="Style_8"/>
        <w:ind/>
        <w:jc w:val="right"/>
      </w:pPr>
      <w:r>
        <w:t>Таблица 5</w:t>
      </w:r>
    </w:p>
    <w:p w14:paraId="88010000">
      <w:pPr>
        <w:pStyle w:val="Style_8"/>
      </w:pPr>
      <w:r>
        <w:t>Параметры кинематической схемы главного привода шпинделя</w:t>
      </w:r>
    </w:p>
    <w:tbl>
      <w:tblPr>
        <w:tblStyle w:val="Style_10"/>
        <w:tblLayout w:type="fixed"/>
      </w:tblPr>
      <w:tblGrid>
        <w:gridCol w:w="2381"/>
        <w:gridCol w:w="2655"/>
        <w:gridCol w:w="4690"/>
      </w:tblGrid>
      <w:tr>
        <w:tc>
          <w:tcPr>
            <w:tcW w:type="dxa" w:w="2381"/>
          </w:tcPr>
          <w:p w14:paraId="89010000">
            <w:pPr>
              <w:pStyle w:val="Style_8"/>
              <w:spacing w:line="240" w:lineRule="auto"/>
              <w:ind w:firstLine="0" w:left="0"/>
              <w:jc w:val="center"/>
            </w:pPr>
            <w:r>
              <w:t>Элемент кинематической цепи</w:t>
            </w:r>
          </w:p>
        </w:tc>
        <w:tc>
          <w:tcPr>
            <w:tcW w:type="dxa" w:w="2655"/>
          </w:tcPr>
          <w:p w14:paraId="8A010000">
            <w:pPr>
              <w:pStyle w:val="Style_8"/>
              <w:spacing w:line="240" w:lineRule="auto"/>
              <w:ind w:firstLine="0" w:left="0"/>
              <w:jc w:val="center"/>
            </w:pPr>
            <w:r>
              <w:t>Тип / Модель</w:t>
            </w:r>
          </w:p>
        </w:tc>
        <w:tc>
          <w:tcPr>
            <w:tcW w:type="dxa" w:w="4690"/>
          </w:tcPr>
          <w:p w14:paraId="8B010000">
            <w:pPr>
              <w:pStyle w:val="Style_8"/>
              <w:spacing w:line="240" w:lineRule="auto"/>
              <w:ind w:firstLine="0" w:left="0"/>
              <w:jc w:val="center"/>
            </w:pPr>
            <w:r>
              <w:t>Основные параметры</w:t>
            </w:r>
          </w:p>
        </w:tc>
      </w:tr>
      <w:tr>
        <w:tc>
          <w:tcPr>
            <w:tcW w:type="dxa" w:w="2381"/>
          </w:tcPr>
          <w:p w14:paraId="8C010000">
            <w:pPr>
              <w:pStyle w:val="Style_8"/>
              <w:spacing w:line="240" w:lineRule="auto"/>
              <w:ind w:firstLine="0" w:left="0"/>
              <w:jc w:val="center"/>
            </w:pPr>
            <w:r>
              <w:t>Электродвигатель</w:t>
            </w:r>
          </w:p>
        </w:tc>
        <w:tc>
          <w:tcPr>
            <w:tcW w:type="dxa" w:w="2655"/>
          </w:tcPr>
          <w:p w14:paraId="8D010000">
            <w:pPr>
              <w:pStyle w:val="Style_8"/>
              <w:spacing w:line="240" w:lineRule="auto"/>
              <w:ind w:firstLine="0" w:left="0"/>
              <w:jc w:val="center"/>
            </w:pPr>
            <w:r>
              <w:t>АИР63А4</w:t>
            </w:r>
          </w:p>
        </w:tc>
        <w:tc>
          <w:tcPr>
            <w:tcW w:type="dxa" w:w="4690"/>
          </w:tcPr>
          <w:p w14:paraId="8E010000">
            <w:pPr>
              <w:pStyle w:val="Style_8"/>
              <w:spacing w:line="240" w:lineRule="auto"/>
              <w:ind w:firstLine="0" w:left="0"/>
              <w:jc w:val="center"/>
            </w:pPr>
            <w:r>
              <w:t>Мощность 0,75 кВт, </w:t>
            </w:r>
            <m:oMathPara>
              <m:oMath>
                <m:r>
                  <w:rPr>
                    <w:rFonts w:ascii="Cambria Math" w:hAnsi="Cambria Math"/>
                    <w:sz w:val="22"/>
                  </w:rPr>
                  <m:t>n=1450</m:t>
                </m:r>
              </m:oMath>
            </m:oMathPara>
            <w:r>
              <w:t> об/мин</w:t>
            </w:r>
          </w:p>
        </w:tc>
      </w:tr>
      <w:tr>
        <w:tc>
          <w:tcPr>
            <w:tcW w:type="dxa" w:w="2381"/>
          </w:tcPr>
          <w:p w14:paraId="8F010000">
            <w:pPr>
              <w:pStyle w:val="Style_8"/>
              <w:spacing w:line="240" w:lineRule="auto"/>
              <w:ind w:firstLine="0" w:left="0"/>
              <w:jc w:val="center"/>
            </w:pPr>
            <w:r>
              <w:t>Передача</w:t>
            </w:r>
          </w:p>
        </w:tc>
        <w:tc>
          <w:tcPr>
            <w:tcW w:type="dxa" w:w="2655"/>
          </w:tcPr>
          <w:p w14:paraId="90010000">
            <w:pPr>
              <w:pStyle w:val="Style_8"/>
              <w:spacing w:line="240" w:lineRule="auto"/>
              <w:ind w:firstLine="0" w:left="0"/>
              <w:jc w:val="center"/>
            </w:pPr>
            <w:r>
              <w:t>Клиноременная типа А</w:t>
            </w:r>
          </w:p>
        </w:tc>
        <w:tc>
          <w:tcPr>
            <w:tcW w:type="dxa" w:w="4690"/>
          </w:tcPr>
          <w:p w14:paraId="91010000">
            <w:pPr>
              <w:pStyle w:val="Style_8"/>
              <w:spacing w:line="240" w:lineRule="auto"/>
              <w:ind w:firstLine="0" w:left="0"/>
              <w:jc w:val="center"/>
            </w:pPr>
            <m:oMathPara>
              <m:oMath>
                <m:r>
                  <w:rPr>
                    <w:rFonts w:ascii="Cambria Math" w:hAnsi="Cambria Math"/>
                    <w:sz w:val="22"/>
                  </w:rPr>
                  <m:t>i=</m:t>
                </m:r>
                <m:r>
                  <w:rPr>
                    <w:rFonts w:ascii="Cambria Math" w:hAnsi="Cambria Math"/>
                    <w:sz w:val="22"/>
                  </w:rPr>
                  <m:rPr>
                    <m:sty m:val="p"/>
                  </m:rPr>
                  <m:t>2,0</m:t>
                </m:r>
              </m:oMath>
            </m:oMathPara>
          </w:p>
        </w:tc>
      </w:tr>
      <w:tr>
        <w:tc>
          <w:tcPr>
            <w:tcW w:type="dxa" w:w="2381"/>
          </w:tcPr>
          <w:p w14:paraId="92010000">
            <w:pPr>
              <w:pStyle w:val="Style_8"/>
              <w:spacing w:line="240" w:lineRule="auto"/>
              <w:ind w:firstLine="0" w:left="0"/>
              <w:jc w:val="center"/>
            </w:pPr>
            <w:r>
              <w:t>Шкив ведущий</w:t>
            </w:r>
          </w:p>
        </w:tc>
        <w:tc>
          <w:tcPr>
            <w:tcW w:type="dxa" w:w="2655"/>
          </w:tcPr>
          <w:p w14:paraId="93010000">
            <w:pPr>
              <w:pStyle w:val="Style_8"/>
              <w:spacing w:line="240" w:lineRule="auto"/>
              <w:ind w:firstLine="0" w:left="0"/>
              <w:jc w:val="center"/>
            </w:pPr>
            <w:r>
              <w:t>Стандартный чугунный</w:t>
            </w:r>
          </w:p>
        </w:tc>
        <w:tc>
          <w:tcPr>
            <w:tcW w:type="dxa" w:w="4690"/>
          </w:tcPr>
          <w:p w14:paraId="94010000">
            <w:pPr>
              <w:pStyle w:val="Style_8"/>
              <w:spacing w:line="240" w:lineRule="auto"/>
              <w:ind w:firstLine="0" w:left="0"/>
              <w:jc w:val="center"/>
            </w:pPr>
            <m:oMathPara>
              <m:oMath>
                <m:sSub>
                  <m:e>
                    <m:r>
                      <w:rPr>
                        <w:rFonts w:ascii="Cambria Math" w:hAnsi="Cambria Math"/>
                        <w:sz w:val="22"/>
                      </w:rPr>
                      <m:t>d</m:t>
                    </m:r>
                  </m:e>
                  <m:sub>
                    <m:r>
                      <w:rPr>
                        <w:rFonts w:ascii="Cambria Math" w:hAnsi="Cambria Math"/>
                        <w:sz w:val="22"/>
                      </w:rPr>
                      <m:t>1</m:t>
                    </m:r>
                  </m:sub>
                </m:sSub>
                <m:r>
                  <w:rPr>
                    <w:rFonts w:ascii="Cambria Math" w:hAnsi="Cambria Math"/>
                    <w:sz w:val="22"/>
                  </w:rPr>
                  <m:t>=140</m:t>
                </m:r>
              </m:oMath>
            </m:oMathPara>
            <w:r>
              <w:t> мм</w:t>
            </w:r>
          </w:p>
        </w:tc>
      </w:tr>
      <w:tr>
        <w:tc>
          <w:tcPr>
            <w:tcW w:type="dxa" w:w="2381"/>
          </w:tcPr>
          <w:p w14:paraId="95010000">
            <w:pPr>
              <w:pStyle w:val="Style_8"/>
              <w:spacing w:line="240" w:lineRule="auto"/>
              <w:ind w:firstLine="0" w:left="0"/>
              <w:jc w:val="center"/>
            </w:pPr>
            <w:r>
              <w:t>Шкив ведомый</w:t>
            </w:r>
          </w:p>
        </w:tc>
        <w:tc>
          <w:tcPr>
            <w:tcW w:type="dxa" w:w="2655"/>
          </w:tcPr>
          <w:p w14:paraId="96010000">
            <w:pPr>
              <w:pStyle w:val="Style_8"/>
              <w:spacing w:line="240" w:lineRule="auto"/>
              <w:ind w:firstLine="0" w:left="0"/>
              <w:jc w:val="center"/>
            </w:pPr>
            <w:r>
              <w:t>Стандартный чугунный</w:t>
            </w:r>
          </w:p>
        </w:tc>
        <w:tc>
          <w:tcPr>
            <w:tcW w:type="dxa" w:w="4690"/>
          </w:tcPr>
          <w:p w14:paraId="97010000">
            <w:pPr>
              <w:pStyle w:val="Style_8"/>
              <w:spacing w:line="240" w:lineRule="auto"/>
              <w:ind w:firstLine="0" w:left="0"/>
              <w:jc w:val="center"/>
            </w:pPr>
            <m:oMathPara>
              <m:oMath>
                <m:sSub>
                  <m:e>
                    <m:r>
                      <w:rPr>
                        <w:rFonts w:ascii="Cambria Math" w:hAnsi="Cambria Math"/>
                        <w:sz w:val="22"/>
                      </w:rPr>
                      <m:t>d</m:t>
                    </m:r>
                  </m:e>
                  <m:sub>
                    <m:r>
                      <w:rPr>
                        <w:rFonts w:ascii="Cambria Math" w:hAnsi="Cambria Math"/>
                        <w:sz w:val="22"/>
                      </w:rPr>
                      <m:t>2</m:t>
                    </m:r>
                  </m:sub>
                </m:sSub>
                <m:r>
                  <w:rPr>
                    <w:rFonts w:ascii="Cambria Math" w:hAnsi="Cambria Math"/>
                    <w:sz w:val="22"/>
                  </w:rPr>
                  <m:t>=280</m:t>
                </m:r>
              </m:oMath>
            </m:oMathPara>
            <w:r>
              <w:t> мм</w:t>
            </w:r>
          </w:p>
        </w:tc>
      </w:tr>
      <w:tr>
        <w:tc>
          <w:tcPr>
            <w:tcW w:type="dxa" w:w="2381"/>
          </w:tcPr>
          <w:p w14:paraId="98010000">
            <w:pPr>
              <w:pStyle w:val="Style_8"/>
              <w:spacing w:line="240" w:lineRule="auto"/>
              <w:ind w:firstLine="0" w:left="0"/>
              <w:jc w:val="center"/>
            </w:pPr>
            <w:r>
              <w:t>Ремень</w:t>
            </w:r>
          </w:p>
        </w:tc>
        <w:tc>
          <w:tcPr>
            <w:tcW w:type="dxa" w:w="2655"/>
          </w:tcPr>
          <w:p w14:paraId="99010000">
            <w:pPr>
              <w:pStyle w:val="Style_8"/>
              <w:spacing w:line="240" w:lineRule="auto"/>
              <w:ind w:firstLine="0" w:left="0"/>
              <w:jc w:val="center"/>
            </w:pPr>
            <w:r>
              <w:t>Клиновой типа А</w:t>
            </w:r>
          </w:p>
        </w:tc>
        <w:tc>
          <w:tcPr>
            <w:tcW w:type="dxa" w:w="4690"/>
          </w:tcPr>
          <w:p w14:paraId="9A010000">
            <w:pPr>
              <w:pStyle w:val="Style_8"/>
              <w:spacing w:line="240" w:lineRule="auto"/>
              <w:ind w:firstLine="0" w:left="0"/>
              <w:jc w:val="center"/>
            </w:pPr>
            <w:r>
              <w:t>Длина 1120 мм (расчетная по межосевому расстоянию)</w:t>
            </w:r>
          </w:p>
        </w:tc>
      </w:tr>
      <w:tr>
        <w:tc>
          <w:tcPr>
            <w:tcW w:type="dxa" w:w="2381"/>
          </w:tcPr>
          <w:p w14:paraId="9B010000">
            <w:pPr>
              <w:pStyle w:val="Style_8"/>
              <w:spacing w:line="240" w:lineRule="auto"/>
              <w:ind w:firstLine="0" w:left="0"/>
              <w:jc w:val="center"/>
            </w:pPr>
            <w:r>
              <w:t>Частота вращения шпинделя</w:t>
            </w:r>
          </w:p>
        </w:tc>
        <w:tc>
          <w:tcPr>
            <w:tcW w:type="dxa" w:w="2655"/>
          </w:tcPr>
          <w:p w14:paraId="9C010000">
            <w:pPr>
              <w:pStyle w:val="Style_8"/>
              <w:spacing w:line="240" w:lineRule="auto"/>
              <w:ind w:firstLine="0" w:left="0"/>
              <w:jc w:val="center"/>
            </w:pPr>
            <w:r>
              <w:t>Фактическая</w:t>
            </w:r>
          </w:p>
        </w:tc>
        <w:tc>
          <w:tcPr>
            <w:tcW w:type="dxa" w:w="4690"/>
          </w:tcPr>
          <w:p w14:paraId="9D010000">
            <w:pPr>
              <w:pStyle w:val="Style_8"/>
              <w:spacing w:line="240" w:lineRule="auto"/>
              <w:ind w:firstLine="0" w:left="0"/>
              <w:jc w:val="center"/>
            </w:pPr>
            <m:oMathPara>
              <m:oMath>
                <m:sSub>
                  <m:e>
                    <m:r>
                      <w:rPr>
                        <w:rFonts w:ascii="Cambria Math" w:hAnsi="Cambria Math"/>
                        <w:sz w:val="22"/>
                      </w:rPr>
                      <m:t>n</m:t>
                    </m:r>
                  </m:e>
                  <m:sub>
                    <m:r>
                      <w:rPr>
                        <w:rFonts w:ascii="Cambria Math" w:hAnsi="Cambria Math"/>
                        <w:sz w:val="22"/>
                      </w:rPr>
                      <m:rPr>
                        <m:sty m:val="p"/>
                      </m:rPr>
                      <m:t>t</m:t>
                    </m:r>
                    <m:r>
                      <w:rPr>
                        <w:rFonts w:ascii="Cambria Math" w:hAnsi="Cambria Math"/>
                        <w:sz w:val="22"/>
                      </w:rPr>
                      <m:rPr>
                        <m:sty m:val="p"/>
                      </m:rPr>
                      <m:t>e</m:t>
                    </m:r>
                    <m:r>
                      <w:rPr>
                        <w:rFonts w:ascii="Cambria Math" w:hAnsi="Cambria Math"/>
                        <w:sz w:val="22"/>
                      </w:rPr>
                      <m:rPr>
                        <m:sty m:val="p"/>
                      </m:rPr>
                      <m:t>x</m:t>
                    </m:r>
                    <m:r>
                      <w:rPr>
                        <w:rFonts w:ascii="Cambria Math" w:hAnsi="Cambria Math"/>
                        <w:sz w:val="22"/>
                      </w:rPr>
                      <m:rPr>
                        <m:sty m:val="p"/>
                      </m:rPr>
                      <m:t>t</m:t>
                    </m:r>
                    <m:r>
                      <w:rPr>
                        <w:rFonts w:ascii="Cambria Math" w:hAnsi="Cambria Math"/>
                        <w:sz w:val="22"/>
                      </w:rPr>
                      <m:rPr>
                        <m:sty m:val="p"/>
                      </m:rPr>
                      <m:t>ф</m:t>
                    </m:r>
                    <m:r>
                      <w:rPr>
                        <w:rFonts w:ascii="Cambria Math" w:hAnsi="Cambria Math"/>
                        <w:sz w:val="22"/>
                      </w:rPr>
                      <m:rPr>
                        <m:sty m:val="p"/>
                      </m:rPr>
                      <m:t>а</m:t>
                    </m:r>
                    <m:r>
                      <w:rPr>
                        <w:rFonts w:ascii="Cambria Math" w:hAnsi="Cambria Math"/>
                        <w:sz w:val="22"/>
                      </w:rPr>
                      <m:rPr>
                        <m:sty m:val="p"/>
                      </m:rPr>
                      <m:t>к</m:t>
                    </m:r>
                    <m:r>
                      <w:rPr>
                        <w:rFonts w:ascii="Cambria Math" w:hAnsi="Cambria Math"/>
                        <w:sz w:val="22"/>
                      </w:rPr>
                      <m:rPr>
                        <m:sty m:val="p"/>
                      </m:rPr>
                      <m:t>т</m:t>
                    </m:r>
                  </m:sub>
                </m:sSub>
                <m:r>
                  <w:rPr>
                    <w:rFonts w:ascii="Cambria Math" w:hAnsi="Cambria Math"/>
                    <w:sz w:val="22"/>
                  </w:rPr>
                  <m:t>=725</m:t>
                </m:r>
              </m:oMath>
            </m:oMathPara>
            <w:r>
              <w:t> об/мин</w:t>
            </w:r>
          </w:p>
        </w:tc>
      </w:tr>
    </w:tbl>
    <w:p w14:paraId="9E010000">
      <w:pPr>
        <w:pStyle w:val="Style_8"/>
      </w:pPr>
    </w:p>
    <w:p w14:paraId="9F010000">
      <w:pPr>
        <w:pStyle w:val="Style_8"/>
      </w:pPr>
      <w:r>
        <w:t xml:space="preserve">Рассчитанные параметры кинематической цепи полностью удовлетворяют условиям обработки высокопрочного чугуна ВЧ35. Полученная фактическая частота вращения шпинделя (725 об/мин) находится в диапазоне, обеспечивающем требуемую чистоту обработанной поверхности </w:t>
      </w:r>
      <w:r>
        <w:t>Ra</w:t>
      </w:r>
      <w:r>
        <w:t xml:space="preserve"> 1,6. Запас по мощности в 10–15 раз выше минимально требуемой величины, что гарантирует устойчивую работу привода без перегрева даже при кратковременном возрастании сил резания при черновых проходах. Выбранные стандартные диаметры шкивов позволяют применять легко доступный клиновой ремень типа А [20, 23]. Кинематическая схема, включающая двигатель, ведущий шкив, клиновой ремень и ведомый шкив, будет отображена в графической части работы в виде кинематической схемы привода.</w:t>
      </w:r>
      <w:r>
        <w:br w:type="page"/>
      </w:r>
    </w:p>
    <w:p w14:paraId="A0010000">
      <w:bookmarkStart w:id="12" w:name="__RefHeading___11"/>
      <w:bookmarkEnd w:id="12"/>
      <w:pPr>
        <w:pStyle w:val="Style_7"/>
      </w:pPr>
      <w:r>
        <w:t>3. РАЗДЕЛ ПО ОХРАНА ТРУДА</w:t>
      </w:r>
    </w:p>
    <w:p w14:paraId="A1010000">
      <w:bookmarkStart w:id="13" w:name="__RefHeading___12"/>
      <w:bookmarkEnd w:id="13"/>
      <w:pPr>
        <w:pStyle w:val="Style_9"/>
      </w:pPr>
      <w:r>
        <w:rPr>
          <w:rStyle w:val="Style_11_ch"/>
          <w:b w:val="1"/>
        </w:rPr>
        <w:t>3.1 Анализ опасных и вредных производственных факторов при механической обработке деталей</w:t>
      </w:r>
    </w:p>
    <w:p w14:paraId="A2010000">
      <w:pPr>
        <w:pStyle w:val="Style_8"/>
      </w:pPr>
      <w:r>
        <w:t>Условия работы оператора</w:t>
      </w:r>
      <w:r>
        <w:t xml:space="preserve"> </w:t>
      </w:r>
      <w:r>
        <w:t xml:space="preserve">зависят от того, какая операция в данный момент выполняется на станке. В разработанном </w:t>
      </w:r>
      <w:r>
        <w:t xml:space="preserve">мной </w:t>
      </w:r>
      <w:r>
        <w:t xml:space="preserve">технологическом процессе корпус из </w:t>
      </w:r>
      <w:r>
        <w:t xml:space="preserve">материала - </w:t>
      </w:r>
      <w:r>
        <w:t xml:space="preserve">ВЧ35 проходит </w:t>
      </w:r>
      <w:r>
        <w:t xml:space="preserve">следующие </w:t>
      </w:r>
      <w:r>
        <w:t>опрации</w:t>
      </w:r>
      <w:r>
        <w:t xml:space="preserve">: </w:t>
      </w:r>
      <w:r>
        <w:t>фрезерование, сверление, растачивание и последующую обработку посадочного отверстия</w:t>
      </w:r>
      <w:r>
        <w:t>, п</w:t>
      </w:r>
      <w:r>
        <w:t>оэтому характер воздействия на работающего меняется в течение смены</w:t>
      </w:r>
      <w:r>
        <w:t xml:space="preserve"> в</w:t>
      </w:r>
      <w:r>
        <w:t xml:space="preserve">о время резания основное значение имеют движущийся инструмент, стружка и шум, а при наладке к ним добавляется непосредственный контакт оператора с заготовкой, приспособлением и инструментальной оснасткой. Перечень факторов, которые необходимо учитывать для такого рабочего места, принимается с учетом ГОСТ 12.0.003-2015 [4]. Однако для рассматриваемой технологии важна не только их формальная классификация. Необходимо учитывать, в какой момент работы возникает опасность и каким образом оператор может оказаться в зоне ее действия. </w:t>
      </w:r>
      <w:r>
        <w:t>Заготовка углового корпуса подшипника устанавливается и закрепляется в приспособлении до начала рабочего цикла</w:t>
      </w:r>
      <w:r>
        <w:t xml:space="preserve"> н</w:t>
      </w:r>
      <w:r>
        <w:t xml:space="preserve">а этом этапе станок еще </w:t>
      </w:r>
      <w:r>
        <w:t xml:space="preserve">находится в не рабочем состоянии. </w:t>
      </w:r>
      <w:r>
        <w:t>Корпус имеет выступающие части, а его литые поверхности до обработки могут иметь неровности и острые кромки</w:t>
      </w:r>
      <w:r>
        <w:t>, поэтому н</w:t>
      </w:r>
      <w:r>
        <w:t xml:space="preserve">еосторожное обращение с заготовкой </w:t>
      </w:r>
      <w:r>
        <w:t>может</w:t>
      </w:r>
      <w:r>
        <w:t xml:space="preserve"> привести к порезу или ушибу рук. </w:t>
      </w:r>
    </w:p>
    <w:p w14:paraId="A3010000">
      <w:pPr>
        <w:pStyle w:val="Style_8"/>
        <w:rPr>
          <w:color w:val="060708"/>
          <w:sz w:val="27"/>
        </w:rPr>
      </w:pPr>
      <w:r>
        <w:t xml:space="preserve">Такой же </w:t>
      </w:r>
      <w:r>
        <w:t>момент возникает</w:t>
      </w:r>
      <w:r>
        <w:t xml:space="preserve"> при установке режущего инструмента и проверке его закрепления</w:t>
      </w:r>
      <w:r>
        <w:t>, п</w:t>
      </w:r>
      <w:r>
        <w:t>осле запуска программы</w:t>
      </w:r>
      <w:r>
        <w:t xml:space="preserve"> и начала работы опасность получения травмы самая высокая, так как ш</w:t>
      </w:r>
      <w:r>
        <w:t>пиндель и установленный в нем инструмент вращаются с частотой, заданной для конкретного перехода. Например, чистовое растачивание отверстия выполняется примерно при 700 об/мин</w:t>
      </w:r>
      <w:r>
        <w:t>, к</w:t>
      </w:r>
      <w:r>
        <w:t xml:space="preserve">онтакт человека с вращающимся инструментом при такой частоте недопустим. </w:t>
      </w:r>
      <w:r>
        <w:t xml:space="preserve">Очень часто травму получают, </w:t>
      </w:r>
      <w:r>
        <w:t xml:space="preserve">когда оператор </w:t>
      </w:r>
      <w:r>
        <w:t xml:space="preserve">продолжает </w:t>
      </w:r>
      <w:r>
        <w:t>работу,</w:t>
      </w:r>
      <w:r>
        <w:t xml:space="preserve"> не убедившись в полной остановке работы станка</w:t>
      </w:r>
      <w:r>
        <w:t xml:space="preserve"> в работу станка</w:t>
      </w:r>
      <w:r>
        <w:t>, например</w:t>
      </w:r>
      <w:r>
        <w:t>: поправ</w:t>
      </w:r>
      <w:r>
        <w:t>ляет</w:t>
      </w:r>
      <w:r>
        <w:t xml:space="preserve"> заготовку, уб</w:t>
      </w:r>
      <w:r>
        <w:t>ирает</w:t>
      </w:r>
      <w:r>
        <w:t xml:space="preserve"> стружку, провер</w:t>
      </w:r>
      <w:r>
        <w:t>яет</w:t>
      </w:r>
      <w:r>
        <w:t xml:space="preserve"> поверхность или выполн</w:t>
      </w:r>
      <w:r>
        <w:t>яет</w:t>
      </w:r>
      <w:r>
        <w:t xml:space="preserve"> измерение.</w:t>
      </w:r>
      <w:r>
        <w:t xml:space="preserve"> Сама стружка при обработке ВЧ35 также требует внимания. Высокопрочный чугун отличается от пластичных материалов характером стружкообразования. Стружка получается преимущественно короткой и хрупкой, отдельные ее части могут отлетать от зоны резания. Сразу после отделения от заготовки частицы имеют повышенную температуру и острые края. Попадание такой стружки на открытый участок кожи вызывает порез или ожог, а попадание в глаза представляет уже более серьезную опасность. Убирать стружку непосредственно руками нельзя даже после остановки оборудования. Среди мелких частиц могут оставаться острые фрагменты, которые плохо заметны визуально. Кроме того, часть стружки задерживается внутри рабочей зоны станка и около приспособления. Попытка достать ее в неудобном положении увеличивает вероятность контакта с режущими кромками инструмента. Обработка чугуна сопровождается не только образованием крупной стружки. В воздух попадают мелкие частицы металла и графита. Особенно заметно пылеобразование на операциях, где образуется большое количество мелкой стружки. Часть пыли оседает на внутренних поверхностях оборудования, другая часть может оставаться в воздухе рабочей зоны. Постоянное вдыхание такой пыли нежелательно из-за раздражения дыхательных путей и слизистых оболочек.</w:t>
      </w:r>
    </w:p>
    <w:p w14:paraId="A4010000">
      <w:pPr>
        <w:pStyle w:val="Style_8"/>
      </w:pPr>
      <w:r>
        <w:t xml:space="preserve">Для отдельных переходов технологического процесса применяется смазочно-охлаждающая жидкость. Во время вращения инструмента часть жидкости разбивается на мелкие капли. Внутри закрытой рабочей зоны это не представляет такой же опасности, как открытый выброс жидкости, однако после открытия дверей некоторое количество аэрозоля может попасть в воздух помещения. Контакт СОЖ с кожей также возможен при обслуживании станка, уборке и работе с обработанной деталью. Продолжительное воздействие масел и компонентов эмульсии способно вызвать раздражение кожи. Допустимое </w:t>
      </w:r>
      <w:r>
        <w:t xml:space="preserve">содержание подобных веществ в воздухе рабочей зоны устанавливается гигиеническими нормативами [13]. Отдельно необходимо учитывать шум. Его источником является не только электродвигатель станка. Звук возникает в приводе, подшипниковых узлах, при работе системы охлаждения и непосредственно в месте контакта режущей кромки с чугунной заготовкой. Характер шума меняется вместе с режимом резания. Фрезерование сопровождается периодическими ударами зубьев фрезы, тогда как при растачивании звук обычно более равномерный. На механическом участке уровень шума может достигать 95 </w:t>
      </w:r>
      <w:r>
        <w:t>дБА</w:t>
      </w:r>
      <w:r>
        <w:t xml:space="preserve">. Такое значение уже нельзя рассматривать только как фактор, мешающий разговаривать или сосредоточиться. Продолжительная работа в шумном помещении увеличивает утомляемость, а постоянное превышение допустимых значений отрицательно </w:t>
      </w:r>
      <w:r>
        <w:t>А</w:t>
      </w:r>
      <w:r>
        <w:t>действует</w:t>
      </w:r>
      <w:r>
        <w:t xml:space="preserve"> на слух. </w:t>
      </w:r>
      <w:r>
        <w:t xml:space="preserve">Возникновение </w:t>
      </w:r>
      <w:r>
        <w:t xml:space="preserve">проблема </w:t>
      </w:r>
      <w:r>
        <w:t xml:space="preserve">возникает следствии </w:t>
      </w:r>
      <w:r>
        <w:t>того</w:t>
      </w:r>
      <w:r>
        <w:t xml:space="preserve"> что</w:t>
      </w:r>
      <w:r>
        <w:t xml:space="preserve"> на фоне работающего оборудования оператор хуже слышит предупреждающие сигналы и обращение других работников. </w:t>
      </w:r>
      <w:r>
        <w:t>Кроме</w:t>
      </w:r>
      <w:r>
        <w:t xml:space="preserve"> шум</w:t>
      </w:r>
      <w:r>
        <w:t>а</w:t>
      </w:r>
      <w:r>
        <w:t xml:space="preserve"> во время </w:t>
      </w:r>
      <w:r>
        <w:t>работы на станке</w:t>
      </w:r>
      <w:r>
        <w:t xml:space="preserve"> возникает </w:t>
      </w:r>
      <w:r>
        <w:t xml:space="preserve">еще и </w:t>
      </w:r>
      <w:r>
        <w:t>вибрация</w:t>
      </w:r>
      <w:r>
        <w:t>, которая</w:t>
      </w:r>
      <w:r>
        <w:t xml:space="preserve"> передается от шпиндельного узла и зоны обработки на корпус станка, а затем частично на основание. Ее величина зависит от режима резания, состояния инструмента и жесткости закрепления заготовки</w:t>
      </w:r>
      <w:r>
        <w:t>, и</w:t>
      </w:r>
      <w:r>
        <w:t xml:space="preserve">зношенная режущая кромка, увеличенный вылет инструмента или недостаточно жесткая установка корпуса способны </w:t>
      </w:r>
      <w:r>
        <w:t>вызвать или усилить эти</w:t>
      </w:r>
      <w:r>
        <w:t xml:space="preserve"> колебания</w:t>
      </w:r>
      <w:r>
        <w:t xml:space="preserve"> помимо того вибрация еще и ухудшает следующие показатели</w:t>
      </w:r>
      <w:r>
        <w:t xml:space="preserve">: состояние </w:t>
      </w:r>
      <w:r>
        <w:t xml:space="preserve">обрабатываемой </w:t>
      </w:r>
      <w:r>
        <w:t xml:space="preserve">поверхности, </w:t>
      </w:r>
      <w:r>
        <w:t>скорость</w:t>
      </w:r>
      <w:r>
        <w:t xml:space="preserve"> </w:t>
      </w:r>
      <w:r>
        <w:t>изнашивания инструмента</w:t>
      </w:r>
      <w:r>
        <w:t xml:space="preserve">, </w:t>
      </w:r>
      <w:r>
        <w:t xml:space="preserve">сложность </w:t>
      </w:r>
      <w:r>
        <w:t>при изготовлении</w:t>
      </w:r>
      <w:r>
        <w:t xml:space="preserve"> </w:t>
      </w:r>
      <w:r>
        <w:t>в выдержке</w:t>
      </w:r>
      <w:r>
        <w:t xml:space="preserve"> заданны</w:t>
      </w:r>
      <w:r>
        <w:t>х</w:t>
      </w:r>
      <w:r>
        <w:t xml:space="preserve"> размер</w:t>
      </w:r>
      <w:r>
        <w:t>ов</w:t>
      </w:r>
      <w:r>
        <w:t xml:space="preserve">. </w:t>
      </w:r>
    </w:p>
    <w:p w14:paraId="A5010000">
      <w:pPr>
        <w:pStyle w:val="Style_8"/>
        <w:rPr>
          <w:color w:val="060708"/>
        </w:rPr>
      </w:pPr>
      <w:r>
        <w:t>Приводы, шкаф управления, электродвигатели и вспомогательные системы питаются от электрической сети</w:t>
      </w:r>
      <w:r>
        <w:t>, поэтому возникает риск получение травмы от электричества.</w:t>
      </w:r>
      <w:r>
        <w:t xml:space="preserve"> В штатном состоянии токоведущие элементы закрыты и оператор с ними не соприкасается. Опасная ситуация возникает при повреждении изоляции, неисправности защитного заземления, попадании жидкости на электрические элементы или попытке самостоятельно устранить неисправность. Металлический корпус оборудования при повреждении </w:t>
      </w:r>
      <w:r>
        <w:t>электрической части может оказаться под напряжением. Работа с обрабатывающим центром имеет и свою особенность: большую часть машинного времени оператор непосредственно не выполняет резание, поскольку цикл идет автоматически. Из этого, однако, не следует, что нагрузка на человека отсутствует. Перед запуском необходимо проверить установку корпуса, инструмент, координаты и заданную программу. Ошибка, допущенная во время наладки, может проявиться уже после начала движения рабочих органов станка. Во время автоматического цикла задача оператора меняется. Требуется следить за работой оборудования и вовремя заметить посторонний звук, повышенную вибрацию, поломку инструмента либо другую неисправность. Длительное наблюдение за повторяющимся процессом постепенно снижает концентрацию. Этот момент имеет значение именно для оборудования с ЧПУ, где значительная часть операций проходит без постоянного ручного вмешательства. Нагрузка возрастает во время наладки и контроля детали. Для проверки отверстия Ø50H7 требуется точное измерение, поскольку поле допуска сравнительно небольшое. Работнику приходится переключаться между наблюдением за станком, управлением, измерительным инструментом и контролем результатов обработки. Ошибка на этой стадии влияет уже не только на безопасность, но и на качество готового корпуса.</w:t>
      </w:r>
    </w:p>
    <w:p w14:paraId="A6010000">
      <w:pPr>
        <w:pStyle w:val="Style_8"/>
      </w:pPr>
      <w:r>
        <w:t xml:space="preserve">Освещение рабочего места также связано с характером выполняемой работы. Оператор должен видеть положение заготовки в приспособлении, состояние инструмента, органы управления и измерительную шкалу применяемого средства контроля. Для механической обработки освещенность рабочей поверхности принимается не менее 300 </w:t>
      </w:r>
      <w:r>
        <w:t>лк</w:t>
      </w:r>
      <w:r>
        <w:t xml:space="preserve"> согласно СанПиН 1.2.3685-21 [13]. Загрязненный светильник или недостаточное местное освещение особенно мешают во время наладки и измерений, когда требуется рассмотреть небольшие элементы детали. Состояние пола около оборудования тоже нельзя исключать из оценки рабочего места. Во время обслуживания возможны следы масла или СОЖ, рядом со станком может оказаться стружка. На </w:t>
      </w:r>
      <w:r>
        <w:t xml:space="preserve">загрязненном полу человек может поскользнуться непосредственно возле оборудования. Опасность в данном случае создается не самим процессом резания, а состоянием рабочего места после нескольких циклов обработки и обслуживания станка. </w:t>
      </w:r>
    </w:p>
    <w:p w14:paraId="A7010000">
      <w:pPr>
        <w:pStyle w:val="Style_8"/>
      </w:pPr>
      <w:r>
        <w:t>Мной разработанный техпроцесс имеет характеристику</w:t>
      </w:r>
      <w:r>
        <w:t xml:space="preserve"> разлет</w:t>
      </w:r>
      <w:r>
        <w:t>а</w:t>
      </w:r>
      <w:r>
        <w:t xml:space="preserve"> чугунно</w:t>
      </w:r>
      <w:r>
        <w:t>й</w:t>
      </w:r>
      <w:r>
        <w:t xml:space="preserve"> стружки и образование пыли, шум, вибрация, движущиеся части оборудования, применение СОЖ и наличие электрооборудования</w:t>
      </w:r>
      <w:r>
        <w:t xml:space="preserve">, ко всему этому </w:t>
      </w:r>
      <w:r>
        <w:t>добавляется нагрузка на оператора во время наладки, наблюдения за автоматическим циклом и контроля размеров детали. Часть этих факторов существует постоянно, другие появляются только на определенной стадии работы</w:t>
      </w:r>
      <w:r>
        <w:t>, п</w:t>
      </w:r>
      <w:r>
        <w:t>оэтому дальнейший выбор защитных мероприятий следует связывать с конкретным источником опасности</w:t>
      </w:r>
      <w:r>
        <w:t>, д</w:t>
      </w:r>
      <w:r>
        <w:t xml:space="preserve">ля зоны резания это ограничение доступа к вращающемуся инструменту и защита от стружки. </w:t>
      </w:r>
      <w:r>
        <w:t>Чтобы воздух в рабочей зоне стал чище надо</w:t>
      </w:r>
      <w:r>
        <w:t xml:space="preserve"> удал</w:t>
      </w:r>
      <w:r>
        <w:t>ить</w:t>
      </w:r>
      <w:r>
        <w:t xml:space="preserve"> пыл</w:t>
      </w:r>
      <w:r>
        <w:t>ь</w:t>
      </w:r>
      <w:r>
        <w:t xml:space="preserve"> и аэрозол</w:t>
      </w:r>
      <w:r>
        <w:t>и</w:t>
      </w:r>
      <w:r>
        <w:t>, для шумового и вибрационного воздействия — сни</w:t>
      </w:r>
      <w:r>
        <w:t>зить</w:t>
      </w:r>
      <w:r>
        <w:t xml:space="preserve"> их передачи на рабочее место. Электрическая часть оборудования требует исправной системы защиты, а нормальная работа оператора невозможна без достаточного освещения и порядка около станка. Эти вопросы рассматриваются в следующем подразделе.</w:t>
      </w:r>
    </w:p>
    <w:p w14:paraId="A8010000">
      <w:bookmarkStart w:id="14" w:name="__RefHeading___13"/>
      <w:bookmarkEnd w:id="14"/>
      <w:pPr>
        <w:pStyle w:val="Style_9"/>
      </w:pPr>
      <w:r>
        <w:rPr>
          <w:rStyle w:val="Style_11_ch"/>
          <w:b w:val="1"/>
        </w:rPr>
        <w:t>3.2 Разработка мероприятий по снижению воздействия на работника опасных и вредных производственных факторов</w:t>
      </w:r>
    </w:p>
    <w:p w14:paraId="A9010000">
      <w:pPr>
        <w:pStyle w:val="Style_8"/>
      </w:pPr>
      <w:r>
        <w:t xml:space="preserve">Проведенный мной анализ помог мне в выявлении опасных фактором на рабочем месте, теперь они </w:t>
      </w:r>
      <w:r>
        <w:t>являются</w:t>
      </w:r>
      <w:r>
        <w:t xml:space="preserve"> основой для формирования комплекса защитных мер. Все мероприятия </w:t>
      </w:r>
      <w:r>
        <w:t xml:space="preserve">я </w:t>
      </w:r>
      <w:r>
        <w:t>раздел</w:t>
      </w:r>
      <w:r>
        <w:t>ил</w:t>
      </w:r>
      <w:r>
        <w:t xml:space="preserve"> на технические, связанные с конструкцией оборудования и оснасткой рабочих мест, и организационные, определяющие порядок действий персонала, режим труда и систему обучения.</w:t>
      </w:r>
    </w:p>
    <w:p w14:paraId="AA010000">
      <w:pPr>
        <w:pStyle w:val="Style_8"/>
      </w:pPr>
      <w:r>
        <w:rPr>
          <w:rStyle w:val="Style_11_ch"/>
          <w:b w:val="0"/>
        </w:rPr>
        <w:t>Для начала я рассмотрю т</w:t>
      </w:r>
      <w:r>
        <w:rPr>
          <w:rStyle w:val="Style_11_ch"/>
          <w:b w:val="0"/>
        </w:rPr>
        <w:t>ехнические решения</w:t>
      </w:r>
      <w:r>
        <w:rPr>
          <w:rStyle w:val="Style_11_ch"/>
          <w:b w:val="0"/>
        </w:rPr>
        <w:t>, с</w:t>
      </w:r>
      <w:r>
        <w:t>танок с ЧПУ поставляется с комплектом ограждений, соответствующих требованиям ГОСТ 12.2.009-99</w:t>
      </w:r>
      <w:r>
        <w:t xml:space="preserve">, </w:t>
      </w:r>
      <w:r>
        <w:t xml:space="preserve">она резания закрывается прозрачным экраном из ударопрочного </w:t>
      </w:r>
      <w:r>
        <w:t>поликарбоната</w:t>
      </w:r>
      <w:r>
        <w:t>, э</w:t>
      </w:r>
      <w:r>
        <w:t>кран препятствует вылету стружки и случайному контакту оператора с вращающимся инструментом</w:t>
      </w:r>
      <w:r>
        <w:t>, также в</w:t>
      </w:r>
      <w:r>
        <w:t xml:space="preserve"> конструкци</w:t>
      </w:r>
      <w:r>
        <w:t>и</w:t>
      </w:r>
      <w:r>
        <w:t xml:space="preserve"> ограждения встроена блокировка: при открытии дверцы подача напряжения на шпиндель автоматически отключается. Дополнительно вокруг рабочей зоны устанавливаются откидные щитки, которые направляют мелкую стружку в сторону от оператора. Такие щитки размещаются на расстоянии 100–150 мм от обрабатываемой поверхности и не мешают обзору.</w:t>
      </w:r>
    </w:p>
    <w:p w14:paraId="AB010000">
      <w:pPr>
        <w:pStyle w:val="Style_8"/>
      </w:pPr>
      <w:r>
        <w:t>Для удаления стружки и аэрозолей охлаждающей жидкости над станком монтируется местный отсос, подключенный к общей вытяжной вентиляции цеха. Производительность отсоса подбирается из условия, чтобы скорость воздуха в сечении воронки составляла не менее 0,5 м/с — этого достаточно для улавливания графитовой пыли и масляного тумана, выделяющихся при растачивании чугуна. Приточная вентиляция обеспечивает подачу чистого воздуха в рабочую зону, кратность воздухообмена принимается по санитарным нормам не менее 6 объёмов в час. При операциях, сопровождающихся интенсивным пылевыделением (например, при зачистке заусенцев), оператор дополнительно использует респиратор-лепесток.</w:t>
      </w:r>
    </w:p>
    <w:p w14:paraId="AC010000">
      <w:pPr>
        <w:pStyle w:val="Style_8"/>
      </w:pPr>
      <w:r>
        <w:t xml:space="preserve">Снижение шума достигается за счёт звукоизолирующих кожухов на приводных ремнях и подшипниковых узлах. Применение клиноременной передачи вместо зубчатой снижает уровень высокочастотных составляющих шума. Однако расчётный уровень звука при обработке чугуна на скорости 110 м/мин может достигать 90–95 </w:t>
      </w:r>
      <w:r>
        <w:t>дБА</w:t>
      </w:r>
      <w:r>
        <w:t xml:space="preserve">, что превышает допустимые 80 </w:t>
      </w:r>
      <w:r>
        <w:t>дБА</w:t>
      </w:r>
      <w:r>
        <w:t xml:space="preserve"> согласно СН 2.2.4/2.1.8.562-96. Поэтому все операторы, работающие на данном участке, обеспечиваются противошумными наушниками с ослаблением не менее 20 дБ. Периодические замеры шума проводятся аккредитованной лабораторией два раза в год.</w:t>
      </w:r>
    </w:p>
    <w:p w14:paraId="AD010000">
      <w:pPr>
        <w:pStyle w:val="Style_8"/>
      </w:pPr>
      <w:r>
        <w:t xml:space="preserve">Вибрационная нагрузка на оператора при работе на станке с ЧПУ минимальна, так как управление осуществляется с пульта, а не через рукоятки. Однако общая вибрация от работы главного привода передаётся на пол. Для её снижения станина станка устанавливается на резиновые </w:t>
      </w:r>
      <w:r>
        <w:t xml:space="preserve">виброизолирующие опоры, которые уменьшают амплитуду колебаний на 30–40 %. </w:t>
      </w:r>
    </w:p>
    <w:p w14:paraId="AE010000">
      <w:pPr>
        <w:pStyle w:val="Style_8"/>
      </w:pPr>
      <w:r>
        <w:t>Противопожарные мероприятия соответствуют ГОСТ 12.1.004-91. На участке установлены два порошковых огнетушителя ОП-5 (для тушения твёрдых материалов и жидкостей) и один углекислотный ОУ-2 (для электрооборудования). Огнетушители размещены у входа и возле станка, на видном месте. Имеется пожарный щит с лопатой, багром и ящиком с песком. Пути эвакуации не загромождены, обозначены светящимися указателями. Запрещается курение и проведение огневых работ без специального наряда-допуска. Периодически (не реже одного раза в квартал) проводятся учебные тренировки по эвакуации.</w:t>
      </w:r>
    </w:p>
    <w:p w14:paraId="AF010000">
      <w:pPr>
        <w:pStyle w:val="Style_8"/>
      </w:pPr>
      <w:r>
        <w:t>Все перечисленные мероприятия в совокупности позволяют свести профессиональные риски к приемлемому уровню, обеспечивая безопасное выполнение операций механической обработки углового корпуса подшипника в условиях ООО «МАШТЕХЦЕНТР». Контроль за их реализацией возлагается на службу охраны труда предприятия и главного инженера.</w:t>
      </w:r>
    </w:p>
    <w:p w14:paraId="B0010000">
      <w:bookmarkStart w:id="15" w:name="__RefHeading___14"/>
      <w:bookmarkEnd w:id="15"/>
      <w:pPr>
        <w:pStyle w:val="Style_9"/>
      </w:pPr>
      <w:r>
        <w:rPr>
          <w:rStyle w:val="Style_11_ch"/>
          <w:b w:val="1"/>
        </w:rPr>
        <w:t>3.3 Разработка инструкции по охране труда при механической обработке детали</w:t>
      </w:r>
    </w:p>
    <w:p w14:paraId="B1010000">
      <w:pPr>
        <w:pStyle w:val="Style_12"/>
      </w:pPr>
      <w:r>
        <w:t>Данная инструкция составлена мной на основе типовой отраслевой инструкции ТОИ Р</w:t>
      </w:r>
      <w:r>
        <w:t>200</w:t>
      </w:r>
      <w:r>
        <w:t>07</w:t>
      </w:r>
      <w:r>
        <w:t>95 для станочников широкого профиля и дополнена с учётом конкретных условий обработки такой детали как «Угловой корпуса подшипника» на обрабатывающем центре 400V. Инструкция утверждается руководителем предприятия после согласования.</w:t>
      </w:r>
    </w:p>
    <w:p w14:paraId="B2010000">
      <w:pPr>
        <w:pStyle w:val="Style_13"/>
        <w:spacing w:after="240" w:line="360" w:lineRule="auto"/>
        <w:ind w:firstLine="709" w:left="0"/>
        <w:jc w:val="both"/>
        <w:rPr>
          <w:color w:val="0F1115"/>
          <w:sz w:val="28"/>
        </w:rPr>
      </w:pPr>
      <w:r>
        <w:rPr>
          <w:rStyle w:val="Style_11_ch"/>
          <w:b w:val="0"/>
          <w:color w:val="0F1115"/>
          <w:sz w:val="28"/>
        </w:rPr>
        <w:t>Инструкция по охране труда для оператора станка с ЧПУ</w:t>
      </w:r>
    </w:p>
    <w:p w14:paraId="B3010000">
      <w:pPr>
        <w:pStyle w:val="Style_13"/>
        <w:spacing w:after="240" w:before="240" w:line="360" w:lineRule="auto"/>
        <w:ind w:firstLine="709" w:left="0"/>
        <w:jc w:val="both"/>
        <w:rPr>
          <w:color w:val="0F1115"/>
          <w:sz w:val="28"/>
        </w:rPr>
      </w:pPr>
      <w:r>
        <w:rPr>
          <w:rStyle w:val="Style_11_ch"/>
          <w:b w:val="0"/>
          <w:color w:val="0F1115"/>
          <w:sz w:val="28"/>
        </w:rPr>
        <w:t>1. Общие требования охраны труда</w:t>
      </w:r>
    </w:p>
    <w:p w14:paraId="B4010000">
      <w:pPr>
        <w:pStyle w:val="Style_13"/>
        <w:spacing w:after="240" w:before="240" w:line="360" w:lineRule="auto"/>
        <w:ind w:firstLine="709" w:left="0"/>
        <w:jc w:val="both"/>
        <w:rPr>
          <w:color w:val="0F1115"/>
          <w:sz w:val="28"/>
        </w:rPr>
      </w:pPr>
      <w:r>
        <w:rPr>
          <w:color w:val="0F1115"/>
          <w:sz w:val="28"/>
        </w:rPr>
        <w:t>1.1. Настоящая инструкция обязательна для всех операторов станков с ЧПУ, занятых механической обработкой деталей из чугуна ВЧ35 на оборудовании типа 400V.</w:t>
      </w:r>
    </w:p>
    <w:p w14:paraId="B5010000">
      <w:pPr>
        <w:pStyle w:val="Style_13"/>
        <w:spacing w:after="240" w:before="240" w:line="360" w:lineRule="auto"/>
        <w:ind w:firstLine="709" w:left="0"/>
        <w:jc w:val="both"/>
        <w:rPr>
          <w:color w:val="0F1115"/>
          <w:sz w:val="28"/>
        </w:rPr>
      </w:pPr>
      <w:r>
        <w:rPr>
          <w:color w:val="0F1115"/>
          <w:sz w:val="28"/>
        </w:rPr>
        <w:t>1.2. К работе допускаются лица не моложе 18 лет, прошедшие медосмотр, профессиональное обучение, вводный и первичный инструктажи на рабочем месте, стажировку не менее пяти смен, проверку теоретических знаний и имеющие действующее удостоверение на право управления станком с ЧПУ.</w:t>
      </w:r>
    </w:p>
    <w:p w14:paraId="B6010000">
      <w:pPr>
        <w:pStyle w:val="Style_13"/>
        <w:spacing w:after="240" w:before="240" w:line="360" w:lineRule="auto"/>
        <w:ind w:firstLine="709" w:left="0"/>
        <w:jc w:val="both"/>
        <w:rPr>
          <w:color w:val="0F1115"/>
          <w:sz w:val="28"/>
        </w:rPr>
      </w:pPr>
      <w:r>
        <w:rPr>
          <w:color w:val="0F1115"/>
          <w:sz w:val="28"/>
        </w:rPr>
        <w:t>1.3. Оператор обязан соблюдать правила внутреннего трудового распорядка и установленный режим труда. Нахождение на рабочем месте в состоянии опьянения (алкогольного, наркотического или токсического) категорически запрещается.</w:t>
      </w:r>
    </w:p>
    <w:p w14:paraId="B7010000">
      <w:pPr>
        <w:pStyle w:val="Style_13"/>
        <w:spacing w:after="240" w:before="240" w:line="360" w:lineRule="auto"/>
        <w:ind w:firstLine="709" w:left="0"/>
        <w:jc w:val="both"/>
        <w:rPr>
          <w:color w:val="0F1115"/>
          <w:sz w:val="28"/>
        </w:rPr>
      </w:pPr>
      <w:r>
        <w:rPr>
          <w:color w:val="0F1115"/>
          <w:sz w:val="28"/>
        </w:rPr>
        <w:t>1.4. Оператор должен хорошо знать устройство станка, правила его безопасной эксплуатации, назначение всех органов управления, расположение кнопок аварийной остановки и средств пожаротушения.</w:t>
      </w:r>
    </w:p>
    <w:p w14:paraId="B8010000">
      <w:pPr>
        <w:pStyle w:val="Style_13"/>
        <w:spacing w:after="240" w:before="240" w:line="360" w:lineRule="auto"/>
        <w:ind w:firstLine="709" w:left="0"/>
        <w:jc w:val="both"/>
        <w:rPr>
          <w:color w:val="0F1115"/>
          <w:sz w:val="28"/>
        </w:rPr>
      </w:pPr>
      <w:r>
        <w:rPr>
          <w:color w:val="0F1115"/>
          <w:sz w:val="28"/>
        </w:rPr>
        <w:t>1.5. В течение всей смены оператор пользуется средствами индивидуальной защиты: хлопчатобумажным костюмом, головным убором, закрытой обувью, защитными очками (если прозрачный экран не установлен или снят), респиратором при пыльных работах и противошумными наушниками при повышенном уровне шума.</w:t>
      </w:r>
    </w:p>
    <w:p w14:paraId="B9010000">
      <w:pPr>
        <w:pStyle w:val="Style_13"/>
        <w:spacing w:after="240" w:before="240" w:line="360" w:lineRule="auto"/>
        <w:ind w:firstLine="709" w:left="0"/>
        <w:jc w:val="both"/>
        <w:rPr>
          <w:color w:val="0F1115"/>
          <w:sz w:val="28"/>
        </w:rPr>
      </w:pPr>
      <w:r>
        <w:rPr>
          <w:color w:val="0F1115"/>
          <w:sz w:val="28"/>
        </w:rPr>
        <w:t>1.6. При обнаружении неисправностей станка, инструмента или ограждений оператор немедленно останавливает оборудование, отключает питание и сообщает мастеру. Самостоятельно устранять неполадки, не имея соответствующей квалификации и разрешения, запрещается.</w:t>
      </w:r>
    </w:p>
    <w:p w14:paraId="BA010000">
      <w:pPr>
        <w:pStyle w:val="Style_13"/>
        <w:spacing w:after="240" w:before="240" w:line="360" w:lineRule="auto"/>
        <w:ind w:firstLine="709" w:left="0"/>
        <w:jc w:val="both"/>
        <w:rPr>
          <w:color w:val="0F1115"/>
          <w:sz w:val="28"/>
        </w:rPr>
      </w:pPr>
      <w:r>
        <w:rPr>
          <w:rStyle w:val="Style_11_ch"/>
          <w:b w:val="0"/>
          <w:color w:val="0F1115"/>
          <w:sz w:val="28"/>
        </w:rPr>
        <w:t>2. Требования охраны труда перед началом работы</w:t>
      </w:r>
    </w:p>
    <w:p w14:paraId="BB010000">
      <w:pPr>
        <w:pStyle w:val="Style_13"/>
        <w:spacing w:after="240" w:before="240" w:line="360" w:lineRule="auto"/>
        <w:ind w:firstLine="709" w:left="0"/>
        <w:jc w:val="both"/>
        <w:rPr>
          <w:color w:val="0F1115"/>
          <w:sz w:val="28"/>
        </w:rPr>
      </w:pPr>
      <w:r>
        <w:rPr>
          <w:color w:val="0F1115"/>
          <w:sz w:val="28"/>
        </w:rPr>
        <w:t>2.1. Перед запуском станка оператор обязан выполнить следующие действия:</w:t>
      </w:r>
      <w:r>
        <w:rPr>
          <w:color w:val="0F1115"/>
          <w:sz w:val="28"/>
        </w:rPr>
        <w:br/>
      </w:r>
      <w:r>
        <w:rPr>
          <w:color w:val="0F1115"/>
          <w:sz w:val="28"/>
        </w:rPr>
        <w:t>– осмотреть спецодежду, надеть её, застегнуть все пуговицы, волосы убрать под головной убор;</w:t>
      </w:r>
      <w:r>
        <w:rPr>
          <w:color w:val="0F1115"/>
          <w:sz w:val="28"/>
        </w:rPr>
        <w:br/>
      </w:r>
      <w:r>
        <w:rPr>
          <w:color w:val="0F1115"/>
          <w:sz w:val="28"/>
        </w:rPr>
        <w:t xml:space="preserve">– визуально проверить исправность станка, наличие всех ограждений, </w:t>
      </w:r>
      <w:r>
        <w:rPr>
          <w:color w:val="0F1115"/>
          <w:sz w:val="28"/>
        </w:rPr>
        <w:t>блокировок и защитного заземления;</w:t>
      </w:r>
      <w:r>
        <w:rPr>
          <w:color w:val="0F1115"/>
          <w:sz w:val="28"/>
        </w:rPr>
        <w:br/>
      </w:r>
      <w:r>
        <w:rPr>
          <w:color w:val="0F1115"/>
          <w:sz w:val="28"/>
        </w:rPr>
        <w:t>– осмотреть режущий инструмент и приспособления, убедиться в надёжности крепления пластин и оправок;</w:t>
      </w:r>
      <w:r>
        <w:rPr>
          <w:color w:val="0F1115"/>
          <w:sz w:val="28"/>
        </w:rPr>
        <w:br/>
      </w:r>
      <w:r>
        <w:rPr>
          <w:color w:val="0F1115"/>
          <w:sz w:val="28"/>
        </w:rPr>
        <w:t>– проверить работу системы охлаждения, приточной вентиляции и местного освещения;</w:t>
      </w:r>
      <w:r>
        <w:rPr>
          <w:color w:val="0F1115"/>
          <w:sz w:val="28"/>
        </w:rPr>
        <w:br/>
      </w:r>
      <w:r>
        <w:rPr>
          <w:color w:val="0F1115"/>
          <w:sz w:val="28"/>
        </w:rPr>
        <w:t>– убедиться, что рядом со станком есть огнетушители и аптечка;</w:t>
      </w:r>
      <w:r>
        <w:rPr>
          <w:color w:val="0F1115"/>
          <w:sz w:val="28"/>
        </w:rPr>
        <w:br/>
      </w:r>
      <w:r>
        <w:rPr>
          <w:color w:val="0F1115"/>
          <w:sz w:val="28"/>
        </w:rPr>
        <w:t>– подготовить заготовку: сверить её с технологической картой, очистить от грязи, масла и заусенцев.</w:t>
      </w:r>
    </w:p>
    <w:p w14:paraId="BC010000">
      <w:pPr>
        <w:pStyle w:val="Style_13"/>
        <w:spacing w:after="240" w:before="240" w:line="360" w:lineRule="auto"/>
        <w:ind w:firstLine="709" w:left="0"/>
        <w:jc w:val="both"/>
        <w:rPr>
          <w:color w:val="0F1115"/>
          <w:sz w:val="28"/>
        </w:rPr>
      </w:pPr>
      <w:r>
        <w:rPr>
          <w:color w:val="0F1115"/>
          <w:sz w:val="28"/>
        </w:rPr>
        <w:t>2.2. Установку и закрепление заготовки в приспособлении выполняют только при выключенном шпинделе и закрытом ограждении. Если масса заготовки превышает 15 кг, её следует перемещать с помощью подъёмных механизмов или с привлечением второго работника.</w:t>
      </w:r>
    </w:p>
    <w:p w14:paraId="BD010000">
      <w:pPr>
        <w:pStyle w:val="Style_13"/>
        <w:spacing w:after="240" w:before="240" w:line="360" w:lineRule="auto"/>
        <w:ind w:firstLine="709" w:left="0"/>
        <w:jc w:val="both"/>
        <w:rPr>
          <w:color w:val="0F1115"/>
          <w:sz w:val="28"/>
        </w:rPr>
      </w:pPr>
      <w:r>
        <w:rPr>
          <w:color w:val="0F1115"/>
          <w:sz w:val="28"/>
        </w:rPr>
        <w:t>2.3. Перед началом обработки обязательно проводят пробный пуск шпинделя на холостом ходу в течение 1–2 минут — так проверяют, нет ли посторонних вибраций или шума.</w:t>
      </w:r>
    </w:p>
    <w:p w14:paraId="BE010000">
      <w:pPr>
        <w:pStyle w:val="Style_13"/>
        <w:spacing w:after="240" w:before="240" w:line="360" w:lineRule="auto"/>
        <w:ind w:firstLine="709" w:left="0"/>
        <w:jc w:val="both"/>
        <w:rPr>
          <w:color w:val="0F1115"/>
          <w:sz w:val="28"/>
        </w:rPr>
      </w:pPr>
      <w:r>
        <w:rPr>
          <w:color w:val="0F1115"/>
          <w:sz w:val="28"/>
        </w:rPr>
        <w:t>2.4. На пульте управления устанавливают режимы резания (частоту вращения и подачу) строго по технологической карте. Запускать станок без согласования с технологом или при отклонении от карты запрещается.</w:t>
      </w:r>
    </w:p>
    <w:p w14:paraId="BF010000">
      <w:pPr>
        <w:pStyle w:val="Style_13"/>
        <w:spacing w:after="240" w:before="240" w:line="360" w:lineRule="auto"/>
        <w:ind w:firstLine="709" w:left="0"/>
        <w:jc w:val="both"/>
        <w:rPr>
          <w:color w:val="0F1115"/>
          <w:sz w:val="28"/>
        </w:rPr>
      </w:pPr>
      <w:r>
        <w:rPr>
          <w:rStyle w:val="Style_11_ch"/>
          <w:b w:val="0"/>
          <w:color w:val="0F1115"/>
          <w:sz w:val="28"/>
        </w:rPr>
        <w:t>3. Требования охраны труда во время работы</w:t>
      </w:r>
    </w:p>
    <w:p w14:paraId="C0010000">
      <w:pPr>
        <w:pStyle w:val="Style_13"/>
        <w:spacing w:after="240" w:before="240" w:line="360" w:lineRule="auto"/>
        <w:ind w:firstLine="709" w:left="0"/>
        <w:jc w:val="both"/>
        <w:rPr>
          <w:color w:val="0F1115"/>
          <w:sz w:val="28"/>
        </w:rPr>
      </w:pPr>
      <w:r>
        <w:rPr>
          <w:color w:val="0F1115"/>
          <w:sz w:val="28"/>
        </w:rPr>
        <w:t>3.1. Обрабатывать заготовку разрешается только при опущенном и заблокированном защитном экране. Во время работы станка запрещается касаться руками вращающихся деталей, подносить инструмент в рабочую зону, брать или подавать заготовки, производить замеры и убирать стружку.</w:t>
      </w:r>
    </w:p>
    <w:p w14:paraId="C1010000">
      <w:pPr>
        <w:pStyle w:val="Style_13"/>
        <w:spacing w:after="240" w:before="240" w:line="360" w:lineRule="auto"/>
        <w:ind w:firstLine="709" w:left="0"/>
        <w:jc w:val="both"/>
        <w:rPr>
          <w:color w:val="0F1115"/>
          <w:sz w:val="28"/>
        </w:rPr>
      </w:pPr>
      <w:r>
        <w:rPr>
          <w:color w:val="0F1115"/>
          <w:sz w:val="28"/>
        </w:rPr>
        <w:t>3.2. Оператор постоянно следит за процессом через прозрачное ограждение. При появлении стуков, вибрации, дыма, искрения или других нештатных признаков станок останавливают немедленно — кнопкой «Стоп» или аварийным выключателем.</w:t>
      </w:r>
    </w:p>
    <w:p w14:paraId="C2010000">
      <w:pPr>
        <w:pStyle w:val="Style_13"/>
        <w:spacing w:after="240" w:before="240" w:line="360" w:lineRule="auto"/>
        <w:ind w:firstLine="709" w:left="0"/>
        <w:jc w:val="both"/>
        <w:rPr>
          <w:color w:val="0F1115"/>
          <w:sz w:val="28"/>
        </w:rPr>
      </w:pPr>
      <w:r>
        <w:rPr>
          <w:color w:val="0F1115"/>
          <w:sz w:val="28"/>
        </w:rPr>
        <w:t>3.3. Удалять стружку из зоны обработки можно только крючком или щёткой и только после полной остановки станка. Запрещается сдувать стружку сжатым воздухом, убирать её голыми руками или вытирать ветошью.</w:t>
      </w:r>
    </w:p>
    <w:p w14:paraId="C3010000">
      <w:pPr>
        <w:pStyle w:val="Style_13"/>
        <w:spacing w:after="240" w:before="240" w:line="360" w:lineRule="auto"/>
        <w:ind w:firstLine="709" w:left="0"/>
        <w:jc w:val="both"/>
        <w:rPr>
          <w:color w:val="0F1115"/>
          <w:sz w:val="28"/>
        </w:rPr>
      </w:pPr>
      <w:r>
        <w:rPr>
          <w:color w:val="0F1115"/>
          <w:sz w:val="28"/>
        </w:rPr>
        <w:t xml:space="preserve">3.4. Нарезание резьбы и </w:t>
      </w:r>
      <w:r>
        <w:rPr>
          <w:color w:val="0F1115"/>
          <w:sz w:val="28"/>
        </w:rPr>
        <w:t>зенкование</w:t>
      </w:r>
      <w:r>
        <w:rPr>
          <w:color w:val="0F1115"/>
          <w:sz w:val="28"/>
        </w:rPr>
        <w:t xml:space="preserve"> выполняют на режимах, указанных в карте, без превышения допустимых параметров. Если метчик заедает, работу прекращают и вызывают мастера.</w:t>
      </w:r>
    </w:p>
    <w:p w14:paraId="C4010000">
      <w:pPr>
        <w:pStyle w:val="Style_13"/>
        <w:spacing w:after="240" w:before="240" w:line="360" w:lineRule="auto"/>
        <w:ind w:firstLine="709" w:left="0"/>
        <w:jc w:val="both"/>
        <w:rPr>
          <w:color w:val="0F1115"/>
          <w:sz w:val="28"/>
        </w:rPr>
      </w:pPr>
      <w:r>
        <w:rPr>
          <w:color w:val="0F1115"/>
          <w:sz w:val="28"/>
        </w:rPr>
        <w:t>3.5. Измерения обработанных поверхностей проводят только после остановки шпинделя и отвода инструмента в исходную позицию. Штангенциркуль, микрометр или нутромер используют осторожно, не роняя их на движущиеся части.</w:t>
      </w:r>
    </w:p>
    <w:p w14:paraId="C5010000">
      <w:pPr>
        <w:pStyle w:val="Style_13"/>
        <w:spacing w:after="240" w:before="240" w:line="360" w:lineRule="auto"/>
        <w:ind w:firstLine="709" w:left="0"/>
        <w:jc w:val="both"/>
        <w:rPr>
          <w:color w:val="0F1115"/>
          <w:sz w:val="28"/>
        </w:rPr>
      </w:pPr>
      <w:r>
        <w:rPr>
          <w:color w:val="0F1115"/>
          <w:sz w:val="28"/>
        </w:rPr>
        <w:t xml:space="preserve">3.6. Любые </w:t>
      </w:r>
      <w:r>
        <w:rPr>
          <w:color w:val="0F1115"/>
          <w:sz w:val="28"/>
        </w:rPr>
        <w:t>подналадки</w:t>
      </w:r>
      <w:r>
        <w:rPr>
          <w:color w:val="0F1115"/>
          <w:sz w:val="28"/>
        </w:rPr>
        <w:t>, смена инструмента или заготовки производятся только при отключённом электропитании. Обслуживание системы охлаждения (замена эмульсии, чистка бака) выполняют в резиновых перчатках, пользуясь исправными сливными приспособлениями.</w:t>
      </w:r>
    </w:p>
    <w:p w14:paraId="C6010000">
      <w:pPr>
        <w:pStyle w:val="Style_13"/>
        <w:spacing w:after="240" w:before="240" w:line="360" w:lineRule="auto"/>
        <w:ind w:firstLine="709" w:left="0"/>
        <w:jc w:val="both"/>
        <w:rPr>
          <w:color w:val="0F1115"/>
          <w:sz w:val="28"/>
        </w:rPr>
      </w:pPr>
      <w:r>
        <w:rPr>
          <w:color w:val="0F1115"/>
          <w:sz w:val="28"/>
        </w:rPr>
        <w:t>3.7. Оператор соблюдает режим труда и отдыха: через каждые 2 часа делает перерыв на 5–10 минут, чтобы снять утомление и выполнить простые упражнения для кистей.</w:t>
      </w:r>
    </w:p>
    <w:p w14:paraId="C7010000">
      <w:pPr>
        <w:pStyle w:val="Style_13"/>
        <w:spacing w:after="240" w:before="240" w:line="360" w:lineRule="auto"/>
        <w:ind w:firstLine="709" w:left="0"/>
        <w:jc w:val="both"/>
        <w:rPr>
          <w:color w:val="0F1115"/>
          <w:sz w:val="28"/>
        </w:rPr>
      </w:pPr>
      <w:r>
        <w:rPr>
          <w:rStyle w:val="Style_11_ch"/>
          <w:b w:val="0"/>
          <w:color w:val="0F1115"/>
          <w:sz w:val="28"/>
        </w:rPr>
        <w:t>4. Требования охраны труда в аварийных ситуациях</w:t>
      </w:r>
    </w:p>
    <w:p w14:paraId="C8010000">
      <w:pPr>
        <w:pStyle w:val="Style_13"/>
        <w:spacing w:after="240" w:before="240" w:line="360" w:lineRule="auto"/>
        <w:ind w:firstLine="709" w:left="0"/>
        <w:jc w:val="both"/>
        <w:rPr>
          <w:color w:val="0F1115"/>
          <w:sz w:val="28"/>
        </w:rPr>
      </w:pPr>
      <w:r>
        <w:rPr>
          <w:color w:val="0F1115"/>
          <w:sz w:val="28"/>
        </w:rPr>
        <w:t>4.1. При пожаре немедленно нажимают кнопку аварийного останова, сообщают мастеру и вызывают пожарную охрану по телефону 01 или 112. До приезда пожарных используют имеющиеся огнетушители: углекислотный ОУ</w:t>
      </w:r>
      <w:r>
        <w:rPr>
          <w:color w:val="0F1115"/>
          <w:sz w:val="28"/>
        </w:rPr>
        <w:t>2 — для электрооборудования, порошковый ОП</w:t>
      </w:r>
      <w:r>
        <w:rPr>
          <w:color w:val="0F1115"/>
          <w:sz w:val="28"/>
        </w:rPr>
        <w:t>5 — для других материалов. Запрещается заливать водой работающее электрооборудование.</w:t>
      </w:r>
    </w:p>
    <w:p w14:paraId="C9010000">
      <w:pPr>
        <w:pStyle w:val="Style_13"/>
        <w:spacing w:after="240" w:before="240" w:line="360" w:lineRule="auto"/>
        <w:ind w:firstLine="709" w:left="0"/>
        <w:jc w:val="both"/>
        <w:rPr>
          <w:color w:val="0F1115"/>
          <w:sz w:val="28"/>
        </w:rPr>
      </w:pPr>
      <w:r>
        <w:rPr>
          <w:color w:val="0F1115"/>
          <w:sz w:val="28"/>
        </w:rPr>
        <w:t xml:space="preserve">4.2. В случае поражения током надо отключить станок рубильником, надеть диэлектрические перчатки и, используя изолирующий инструмент, освободить пострадавшего. Затем уложить его, расстегнуть стесняющую </w:t>
      </w:r>
      <w:r>
        <w:rPr>
          <w:color w:val="0F1115"/>
          <w:sz w:val="28"/>
        </w:rPr>
        <w:t>одежду, при необходимости сделать искусственное дыхание и вызвать скорую помощь.</w:t>
      </w:r>
    </w:p>
    <w:p w14:paraId="CA010000">
      <w:pPr>
        <w:pStyle w:val="Style_13"/>
        <w:spacing w:after="240" w:before="240" w:line="360" w:lineRule="auto"/>
        <w:ind w:firstLine="709" w:left="0"/>
        <w:jc w:val="both"/>
        <w:rPr>
          <w:color w:val="0F1115"/>
          <w:sz w:val="28"/>
        </w:rPr>
      </w:pPr>
      <w:r>
        <w:rPr>
          <w:color w:val="0F1115"/>
          <w:sz w:val="28"/>
        </w:rPr>
        <w:t>4.3. При травме (порез стружкой, удар, попадание стружки в глаз) следует немедленно обратиться к медику или вызвать скорую. До прибытия врача при сильном кровотечении накладывают жгут или давящую повязку. Нельзя пытаться извлечь стружку из раны самостоятельно.</w:t>
      </w:r>
    </w:p>
    <w:p w14:paraId="CB010000">
      <w:pPr>
        <w:pStyle w:val="Style_13"/>
        <w:spacing w:after="240" w:before="240" w:line="360" w:lineRule="auto"/>
        <w:ind w:firstLine="709" w:left="0"/>
        <w:jc w:val="both"/>
        <w:rPr>
          <w:color w:val="0F1115"/>
          <w:sz w:val="28"/>
        </w:rPr>
      </w:pPr>
      <w:r>
        <w:rPr>
          <w:color w:val="0F1115"/>
          <w:sz w:val="28"/>
        </w:rPr>
        <w:t>4.4. При внезапном отключении электроэнергии оператор выключает станок, переводит все органы управления в нейтральное положение и дожидается восстановления питания. Повторный пуск выполняют строго по пусковой инструкции.</w:t>
      </w:r>
    </w:p>
    <w:p w14:paraId="CC010000">
      <w:pPr>
        <w:pStyle w:val="Style_13"/>
        <w:spacing w:after="240" w:before="240" w:line="360" w:lineRule="auto"/>
        <w:ind w:firstLine="709" w:left="0"/>
        <w:jc w:val="both"/>
        <w:rPr>
          <w:color w:val="0F1115"/>
          <w:sz w:val="28"/>
        </w:rPr>
      </w:pPr>
      <w:r>
        <w:rPr>
          <w:rStyle w:val="Style_11_ch"/>
          <w:b w:val="0"/>
          <w:color w:val="0F1115"/>
          <w:sz w:val="28"/>
        </w:rPr>
        <w:t>5. Требования охраны труда по окончании работы</w:t>
      </w:r>
    </w:p>
    <w:p w14:paraId="CD010000">
      <w:pPr>
        <w:pStyle w:val="Style_13"/>
        <w:spacing w:after="240" w:before="240" w:line="360" w:lineRule="auto"/>
        <w:ind w:firstLine="709" w:left="0"/>
        <w:jc w:val="both"/>
        <w:rPr>
          <w:color w:val="0F1115"/>
          <w:sz w:val="28"/>
        </w:rPr>
      </w:pPr>
      <w:r>
        <w:rPr>
          <w:color w:val="0F1115"/>
          <w:sz w:val="28"/>
        </w:rPr>
        <w:t>5.1. В конце смены оператор обязан:</w:t>
      </w:r>
      <w:r>
        <w:rPr>
          <w:color w:val="0F1115"/>
          <w:sz w:val="28"/>
        </w:rPr>
        <w:br/>
      </w:r>
      <w:r>
        <w:rPr>
          <w:color w:val="0F1115"/>
          <w:sz w:val="28"/>
        </w:rPr>
        <w:t>– выключить станок и отключить питание на главном вводе;</w:t>
      </w:r>
      <w:r>
        <w:rPr>
          <w:color w:val="0F1115"/>
          <w:sz w:val="28"/>
        </w:rPr>
        <w:br/>
      </w:r>
      <w:r>
        <w:rPr>
          <w:color w:val="0F1115"/>
          <w:sz w:val="28"/>
        </w:rPr>
        <w:t>– очистить станок от стружки, масла и грязи, протереть его чистой ветошью;</w:t>
      </w:r>
      <w:r>
        <w:rPr>
          <w:color w:val="0F1115"/>
          <w:sz w:val="28"/>
        </w:rPr>
        <w:br/>
      </w:r>
      <w:r>
        <w:rPr>
          <w:color w:val="0F1115"/>
          <w:sz w:val="28"/>
        </w:rPr>
        <w:t>– убрать инструмент и приспособления в отведённые места;</w:t>
      </w:r>
      <w:r>
        <w:rPr>
          <w:color w:val="0F1115"/>
          <w:sz w:val="28"/>
        </w:rPr>
        <w:br/>
      </w:r>
      <w:r>
        <w:rPr>
          <w:color w:val="0F1115"/>
          <w:sz w:val="28"/>
        </w:rPr>
        <w:t>– проверить состояние зажимных элементов, при необходимости подтянуть крепёж;</w:t>
      </w:r>
      <w:r>
        <w:rPr>
          <w:color w:val="0F1115"/>
          <w:sz w:val="28"/>
        </w:rPr>
        <w:br/>
      </w:r>
      <w:r>
        <w:rPr>
          <w:color w:val="0F1115"/>
          <w:sz w:val="28"/>
        </w:rPr>
        <w:t>– сообщить мастеру о всех замеченных неисправностях.</w:t>
      </w:r>
    </w:p>
    <w:p w14:paraId="CE010000">
      <w:pPr>
        <w:pStyle w:val="Style_13"/>
        <w:spacing w:after="240" w:before="240" w:line="360" w:lineRule="auto"/>
        <w:ind w:firstLine="709" w:left="0"/>
        <w:jc w:val="both"/>
        <w:rPr>
          <w:color w:val="0F1115"/>
          <w:sz w:val="28"/>
        </w:rPr>
      </w:pPr>
      <w:r>
        <w:rPr>
          <w:color w:val="0F1115"/>
          <w:sz w:val="28"/>
        </w:rPr>
        <w:t>5.2. Спецодежду снимают и оставляют в гардеробе; загрязнённые комплекты сдают в стирку. Лицо и руки тщательно моют с мылом, используют защитные кремы.</w:t>
      </w:r>
    </w:p>
    <w:p w14:paraId="CF010000">
      <w:pPr>
        <w:pStyle w:val="Style_13"/>
        <w:spacing w:after="240" w:before="240" w:line="360" w:lineRule="auto"/>
        <w:ind w:firstLine="709" w:left="0"/>
        <w:jc w:val="both"/>
        <w:rPr>
          <w:color w:val="0F1115"/>
          <w:sz w:val="28"/>
        </w:rPr>
      </w:pPr>
      <w:r>
        <w:rPr>
          <w:color w:val="0F1115"/>
          <w:sz w:val="28"/>
        </w:rPr>
        <w:t>5.3. Закрывают вентиляционные заслонки, выключают освещение, убеждаются, что в цехе никого не осталось, и покидают рабочее место.</w:t>
      </w:r>
    </w:p>
    <w:p w14:paraId="D0010000">
      <w:pPr>
        <w:pStyle w:val="Style_13"/>
        <w:spacing w:before="240" w:line="360" w:lineRule="auto"/>
        <w:ind w:firstLine="709" w:left="0"/>
        <w:jc w:val="both"/>
        <w:rPr>
          <w:color w:val="0F1115"/>
          <w:sz w:val="28"/>
        </w:rPr>
      </w:pPr>
      <w:r>
        <w:rPr>
          <w:color w:val="0F1115"/>
          <w:sz w:val="28"/>
        </w:rPr>
        <w:t>Данная инструкция</w:t>
      </w:r>
      <w:r>
        <w:rPr>
          <w:color w:val="0F1115"/>
          <w:sz w:val="28"/>
        </w:rPr>
        <w:t xml:space="preserve">, которую я разработал </w:t>
      </w:r>
      <w:r>
        <w:rPr>
          <w:color w:val="0F1115"/>
          <w:sz w:val="28"/>
        </w:rPr>
        <w:t xml:space="preserve">вводится </w:t>
      </w:r>
      <w:r>
        <w:rPr>
          <w:color w:val="0F1115"/>
          <w:sz w:val="28"/>
        </w:rPr>
        <w:t>для эксплуатации</w:t>
      </w:r>
      <w:r>
        <w:rPr>
          <w:color w:val="0F1115"/>
          <w:sz w:val="28"/>
        </w:rPr>
        <w:t xml:space="preserve"> на механическом участке ООО «МАШТЕХЦЕНТР» и обязательна для выполнения всеми операторами станков с ЧПУ</w:t>
      </w:r>
      <w:r>
        <w:rPr>
          <w:color w:val="0F1115"/>
          <w:sz w:val="28"/>
        </w:rPr>
        <w:t>, так как с</w:t>
      </w:r>
      <w:r>
        <w:rPr>
          <w:color w:val="0F1115"/>
          <w:sz w:val="28"/>
        </w:rPr>
        <w:t xml:space="preserve">облюдение </w:t>
      </w:r>
      <w:r>
        <w:rPr>
          <w:color w:val="0F1115"/>
          <w:sz w:val="28"/>
        </w:rPr>
        <w:t>требований позволяет снизить производственный травматизм и риск профессиональных заболеваний.</w:t>
      </w:r>
    </w:p>
    <w:p w14:paraId="D1010000">
      <w:pPr>
        <w:rPr>
          <w:color w:themeColor="text1" w:themeTint="F2" w:val="0D0D0D"/>
        </w:rPr>
      </w:pPr>
      <w:r>
        <w:br w:type="page"/>
      </w:r>
    </w:p>
    <w:p w14:paraId="D2010000">
      <w:bookmarkStart w:id="16" w:name="__RefHeading___15"/>
      <w:bookmarkEnd w:id="16"/>
      <w:pPr>
        <w:pStyle w:val="Style_7"/>
      </w:pPr>
      <w:r>
        <w:t>ЗАКЛЮЧЕНИЕ</w:t>
      </w:r>
      <w:r>
        <w:t xml:space="preserve"> </w:t>
      </w:r>
    </w:p>
    <w:p w14:paraId="D3010000">
      <w:pPr>
        <w:pStyle w:val="Style_12"/>
      </w:pPr>
      <w:r>
        <w:t xml:space="preserve">Работа над технологией изготовления детали «Угловой корпус подшипника» </w:t>
      </w:r>
      <w:r>
        <w:t xml:space="preserve">мной </w:t>
      </w:r>
      <w:r>
        <w:t xml:space="preserve">началась с разбора существующего на ООО «МАШТЕХЦЕНТР» маршрута. Корпус изготавливается из высокопрочного чугуна ВЧ35, а его обработка в действующем процессе распределена между несколькими универсальными станками. На первый взгляд такая схема вполне работоспособна, поскольку каждая отдельная операция выполняется на оборудовании подходящего типа. Проблема проявляется позже, когда требуется выдержать взаимное расположение поверхностей и точный размер посадочного отверстия. Больше всего это относится к отверстию Ø50H7. По чертежу для него задано поле допуска H7, а шероховатость после окончательной обработки должна составлять </w:t>
      </w:r>
      <w:r>
        <w:t>Ra</w:t>
      </w:r>
      <w:r>
        <w:t xml:space="preserve"> 1,6. </w:t>
      </w:r>
    </w:p>
    <w:p w14:paraId="D4010000">
      <w:pPr>
        <w:pStyle w:val="Style_12"/>
      </w:pPr>
      <w:r>
        <w:t>Отдельный вопрос возник с закреплением корпуса. Обычного машинного приспособления для принятой схемы оказалось недостаточно, поэтому предусмотрено специальное. Заготовка ориентируется по литейным поверхностям и фиксируется в положении, из которого затем выполняется основная часть переходов. Здесь важно было получить не просто жесткое закрепление. Корпус не должен смещаться под действием сил резания, но чрезмерное усилие зажима также нежелательно, особенно для участков с небольшой толщиной стенки. Режущий инструмент подбирался уже под конкретные операции и материал корпуса. На черновых переходах используются фрезы с твердосплавными пластинами ВК8. Для чистового растачивания приняты пластины ВК6. Резьба М12-6Н выполняется метчиками из быстрорежущей стали Р6М5. Такой набор не требует применения специального режущего инструмента и соответствует обработке</w:t>
      </w:r>
      <w:r>
        <w:rPr>
          <w:color w:val="060708"/>
          <w:sz w:val="27"/>
        </w:rPr>
        <w:t xml:space="preserve"> </w:t>
      </w:r>
      <w:r>
        <w:t xml:space="preserve">высокопрочного чугуна ВЧ35. Для отверстия Ø50H7 был определен припуск и размеры по переходам. В отливке отверстие имеет диаметр 45 мм. Черновое растачивание увеличивает его до 48 мм, после чистового получается 49,8 мм. Оставшиеся 0,2 мм по диаметру приходятся на окончательную обработку. </w:t>
      </w:r>
      <w:r>
        <w:t>Полный припуск от литого отверстия до готового размера составляет 5 мм, то есть по 2,5 мм на сторону. Запаса достаточно для снятия слоя с возможными дефектами и погрешностями, полученными еще на стадии литья. Расчет режима чистового растачивания дал скорость резания 110 м/мин.</w:t>
      </w:r>
    </w:p>
    <w:p w14:paraId="D5010000">
      <w:pPr>
        <w:pStyle w:val="Style_12"/>
        <w:rPr>
          <w:color w:val="060708"/>
          <w:sz w:val="27"/>
        </w:rPr>
      </w:pPr>
      <w:r>
        <w:t xml:space="preserve"> Не все вопросы в работе были связаны непосредственно с точностью корпуса. Станочная обработка ВЧ35 имеет свои особенности с точки зрения условий труда. Чугунная стружка хрупкая и при резании может разлетаться за пределы зоны обработки. Вместе с ней образуется мелкая пыль. К этому добавляются шум, вибрация, вращающиеся части оборудования, электрооборудование и смазочно-охлаждающая жидкость. Уровень шума на участке может доходить до 95 </w:t>
      </w:r>
      <w:r>
        <w:t>дБА</w:t>
      </w:r>
      <w:r>
        <w:t xml:space="preserve">. Полностью исключить эти факторы при механической обработке нельзя, поэтому задача сводится к тому, чтобы ограничить их воздействие на работающего. Рабочая зона станка закрывается защитными экранами. Блокировка не позволяет запустить оборудование при нарушении предусмотренных условий безопасности. Для удаления пыли и аэрозоля СОЖ необходима местная вытяжная вентиляция. Вибрация снижается за счет опор, а защита от поражения электрическим током обеспечивается исправным заземлением оборудования. Требования к работе оператора собраны в инструкции по охране труда. В ней описано, что необходимо проверить перед началом смены, в каком порядке запускать оборудование и какие действия недопустимы во время обработки. Там же приведен порядок остановки станка, уборки рабочего места и действий при неисправности или аварийной ситуации. Эти требования составлялись применительно к рассматриваемому участку механической обработки, а не отдельно от разработанной технологии. После выполнения расчетов первоначальная причина изменения маршрута стала видна более отчетливо. Само наличие универсальных станков не являлось главным недостатком существующего процесса. Слабым местом оказалось большое число переустановок корпуса. Особенно сильно это отражалось на размере Ø50H7, для которого даже небольшое смещение при очередном базировании уже </w:t>
      </w:r>
      <w:r>
        <w:t xml:space="preserve">имеет значение. Новый маршрут эту проблему полностью не исключает — погрешность остается у станка, приспособления, инструмента и самой заготовки. Но количество случаев, когда положение корпуса приходится восстанавливать заново, становится меньше. Вместо пяти </w:t>
      </w:r>
      <w:r>
        <w:t>установов</w:t>
      </w:r>
      <w:r>
        <w:t xml:space="preserve"> предусмотрено три. Часть поверхностей обрабатывается последовательно от одних баз, что для данного корпуса рациональнее прежней схемы. По ходу работы пришлось связать между собой несколько вещей, которые отдельно друг от друга нужного результата не дают. Недостаточно было только выбрать более точный станок. Под него потребовалось изменить маршрут, продумать закрепление корпуса, назначить инструмент, распределить припуск и подобрать режимы. Отдельно </w:t>
      </w:r>
      <w:r>
        <w:t xml:space="preserve">мной </w:t>
      </w:r>
      <w:r>
        <w:t>проверялись</w:t>
      </w:r>
      <w:r>
        <w:rPr>
          <w:color w:val="060708"/>
        </w:rPr>
        <w:t xml:space="preserve"> </w:t>
      </w:r>
      <w:r>
        <w:t xml:space="preserve">параметры привода. Только после этого можно было оценить, выполним ли предлагаемый вариант на выбранном оборудовании. Разработанный процесс рассчитан прежде всего на устранение причины, из-за которой в существующем производстве возникают проблемы с посадочным отверстием. Если корпус меньше переустанавливается, уменьшается и влияние погрешности повторного базирования. Для ООО «МАШТЕХЦЕНТР» это имеет практический смысл, поскольку речь идет о размере, по которому уже фиксируется 12–15 % брака. Окончательно судить о величине снижения брака только по расчетам было бы неправильно. Это можно установить после изготовления опытной партии. Первые детали необходимо проконтролировать по Ø50H7, плоскостности основания и взаимному расположению обработанных поверхностей. Если фактические результаты потребуют корректировки, на этапе наладки можно изменить отдельные режимы или положение инструмента, не возвращаясь к прежней схеме из пяти </w:t>
      </w:r>
      <w:r>
        <w:t>установов</w:t>
      </w:r>
      <w:r>
        <w:t xml:space="preserve">. В результате для детали «Угловой корпус подшипника» получен маршрут, в котором основная часть механической обработки сосредоточена на обрабатывающем центре 400V. Для него подобраны инструмент и приспособление, рассчитаны припуски и режимы, определены параметры клиноременной передачи. Подготовлены маршрутные и операционные материалы. Вопросы охраны труда рассмотрены для тех </w:t>
      </w:r>
      <w:r>
        <w:t>условий, в которых этот процесс должен выполняться на участке. Предложенный вариант не меняет конструкцию корпуса и требования его чертежа. Изменяется способ организации механической обработки: вместо большого количества отдельных установок несколько переходов объединяются. Для рассматриваемой детали именно это решение позволяет уменьшить влияние повторного базирования на точность Ø50H7. Дальнейшая проверка технологии должна выполняться уже на опытных деталях с последующим контролем полученных размеров</w:t>
      </w:r>
      <w:r>
        <w:t>.</w:t>
      </w:r>
    </w:p>
    <w:p w14:paraId="D6010000">
      <w:pPr>
        <w:spacing w:line="240" w:lineRule="auto"/>
        <w:ind w:firstLine="0" w:left="0"/>
        <w:jc w:val="left"/>
      </w:pPr>
      <w:r>
        <w:br w:type="page"/>
      </w:r>
    </w:p>
    <w:p w14:paraId="D7010000">
      <w:bookmarkStart w:id="17" w:name="__RefHeading___16"/>
      <w:bookmarkEnd w:id="17"/>
      <w:pPr>
        <w:pStyle w:val="Style_7"/>
      </w:pPr>
      <w:r>
        <w:t>СПИСОК ИСПОЛЬЗОВАННЫХ ИСТОЧНИКОВ</w:t>
      </w:r>
    </w:p>
    <w:p w14:paraId="D8010000">
      <w:pPr>
        <w:ind w:firstLine="0" w:left="0"/>
        <w:jc w:val="center"/>
        <w:rPr>
          <w:color w:themeColor="text1" w:themeTint="F2" w:val="0D0D0D"/>
        </w:rPr>
      </w:pPr>
      <w:r>
        <w:rPr>
          <w:b w:val="1"/>
          <w:color w:themeColor="text1" w:themeTint="F2" w:val="0D0D0D"/>
        </w:rPr>
        <w:t>Нормативные правовые акты и стандарты</w:t>
      </w:r>
    </w:p>
    <w:p w14:paraId="D9010000">
      <w:pPr>
        <w:numPr>
          <w:ilvl w:val="0"/>
          <w:numId w:val="5"/>
        </w:numPr>
        <w:ind w:firstLine="709" w:left="0"/>
        <w:jc w:val="left"/>
        <w:rPr>
          <w:color w:themeColor="text1" w:themeTint="F2" w:val="0D0D0D"/>
        </w:rPr>
      </w:pPr>
      <w:r>
        <w:rPr>
          <w:color w:themeColor="text1" w:themeTint="F2" w:val="0D0D0D"/>
        </w:rPr>
        <w:t xml:space="preserve">ГОСТ 2.105-2019. Единая система конструкторской документации. Общие требования к текстовым документам. – Москва: </w:t>
      </w:r>
      <w:r>
        <w:rPr>
          <w:color w:themeColor="text1" w:themeTint="F2" w:val="0D0D0D"/>
        </w:rPr>
        <w:t>Стандартинформ</w:t>
      </w:r>
      <w:r>
        <w:rPr>
          <w:color w:themeColor="text1" w:themeTint="F2" w:val="0D0D0D"/>
        </w:rPr>
        <w:t>, 2020. – 46 с.</w:t>
      </w:r>
    </w:p>
    <w:p w14:paraId="DA010000">
      <w:pPr>
        <w:numPr>
          <w:ilvl w:val="0"/>
          <w:numId w:val="5"/>
        </w:numPr>
        <w:ind w:firstLine="709" w:left="0"/>
        <w:jc w:val="left"/>
        <w:rPr>
          <w:color w:themeColor="text1" w:themeTint="F2" w:val="0D0D0D"/>
        </w:rPr>
      </w:pPr>
      <w:r>
        <w:rPr>
          <w:color w:themeColor="text1" w:themeTint="F2" w:val="0D0D0D"/>
        </w:rPr>
        <w:t xml:space="preserve">ГОСТ 3.1105-2011. Единая система технологической документации. Формы и правила оформления документов общего назначения. – Москва: </w:t>
      </w:r>
      <w:r>
        <w:rPr>
          <w:color w:themeColor="text1" w:themeTint="F2" w:val="0D0D0D"/>
        </w:rPr>
        <w:t>Стандартинформ</w:t>
      </w:r>
      <w:r>
        <w:rPr>
          <w:color w:themeColor="text1" w:themeTint="F2" w:val="0D0D0D"/>
        </w:rPr>
        <w:t>, 2012. – 55 с.</w:t>
      </w:r>
    </w:p>
    <w:p w14:paraId="DB010000">
      <w:pPr>
        <w:numPr>
          <w:ilvl w:val="0"/>
          <w:numId w:val="5"/>
        </w:numPr>
        <w:ind w:firstLine="709" w:left="0"/>
        <w:jc w:val="left"/>
        <w:rPr>
          <w:color w:themeColor="text1" w:themeTint="F2" w:val="0D0D0D"/>
        </w:rPr>
      </w:pPr>
      <w:r>
        <w:rPr>
          <w:color w:themeColor="text1" w:themeTint="F2" w:val="0D0D0D"/>
        </w:rPr>
        <w:t>ГОСТ 8.051-81. Государственная система обеспечения единства измерений. Погрешности, допускаемые при измерении линейных размеров до 500 мм. – Москва: Издательство стандартов, 1981. – 10 с.</w:t>
      </w:r>
    </w:p>
    <w:p w14:paraId="DC010000">
      <w:pPr>
        <w:numPr>
          <w:ilvl w:val="0"/>
          <w:numId w:val="5"/>
        </w:numPr>
        <w:ind w:firstLine="709" w:left="0"/>
        <w:jc w:val="left"/>
        <w:rPr>
          <w:color w:themeColor="text1" w:themeTint="F2" w:val="0D0D0D"/>
        </w:rPr>
      </w:pPr>
      <w:r>
        <w:rPr>
          <w:color w:themeColor="text1" w:themeTint="F2" w:val="0D0D0D"/>
        </w:rPr>
        <w:t xml:space="preserve">ГОСТ 12.0.003-2015. Система стандартов безопасности труда. Опасные и вредные производственные факторы. Классификация. – Москва: </w:t>
      </w:r>
      <w:r>
        <w:rPr>
          <w:color w:themeColor="text1" w:themeTint="F2" w:val="0D0D0D"/>
        </w:rPr>
        <w:t>Стандартинформ</w:t>
      </w:r>
      <w:r>
        <w:rPr>
          <w:color w:themeColor="text1" w:themeTint="F2" w:val="0D0D0D"/>
        </w:rPr>
        <w:t>, 2016. – 12 с.</w:t>
      </w:r>
    </w:p>
    <w:p w14:paraId="DD010000">
      <w:pPr>
        <w:numPr>
          <w:ilvl w:val="0"/>
          <w:numId w:val="5"/>
        </w:numPr>
        <w:ind w:firstLine="709" w:left="0"/>
        <w:jc w:val="left"/>
        <w:rPr>
          <w:color w:themeColor="text1" w:themeTint="F2" w:val="0D0D0D"/>
        </w:rPr>
      </w:pPr>
      <w:r>
        <w:rPr>
          <w:color w:themeColor="text1" w:themeTint="F2" w:val="0D0D0D"/>
        </w:rPr>
        <w:t>ГОСТ 12.1.004-91. Система стандартов безопасности труда. Пожарная безопасность. Общие требования. – Москва: Издательство стандартов, 1992. – 78 с.</w:t>
      </w:r>
    </w:p>
    <w:p w14:paraId="DE010000">
      <w:pPr>
        <w:numPr>
          <w:ilvl w:val="0"/>
          <w:numId w:val="5"/>
        </w:numPr>
        <w:ind w:firstLine="709" w:left="0"/>
        <w:jc w:val="left"/>
        <w:rPr>
          <w:color w:themeColor="text1" w:themeTint="F2" w:val="0D0D0D"/>
        </w:rPr>
      </w:pPr>
      <w:r>
        <w:rPr>
          <w:color w:themeColor="text1" w:themeTint="F2" w:val="0D0D0D"/>
        </w:rPr>
        <w:t>ГОСТ 12.2.009-99. Система стандартов безопасности труда. Станки металлообрабатывающие. Общие требования безопасности. – Москва: ИПК Издательство стандартов, 2000. – 10 с.</w:t>
      </w:r>
    </w:p>
    <w:p w14:paraId="DF010000">
      <w:pPr>
        <w:numPr>
          <w:ilvl w:val="0"/>
          <w:numId w:val="5"/>
        </w:numPr>
        <w:ind w:firstLine="709" w:left="0"/>
        <w:jc w:val="left"/>
        <w:rPr>
          <w:color w:themeColor="text1" w:themeTint="F2" w:val="0D0D0D"/>
        </w:rPr>
      </w:pPr>
      <w:r>
        <w:rPr>
          <w:color w:themeColor="text1" w:themeTint="F2" w:val="0D0D0D"/>
        </w:rPr>
        <w:t>ГОСТ 24642-81. Основные нормы взаимозаменяемости. Допуски формы и расположения поверхностей. – Москва: Издательство стандартов, 1982. – 20 с.</w:t>
      </w:r>
    </w:p>
    <w:p w14:paraId="E0010000">
      <w:pPr>
        <w:numPr>
          <w:ilvl w:val="0"/>
          <w:numId w:val="5"/>
        </w:numPr>
        <w:ind w:firstLine="709" w:left="0"/>
        <w:jc w:val="left"/>
        <w:rPr>
          <w:color w:themeColor="text1" w:themeTint="F2" w:val="0D0D0D"/>
        </w:rPr>
      </w:pPr>
      <w:r>
        <w:rPr>
          <w:color w:themeColor="text1" w:themeTint="F2" w:val="0D0D0D"/>
        </w:rPr>
        <w:t xml:space="preserve">ГОСТ 4784-2019. Алюминий и сплавы алюминиевые деформируемые. Марки. – Москва: </w:t>
      </w:r>
      <w:r>
        <w:rPr>
          <w:color w:themeColor="text1" w:themeTint="F2" w:val="0D0D0D"/>
        </w:rPr>
        <w:t>Стандартинформ</w:t>
      </w:r>
      <w:r>
        <w:rPr>
          <w:color w:themeColor="text1" w:themeTint="F2" w:val="0D0D0D"/>
        </w:rPr>
        <w:t>, 2019. – 12 с.</w:t>
      </w:r>
    </w:p>
    <w:p w14:paraId="E1010000">
      <w:pPr>
        <w:numPr>
          <w:ilvl w:val="0"/>
          <w:numId w:val="5"/>
        </w:numPr>
        <w:ind w:firstLine="709" w:left="0"/>
        <w:jc w:val="left"/>
        <w:rPr>
          <w:color w:themeColor="text1" w:themeTint="F2" w:val="0D0D0D"/>
        </w:rPr>
      </w:pPr>
      <w:r>
        <w:rPr>
          <w:color w:themeColor="text1" w:themeTint="F2" w:val="0D0D0D"/>
        </w:rPr>
        <w:t>ГОСТ 9833-73. Кольца резиновые уплотнительные круглого сечения для гидравлических и пневматических устройств. Конструкция и размеры. – Москва: Издательство стандартов, 1974. – 8 с. (действует с изменениями).</w:t>
      </w:r>
    </w:p>
    <w:p w14:paraId="E2010000">
      <w:pPr>
        <w:numPr>
          <w:ilvl w:val="0"/>
          <w:numId w:val="5"/>
        </w:numPr>
        <w:ind w:firstLine="709" w:left="0"/>
        <w:jc w:val="left"/>
        <w:rPr>
          <w:color w:themeColor="text1" w:themeTint="F2" w:val="0D0D0D"/>
        </w:rPr>
      </w:pPr>
      <w:r>
        <w:rPr>
          <w:color w:themeColor="text1" w:themeTint="F2" w:val="0D0D0D"/>
        </w:rPr>
        <w:t>ОСТ 1 00022-80. Допуски формы и расположения поверхностей. Основные нормы взаимозаменяемости. – Москва: Издательство стандартов, 1981. – 24 с.</w:t>
      </w:r>
    </w:p>
    <w:p w14:paraId="E3010000">
      <w:pPr>
        <w:numPr>
          <w:ilvl w:val="0"/>
          <w:numId w:val="5"/>
        </w:numPr>
        <w:ind w:firstLine="709" w:left="0"/>
        <w:jc w:val="left"/>
        <w:rPr>
          <w:color w:themeColor="text1" w:themeTint="F2" w:val="0D0D0D"/>
        </w:rPr>
      </w:pPr>
      <w:r>
        <w:rPr>
          <w:color w:themeColor="text1" w:themeTint="F2" w:val="0D0D0D"/>
        </w:rPr>
        <w:t>ОСТ 1 00450-80. Общие требования к изготовлению деталей. – Москва: Издательство стандартов, 1981. – 16 с.</w:t>
      </w:r>
    </w:p>
    <w:p w14:paraId="E4010000">
      <w:pPr>
        <w:numPr>
          <w:ilvl w:val="0"/>
          <w:numId w:val="5"/>
        </w:numPr>
        <w:ind w:firstLine="709" w:left="0"/>
        <w:jc w:val="left"/>
        <w:rPr>
          <w:color w:themeColor="text1" w:themeTint="F2" w:val="0D0D0D"/>
        </w:rPr>
      </w:pPr>
      <w:r>
        <w:rPr>
          <w:color w:themeColor="text1" w:themeTint="F2" w:val="0D0D0D"/>
        </w:rPr>
        <w:t>ПОТ РМ-006-97. Межотраслевые правила по охране труда при холодной обработке металлов. – Москва: Издательство НЦ ЭНАС, 1998. – 64 с.</w:t>
      </w:r>
    </w:p>
    <w:p w14:paraId="E5010000">
      <w:pPr>
        <w:numPr>
          <w:ilvl w:val="0"/>
          <w:numId w:val="5"/>
        </w:numPr>
        <w:ind w:firstLine="709" w:left="0"/>
        <w:jc w:val="left"/>
        <w:rPr>
          <w:color w:themeColor="text1" w:themeTint="F2" w:val="0D0D0D"/>
        </w:rPr>
      </w:pPr>
      <w:r>
        <w:rPr>
          <w:color w:themeColor="text1" w:themeTint="F2" w:val="0D0D0D"/>
        </w:rPr>
        <w:t>СанПиН 1.2.3685-21. Гигиенические нормативы и требования к обеспечению безопасности и (или) безвредности для человека факторов среды обитания. – Москва: Роспотребнадзор, 2021. – 480 с.</w:t>
      </w:r>
    </w:p>
    <w:p w14:paraId="E6010000">
      <w:pPr>
        <w:numPr>
          <w:ilvl w:val="0"/>
          <w:numId w:val="5"/>
        </w:numPr>
        <w:ind w:firstLine="709" w:left="0"/>
        <w:jc w:val="left"/>
        <w:rPr>
          <w:color w:themeColor="text1" w:themeTint="F2" w:val="0D0D0D"/>
        </w:rPr>
      </w:pPr>
      <w:r>
        <w:rPr>
          <w:color w:themeColor="text1" w:themeTint="F2" w:val="0D0D0D"/>
        </w:rPr>
        <w:t>СН 2.2.4/2.1.8.562-96. Шум на рабочих местах, в помещениях жилых, общественных зданий и на территории жилой застройки. – Москва: Минздрав России, 1997. – 20 с.</w:t>
      </w:r>
    </w:p>
    <w:p w14:paraId="E7010000">
      <w:pPr>
        <w:numPr>
          <w:ilvl w:val="0"/>
          <w:numId w:val="5"/>
        </w:numPr>
        <w:ind w:firstLine="709" w:left="0"/>
        <w:jc w:val="left"/>
        <w:rPr>
          <w:color w:themeColor="text1" w:themeTint="F2" w:val="0D0D0D"/>
        </w:rPr>
      </w:pPr>
      <w:r>
        <w:rPr>
          <w:color w:themeColor="text1" w:themeTint="F2" w:val="0D0D0D"/>
        </w:rPr>
        <w:t>ТОИ Р-200-07-95. Типовая инструкция по охране труда для станочника широкого профиля. – Москва: Минтруд России, 1995. – 24 с. (действует в части, не противоречащей новым правилам).</w:t>
      </w:r>
    </w:p>
    <w:p w14:paraId="E8010000">
      <w:pPr>
        <w:ind/>
        <w:jc w:val="center"/>
        <w:rPr>
          <w:color w:themeColor="text1" w:themeTint="F2" w:val="0D0D0D"/>
        </w:rPr>
      </w:pPr>
      <w:r>
        <w:rPr>
          <w:b w:val="1"/>
          <w:color w:themeColor="text1" w:themeTint="F2" w:val="0D0D0D"/>
        </w:rPr>
        <w:t>Учебные и справочные издания</w:t>
      </w:r>
    </w:p>
    <w:p w14:paraId="E9010000">
      <w:pPr>
        <w:numPr>
          <w:ilvl w:val="0"/>
          <w:numId w:val="6"/>
        </w:numPr>
        <w:ind w:firstLine="709" w:left="0"/>
        <w:jc w:val="left"/>
        <w:rPr>
          <w:color w:themeColor="text1" w:themeTint="F2" w:val="0D0D0D"/>
        </w:rPr>
      </w:pPr>
      <w:r>
        <w:rPr>
          <w:color w:themeColor="text1" w:themeTint="F2" w:val="0D0D0D"/>
        </w:rPr>
        <w:t>Бобров, В. Ф. Основы теории резания металлов: учебник / В. Ф. Бобров. – Москва: Машиностроение, 2019. – 320 с.</w:t>
      </w:r>
    </w:p>
    <w:p w14:paraId="EA010000">
      <w:pPr>
        <w:numPr>
          <w:ilvl w:val="0"/>
          <w:numId w:val="6"/>
        </w:numPr>
        <w:ind w:firstLine="709" w:left="0"/>
        <w:jc w:val="left"/>
        <w:rPr>
          <w:color w:themeColor="text1" w:themeTint="F2" w:val="0D0D0D"/>
        </w:rPr>
      </w:pPr>
      <w:r>
        <w:rPr>
          <w:color w:themeColor="text1" w:themeTint="F2" w:val="0D0D0D"/>
        </w:rPr>
        <w:t>Гилета</w:t>
      </w:r>
      <w:r>
        <w:rPr>
          <w:color w:themeColor="text1" w:themeTint="F2" w:val="0D0D0D"/>
        </w:rPr>
        <w:t xml:space="preserve">, В. П. Детали машин: расчет и проектирование механических передач: учебное пособие / В. П. </w:t>
      </w:r>
      <w:r>
        <w:rPr>
          <w:color w:themeColor="text1" w:themeTint="F2" w:val="0D0D0D"/>
        </w:rPr>
        <w:t>Гилета</w:t>
      </w:r>
      <w:r>
        <w:rPr>
          <w:color w:themeColor="text1" w:themeTint="F2" w:val="0D0D0D"/>
        </w:rPr>
        <w:t xml:space="preserve">, Ю. В. </w:t>
      </w:r>
      <w:r>
        <w:rPr>
          <w:color w:themeColor="text1" w:themeTint="F2" w:val="0D0D0D"/>
        </w:rPr>
        <w:t>Ванаг</w:t>
      </w:r>
      <w:r>
        <w:rPr>
          <w:color w:themeColor="text1" w:themeTint="F2" w:val="0D0D0D"/>
        </w:rPr>
        <w:t>, Н. А. Чусовитин; Новосибирский государственный технический университет. – Новосибирск: НГТУ, 2017. – 116 с. – Режим доступа: по подписке. – URL: </w:t>
      </w:r>
      <w:r>
        <w:rPr>
          <w:rStyle w:val="Style_14_ch"/>
          <w:color w:themeColor="text1" w:themeTint="F2" w:val="0D0D0D"/>
          <w:u w:val="none"/>
        </w:rPr>
        <w:fldChar w:fldCharType="begin"/>
      </w:r>
      <w:r>
        <w:rPr>
          <w:rStyle w:val="Style_14_ch"/>
          <w:color w:themeColor="text1" w:themeTint="F2" w:val="0D0D0D"/>
          <w:u w:val="none"/>
        </w:rPr>
        <w:instrText>HYPERLINK "https://biblioclub.ru/index.php?page=book&amp;id=574717"</w:instrText>
      </w:r>
      <w:r>
        <w:rPr>
          <w:rStyle w:val="Style_14_ch"/>
          <w:color w:themeColor="text1" w:themeTint="F2" w:val="0D0D0D"/>
          <w:u w:val="none"/>
        </w:rPr>
        <w:fldChar w:fldCharType="separate"/>
      </w:r>
      <w:r>
        <w:rPr>
          <w:rStyle w:val="Style_14_ch"/>
          <w:color w:themeColor="text1" w:themeTint="F2" w:val="0D0D0D"/>
          <w:u w:val="none"/>
        </w:rPr>
        <w:t>https://biblioclub.ru/index.php?page=book&amp;id=574717</w:t>
      </w:r>
      <w:r>
        <w:rPr>
          <w:rStyle w:val="Style_14_ch"/>
          <w:color w:themeColor="text1" w:themeTint="F2" w:val="0D0D0D"/>
          <w:u w:val="none"/>
        </w:rPr>
        <w:fldChar w:fldCharType="end"/>
      </w:r>
      <w:r>
        <w:rPr>
          <w:color w:themeColor="text1" w:themeTint="F2" w:val="0D0D0D"/>
        </w:rPr>
        <w:t> (дата обращения: 12.05.2026).</w:t>
      </w:r>
    </w:p>
    <w:p w14:paraId="EB010000">
      <w:pPr>
        <w:numPr>
          <w:ilvl w:val="0"/>
          <w:numId w:val="6"/>
        </w:numPr>
        <w:ind w:firstLine="709" w:left="0"/>
        <w:jc w:val="left"/>
        <w:rPr>
          <w:color w:themeColor="text1" w:themeTint="F2" w:val="0D0D0D"/>
        </w:rPr>
      </w:pPr>
      <w:r>
        <w:rPr>
          <w:color w:themeColor="text1" w:themeTint="F2" w:val="0D0D0D"/>
        </w:rPr>
        <w:t xml:space="preserve">Косилова, А. Г. Справочник технолога-машиностроителя: в 2 т. / А. Г. Косилова, Р. К. Мещеряков. – 6-е изд., </w:t>
      </w:r>
      <w:r>
        <w:rPr>
          <w:color w:themeColor="text1" w:themeTint="F2" w:val="0D0D0D"/>
        </w:rPr>
        <w:t>перераб</w:t>
      </w:r>
      <w:r>
        <w:rPr>
          <w:color w:themeColor="text1" w:themeTint="F2" w:val="0D0D0D"/>
        </w:rPr>
        <w:t>.</w:t>
      </w:r>
      <w:r>
        <w:rPr>
          <w:color w:themeColor="text1" w:themeTint="F2" w:val="0D0D0D"/>
        </w:rPr>
        <w:t xml:space="preserve"> и доп. – Москва: Машиностроение, 2020. – Т. 1: 912 с., Т. 2: 896 с.</w:t>
      </w:r>
    </w:p>
    <w:p w14:paraId="EC010000">
      <w:pPr>
        <w:numPr>
          <w:ilvl w:val="0"/>
          <w:numId w:val="6"/>
        </w:numPr>
        <w:ind w:firstLine="709" w:left="0"/>
        <w:jc w:val="left"/>
        <w:rPr>
          <w:color w:themeColor="text1" w:themeTint="F2" w:val="0D0D0D"/>
        </w:rPr>
      </w:pPr>
      <w:r>
        <w:rPr>
          <w:color w:themeColor="text1" w:themeTint="F2" w:val="0D0D0D"/>
        </w:rPr>
        <w:t>Кузнецов, Ю. Н. Технологическая оснастка для станков с ЧПУ: справочник / Ю. Н. Кузнецов. – 3-е изд. – Москва: Машиностроение, 2018. – 544 с.</w:t>
      </w:r>
    </w:p>
    <w:p w14:paraId="ED010000">
      <w:pPr>
        <w:numPr>
          <w:ilvl w:val="0"/>
          <w:numId w:val="6"/>
        </w:numPr>
        <w:ind w:firstLine="709" w:left="0"/>
        <w:jc w:val="left"/>
        <w:rPr>
          <w:color w:themeColor="text1" w:themeTint="F2" w:val="0D0D0D"/>
        </w:rPr>
      </w:pPr>
      <w:r>
        <w:rPr>
          <w:color w:themeColor="text1" w:themeTint="F2" w:val="0D0D0D"/>
        </w:rPr>
        <w:t>Мудров, А. Г. Детали машин и основы конструирования: учебно-методическое пособие / А. Г. Мудров, А. А. Мудрова. – Москва; Вологда: Инфра-Инженерия, 2021. – 236 с. – Режим доступа: по подписке. – URL: </w:t>
      </w:r>
      <w:r>
        <w:rPr>
          <w:rStyle w:val="Style_14_ch"/>
          <w:color w:themeColor="text1" w:themeTint="F2" w:val="0D0D0D"/>
          <w:u w:val="none"/>
        </w:rPr>
        <w:fldChar w:fldCharType="begin"/>
      </w:r>
      <w:r>
        <w:rPr>
          <w:rStyle w:val="Style_14_ch"/>
          <w:color w:themeColor="text1" w:themeTint="F2" w:val="0D0D0D"/>
          <w:u w:val="none"/>
        </w:rPr>
        <w:instrText>HYPERLINK "https://biblioclub.ru/index.php?page=book&amp;id=617465"</w:instrText>
      </w:r>
      <w:r>
        <w:rPr>
          <w:rStyle w:val="Style_14_ch"/>
          <w:color w:themeColor="text1" w:themeTint="F2" w:val="0D0D0D"/>
          <w:u w:val="none"/>
        </w:rPr>
        <w:fldChar w:fldCharType="separate"/>
      </w:r>
      <w:r>
        <w:rPr>
          <w:rStyle w:val="Style_14_ch"/>
          <w:color w:themeColor="text1" w:themeTint="F2" w:val="0D0D0D"/>
          <w:u w:val="none"/>
        </w:rPr>
        <w:t>https://biblioclub.ru/index.php?page=book&amp;id=617465</w:t>
      </w:r>
      <w:r>
        <w:rPr>
          <w:rStyle w:val="Style_14_ch"/>
          <w:color w:themeColor="text1" w:themeTint="F2" w:val="0D0D0D"/>
          <w:u w:val="none"/>
        </w:rPr>
        <w:fldChar w:fldCharType="end"/>
      </w:r>
      <w:r>
        <w:rPr>
          <w:color w:themeColor="text1" w:themeTint="F2" w:val="0D0D0D"/>
        </w:rPr>
        <w:t> (дата обращения: 12.05.2026).</w:t>
      </w:r>
    </w:p>
    <w:p w14:paraId="EE010000">
      <w:pPr>
        <w:numPr>
          <w:ilvl w:val="0"/>
          <w:numId w:val="6"/>
        </w:numPr>
        <w:ind w:firstLine="709" w:left="0"/>
        <w:jc w:val="left"/>
        <w:rPr>
          <w:color w:themeColor="text1" w:themeTint="F2" w:val="0D0D0D"/>
        </w:rPr>
      </w:pPr>
      <w:r>
        <w:rPr>
          <w:color w:themeColor="text1" w:themeTint="F2" w:val="0D0D0D"/>
        </w:rPr>
        <w:t>Панов, А. А. Справочник по металлорежущим станкам / А. А. Панов, В. В. Аникин, Н. Г. Бойцов. – Москва: Инфра-Инженерия, 2022. – 400 с.</w:t>
      </w:r>
    </w:p>
    <w:p w14:paraId="EF010000">
      <w:pPr>
        <w:numPr>
          <w:ilvl w:val="0"/>
          <w:numId w:val="6"/>
        </w:numPr>
        <w:ind w:firstLine="709" w:left="0"/>
        <w:jc w:val="left"/>
        <w:rPr>
          <w:color w:themeColor="text1" w:themeTint="F2" w:val="0D0D0D"/>
        </w:rPr>
      </w:pPr>
      <w:r>
        <w:rPr>
          <w:color w:themeColor="text1" w:themeTint="F2" w:val="0D0D0D"/>
        </w:rPr>
        <w:t>Суслов, А. Г. Технология машиностроения: учебник / А. Г. Суслов. – Москва: КНОРУС, 2022. – 480 с.</w:t>
      </w:r>
    </w:p>
    <w:p w14:paraId="F0010000">
      <w:pPr>
        <w:numPr>
          <w:ilvl w:val="0"/>
          <w:numId w:val="6"/>
        </w:numPr>
        <w:ind w:firstLine="709" w:left="0"/>
        <w:jc w:val="left"/>
        <w:rPr>
          <w:color w:themeColor="text1" w:themeTint="F2" w:val="0D0D0D"/>
        </w:rPr>
      </w:pPr>
      <w:r>
        <w:rPr>
          <w:color w:themeColor="text1" w:themeTint="F2" w:val="0D0D0D"/>
        </w:rPr>
        <w:t>Схиртладзе</w:t>
      </w:r>
      <w:r>
        <w:rPr>
          <w:color w:themeColor="text1" w:themeTint="F2" w:val="0D0D0D"/>
        </w:rPr>
        <w:t xml:space="preserve">, А. Г. Технологическое оборудование машиностроительных производств: учебник / А. Г. </w:t>
      </w:r>
      <w:r>
        <w:rPr>
          <w:color w:themeColor="text1" w:themeTint="F2" w:val="0D0D0D"/>
        </w:rPr>
        <w:t>Схиртладзе</w:t>
      </w:r>
      <w:r>
        <w:rPr>
          <w:color w:themeColor="text1" w:themeTint="F2" w:val="0D0D0D"/>
        </w:rPr>
        <w:t>, В. Ю. Новиков. – Москва: Высшая школа, 2019. – 512 с.</w:t>
      </w:r>
    </w:p>
    <w:p w14:paraId="F1010000">
      <w:pPr>
        <w:spacing w:line="240" w:lineRule="auto"/>
        <w:ind w:firstLine="0" w:left="0"/>
        <w:jc w:val="left"/>
        <w:rPr>
          <w:color w:themeColor="text1" w:themeTint="F2" w:val="0D0D0D"/>
        </w:rPr>
      </w:pPr>
      <w:r>
        <w:rPr>
          <w:color w:themeColor="text1" w:themeTint="F2" w:val="0D0D0D"/>
        </w:rPr>
        <w:br w:type="page"/>
      </w:r>
    </w:p>
    <w:p w14:paraId="F2010000">
      <w:pPr>
        <w:pStyle w:val="Style_8"/>
        <w:ind w:firstLine="0" w:left="0"/>
        <w:jc w:val="center"/>
        <w:rPr>
          <w:b w:val="1"/>
          <w:sz w:val="32"/>
        </w:rPr>
      </w:pPr>
      <w:r>
        <w:rPr>
          <w:b w:val="1"/>
          <w:sz w:val="32"/>
        </w:rPr>
        <w:t>ПОСЛЕДНИЙ ЛИСТ ВЫПУСКНОЙ</w:t>
      </w:r>
    </w:p>
    <w:p w14:paraId="F3010000">
      <w:pPr>
        <w:pStyle w:val="Style_8"/>
        <w:ind w:firstLine="0" w:left="0"/>
        <w:jc w:val="center"/>
        <w:rPr>
          <w:b w:val="1"/>
          <w:sz w:val="32"/>
        </w:rPr>
      </w:pPr>
      <w:r>
        <w:rPr>
          <w:b w:val="1"/>
          <w:sz w:val="32"/>
        </w:rPr>
        <w:t>КВАЛИФИКАЦИОННОЙ РАБОТЫ</w:t>
      </w:r>
    </w:p>
    <w:p w14:paraId="F4010000">
      <w:pPr>
        <w:ind w:firstLine="708" w:left="993"/>
        <w:jc w:val="center"/>
        <w:rPr>
          <w:b w:val="1"/>
        </w:rPr>
      </w:pPr>
    </w:p>
    <w:p w14:paraId="F5010000">
      <w:pPr>
        <w:ind w:firstLine="0" w:left="993"/>
        <w:jc w:val="center"/>
        <w:rPr>
          <w:b w:val="1"/>
        </w:rPr>
      </w:pPr>
    </w:p>
    <w:p w14:paraId="F6010000">
      <w:pPr>
        <w:ind w:firstLine="708" w:left="993"/>
        <w:jc w:val="center"/>
        <w:rPr>
          <w:b w:val="1"/>
        </w:rPr>
      </w:pPr>
    </w:p>
    <w:p w14:paraId="F7010000">
      <w:pPr>
        <w:ind w:firstLine="708" w:left="993"/>
        <w:jc w:val="center"/>
        <w:rPr>
          <w:b w:val="1"/>
        </w:rPr>
      </w:pPr>
    </w:p>
    <w:p w14:paraId="F8010000">
      <w:pPr>
        <w:ind w:firstLine="708" w:left="0"/>
      </w:pPr>
      <w:r>
        <w:t>Выпускная квалификационная работа выполнена мной совершенно самостоятельно. Все использованные в работе материалы и концепции из опубликованной научной литературы и других источников имеют ссылки на них.</w:t>
      </w:r>
    </w:p>
    <w:p w14:paraId="F9010000">
      <w:pPr>
        <w:ind w:firstLine="708" w:left="0"/>
      </w:pPr>
    </w:p>
    <w:p w14:paraId="FA010000">
      <w:pPr>
        <w:ind w:firstLine="708" w:left="0"/>
      </w:pPr>
    </w:p>
    <w:p w14:paraId="FB010000">
      <w:pPr>
        <w:spacing w:after="120"/>
        <w:ind/>
        <w:rPr>
          <w:b w:val="1"/>
        </w:rPr>
      </w:pPr>
      <w:r>
        <w:rPr>
          <w:b w:val="1"/>
        </w:rPr>
        <w:t xml:space="preserve"> «</w:t>
      </w:r>
      <w:r>
        <w:rPr>
          <w:b w:val="1"/>
        </w:rPr>
        <w:t>0</w:t>
      </w:r>
      <w:r>
        <w:rPr>
          <w:b w:val="1"/>
        </w:rPr>
        <w:t xml:space="preserve">1» </w:t>
      </w:r>
      <w:r>
        <w:rPr>
          <w:b w:val="1"/>
        </w:rPr>
        <w:t xml:space="preserve">августа </w:t>
      </w:r>
      <w:r>
        <w:rPr>
          <w:b w:val="1"/>
        </w:rPr>
        <w:t>202</w:t>
      </w:r>
      <w:r>
        <w:rPr>
          <w:b w:val="1"/>
        </w:rPr>
        <w:t>6</w:t>
      </w:r>
      <w:r>
        <w:rPr>
          <w:b w:val="1"/>
        </w:rPr>
        <w:t xml:space="preserve"> г.</w:t>
      </w:r>
    </w:p>
    <w:p w14:paraId="FC010000">
      <w:pPr>
        <w:spacing w:after="160" w:line="264" w:lineRule="auto"/>
        <w:ind w:firstLine="0" w:left="0"/>
        <w:jc w:val="left"/>
      </w:pPr>
    </w:p>
    <w:p w14:paraId="FD010000">
      <w:pPr>
        <w:spacing w:after="160" w:line="264" w:lineRule="auto"/>
        <w:ind w:firstLine="0" w:left="0"/>
        <w:jc w:val="left"/>
      </w:pPr>
      <w:r>
        <w:rPr>
          <w:b w:val="1"/>
        </w:rPr>
        <w:t xml:space="preserve"> </w:t>
      </w:r>
    </w:p>
    <w:sectPr>
      <w:footerReference r:id="rId1" w:type="first"/>
      <w:pgSz w:h="16838" w:orient="portrait" w:w="11906"/>
      <w:pgMar w:bottom="1134" w:footer="708" w:gutter="0" w:header="708" w:left="1701" w:right="850"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pPr>
      <w:pStyle w:val="Style_1"/>
      <w:ind w:firstLine="0" w:left="0"/>
      <w:jc w:val="center"/>
    </w:pPr>
    <w:r>
      <w:t>4</w:t>
    </w:r>
  </w:p>
</w:ftr>
</file>

<file path=word/footer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4000000">
    <w:pPr>
      <w:pStyle w:val="Style_1"/>
      <w:ind/>
      <w:jc w:val="center"/>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5000000">
    <w:pPr>
      <w:pStyle w:val="Style_1"/>
      <w:ind/>
      <w:jc w:val="center"/>
    </w:pPr>
  </w:p>
  <w:p w14:paraId="06000000">
    <w:pPr>
      <w:pStyle w:val="Style_1"/>
      <w:tabs>
        <w:tab w:leader="none" w:pos="5031" w:val="center"/>
        <w:tab w:leader="none" w:pos="5661" w:val="left"/>
      </w:tabs>
      <w:ind/>
      <w:jc w:val="left"/>
      <w:rPr>
        <w:sz w:val="32"/>
      </w:rPr>
    </w:pPr>
    <w:r>
      <w:rPr>
        <w:sz w:val="32"/>
      </w:rPr>
      <w:tab/>
    </w:r>
    <w:r>
      <w:rPr>
        <w:sz w:val="32"/>
      </w:rPr>
      <w:tab/>
    </w:r>
  </w:p>
</w:ft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2000000">
    <w:pPr>
      <w:pStyle w:val="Style_2"/>
      <w:ind w:firstLine="0" w:left="0"/>
    </w:pPr>
  </w:p>
  <w:p w14:paraId="03000000">
    <w:pPr>
      <w:pStyle w:val="Style_2"/>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ind w:hanging="360" w:left="1429"/>
      </w:pPr>
      <w:rPr>
        <w:rFonts w:ascii="Symbol" w:hAnsi="Symbol"/>
        <w:b w:val="0"/>
        <w:i w:val="0"/>
        <w:spacing w:val="0"/>
        <w:sz w:val="28"/>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1">
    <w:lvl w:ilvl="0">
      <w:start w:val="1"/>
      <w:numFmt w:val="bullet"/>
      <w:lvlText w:val=""/>
      <w:lvlJc w:val="left"/>
      <w:pPr>
        <w:ind w:hanging="360" w:left="1429"/>
      </w:pPr>
      <w:rPr>
        <w:rFonts w:ascii="Symbol" w:hAnsi="Symbol"/>
        <w:b w:val="0"/>
        <w:i w:val="0"/>
        <w:spacing w:val="0"/>
        <w:sz w:val="28"/>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2">
    <w:lvl w:ilvl="0">
      <w:start w:val="1"/>
      <w:numFmt w:val="bullet"/>
      <w:lvlText w:val=""/>
      <w:lvlJc w:val="left"/>
      <w:pPr>
        <w:ind w:hanging="360" w:left="1429"/>
      </w:pPr>
      <w:rPr>
        <w:rFonts w:ascii="Symbol" w:hAnsi="Symbol"/>
        <w:b w:val="0"/>
        <w:i w:val="0"/>
        <w:spacing w:val="0"/>
        <w:sz w:val="28"/>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3">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4">
    <w:lvl w:ilvl="0">
      <w:start w:val="1"/>
      <w:numFmt w:val="decimal"/>
      <w:lvlText w:val="%1."/>
      <w:lvlJc w:val="left"/>
      <w:pPr>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5">
    <w:lvl w:ilvl="0">
      <w:start w:val="16"/>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5" w:type="paragraph">
    <w:name w:val="Normal"/>
    <w:link w:val="Style_15_ch"/>
    <w:uiPriority w:val="0"/>
    <w:qFormat/>
    <w:pPr>
      <w:spacing w:line="360" w:lineRule="auto"/>
      <w:ind w:firstLine="709" w:left="0"/>
      <w:jc w:val="both"/>
    </w:pPr>
    <w:rPr>
      <w:sz w:val="28"/>
    </w:rPr>
  </w:style>
  <w:style w:default="1" w:styleId="Style_15_ch" w:type="character">
    <w:name w:val="Normal"/>
    <w:link w:val="Style_15"/>
    <w:rPr>
      <w:sz w:val="28"/>
    </w:rPr>
  </w:style>
  <w:style w:styleId="Style_6" w:type="paragraph">
    <w:name w:val="toc 2"/>
    <w:basedOn w:val="Style_15"/>
    <w:next w:val="Style_15"/>
    <w:link w:val="Style_6_ch"/>
    <w:uiPriority w:val="39"/>
    <w:pPr>
      <w:tabs>
        <w:tab w:leader="dot" w:pos="9345" w:val="right"/>
      </w:tabs>
      <w:spacing w:after="100"/>
      <w:ind w:firstLine="4" w:left="280"/>
    </w:pPr>
  </w:style>
  <w:style w:styleId="Style_6_ch" w:type="character">
    <w:name w:val="toc 2"/>
    <w:basedOn w:val="Style_15_ch"/>
    <w:link w:val="Style_6"/>
  </w:style>
  <w:style w:styleId="Style_16" w:type="paragraph">
    <w:name w:val="vlist-r"/>
    <w:basedOn w:val="Style_17"/>
    <w:link w:val="Style_16_ch"/>
  </w:style>
  <w:style w:styleId="Style_16_ch" w:type="character">
    <w:name w:val="vlist-r"/>
    <w:basedOn w:val="Style_17_ch"/>
    <w:link w:val="Style_16"/>
  </w:style>
  <w:style w:styleId="Style_18" w:type="paragraph">
    <w:name w:val="Normal (Web)"/>
    <w:basedOn w:val="Style_15"/>
    <w:link w:val="Style_18_ch"/>
    <w:pPr>
      <w:spacing w:afterAutospacing="on" w:beforeAutospacing="on" w:line="240" w:lineRule="auto"/>
      <w:ind w:firstLine="0" w:left="0"/>
      <w:jc w:val="left"/>
    </w:pPr>
    <w:rPr>
      <w:sz w:val="24"/>
    </w:rPr>
  </w:style>
  <w:style w:styleId="Style_18_ch" w:type="character">
    <w:name w:val="Normal (Web)"/>
    <w:basedOn w:val="Style_15_ch"/>
    <w:link w:val="Style_18"/>
    <w:rPr>
      <w:sz w:val="24"/>
    </w:rPr>
  </w:style>
  <w:style w:styleId="Style_19" w:type="paragraph">
    <w:name w:val="toc 4"/>
    <w:next w:val="Style_15"/>
    <w:link w:val="Style_19_ch"/>
    <w:uiPriority w:val="39"/>
    <w:pPr>
      <w:ind w:firstLine="0" w:left="600"/>
      <w:jc w:val="left"/>
    </w:pPr>
    <w:rPr>
      <w:rFonts w:ascii="XO Thames" w:hAnsi="XO Thames"/>
      <w:sz w:val="28"/>
    </w:rPr>
  </w:style>
  <w:style w:styleId="Style_19_ch" w:type="character">
    <w:name w:val="toc 4"/>
    <w:link w:val="Style_19"/>
    <w:rPr>
      <w:rFonts w:ascii="XO Thames" w:hAnsi="XO Thames"/>
      <w:sz w:val="28"/>
    </w:rPr>
  </w:style>
  <w:style w:styleId="Style_13" w:type="paragraph">
    <w:name w:val="ds-markdown-paragraph"/>
    <w:basedOn w:val="Style_15"/>
    <w:link w:val="Style_13_ch"/>
    <w:pPr>
      <w:spacing w:afterAutospacing="on" w:beforeAutospacing="on" w:line="240" w:lineRule="auto"/>
      <w:ind w:firstLine="0" w:left="0"/>
      <w:jc w:val="left"/>
    </w:pPr>
    <w:rPr>
      <w:sz w:val="24"/>
    </w:rPr>
  </w:style>
  <w:style w:styleId="Style_13_ch" w:type="character">
    <w:name w:val="ds-markdown-paragraph"/>
    <w:basedOn w:val="Style_15_ch"/>
    <w:link w:val="Style_13"/>
    <w:rPr>
      <w:sz w:val="24"/>
    </w:rPr>
  </w:style>
  <w:style w:styleId="Style_17" w:type="paragraph">
    <w:name w:val="Default Paragraph Font"/>
    <w:link w:val="Style_17_ch"/>
  </w:style>
  <w:style w:styleId="Style_17_ch" w:type="character">
    <w:name w:val="Default Paragraph Font"/>
    <w:link w:val="Style_17"/>
  </w:style>
  <w:style w:styleId="Style_20" w:type="paragraph">
    <w:name w:val="Placeholder Text"/>
    <w:basedOn w:val="Style_17"/>
    <w:link w:val="Style_20_ch"/>
    <w:rPr>
      <w:color w:val="808080"/>
    </w:rPr>
  </w:style>
  <w:style w:styleId="Style_20_ch" w:type="character">
    <w:name w:val="Placeholder Text"/>
    <w:basedOn w:val="Style_17_ch"/>
    <w:link w:val="Style_20"/>
    <w:rPr>
      <w:color w:val="808080"/>
    </w:rPr>
  </w:style>
  <w:style w:styleId="Style_21" w:type="paragraph">
    <w:name w:val="toc 6"/>
    <w:next w:val="Style_15"/>
    <w:link w:val="Style_21_ch"/>
    <w:uiPriority w:val="39"/>
    <w:pPr>
      <w:ind w:firstLine="0" w:left="1000"/>
      <w:jc w:val="left"/>
    </w:pPr>
    <w:rPr>
      <w:rFonts w:ascii="XO Thames" w:hAnsi="XO Thames"/>
      <w:sz w:val="28"/>
    </w:rPr>
  </w:style>
  <w:style w:styleId="Style_21_ch" w:type="character">
    <w:name w:val="toc 6"/>
    <w:link w:val="Style_21"/>
    <w:rPr>
      <w:rFonts w:ascii="XO Thames" w:hAnsi="XO Thames"/>
      <w:sz w:val="28"/>
    </w:rPr>
  </w:style>
  <w:style w:styleId="Style_22" w:type="paragraph">
    <w:name w:val="toc 7"/>
    <w:next w:val="Style_15"/>
    <w:link w:val="Style_22_ch"/>
    <w:uiPriority w:val="39"/>
    <w:pPr>
      <w:ind w:firstLine="0" w:left="1200"/>
      <w:jc w:val="left"/>
    </w:pPr>
    <w:rPr>
      <w:rFonts w:ascii="XO Thames" w:hAnsi="XO Thames"/>
      <w:sz w:val="28"/>
    </w:rPr>
  </w:style>
  <w:style w:styleId="Style_22_ch" w:type="character">
    <w:name w:val="toc 7"/>
    <w:link w:val="Style_22"/>
    <w:rPr>
      <w:rFonts w:ascii="XO Thames" w:hAnsi="XO Thames"/>
      <w:sz w:val="28"/>
    </w:rPr>
  </w:style>
  <w:style w:styleId="Style_23" w:type="paragraph">
    <w:name w:val="mspace"/>
    <w:basedOn w:val="Style_17"/>
    <w:link w:val="Style_23_ch"/>
  </w:style>
  <w:style w:styleId="Style_23_ch" w:type="character">
    <w:name w:val="mspace"/>
    <w:basedOn w:val="Style_17_ch"/>
    <w:link w:val="Style_23"/>
  </w:style>
  <w:style w:styleId="Style_4" w:type="paragraph">
    <w:name w:val="Оглавление"/>
    <w:basedOn w:val="Style_24"/>
    <w:link w:val="Style_4_ch"/>
    <w:pPr>
      <w:tabs>
        <w:tab w:leader="dot" w:pos="9345" w:val="right"/>
      </w:tabs>
      <w:spacing w:after="0"/>
      <w:ind w:firstLine="149" w:left="0"/>
    </w:pPr>
  </w:style>
  <w:style w:styleId="Style_4_ch" w:type="character">
    <w:name w:val="Оглавление"/>
    <w:basedOn w:val="Style_24_ch"/>
    <w:link w:val="Style_4"/>
  </w:style>
  <w:style w:styleId="Style_25" w:type="paragraph">
    <w:name w:val="delimsizing"/>
    <w:basedOn w:val="Style_17"/>
    <w:link w:val="Style_25_ch"/>
  </w:style>
  <w:style w:styleId="Style_25_ch" w:type="character">
    <w:name w:val="delimsizing"/>
    <w:basedOn w:val="Style_17_ch"/>
    <w:link w:val="Style_25"/>
  </w:style>
  <w:style w:styleId="Style_26" w:type="paragraph">
    <w:name w:val="katex"/>
    <w:basedOn w:val="Style_17"/>
    <w:link w:val="Style_26_ch"/>
  </w:style>
  <w:style w:styleId="Style_26_ch" w:type="character">
    <w:name w:val="katex"/>
    <w:basedOn w:val="Style_17_ch"/>
    <w:link w:val="Style_26"/>
  </w:style>
  <w:style w:styleId="Style_27" w:type="paragraph">
    <w:name w:val="heading 3"/>
    <w:basedOn w:val="Style_15"/>
    <w:next w:val="Style_15"/>
    <w:link w:val="Style_27_ch"/>
    <w:uiPriority w:val="9"/>
    <w:qFormat/>
    <w:pPr>
      <w:keepNext w:val="1"/>
      <w:keepLines w:val="1"/>
      <w:spacing w:before="40"/>
      <w:ind/>
      <w:outlineLvl w:val="2"/>
    </w:pPr>
    <w:rPr>
      <w:b w:val="1"/>
      <w:color w:themeColor="text1" w:themeTint="F2" w:val="0D0D0D"/>
    </w:rPr>
  </w:style>
  <w:style w:styleId="Style_27_ch" w:type="character">
    <w:name w:val="heading 3"/>
    <w:basedOn w:val="Style_15_ch"/>
    <w:link w:val="Style_27"/>
    <w:rPr>
      <w:b w:val="1"/>
      <w:color w:themeColor="text1" w:themeTint="F2" w:val="0D0D0D"/>
    </w:rPr>
  </w:style>
  <w:style w:styleId="Style_28" w:type="paragraph">
    <w:name w:val="meta"/>
    <w:basedOn w:val="Style_17"/>
    <w:link w:val="Style_28_ch"/>
  </w:style>
  <w:style w:styleId="Style_28_ch" w:type="character">
    <w:name w:val="meta"/>
    <w:basedOn w:val="Style_17_ch"/>
    <w:link w:val="Style_28"/>
  </w:style>
  <w:style w:styleId="Style_29" w:type="paragraph">
    <w:name w:val="Emphasis"/>
    <w:basedOn w:val="Style_17"/>
    <w:link w:val="Style_29_ch"/>
    <w:rPr>
      <w:i w:val="1"/>
    </w:rPr>
  </w:style>
  <w:style w:styleId="Style_29_ch" w:type="character">
    <w:name w:val="Emphasis"/>
    <w:basedOn w:val="Style_17_ch"/>
    <w:link w:val="Style_29"/>
    <w:rPr>
      <w:i w:val="1"/>
    </w:rPr>
  </w:style>
  <w:style w:styleId="Style_30" w:type="paragraph">
    <w:name w:val="hide-tail"/>
    <w:basedOn w:val="Style_17"/>
    <w:link w:val="Style_30_ch"/>
  </w:style>
  <w:style w:styleId="Style_30_ch" w:type="character">
    <w:name w:val="hide-tail"/>
    <w:basedOn w:val="Style_17_ch"/>
    <w:link w:val="Style_30"/>
  </w:style>
  <w:style w:styleId="Style_31" w:type="paragraph">
    <w:name w:val="katex-html"/>
    <w:basedOn w:val="Style_17"/>
    <w:link w:val="Style_31_ch"/>
  </w:style>
  <w:style w:styleId="Style_31_ch" w:type="character">
    <w:name w:val="katex-html"/>
    <w:basedOn w:val="Style_17_ch"/>
    <w:link w:val="Style_31"/>
  </w:style>
  <w:style w:styleId="Style_32" w:type="paragraph">
    <w:name w:val="d813de27"/>
    <w:basedOn w:val="Style_17"/>
    <w:link w:val="Style_32_ch"/>
  </w:style>
  <w:style w:styleId="Style_32_ch" w:type="character">
    <w:name w:val="d813de27"/>
    <w:basedOn w:val="Style_17_ch"/>
    <w:link w:val="Style_32"/>
  </w:style>
  <w:style w:styleId="Style_24" w:type="paragraph">
    <w:name w:val="toc 3"/>
    <w:basedOn w:val="Style_15"/>
    <w:next w:val="Style_15"/>
    <w:link w:val="Style_24_ch"/>
    <w:uiPriority w:val="39"/>
    <w:pPr>
      <w:spacing w:after="100"/>
      <w:ind w:firstLine="0" w:left="560"/>
    </w:pPr>
  </w:style>
  <w:style w:styleId="Style_24_ch" w:type="character">
    <w:name w:val="toc 3"/>
    <w:basedOn w:val="Style_15_ch"/>
    <w:link w:val="Style_24"/>
  </w:style>
  <w:style w:styleId="Style_1" w:type="paragraph">
    <w:name w:val="footer"/>
    <w:basedOn w:val="Style_15"/>
    <w:link w:val="Style_1_ch"/>
    <w:pPr>
      <w:tabs>
        <w:tab w:leader="none" w:pos="4677" w:val="center"/>
        <w:tab w:leader="none" w:pos="9355" w:val="right"/>
      </w:tabs>
      <w:spacing w:line="240" w:lineRule="auto"/>
      <w:ind/>
    </w:pPr>
  </w:style>
  <w:style w:styleId="Style_1_ch" w:type="character">
    <w:name w:val="footer"/>
    <w:basedOn w:val="Style_15_ch"/>
    <w:link w:val="Style_1"/>
  </w:style>
  <w:style w:styleId="Style_33" w:type="paragraph">
    <w:name w:val="mclose"/>
    <w:basedOn w:val="Style_17"/>
    <w:link w:val="Style_33_ch"/>
  </w:style>
  <w:style w:styleId="Style_33_ch" w:type="character">
    <w:name w:val="mclose"/>
    <w:basedOn w:val="Style_17_ch"/>
    <w:link w:val="Style_33"/>
  </w:style>
  <w:style w:styleId="Style_34" w:type="paragraph">
    <w:name w:val="mord"/>
    <w:basedOn w:val="Style_17"/>
    <w:link w:val="Style_34_ch"/>
  </w:style>
  <w:style w:styleId="Style_34_ch" w:type="character">
    <w:name w:val="mord"/>
    <w:basedOn w:val="Style_17_ch"/>
    <w:link w:val="Style_34"/>
  </w:style>
  <w:style w:styleId="Style_35" w:type="paragraph">
    <w:name w:val="msonormal"/>
    <w:basedOn w:val="Style_15"/>
    <w:link w:val="Style_35_ch"/>
    <w:pPr>
      <w:spacing w:afterAutospacing="on" w:beforeAutospacing="on" w:line="240" w:lineRule="auto"/>
      <w:ind w:firstLine="0" w:left="0"/>
      <w:jc w:val="left"/>
    </w:pPr>
    <w:rPr>
      <w:sz w:val="24"/>
    </w:rPr>
  </w:style>
  <w:style w:styleId="Style_35_ch" w:type="character">
    <w:name w:val="msonormal"/>
    <w:basedOn w:val="Style_15_ch"/>
    <w:link w:val="Style_35"/>
    <w:rPr>
      <w:sz w:val="24"/>
    </w:rPr>
  </w:style>
  <w:style w:styleId="Style_36" w:type="paragraph">
    <w:name w:val="vlist"/>
    <w:basedOn w:val="Style_17"/>
    <w:link w:val="Style_36_ch"/>
  </w:style>
  <w:style w:styleId="Style_36_ch" w:type="character">
    <w:name w:val="vlist"/>
    <w:basedOn w:val="Style_17_ch"/>
    <w:link w:val="Style_36"/>
  </w:style>
  <w:style w:styleId="Style_37" w:type="paragraph">
    <w:name w:val="heading 5"/>
    <w:basedOn w:val="Style_15"/>
    <w:next w:val="Style_15"/>
    <w:link w:val="Style_37_ch"/>
    <w:uiPriority w:val="9"/>
    <w:qFormat/>
    <w:pPr>
      <w:keepNext w:val="1"/>
      <w:keepLines w:val="1"/>
      <w:spacing w:before="40" w:line="264" w:lineRule="auto"/>
      <w:ind w:firstLine="0" w:left="0"/>
      <w:jc w:val="left"/>
      <w:outlineLvl w:val="4"/>
    </w:pPr>
    <w:rPr>
      <w:rFonts w:asciiTheme="majorAscii" w:hAnsiTheme="majorHAnsi"/>
      <w:color w:themeColor="accent1" w:themeShade="BF" w:val="2E75B5"/>
      <w:sz w:val="22"/>
    </w:rPr>
  </w:style>
  <w:style w:styleId="Style_37_ch" w:type="character">
    <w:name w:val="heading 5"/>
    <w:basedOn w:val="Style_15_ch"/>
    <w:link w:val="Style_37"/>
    <w:rPr>
      <w:rFonts w:asciiTheme="majorAscii" w:hAnsiTheme="majorHAnsi"/>
      <w:color w:themeColor="accent1" w:themeShade="BF" w:val="2E75B5"/>
      <w:sz w:val="22"/>
    </w:rPr>
  </w:style>
  <w:style w:styleId="Style_38" w:type="paragraph">
    <w:name w:val="mop"/>
    <w:basedOn w:val="Style_17"/>
    <w:link w:val="Style_38_ch"/>
  </w:style>
  <w:style w:styleId="Style_38_ch" w:type="character">
    <w:name w:val="mop"/>
    <w:basedOn w:val="Style_17_ch"/>
    <w:link w:val="Style_38"/>
  </w:style>
  <w:style w:styleId="Style_39" w:type="paragraph">
    <w:name w:val="katex-display"/>
    <w:basedOn w:val="Style_17"/>
    <w:link w:val="Style_39_ch"/>
  </w:style>
  <w:style w:styleId="Style_39_ch" w:type="character">
    <w:name w:val="katex-display"/>
    <w:basedOn w:val="Style_17_ch"/>
    <w:link w:val="Style_39"/>
  </w:style>
  <w:style w:styleId="Style_8" w:type="paragraph">
    <w:name w:val="ОБЩИЙ"/>
    <w:basedOn w:val="Style_15"/>
    <w:link w:val="Style_8_ch"/>
    <w:rPr>
      <w:color w:themeColor="text1" w:themeTint="F2" w:val="0D0D0D"/>
    </w:rPr>
  </w:style>
  <w:style w:styleId="Style_8_ch" w:type="character">
    <w:name w:val="ОБЩИЙ"/>
    <w:basedOn w:val="Style_15_ch"/>
    <w:link w:val="Style_8"/>
    <w:rPr>
      <w:color w:themeColor="text1" w:themeTint="F2" w:val="0D0D0D"/>
    </w:rPr>
  </w:style>
  <w:style w:styleId="Style_7" w:type="paragraph">
    <w:name w:val="heading 1"/>
    <w:basedOn w:val="Style_15"/>
    <w:next w:val="Style_15"/>
    <w:link w:val="Style_7_ch"/>
    <w:uiPriority w:val="9"/>
    <w:qFormat/>
    <w:pPr>
      <w:keepNext w:val="1"/>
      <w:keepLines w:val="1"/>
      <w:ind/>
      <w:jc w:val="center"/>
      <w:outlineLvl w:val="0"/>
    </w:pPr>
    <w:rPr>
      <w:b w:val="1"/>
      <w:color w:themeColor="text1" w:themeTint="F2" w:val="0D0D0D"/>
      <w:sz w:val="32"/>
    </w:rPr>
  </w:style>
  <w:style w:styleId="Style_7_ch" w:type="character">
    <w:name w:val="heading 1"/>
    <w:basedOn w:val="Style_15_ch"/>
    <w:link w:val="Style_7"/>
    <w:rPr>
      <w:b w:val="1"/>
      <w:color w:themeColor="text1" w:themeTint="F2" w:val="0D0D0D"/>
      <w:sz w:val="32"/>
    </w:rPr>
  </w:style>
  <w:style w:styleId="Style_2" w:type="paragraph">
    <w:name w:val="header"/>
    <w:basedOn w:val="Style_15"/>
    <w:link w:val="Style_2_ch"/>
    <w:pPr>
      <w:tabs>
        <w:tab w:leader="none" w:pos="4677" w:val="center"/>
        <w:tab w:leader="none" w:pos="9355" w:val="right"/>
      </w:tabs>
      <w:spacing w:line="240" w:lineRule="auto"/>
      <w:ind/>
    </w:pPr>
  </w:style>
  <w:style w:styleId="Style_2_ch" w:type="character">
    <w:name w:val="header"/>
    <w:basedOn w:val="Style_15_ch"/>
    <w:link w:val="Style_2"/>
  </w:style>
  <w:style w:styleId="Style_40" w:type="paragraph">
    <w:name w:val="vlist-s"/>
    <w:basedOn w:val="Style_17"/>
    <w:link w:val="Style_40_ch"/>
  </w:style>
  <w:style w:styleId="Style_40_ch" w:type="character">
    <w:name w:val="vlist-s"/>
    <w:basedOn w:val="Style_17_ch"/>
    <w:link w:val="Style_40"/>
  </w:style>
  <w:style w:styleId="Style_41" w:type="paragraph">
    <w:name w:val="svg-align"/>
    <w:basedOn w:val="Style_17"/>
    <w:link w:val="Style_41_ch"/>
  </w:style>
  <w:style w:styleId="Style_41_ch" w:type="character">
    <w:name w:val="svg-align"/>
    <w:basedOn w:val="Style_17_ch"/>
    <w:link w:val="Style_41"/>
  </w:style>
  <w:style w:styleId="Style_14" w:type="paragraph">
    <w:name w:val="Hyperlink"/>
    <w:basedOn w:val="Style_17"/>
    <w:link w:val="Style_14_ch"/>
    <w:rPr>
      <w:color w:themeColor="hyperlink" w:val="0563C1"/>
      <w:u w:val="single"/>
    </w:rPr>
  </w:style>
  <w:style w:styleId="Style_14_ch" w:type="character">
    <w:name w:val="Hyperlink"/>
    <w:basedOn w:val="Style_17_ch"/>
    <w:link w:val="Style_14"/>
    <w:rPr>
      <w:color w:themeColor="hyperlink" w:val="0563C1"/>
      <w:u w:val="single"/>
    </w:rPr>
  </w:style>
  <w:style w:styleId="Style_42" w:type="paragraph">
    <w:name w:val="Footnote"/>
    <w:link w:val="Style_42_ch"/>
    <w:pPr>
      <w:ind w:firstLine="851" w:left="0"/>
      <w:jc w:val="both"/>
    </w:pPr>
    <w:rPr>
      <w:rFonts w:ascii="XO Thames" w:hAnsi="XO Thames"/>
      <w:sz w:val="22"/>
    </w:rPr>
  </w:style>
  <w:style w:styleId="Style_42_ch" w:type="character">
    <w:name w:val="Footnote"/>
    <w:link w:val="Style_42"/>
    <w:rPr>
      <w:rFonts w:ascii="XO Thames" w:hAnsi="XO Thames"/>
      <w:sz w:val="22"/>
    </w:rPr>
  </w:style>
  <w:style w:styleId="Style_5" w:type="paragraph">
    <w:name w:val="toc 1"/>
    <w:basedOn w:val="Style_15"/>
    <w:next w:val="Style_15"/>
    <w:link w:val="Style_5_ch"/>
    <w:uiPriority w:val="39"/>
    <w:pPr>
      <w:tabs>
        <w:tab w:leader="dot" w:pos="9345" w:val="right"/>
      </w:tabs>
      <w:ind w:firstLine="0" w:left="0"/>
    </w:pPr>
  </w:style>
  <w:style w:styleId="Style_5_ch" w:type="character">
    <w:name w:val="toc 1"/>
    <w:basedOn w:val="Style_15_ch"/>
    <w:link w:val="Style_5"/>
  </w:style>
  <w:style w:styleId="Style_43" w:type="paragraph">
    <w:name w:val="frac-line"/>
    <w:basedOn w:val="Style_17"/>
    <w:link w:val="Style_43_ch"/>
  </w:style>
  <w:style w:styleId="Style_43_ch" w:type="character">
    <w:name w:val="frac-line"/>
    <w:basedOn w:val="Style_17_ch"/>
    <w:link w:val="Style_43"/>
  </w:style>
  <w:style w:styleId="Style_44" w:type="paragraph">
    <w:name w:val="Header and Footer"/>
    <w:link w:val="Style_44_ch"/>
    <w:pPr>
      <w:spacing w:line="240" w:lineRule="auto"/>
      <w:ind/>
      <w:jc w:val="both"/>
    </w:pPr>
    <w:rPr>
      <w:rFonts w:ascii="XO Thames" w:hAnsi="XO Thames"/>
      <w:sz w:val="20"/>
    </w:rPr>
  </w:style>
  <w:style w:styleId="Style_44_ch" w:type="character">
    <w:name w:val="Header and Footer"/>
    <w:link w:val="Style_44"/>
    <w:rPr>
      <w:rFonts w:ascii="XO Thames" w:hAnsi="XO Thames"/>
      <w:sz w:val="20"/>
    </w:rPr>
  </w:style>
  <w:style w:styleId="Style_45" w:type="paragraph">
    <w:name w:val="mtight"/>
    <w:basedOn w:val="Style_17"/>
    <w:link w:val="Style_45_ch"/>
  </w:style>
  <w:style w:styleId="Style_45_ch" w:type="character">
    <w:name w:val="mtight"/>
    <w:basedOn w:val="Style_17_ch"/>
    <w:link w:val="Style_45"/>
  </w:style>
  <w:style w:styleId="Style_46" w:type="paragraph">
    <w:name w:val="mfrac"/>
    <w:basedOn w:val="Style_17"/>
    <w:link w:val="Style_46_ch"/>
  </w:style>
  <w:style w:styleId="Style_46_ch" w:type="character">
    <w:name w:val="mfrac"/>
    <w:basedOn w:val="Style_17_ch"/>
    <w:link w:val="Style_46"/>
  </w:style>
  <w:style w:styleId="Style_47" w:type="paragraph">
    <w:name w:val="pstrut"/>
    <w:basedOn w:val="Style_17"/>
    <w:link w:val="Style_47_ch"/>
  </w:style>
  <w:style w:styleId="Style_47_ch" w:type="character">
    <w:name w:val="pstrut"/>
    <w:basedOn w:val="Style_17_ch"/>
    <w:link w:val="Style_47"/>
  </w:style>
  <w:style w:styleId="Style_48" w:type="paragraph">
    <w:name w:val="toc 9"/>
    <w:next w:val="Style_15"/>
    <w:link w:val="Style_48_ch"/>
    <w:uiPriority w:val="39"/>
    <w:pPr>
      <w:ind w:firstLine="0" w:left="1600"/>
      <w:jc w:val="left"/>
    </w:pPr>
    <w:rPr>
      <w:rFonts w:ascii="XO Thames" w:hAnsi="XO Thames"/>
      <w:sz w:val="28"/>
    </w:rPr>
  </w:style>
  <w:style w:styleId="Style_48_ch" w:type="character">
    <w:name w:val="toc 9"/>
    <w:link w:val="Style_48"/>
    <w:rPr>
      <w:rFonts w:ascii="XO Thames" w:hAnsi="XO Thames"/>
      <w:sz w:val="28"/>
    </w:rPr>
  </w:style>
  <w:style w:styleId="Style_49" w:type="paragraph">
    <w:name w:val="msupsub"/>
    <w:basedOn w:val="Style_17"/>
    <w:link w:val="Style_49_ch"/>
  </w:style>
  <w:style w:styleId="Style_49_ch" w:type="character">
    <w:name w:val="msupsub"/>
    <w:basedOn w:val="Style_17_ch"/>
    <w:link w:val="Style_49"/>
  </w:style>
  <w:style w:styleId="Style_50" w:type="paragraph">
    <w:name w:val="root"/>
    <w:basedOn w:val="Style_17"/>
    <w:link w:val="Style_50_ch"/>
  </w:style>
  <w:style w:styleId="Style_50_ch" w:type="character">
    <w:name w:val="root"/>
    <w:basedOn w:val="Style_17_ch"/>
    <w:link w:val="Style_50"/>
  </w:style>
  <w:style w:styleId="Style_51" w:type="paragraph">
    <w:name w:val="List Paragraph"/>
    <w:basedOn w:val="Style_15"/>
    <w:link w:val="Style_51_ch"/>
    <w:pPr>
      <w:ind w:firstLine="0" w:left="720"/>
      <w:contextualSpacing w:val="1"/>
    </w:pPr>
  </w:style>
  <w:style w:styleId="Style_51_ch" w:type="character">
    <w:name w:val="List Paragraph"/>
    <w:basedOn w:val="Style_15_ch"/>
    <w:link w:val="Style_51"/>
  </w:style>
  <w:style w:styleId="Style_52" w:type="paragraph">
    <w:name w:val="minner"/>
    <w:basedOn w:val="Style_17"/>
    <w:link w:val="Style_52_ch"/>
  </w:style>
  <w:style w:styleId="Style_52_ch" w:type="character">
    <w:name w:val="minner"/>
    <w:basedOn w:val="Style_17_ch"/>
    <w:link w:val="Style_52"/>
  </w:style>
  <w:style w:styleId="Style_12" w:type="paragraph">
    <w:name w:val="ОСНОВА"/>
    <w:basedOn w:val="Style_13"/>
    <w:link w:val="Style_12_ch"/>
    <w:pPr>
      <w:spacing w:after="0" w:before="0" w:line="360" w:lineRule="auto"/>
      <w:ind w:firstLine="709" w:left="0"/>
      <w:jc w:val="both"/>
    </w:pPr>
    <w:rPr>
      <w:color w:val="0F1115"/>
      <w:sz w:val="28"/>
    </w:rPr>
  </w:style>
  <w:style w:styleId="Style_12_ch" w:type="character">
    <w:name w:val="ОСНОВА"/>
    <w:basedOn w:val="Style_13_ch"/>
    <w:link w:val="Style_12"/>
    <w:rPr>
      <w:color w:val="0F1115"/>
      <w:sz w:val="28"/>
    </w:rPr>
  </w:style>
  <w:style w:styleId="Style_53" w:type="paragraph">
    <w:name w:val="base"/>
    <w:basedOn w:val="Style_17"/>
    <w:link w:val="Style_53_ch"/>
  </w:style>
  <w:style w:styleId="Style_53_ch" w:type="character">
    <w:name w:val="base"/>
    <w:basedOn w:val="Style_17_ch"/>
    <w:link w:val="Style_53"/>
  </w:style>
  <w:style w:styleId="Style_54" w:type="paragraph">
    <w:name w:val="caption"/>
    <w:basedOn w:val="Style_15"/>
    <w:next w:val="Style_15"/>
    <w:link w:val="Style_54_ch"/>
    <w:pPr>
      <w:spacing w:after="200" w:line="240" w:lineRule="auto"/>
      <w:ind/>
    </w:pPr>
    <w:rPr>
      <w:i w:val="1"/>
      <w:color w:themeColor="text2" w:val="44546A"/>
      <w:sz w:val="18"/>
    </w:rPr>
  </w:style>
  <w:style w:styleId="Style_54_ch" w:type="character">
    <w:name w:val="caption"/>
    <w:basedOn w:val="Style_15_ch"/>
    <w:link w:val="Style_54"/>
    <w:rPr>
      <w:i w:val="1"/>
      <w:color w:themeColor="text2" w:val="44546A"/>
      <w:sz w:val="18"/>
    </w:rPr>
  </w:style>
  <w:style w:styleId="Style_55" w:type="paragraph">
    <w:name w:val="toc 8"/>
    <w:next w:val="Style_15"/>
    <w:link w:val="Style_55_ch"/>
    <w:uiPriority w:val="39"/>
    <w:pPr>
      <w:ind w:firstLine="0" w:left="1400"/>
      <w:jc w:val="left"/>
    </w:pPr>
    <w:rPr>
      <w:rFonts w:ascii="XO Thames" w:hAnsi="XO Thames"/>
      <w:sz w:val="28"/>
    </w:rPr>
  </w:style>
  <w:style w:styleId="Style_55_ch" w:type="character">
    <w:name w:val="toc 8"/>
    <w:link w:val="Style_55"/>
    <w:rPr>
      <w:rFonts w:ascii="XO Thames" w:hAnsi="XO Thames"/>
      <w:sz w:val="28"/>
    </w:rPr>
  </w:style>
  <w:style w:styleId="Style_56" w:type="paragraph">
    <w:name w:val="mpunct"/>
    <w:basedOn w:val="Style_17"/>
    <w:link w:val="Style_56_ch"/>
  </w:style>
  <w:style w:styleId="Style_56_ch" w:type="character">
    <w:name w:val="mpunct"/>
    <w:basedOn w:val="Style_17_ch"/>
    <w:link w:val="Style_56"/>
  </w:style>
  <w:style w:styleId="Style_57" w:type="paragraph">
    <w:name w:val="mopen"/>
    <w:basedOn w:val="Style_17"/>
    <w:link w:val="Style_57_ch"/>
  </w:style>
  <w:style w:styleId="Style_57_ch" w:type="character">
    <w:name w:val="mopen"/>
    <w:basedOn w:val="Style_17_ch"/>
    <w:link w:val="Style_57"/>
  </w:style>
  <w:style w:styleId="Style_58" w:type="paragraph">
    <w:name w:val="katex-mathml"/>
    <w:basedOn w:val="Style_17"/>
    <w:link w:val="Style_58_ch"/>
  </w:style>
  <w:style w:styleId="Style_58_ch" w:type="character">
    <w:name w:val="katex-mathml"/>
    <w:basedOn w:val="Style_17_ch"/>
    <w:link w:val="Style_58"/>
  </w:style>
  <w:style w:styleId="Style_59" w:type="paragraph">
    <w:name w:val="HTML Code"/>
    <w:basedOn w:val="Style_17"/>
    <w:link w:val="Style_59_ch"/>
    <w:rPr>
      <w:rFonts w:ascii="Courier New" w:hAnsi="Courier New"/>
      <w:sz w:val="20"/>
    </w:rPr>
  </w:style>
  <w:style w:styleId="Style_59_ch" w:type="character">
    <w:name w:val="HTML Code"/>
    <w:basedOn w:val="Style_17_ch"/>
    <w:link w:val="Style_59"/>
    <w:rPr>
      <w:rFonts w:ascii="Courier New" w:hAnsi="Courier New"/>
      <w:sz w:val="20"/>
    </w:rPr>
  </w:style>
  <w:style w:styleId="Style_60" w:type="paragraph">
    <w:name w:val="vlist-t"/>
    <w:basedOn w:val="Style_17"/>
    <w:link w:val="Style_60_ch"/>
  </w:style>
  <w:style w:styleId="Style_60_ch" w:type="character">
    <w:name w:val="vlist-t"/>
    <w:basedOn w:val="Style_17_ch"/>
    <w:link w:val="Style_60"/>
  </w:style>
  <w:style w:styleId="Style_61" w:type="paragraph">
    <w:name w:val="Balloon Text"/>
    <w:basedOn w:val="Style_15"/>
    <w:link w:val="Style_61_ch"/>
    <w:pPr>
      <w:spacing w:line="240" w:lineRule="auto"/>
      <w:ind/>
    </w:pPr>
    <w:rPr>
      <w:rFonts w:ascii="Segoe UI" w:hAnsi="Segoe UI"/>
      <w:sz w:val="18"/>
    </w:rPr>
  </w:style>
  <w:style w:styleId="Style_61_ch" w:type="character">
    <w:name w:val="Balloon Text"/>
    <w:basedOn w:val="Style_15_ch"/>
    <w:link w:val="Style_61"/>
    <w:rPr>
      <w:rFonts w:ascii="Segoe UI" w:hAnsi="Segoe UI"/>
      <w:sz w:val="18"/>
    </w:rPr>
  </w:style>
  <w:style w:styleId="Style_62" w:type="paragraph">
    <w:name w:val="toc 5"/>
    <w:next w:val="Style_15"/>
    <w:link w:val="Style_62_ch"/>
    <w:uiPriority w:val="39"/>
    <w:pPr>
      <w:ind w:firstLine="0" w:left="800"/>
      <w:jc w:val="left"/>
    </w:pPr>
    <w:rPr>
      <w:rFonts w:ascii="XO Thames" w:hAnsi="XO Thames"/>
      <w:sz w:val="28"/>
    </w:rPr>
  </w:style>
  <w:style w:styleId="Style_62_ch" w:type="character">
    <w:name w:val="toc 5"/>
    <w:link w:val="Style_62"/>
    <w:rPr>
      <w:rFonts w:ascii="XO Thames" w:hAnsi="XO Thames"/>
      <w:sz w:val="28"/>
    </w:rPr>
  </w:style>
  <w:style w:styleId="Style_63" w:type="paragraph">
    <w:name w:val="mrel"/>
    <w:basedOn w:val="Style_17"/>
    <w:link w:val="Style_63_ch"/>
  </w:style>
  <w:style w:styleId="Style_63_ch" w:type="character">
    <w:name w:val="mrel"/>
    <w:basedOn w:val="Style_17_ch"/>
    <w:link w:val="Style_63"/>
  </w:style>
  <w:style w:styleId="Style_11" w:type="paragraph">
    <w:name w:val="Strong"/>
    <w:basedOn w:val="Style_17"/>
    <w:link w:val="Style_11_ch"/>
    <w:rPr>
      <w:b w:val="1"/>
    </w:rPr>
  </w:style>
  <w:style w:styleId="Style_11_ch" w:type="character">
    <w:name w:val="Strong"/>
    <w:basedOn w:val="Style_17_ch"/>
    <w:link w:val="Style_11"/>
    <w:rPr>
      <w:b w:val="1"/>
    </w:rPr>
  </w:style>
  <w:style w:styleId="Style_64" w:type="paragraph">
    <w:name w:val="mbin"/>
    <w:basedOn w:val="Style_17"/>
    <w:link w:val="Style_64_ch"/>
  </w:style>
  <w:style w:styleId="Style_64_ch" w:type="character">
    <w:name w:val="mbin"/>
    <w:basedOn w:val="Style_17_ch"/>
    <w:link w:val="Style_64"/>
  </w:style>
  <w:style w:styleId="Style_65" w:type="paragraph">
    <w:name w:val="text"/>
    <w:basedOn w:val="Style_17"/>
    <w:link w:val="Style_65_ch"/>
  </w:style>
  <w:style w:styleId="Style_65_ch" w:type="character">
    <w:name w:val="text"/>
    <w:basedOn w:val="Style_17_ch"/>
    <w:link w:val="Style_65"/>
  </w:style>
  <w:style w:styleId="Style_66" w:type="paragraph">
    <w:name w:val="Unresolved Mention"/>
    <w:basedOn w:val="Style_17"/>
    <w:link w:val="Style_66_ch"/>
    <w:rPr>
      <w:color w:val="605E5C"/>
      <w:shd w:fill="E1DFDD" w:val="clear"/>
    </w:rPr>
  </w:style>
  <w:style w:styleId="Style_66_ch" w:type="character">
    <w:name w:val="Unresolved Mention"/>
    <w:basedOn w:val="Style_17_ch"/>
    <w:link w:val="Style_66"/>
    <w:rPr>
      <w:color w:val="605E5C"/>
      <w:shd w:fill="E1DFDD" w:val="clear"/>
    </w:rPr>
  </w:style>
  <w:style w:styleId="Style_67" w:type="paragraph">
    <w:name w:val="Subtitle"/>
    <w:next w:val="Style_15"/>
    <w:link w:val="Style_67_ch"/>
    <w:uiPriority w:val="11"/>
    <w:qFormat/>
    <w:pPr>
      <w:ind/>
      <w:jc w:val="both"/>
    </w:pPr>
    <w:rPr>
      <w:rFonts w:ascii="XO Thames" w:hAnsi="XO Thames"/>
      <w:i w:val="1"/>
      <w:sz w:val="24"/>
    </w:rPr>
  </w:style>
  <w:style w:styleId="Style_67_ch" w:type="character">
    <w:name w:val="Subtitle"/>
    <w:link w:val="Style_67"/>
    <w:rPr>
      <w:rFonts w:ascii="XO Thames" w:hAnsi="XO Thames"/>
      <w:i w:val="1"/>
      <w:sz w:val="24"/>
    </w:rPr>
  </w:style>
  <w:style w:styleId="Style_68" w:type="paragraph">
    <w:name w:val="TOC Heading"/>
    <w:basedOn w:val="Style_7"/>
    <w:next w:val="Style_15"/>
    <w:link w:val="Style_68_ch"/>
    <w:pPr>
      <w:spacing w:line="264" w:lineRule="auto"/>
      <w:ind w:firstLine="0" w:left="0"/>
      <w:jc w:val="left"/>
      <w:outlineLvl w:val="8"/>
    </w:pPr>
  </w:style>
  <w:style w:styleId="Style_68_ch" w:type="character">
    <w:name w:val="TOC Heading"/>
    <w:basedOn w:val="Style_7_ch"/>
    <w:link w:val="Style_68"/>
  </w:style>
  <w:style w:styleId="Style_69" w:type="paragraph">
    <w:name w:val="Title"/>
    <w:next w:val="Style_15"/>
    <w:link w:val="Style_69_ch"/>
    <w:uiPriority w:val="10"/>
    <w:qFormat/>
    <w:pPr>
      <w:spacing w:after="567" w:before="567"/>
      <w:ind/>
      <w:jc w:val="center"/>
    </w:pPr>
    <w:rPr>
      <w:rFonts w:ascii="XO Thames" w:hAnsi="XO Thames"/>
      <w:b w:val="1"/>
      <w:caps w:val="1"/>
      <w:sz w:val="40"/>
    </w:rPr>
  </w:style>
  <w:style w:styleId="Style_69_ch" w:type="character">
    <w:name w:val="Title"/>
    <w:link w:val="Style_69"/>
    <w:rPr>
      <w:rFonts w:ascii="XO Thames" w:hAnsi="XO Thames"/>
      <w:b w:val="1"/>
      <w:caps w:val="1"/>
      <w:sz w:val="40"/>
    </w:rPr>
  </w:style>
  <w:style w:styleId="Style_70" w:type="paragraph">
    <w:name w:val="heading 4"/>
    <w:basedOn w:val="Style_15"/>
    <w:next w:val="Style_15"/>
    <w:link w:val="Style_70_ch"/>
    <w:uiPriority w:val="9"/>
    <w:qFormat/>
    <w:pPr>
      <w:keepNext w:val="1"/>
      <w:keepLines w:val="1"/>
      <w:spacing w:before="40"/>
      <w:ind/>
      <w:outlineLvl w:val="3"/>
    </w:pPr>
    <w:rPr>
      <w:rFonts w:asciiTheme="majorAscii" w:hAnsiTheme="majorHAnsi"/>
      <w:i w:val="1"/>
      <w:color w:themeColor="accent1" w:themeShade="BF" w:val="2E75B5"/>
    </w:rPr>
  </w:style>
  <w:style w:styleId="Style_70_ch" w:type="character">
    <w:name w:val="heading 4"/>
    <w:basedOn w:val="Style_15_ch"/>
    <w:link w:val="Style_70"/>
    <w:rPr>
      <w:rFonts w:asciiTheme="majorAscii" w:hAnsiTheme="majorHAnsi"/>
      <w:i w:val="1"/>
      <w:color w:themeColor="accent1" w:themeShade="BF" w:val="2E75B5"/>
    </w:rPr>
  </w:style>
  <w:style w:styleId="Style_71" w:type="paragraph">
    <w:name w:val="strut"/>
    <w:basedOn w:val="Style_17"/>
    <w:link w:val="Style_71_ch"/>
  </w:style>
  <w:style w:styleId="Style_71_ch" w:type="character">
    <w:name w:val="strut"/>
    <w:basedOn w:val="Style_17_ch"/>
    <w:link w:val="Style_71"/>
  </w:style>
  <w:style w:styleId="Style_9" w:type="paragraph">
    <w:name w:val="heading 2"/>
    <w:basedOn w:val="Style_15"/>
    <w:next w:val="Style_15"/>
    <w:link w:val="Style_9_ch"/>
    <w:uiPriority w:val="9"/>
    <w:qFormat/>
    <w:pPr>
      <w:keepNext w:val="1"/>
      <w:keepLines w:val="1"/>
      <w:ind/>
      <w:outlineLvl w:val="1"/>
    </w:pPr>
    <w:rPr>
      <w:b w:val="1"/>
      <w:color w:themeColor="text1" w:themeTint="F2" w:val="0D0D0D"/>
      <w:sz w:val="32"/>
    </w:rPr>
  </w:style>
  <w:style w:styleId="Style_9_ch" w:type="character">
    <w:name w:val="heading 2"/>
    <w:basedOn w:val="Style_15_ch"/>
    <w:link w:val="Style_9"/>
    <w:rPr>
      <w:b w:val="1"/>
      <w:color w:themeColor="text1" w:themeTint="F2" w:val="0D0D0D"/>
      <w:sz w:val="32"/>
    </w:rPr>
  </w:style>
  <w:style w:styleId="Style_72" w:type="paragraph">
    <w:name w:val="sizing"/>
    <w:basedOn w:val="Style_17"/>
    <w:link w:val="Style_72_ch"/>
  </w:style>
  <w:style w:styleId="Style_72_ch" w:type="character">
    <w:name w:val="sizing"/>
    <w:basedOn w:val="Style_17_ch"/>
    <w:link w:val="Style_72"/>
  </w:style>
  <w:style w:styleId="Style_73" w:type="paragraph">
    <w:name w:val="HTML Preformatted"/>
    <w:basedOn w:val="Style_15"/>
    <w:link w:val="Style_73_ch"/>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line="240" w:lineRule="auto"/>
      <w:ind w:firstLine="0" w:left="0"/>
      <w:jc w:val="left"/>
    </w:pPr>
    <w:rPr>
      <w:rFonts w:ascii="Courier New" w:hAnsi="Courier New"/>
      <w:sz w:val="20"/>
    </w:rPr>
  </w:style>
  <w:style w:styleId="Style_73_ch" w:type="character">
    <w:name w:val="HTML Preformatted"/>
    <w:basedOn w:val="Style_15_ch"/>
    <w:link w:val="Style_73"/>
    <w:rPr>
      <w:rFonts w:ascii="Courier New" w:hAnsi="Courier New"/>
      <w:sz w:val="20"/>
    </w:rPr>
  </w:style>
  <w:style w:default="1" w:styleId="Style_3" w:type="table">
    <w:name w:val="Normal Table"/>
    <w:tblPr>
      <w:tblInd w:type="dxa" w:w="0"/>
      <w:tblCellMar>
        <w:top w:type="dxa" w:w="0"/>
        <w:left w:type="dxa" w:w="108"/>
        <w:bottom w:type="dxa" w:w="0"/>
        <w:right w:type="dxa" w:w="108"/>
      </w:tblCellMar>
    </w:tblPr>
  </w:style>
  <w:style w:styleId="Style_10" w:type="table">
    <w:name w:val="Table Grid"/>
    <w:basedOn w:val="Style_3"/>
    <w:pPr>
      <w:widowControl w:val="0"/>
      <w:ind/>
      <w:jc w:val="both"/>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theme/theme1.xml" Type="http://schemas.openxmlformats.org/officeDocument/2006/relationships/theme"/>
  <Relationship Id="rId11" Target="stylesWithEffects.xml" Type="http://schemas.microsoft.com/office/2007/relationships/stylesWithEffects"/>
  <Relationship Id="rId10" Target="styles.xml" Type="http://schemas.openxmlformats.org/officeDocument/2006/relationships/styles"/>
  <Relationship Id="rId9" Target="settings.xml" Type="http://schemas.openxmlformats.org/officeDocument/2006/relationships/settings"/>
  <Relationship Id="rId8" Target="fontTable.xml" Type="http://schemas.openxmlformats.org/officeDocument/2006/relationships/fontTable"/>
  <Relationship Id="rId7" Target="media/3.png" Type="http://schemas.openxmlformats.org/officeDocument/2006/relationships/image"/>
  <Relationship Id="rId14" Target="numbering.xml" Type="http://schemas.openxmlformats.org/officeDocument/2006/relationships/numbering"/>
  <Relationship Id="rId6" Target="media/2.jpeg" Type="http://schemas.openxmlformats.org/officeDocument/2006/relationships/image"/>
  <Relationship Id="rId5" Target="media/1.tiff" Type="http://schemas.openxmlformats.org/officeDocument/2006/relationships/image"/>
  <Relationship Id="rId4" Target="footer4.xml" Type="http://schemas.openxmlformats.org/officeDocument/2006/relationships/footer"/>
  <Relationship Id="rId12" Target="webSettings.xml" Type="http://schemas.openxmlformats.org/officeDocument/2006/relationships/webSettings"/>
  <Relationship Id="rId3" Target="footer3.xml" Type="http://schemas.openxmlformats.org/officeDocument/2006/relationships/footer"/>
  <Relationship Id="rId2" Target="header2.xml" Type="http://schemas.openxmlformats.org/officeDocument/2006/relationships/header"/>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2026-09-01T07:55:13Z</dcterms:modified>
</cp:coreProperties>
</file>