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</w:pPr>
      <w:r>
        <w:t>Заключение</w:t>
      </w:r>
    </w:p>
    <w:p w14:paraId="0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Проведённое исследование системы социальной поддержки и социальной защиты населения на примере Территориального управления посёлка Красногвардейский Свердловской области позволяет сформулировать ряд содержательных выводов относительно состояния, функциональных ограничений и перспектив развития данной системы на </w:t>
      </w:r>
      <w:r>
        <w:rPr>
          <w:rFonts w:ascii="Times New Roman" w:hAnsi="Times New Roman"/>
          <w:sz w:val="28"/>
        </w:rPr>
        <w:t>субмуниципальном</w:t>
      </w:r>
      <w:r>
        <w:rPr>
          <w:rFonts w:ascii="Times New Roman" w:hAnsi="Times New Roman"/>
          <w:sz w:val="28"/>
        </w:rPr>
        <w:t xml:space="preserve"> уровне.</w:t>
      </w:r>
    </w:p>
    <w:p w14:paraId="0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части теоретических оснований установлено, что понятийный аппарат системы социальной защиты населения в российском законодательстве не является унифицированным: «социальная защита», «социальная поддержка» и «социальное обеспечение» применяются как соотносительные, но не тождественные категории. Принципиальным для понимания компетенции территориальных органов является трёхзвенная архитектура системы: обязательное социальное страхование, государственное социальное обеспечение и государственная социальная помощь. Территориальное управление занимает в этой структуре позицию организационно-информационного звена, не располагая финансовой самостоятельностью,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что принципиально разграничивает его декларируемые функции и реальные полномочия.</w:t>
      </w:r>
    </w:p>
    <w:p w14:paraId="0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Нормативная основа системы федерального уровня претерпела существенные изменения в 2022–2025 годах. Введение единого пособия для семей с детьми (с 1 января 2023 г.), реформирование выплат по уходу (с 1 января 2025 г.), расширение системы долговременного ухода на все регионы страны, развёртывание концепции «социального казначейства» и проактивного назначения мер поддержки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всё это свидетельствует о незавершённости институциональных преобразований, что одновременно расширяет потенциальные возможности системы и повышает требования к компетентности специалистов, работающих на местах.</w:t>
      </w:r>
    </w:p>
    <w:p w14:paraId="0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Анализ деятельности ТУ посёлка Красногвардейский и социально-демографической ситуации на его территории выявил совокупность факторов, усложняющих реализацию социальных гарантий: систематическую убыль населения (сокращение с 61 414 до 51 818 чел. по округу в целом за 2007–2025 гг., или на 15,6%); повышенный коэффициент демографической нагрузки (свыше 600 нетрудоспособных на 1 000 трудоспособных); уровень заработной платы на 19% ниже среднеобластного; критически малый штат ТУ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три человека при расчётном контингенте нуждающихся не менее 1 400 граждан; отсутствие у ТУ статуса юридического лица и самостоятельного бюджета; присутствие в посёлке ГАСУСО СО «Красногвардейский психоневрологический интернат», создающего специфическую дополнительную нагрузку на всю социальную инфраструктуру.</w:t>
      </w:r>
    </w:p>
    <w:p w14:paraId="0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Анализ действующих программ и мер социальной поддержки показал, что по состоянию на 2025 год система охватывает все основные категории получателей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инвалидов, семьи с детьми, пожилых граждан, малоимущих, участников СВО и членов их семей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посредством 20 идентифицированных мер поддержки. Финансовые параметры базовых федеральных выплат (ЕДВ по группам инвалидности: от 2 371,40 до 5 830,70 руб./мес.; единое пособие: 7 900–15 800 руб./мес. на ребёнка в Свердловской области; материнский капитал на первого ребёнка: 690 266 руб.) свидетельствуют об устойчивом финансировании системы. Вместе с тем размер ЕДВ инвалида II группы составляет лишь 16,7% от прожиточного минимума трудоспособного населения, что недостаточно для обеспечения самостоятельного проживания.</w:t>
      </w:r>
    </w:p>
    <w:p w14:paraId="0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Оценка эффективности по четырём критериям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охват, адекватность, доступность, координация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выявила десять системных проблем, три из которых носят первоочередной характер: транспортная изолированность посёлка (30 км до г. Артемовский при нерегулярном транспортном сообщении), кадровый дефицит ТУ (трёхкратная диспропорция между штатом и нормативной нагрузкой) и неформальность межведомственного взаимодействия между ТУ, ОВП и КЦСОН, лишённого утверждённого </w:t>
      </w:r>
      <w:r>
        <w:rPr>
          <w:rFonts w:ascii="Times New Roman" w:hAnsi="Times New Roman"/>
          <w:sz w:val="28"/>
        </w:rPr>
        <w:t>регламента. Помимо этого, зафиксированы: барьеры назначения единого пособия вследствие жёсткого имущественного ценза, не учитывающего специфику сельских домохозяйств с ЛПХ; неполная реализация системы долговременного ухода; низкий охват социальными контрактами при значительном потенциале направления ЛПХ; правозащитные риски в сфере обеспечения прав проживающих ПНИ.</w:t>
      </w:r>
    </w:p>
    <w:p w14:paraId="0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основании выявленных проблем в третьей главе разработан комплекс из шести мероприятий: расширение штата ТУ до четырёх единиц с функциональной специализацией; организация выездного многофункционального социального пункта с периодичностью не реже одного раза в две недели; утверждение межведомственного протокола маршрутизации нуждающихся граждан между ОВП, ТУ и КЦСОН; проведение систематической информационной кампании о мерах поддержки (единое пособие, социальный контракт); создание при ТУ пункта проката технических средств реабилитации и организация «Школы ухода» на базе посёлка; введение регулярного мониторинга соблюдения прав проживающих ПНИ со стороны ТУ.</w:t>
      </w:r>
    </w:p>
    <w:p w14:paraId="0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Расчёт совокупного социально-экономического эффекта программы мероприятий показал, что ожидаемый годовой прирост денежных поступлений жителям посёлка в результате расширения охвата (дополнительные 20–35 семей, получающих единое пособие, и 6–11 новых </w:t>
      </w:r>
      <w:r>
        <w:rPr>
          <w:rFonts w:ascii="Times New Roman" w:hAnsi="Times New Roman"/>
          <w:sz w:val="28"/>
        </w:rPr>
        <w:t>соцконтрактов</w:t>
      </w:r>
      <w:r>
        <w:rPr>
          <w:rFonts w:ascii="Times New Roman" w:hAnsi="Times New Roman"/>
          <w:sz w:val="28"/>
        </w:rPr>
        <w:t xml:space="preserve"> ЛПХ) составит 6,3–11,2 млн рублей. Бюджетная экономия от предотвращения случаев стационарного помещения и потерь пенсий проживающих ПНИ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1,3–2,5 млн рублей в год. Совокупный годовой эффект (7,6–13,7 млн руб.) превышает расчётные затраты на реализацию программы (525–640 тыс. руб./год) в 11,9–21,4 раза, что подтверждает её экономическую обоснованность.</w:t>
      </w:r>
    </w:p>
    <w:p w14:paraId="0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Принципиальным теоретическим выводом работы является то, что неэффективность системы социальной защиты в малых поселениях определяется не недостаточностью нормативного регулирования или </w:t>
      </w:r>
      <w:r>
        <w:rPr>
          <w:rFonts w:ascii="Times New Roman" w:hAnsi="Times New Roman"/>
          <w:sz w:val="28"/>
        </w:rPr>
        <w:t xml:space="preserve">финансирования, а институциональными разрывами между уровнями системы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прежде всего отсутствием механизмов, обеспечивающих «последнюю милю» доступности мер поддержки. Устранение этих разрывов не требует изменения федерального законодательства: достаточно использования имеющихся организационных инструментов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регламентов, соглашений, кадрового и информационного обеспечения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на муниципальном уровне.</w:t>
      </w:r>
    </w:p>
    <w:p w14:paraId="0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Практическая значимость работы состоит в том, что разработанный комплекс мероприятий может быть применён администрацией Артемовского муниципального округа и ТУ посёлка Красногвардейский без изменения действующей нормативной базы, в пределах имеющихся бюджетных средств (за исключением расходов на введение четвёртой штатной единицы ТУ и единовременных затрат на создание пункта проката ТСР). Методологические подходы и система оценочных показателей, апробированные в данном исследовании, могут быть использованы при анализе систем социальной защиты в других малых поселениях Свердловской области и Уральского федерального округа с аналогичными социально-демографическими характеристиками.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16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basedOn w:val="Style_3"/>
    <w:next w:val="Style_3"/>
    <w:link w:val="Style_4_ch"/>
    <w:uiPriority w:val="39"/>
    <w:pPr>
      <w:spacing w:after="100"/>
      <w:ind w:firstLine="0" w:left="240"/>
    </w:pPr>
  </w:style>
  <w:style w:styleId="Style_4_ch" w:type="character">
    <w:name w:val="toc 2"/>
    <w:basedOn w:val="Style_3_ch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3_ch"/>
    <w:link w:val="Style_6"/>
    <w:rPr>
      <w:color w:themeColor="text1" w:themeTint="A6" w:val="595959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FollowedHyperlink"/>
    <w:basedOn w:val="Style_10"/>
    <w:link w:val="Style_9_ch"/>
    <w:rPr>
      <w:color w:themeColor="followedHyperlink" w:val="96607D"/>
      <w:u w:val="single"/>
    </w:rPr>
  </w:style>
  <w:style w:styleId="Style_9_ch" w:type="character">
    <w:name w:val="FollowedHyperlink"/>
    <w:basedOn w:val="Style_10_ch"/>
    <w:link w:val="Style_9"/>
    <w:rPr>
      <w:color w:themeColor="followedHyperlink" w:val="96607D"/>
      <w:u w:val="single"/>
    </w:rPr>
  </w:style>
  <w:style w:styleId="Style_11" w:type="paragraph">
    <w:name w:val="Intense Quote"/>
    <w:basedOn w:val="Style_3"/>
    <w:next w:val="Style_3"/>
    <w:link w:val="Style_11_ch"/>
    <w:pPr>
      <w:spacing w:after="360" w:before="360"/>
      <w:ind w:firstLine="0" w:left="864" w:right="864"/>
      <w:jc w:val="center"/>
    </w:pPr>
    <w:rPr>
      <w:i w:val="1"/>
      <w:color w:themeColor="accent1" w:themeShade="BF" w:val="104861"/>
    </w:rPr>
  </w:style>
  <w:style w:styleId="Style_11_ch" w:type="character">
    <w:name w:val="Intense Quote"/>
    <w:basedOn w:val="Style_3_ch"/>
    <w:link w:val="Style_11"/>
    <w:rPr>
      <w:i w:val="1"/>
      <w:color w:themeColor="accent1" w:themeShade="BF" w:val="104861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2_ch" w:type="character">
    <w:name w:val="heading 3"/>
    <w:basedOn w:val="Style_3_ch"/>
    <w:link w:val="Style_12"/>
    <w:rPr>
      <w:color w:themeColor="accent1" w:themeShade="BF" w:val="104861"/>
      <w:sz w:val="28"/>
    </w:rPr>
  </w:style>
  <w:style w:styleId="Style_13" w:type="paragraph">
    <w:name w:val="heading 9"/>
    <w:basedOn w:val="Style_3"/>
    <w:next w:val="Style_3"/>
    <w:link w:val="Style_13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3_ch" w:type="character">
    <w:name w:val="heading 9"/>
    <w:basedOn w:val="Style_3_ch"/>
    <w:link w:val="Style_13"/>
    <w:rPr>
      <w:color w:themeColor="text1" w:themeTint="D8" w:val="272727"/>
    </w:rPr>
  </w:style>
  <w:style w:styleId="Style_14" w:type="paragraph">
    <w:name w:val="Quote"/>
    <w:basedOn w:val="Style_3"/>
    <w:next w:val="Style_3"/>
    <w:link w:val="Style_14_ch"/>
    <w:pPr>
      <w:spacing w:before="160"/>
      <w:ind/>
      <w:jc w:val="center"/>
    </w:pPr>
    <w:rPr>
      <w:i w:val="1"/>
      <w:color w:themeColor="text1" w:themeTint="BF" w:val="404040"/>
    </w:rPr>
  </w:style>
  <w:style w:styleId="Style_14_ch" w:type="character">
    <w:name w:val="Quote"/>
    <w:basedOn w:val="Style_3_ch"/>
    <w:link w:val="Style_14"/>
    <w:rPr>
      <w:i w:val="1"/>
      <w:color w:themeColor="text1" w:themeTint="BF" w:val="404040"/>
    </w:rPr>
  </w:style>
  <w:style w:styleId="Style_15" w:type="paragraph">
    <w:name w:val="List Paragraph"/>
    <w:basedOn w:val="Style_3"/>
    <w:link w:val="Style_15_ch"/>
    <w:pPr>
      <w:ind w:firstLine="0" w:left="720"/>
      <w:contextualSpacing w:val="1"/>
    </w:pPr>
  </w:style>
  <w:style w:styleId="Style_15_ch" w:type="character">
    <w:name w:val="List Paragraph"/>
    <w:basedOn w:val="Style_3_ch"/>
    <w:link w:val="Style_15"/>
  </w:style>
  <w:style w:styleId="Style_16" w:type="paragraph">
    <w:name w:val="toc 3"/>
    <w:next w:val="Style_3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basedOn w:val="Style_3"/>
    <w:next w:val="Style_3"/>
    <w:link w:val="Style_17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104861"/>
    </w:rPr>
  </w:style>
  <w:style w:styleId="Style_17_ch" w:type="character">
    <w:name w:val="heading 5"/>
    <w:basedOn w:val="Style_3_ch"/>
    <w:link w:val="Style_17"/>
    <w:rPr>
      <w:color w:themeColor="accent1" w:themeShade="BF" w:val="104861"/>
    </w:rPr>
  </w:style>
  <w:style w:styleId="Style_2" w:type="paragraph">
    <w:name w:val="heading 1"/>
    <w:basedOn w:val="Style_3"/>
    <w:next w:val="Style_3"/>
    <w:link w:val="Style_2_ch"/>
    <w:uiPriority w:val="9"/>
    <w:qFormat/>
    <w:pPr>
      <w:keepNext w:val="1"/>
      <w:keepLines w:val="1"/>
      <w:spacing w:after="0" w:line="360" w:lineRule="auto"/>
      <w:ind/>
      <w:jc w:val="center"/>
      <w:outlineLvl w:val="0"/>
    </w:pPr>
    <w:rPr>
      <w:rFonts w:ascii="Times New Roman Полужирный" w:hAnsi="Times New Roman Полужирный"/>
      <w:b w:val="1"/>
      <w:caps w:val="1"/>
      <w:sz w:val="28"/>
    </w:rPr>
  </w:style>
  <w:style w:styleId="Style_2_ch" w:type="character">
    <w:name w:val="heading 1"/>
    <w:basedOn w:val="Style_3_ch"/>
    <w:link w:val="Style_2"/>
    <w:rPr>
      <w:rFonts w:ascii="Times New Roman Полужирный" w:hAnsi="Times New Roman Полужирный"/>
      <w:b w:val="1"/>
      <w:caps w:val="1"/>
      <w:sz w:val="28"/>
    </w:rPr>
  </w:style>
  <w:style w:styleId="Style_18" w:type="paragraph">
    <w:name w:val="Hyperlink"/>
    <w:basedOn w:val="Style_10"/>
    <w:link w:val="Style_18_ch"/>
    <w:rPr>
      <w:color w:themeColor="hyperlink" w:val="467886"/>
      <w:u w:val="single"/>
    </w:rPr>
  </w:style>
  <w:style w:styleId="Style_18_ch" w:type="character">
    <w:name w:val="Hyperlink"/>
    <w:basedOn w:val="Style_10_ch"/>
    <w:link w:val="Style_18"/>
    <w:rPr>
      <w:color w:themeColor="hyperlink" w:val="467886"/>
      <w:u w:val="single"/>
    </w:rPr>
  </w:style>
  <w:style w:styleId="Style_19" w:type="paragraph">
    <w:name w:val="Footnote"/>
    <w:basedOn w:val="Style_3"/>
    <w:link w:val="Style_19_ch"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styleId="Style_19_ch" w:type="character">
    <w:name w:val="Footnote"/>
    <w:basedOn w:val="Style_3_ch"/>
    <w:link w:val="Style_19"/>
    <w:rPr>
      <w:rFonts w:ascii="Times New Roman" w:hAnsi="Times New Roman"/>
      <w:sz w:val="20"/>
    </w:rPr>
  </w:style>
  <w:style w:styleId="Style_20" w:type="paragraph">
    <w:name w:val="heading 8"/>
    <w:basedOn w:val="Style_3"/>
    <w:next w:val="Style_3"/>
    <w:link w:val="Style_20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3_ch"/>
    <w:link w:val="Style_20"/>
    <w:rPr>
      <w:i w:val="1"/>
      <w:color w:themeColor="text1" w:themeTint="D8" w:val="272727"/>
    </w:rPr>
  </w:style>
  <w:style w:styleId="Style_21" w:type="paragraph">
    <w:name w:val="toc 1"/>
    <w:basedOn w:val="Style_3"/>
    <w:next w:val="Style_3"/>
    <w:link w:val="Style_21_ch"/>
    <w:uiPriority w:val="39"/>
    <w:pPr>
      <w:tabs>
        <w:tab w:leader="dot" w:pos="9345" w:val="right"/>
      </w:tabs>
      <w:spacing w:after="0" w:line="360" w:lineRule="auto"/>
      <w:ind/>
      <w:jc w:val="both"/>
    </w:pPr>
    <w:rPr>
      <w:rFonts w:ascii="Times New Roman" w:hAnsi="Times New Roman"/>
      <w:caps w:val="1"/>
      <w:sz w:val="28"/>
    </w:rPr>
  </w:style>
  <w:style w:styleId="Style_21_ch" w:type="character">
    <w:name w:val="toc 1"/>
    <w:basedOn w:val="Style_3_ch"/>
    <w:link w:val="Style_21"/>
    <w:rPr>
      <w:rFonts w:ascii="Times New Roman" w:hAnsi="Times New Roman"/>
      <w:caps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Intense Reference"/>
    <w:basedOn w:val="Style_10"/>
    <w:link w:val="Style_23_ch"/>
    <w:rPr>
      <w:b w:val="1"/>
      <w:smallCaps w:val="1"/>
      <w:color w:themeColor="accent1" w:themeShade="BF" w:val="104861"/>
      <w:spacing w:val="5"/>
    </w:rPr>
  </w:style>
  <w:style w:styleId="Style_23_ch" w:type="character">
    <w:name w:val="Intense Reference"/>
    <w:basedOn w:val="Style_10_ch"/>
    <w:link w:val="Style_23"/>
    <w:rPr>
      <w:b w:val="1"/>
      <w:smallCaps w:val="1"/>
      <w:color w:themeColor="accent1" w:themeShade="BF" w:val="104861"/>
      <w:spacing w:val="5"/>
    </w:rPr>
  </w:style>
  <w:style w:styleId="Style_24" w:type="paragraph">
    <w:name w:val="toc 9"/>
    <w:next w:val="Style_3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Strong"/>
    <w:basedOn w:val="Style_10"/>
    <w:link w:val="Style_25_ch"/>
    <w:rPr>
      <w:b w:val="1"/>
    </w:rPr>
  </w:style>
  <w:style w:styleId="Style_25_ch" w:type="character">
    <w:name w:val="Strong"/>
    <w:basedOn w:val="Style_10_ch"/>
    <w:link w:val="Style_25"/>
    <w:rPr>
      <w:b w:val="1"/>
    </w:rPr>
  </w:style>
  <w:style w:styleId="Style_26" w:type="paragraph">
    <w:name w:val="toc 8"/>
    <w:next w:val="Style_3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Intense Emphasis"/>
    <w:basedOn w:val="Style_10"/>
    <w:link w:val="Style_27_ch"/>
    <w:rPr>
      <w:i w:val="1"/>
      <w:color w:themeColor="accent1" w:themeShade="BF" w:val="104861"/>
    </w:rPr>
  </w:style>
  <w:style w:styleId="Style_27_ch" w:type="character">
    <w:name w:val="Intense Emphasis"/>
    <w:basedOn w:val="Style_10_ch"/>
    <w:link w:val="Style_27"/>
    <w:rPr>
      <w:i w:val="1"/>
      <w:color w:themeColor="accent1" w:themeShade="BF" w:val="104861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28" w:type="paragraph">
    <w:name w:val="toc 5"/>
    <w:next w:val="Style_3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footer"/>
    <w:basedOn w:val="Style_3"/>
    <w:link w:val="Style_2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9_ch" w:type="character">
    <w:name w:val="footer"/>
    <w:basedOn w:val="Style_3_ch"/>
    <w:link w:val="Style_29"/>
  </w:style>
  <w:style w:styleId="Style_30" w:type="paragraph">
    <w:name w:val="Unresolved Mention"/>
    <w:basedOn w:val="Style_10"/>
    <w:link w:val="Style_30_ch"/>
    <w:rPr>
      <w:color w:val="605E5C"/>
      <w:shd w:fill="E1DFDD" w:val="clear"/>
    </w:rPr>
  </w:style>
  <w:style w:styleId="Style_30_ch" w:type="character">
    <w:name w:val="Unresolved Mention"/>
    <w:basedOn w:val="Style_10_ch"/>
    <w:link w:val="Style_30"/>
    <w:rPr>
      <w:color w:val="605E5C"/>
      <w:shd w:fill="E1DFDD" w:val="clear"/>
    </w:rPr>
  </w:style>
  <w:style w:styleId="Style_31" w:type="paragraph">
    <w:name w:val="Subtitle"/>
    <w:basedOn w:val="Style_3"/>
    <w:next w:val="Style_3"/>
    <w:link w:val="Style_31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31_ch" w:type="character">
    <w:name w:val="Subtitle"/>
    <w:basedOn w:val="Style_3_ch"/>
    <w:link w:val="Style_31"/>
    <w:rPr>
      <w:color w:themeColor="text1" w:themeTint="A6" w:val="595959"/>
      <w:spacing w:val="15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32" w:type="paragraph">
    <w:name w:val="Title"/>
    <w:basedOn w:val="Style_3"/>
    <w:next w:val="Style_3"/>
    <w:link w:val="Style_32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2_ch" w:type="character">
    <w:name w:val="Title"/>
    <w:basedOn w:val="Style_3_ch"/>
    <w:link w:val="Style_32"/>
    <w:rPr>
      <w:rFonts w:asciiTheme="majorAscii" w:hAnsiTheme="majorHAnsi"/>
      <w:spacing w:val="-10"/>
      <w:sz w:val="56"/>
    </w:rPr>
  </w:style>
  <w:style w:styleId="Style_33" w:type="paragraph">
    <w:name w:val="heading 4"/>
    <w:basedOn w:val="Style_3"/>
    <w:next w:val="Style_3"/>
    <w:link w:val="Style_33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33_ch" w:type="character">
    <w:name w:val="heading 4"/>
    <w:basedOn w:val="Style_3_ch"/>
    <w:link w:val="Style_33"/>
    <w:rPr>
      <w:i w:val="1"/>
      <w:color w:themeColor="accent1" w:themeShade="BF" w:val="104861"/>
    </w:rPr>
  </w:style>
  <w:style w:styleId="Style_34" w:type="paragraph">
    <w:name w:val="footnote reference"/>
    <w:basedOn w:val="Style_10"/>
    <w:link w:val="Style_34_ch"/>
    <w:rPr>
      <w:vertAlign w:val="superscript"/>
    </w:rPr>
  </w:style>
  <w:style w:styleId="Style_34_ch" w:type="character">
    <w:name w:val="footnote reference"/>
    <w:basedOn w:val="Style_10_ch"/>
    <w:link w:val="Style_34"/>
    <w:rPr>
      <w:vertAlign w:val="superscript"/>
    </w:rPr>
  </w:style>
  <w:style w:styleId="Style_35" w:type="paragraph">
    <w:name w:val="heading 2"/>
    <w:basedOn w:val="Style_3"/>
    <w:next w:val="Style_3"/>
    <w:link w:val="Style_35_ch"/>
    <w:uiPriority w:val="9"/>
    <w:qFormat/>
    <w:pPr>
      <w:keepNext w:val="1"/>
      <w:keepLines w:val="1"/>
      <w:spacing w:after="0" w:line="360" w:lineRule="auto"/>
      <w:ind w:firstLine="709" w:left="0"/>
      <w:jc w:val="both"/>
      <w:outlineLvl w:val="1"/>
    </w:pPr>
    <w:rPr>
      <w:rFonts w:ascii="Times New Roman" w:hAnsi="Times New Roman"/>
      <w:b w:val="1"/>
      <w:sz w:val="28"/>
    </w:rPr>
  </w:style>
  <w:style w:styleId="Style_35_ch" w:type="character">
    <w:name w:val="heading 2"/>
    <w:basedOn w:val="Style_3_ch"/>
    <w:link w:val="Style_35"/>
    <w:rPr>
      <w:rFonts w:ascii="Times New Roman" w:hAnsi="Times New Roman"/>
      <w:b w:val="1"/>
      <w:sz w:val="28"/>
    </w:rPr>
  </w:style>
  <w:style w:styleId="Style_36" w:type="paragraph">
    <w:name w:val="heading 6"/>
    <w:basedOn w:val="Style_3"/>
    <w:next w:val="Style_3"/>
    <w:link w:val="Style_36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6_ch" w:type="character">
    <w:name w:val="heading 6"/>
    <w:basedOn w:val="Style_3_ch"/>
    <w:link w:val="Style_36"/>
    <w:rPr>
      <w:i w:val="1"/>
      <w:color w:themeColor="text1" w:themeTint="A6" w:val="595959"/>
    </w:rPr>
  </w:style>
  <w:style w:styleId="Style_37" w:type="paragraph">
    <w:name w:val="Emphasis"/>
    <w:basedOn w:val="Style_10"/>
    <w:link w:val="Style_37_ch"/>
    <w:rPr>
      <w:i w:val="1"/>
    </w:rPr>
  </w:style>
  <w:style w:styleId="Style_37_ch" w:type="character">
    <w:name w:val="Emphasis"/>
    <w:basedOn w:val="Style_10_ch"/>
    <w:link w:val="Style_37"/>
    <w:rPr>
      <w:i w:val="1"/>
    </w:rPr>
  </w:style>
  <w:style w:styleId="Style_38" w:type="table">
    <w:name w:val="Table Grid"/>
    <w:basedOn w:val="Style_39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Сетка таблицы1"/>
    <w:basedOn w:val="Style_39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1" w:type="table">
    <w:name w:val="Normal Grid"/>
    <w:basedOn w:val="Style_39"/>
    <w:pPr>
      <w:spacing w:after="0" w:line="240" w:lineRule="auto"/>
      <w:ind/>
    </w:pPr>
    <w:rPr>
      <w:rFonts w:ascii="Georgia" w:hAnsi="Georgia"/>
      <w:sz w:val="21"/>
    </w:rPr>
    <w:tblPr>
      <w:tblCellMar>
        <w:top w:type="dxa" w:w="80"/>
        <w:left w:type="dxa" w:w="160"/>
        <w:bottom w:type="dxa" w:w="80"/>
        <w:right w:type="dxa" w:w="16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2026-07-09T09:15:13Z</dcterms:modified>
</cp:coreProperties>
</file>