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pStyle w:val="Style_2"/>
      </w:pPr>
      <w:r>
        <w:t xml:space="preserve">Глава </w:t>
      </w:r>
      <w:r>
        <w:t xml:space="preserve">2 </w:t>
      </w:r>
      <w:r>
        <w:t>Анализ системы социальной поддержки и социальной защиты населения в Территориальном управлении поселка Красногвардейский Свердловской области</w:t>
      </w:r>
    </w:p>
    <w:p w14:paraId="03000000">
      <w:pPr>
        <w:spacing w:after="0" w:line="360" w:lineRule="auto"/>
        <w:ind w:firstLine="709" w:left="0"/>
        <w:jc w:val="both"/>
        <w:rPr>
          <w:rFonts w:ascii="Times New Roman" w:hAnsi="Times New Roman"/>
          <w:sz w:val="28"/>
        </w:rPr>
      </w:pPr>
    </w:p>
    <w:p w14:paraId="04000000">
      <w:pPr>
        <w:pStyle w:val="Style_3"/>
      </w:pPr>
      <w:r>
        <w:t xml:space="preserve">2.1 </w:t>
      </w:r>
      <w:r>
        <w:t>Общая характеристика Территориального управления и социально-демографическая ситуация в поселке Красногвардейский</w:t>
      </w:r>
    </w:p>
    <w:p w14:paraId="05000000">
      <w:pPr>
        <w:spacing w:after="0" w:line="360" w:lineRule="auto"/>
        <w:ind w:firstLine="709" w:left="0"/>
        <w:jc w:val="both"/>
        <w:rPr>
          <w:rFonts w:ascii="Times New Roman" w:hAnsi="Times New Roman"/>
          <w:sz w:val="28"/>
        </w:rPr>
      </w:pPr>
    </w:p>
    <w:p w14:paraId="06000000">
      <w:pPr>
        <w:spacing w:after="0" w:line="360" w:lineRule="auto"/>
        <w:ind w:firstLine="709" w:left="0"/>
        <w:jc w:val="both"/>
        <w:rPr>
          <w:rFonts w:ascii="Times New Roman" w:hAnsi="Times New Roman"/>
          <w:sz w:val="28"/>
        </w:rPr>
      </w:pPr>
      <w:r>
        <w:rPr>
          <w:rFonts w:ascii="Times New Roman" w:hAnsi="Times New Roman"/>
          <w:sz w:val="28"/>
        </w:rPr>
        <w:t xml:space="preserve">Территориальное управление посёлка Красногвардейский (далее </w:t>
      </w:r>
      <w:r>
        <w:rPr>
          <w:rFonts w:ascii="Times New Roman" w:hAnsi="Times New Roman"/>
          <w:sz w:val="28"/>
        </w:rPr>
        <w:t>–</w:t>
      </w:r>
      <w:r>
        <w:rPr>
          <w:rFonts w:ascii="Times New Roman" w:hAnsi="Times New Roman"/>
          <w:sz w:val="28"/>
        </w:rPr>
        <w:t xml:space="preserve"> ТУ) является структурным подразделением администрации Артемовского муниципального округа Свердловской области. Правовую основу деятельности ТУ составляют: Федеральный закон от 06.10.2003 № 131-ФЗ «Об общих принципах организации местного самоуправления в Российской Федерации»; Устав Артемовского муниципального округа; Положение о территориальном управлении, утверждённое решением Думы Артемовского муниципального округа. Юридический и фактический адрес: ул. Некрасова, д. 1, посёлок Красногвардейский, Артемовский район, Свердловская область, 623770. Режим работы: понедельник–пятница, 08:00–17:00, перерыв 13:00–14:00.</w:t>
      </w:r>
    </w:p>
    <w:p w14:paraId="07000000">
      <w:pPr>
        <w:spacing w:after="0" w:line="360" w:lineRule="auto"/>
        <w:ind w:firstLine="709" w:left="0"/>
        <w:jc w:val="both"/>
        <w:rPr>
          <w:rFonts w:ascii="Times New Roman" w:hAnsi="Times New Roman"/>
          <w:sz w:val="28"/>
        </w:rPr>
      </w:pPr>
      <w:r>
        <w:rPr>
          <w:rFonts w:ascii="Times New Roman" w:hAnsi="Times New Roman"/>
          <w:sz w:val="28"/>
        </w:rPr>
        <w:t xml:space="preserve">По организационно-правовому положению ТУ не является самостоятельным юридическим лицом: оно входит в структуру администрации Артемовского муниципального округа и действует на основании доверенности, выданной главой округа. Отсутствие статуса юридического лица принципиально ограничивает операционные возможности ТУ в сфере социальной защиты: учреждение не имеет самостоятельного бюджета, не вправе заключать муниципальные контракты и не несёт самостоятельной ответственности по обязательствам. Все полномочия по финансированию социальных выплат и услуг сосредоточены на уровне профильных органов округа (Управление социальной политики) и Свердловской области (Министерство социальной политики), а также </w:t>
      </w:r>
      <w:r>
        <w:rPr>
          <w:rFonts w:ascii="Times New Roman" w:hAnsi="Times New Roman"/>
          <w:sz w:val="28"/>
        </w:rPr>
        <w:t>Социального фонда России (СФР). Данная конструкция характерна для большинства территориальных управлений в малых поселениях России, входящих в состав муниципальных округов и городских округов.</w:t>
      </w:r>
    </w:p>
    <w:p w14:paraId="08000000">
      <w:pPr>
        <w:spacing w:after="0" w:line="360" w:lineRule="auto"/>
        <w:ind w:firstLine="709" w:left="0"/>
        <w:jc w:val="both"/>
        <w:rPr>
          <w:rFonts w:ascii="Times New Roman" w:hAnsi="Times New Roman"/>
          <w:sz w:val="28"/>
        </w:rPr>
      </w:pPr>
      <w:r>
        <w:rPr>
          <w:rFonts w:ascii="Times New Roman" w:hAnsi="Times New Roman"/>
          <w:sz w:val="28"/>
        </w:rPr>
        <w:t xml:space="preserve">Штатный состав ТУ по состоянию на 2025 год включает трёх сотрудников: начальника </w:t>
      </w:r>
      <w:r>
        <w:rPr>
          <w:rFonts w:ascii="Times New Roman" w:hAnsi="Times New Roman"/>
          <w:sz w:val="28"/>
        </w:rPr>
        <w:t>–</w:t>
      </w:r>
      <w:r>
        <w:rPr>
          <w:rFonts w:ascii="Times New Roman" w:hAnsi="Times New Roman"/>
          <w:sz w:val="28"/>
        </w:rPr>
        <w:t xml:space="preserve"> Соболева Андрея Васильевича (назначен с 2 сентября 2025 г.), главного специалиста </w:t>
      </w:r>
      <w:r>
        <w:rPr>
          <w:rFonts w:ascii="Times New Roman" w:hAnsi="Times New Roman"/>
          <w:sz w:val="28"/>
        </w:rPr>
        <w:t>–</w:t>
      </w:r>
      <w:r>
        <w:rPr>
          <w:rFonts w:ascii="Times New Roman" w:hAnsi="Times New Roman"/>
          <w:sz w:val="28"/>
        </w:rPr>
        <w:t xml:space="preserve"> Селянина Алексея Владимировича и ведущего специалиста </w:t>
      </w:r>
      <w:r>
        <w:rPr>
          <w:rFonts w:ascii="Times New Roman" w:hAnsi="Times New Roman"/>
          <w:sz w:val="28"/>
        </w:rPr>
        <w:t>–</w:t>
      </w:r>
      <w:r>
        <w:rPr>
          <w:rFonts w:ascii="Times New Roman" w:hAnsi="Times New Roman"/>
          <w:sz w:val="28"/>
        </w:rPr>
        <w:t xml:space="preserve"> </w:t>
      </w:r>
      <w:r>
        <w:rPr>
          <w:rFonts w:ascii="Times New Roman" w:hAnsi="Times New Roman"/>
          <w:sz w:val="28"/>
        </w:rPr>
        <w:t>Пепелеву</w:t>
      </w:r>
      <w:r>
        <w:rPr>
          <w:rFonts w:ascii="Times New Roman" w:hAnsi="Times New Roman"/>
          <w:sz w:val="28"/>
        </w:rPr>
        <w:t xml:space="preserve"> Наталью Васильевну. До сентября 2025 года ТУ возглавлял другой руководитель; 26 февраля 2025 года состоялось итоговое публичное отчётное собрание перед жителями за 2024 год. Данное собрание является одной из основных форм обратной связи ТУ с населением: на нём разбираются обращения граждан, обсуждаются проблемы посёлка, в том числе социальные. Три штатные единицы </w:t>
      </w:r>
      <w:r>
        <w:rPr>
          <w:rFonts w:ascii="Times New Roman" w:hAnsi="Times New Roman"/>
          <w:sz w:val="28"/>
        </w:rPr>
        <w:t>–</w:t>
      </w:r>
      <w:r>
        <w:rPr>
          <w:rFonts w:ascii="Times New Roman" w:hAnsi="Times New Roman"/>
          <w:sz w:val="28"/>
        </w:rPr>
        <w:t xml:space="preserve"> крайне малый ресурс для полноценного выполнения функций первичного информационного и консультационного центра при численности населения</w:t>
      </w:r>
      <w:r>
        <w:rPr>
          <w:rFonts w:ascii="Times New Roman" w:hAnsi="Times New Roman"/>
          <w:sz w:val="28"/>
        </w:rPr>
        <w:t xml:space="preserve"> более</w:t>
      </w:r>
      <w:r>
        <w:rPr>
          <w:rFonts w:ascii="Times New Roman" w:hAnsi="Times New Roman"/>
          <w:sz w:val="28"/>
        </w:rPr>
        <w:t xml:space="preserve"> 3 700 чел. При стандартной нагрузке на специалиста по социальной работе (150–200 активных получателей в год по российским нормативам) трое сотрудников ТУ способны эффективно сопровождать не более 450–600 граждан одновременно, тогда как расчётный контингент нуждающихся превышает 1 400 чел.</w:t>
      </w:r>
    </w:p>
    <w:p w14:paraId="09000000">
      <w:pPr>
        <w:spacing w:after="0" w:line="360" w:lineRule="auto"/>
        <w:ind w:firstLine="709" w:left="0"/>
        <w:jc w:val="both"/>
        <w:rPr>
          <w:rFonts w:ascii="Times New Roman" w:hAnsi="Times New Roman"/>
          <w:sz w:val="28"/>
        </w:rPr>
      </w:pPr>
      <w:r>
        <w:rPr>
          <w:rFonts w:ascii="Times New Roman" w:hAnsi="Times New Roman"/>
          <w:sz w:val="28"/>
        </w:rPr>
        <w:t xml:space="preserve">Перечень основных функций ТУ в сфере социальной защиты, вытекающих из федерального законодательства, Устава округа и Положения о ТУ, включает: первичный приём граждан с вопросами назначения льгот, пособий и социальных услуг; разъяснение порядка обращения в профильные органы (Управление социальной политики Артемовского округа, СФР, КЦСОН); содействие в подготовке и оформлении документов для назначения мер социальной поддержки; мониторинг социально-демографической ситуации на территории и направление соответствующих сведений в администрацию округа; взаимодействие с органами опеки и попечительства при выявлении случаев, связанных с несовершеннолетними и недееспособными гражданами; информирование населения о проводимых социальных программах и акциях; координацию взаимодействия с </w:t>
      </w:r>
      <w:r>
        <w:rPr>
          <w:rFonts w:ascii="Times New Roman" w:hAnsi="Times New Roman"/>
          <w:sz w:val="28"/>
        </w:rPr>
        <w:t xml:space="preserve">волонтёрскими организациями (в частности, со спортивно-патриотическим клубом «Кварц»). При этом ТУ не наделено правом самостоятельного назначения социальных выплат </w:t>
      </w:r>
      <w:r>
        <w:rPr>
          <w:rFonts w:ascii="Times New Roman" w:hAnsi="Times New Roman"/>
          <w:sz w:val="28"/>
        </w:rPr>
        <w:t>–</w:t>
      </w:r>
      <w:r>
        <w:rPr>
          <w:rFonts w:ascii="Times New Roman" w:hAnsi="Times New Roman"/>
          <w:sz w:val="28"/>
        </w:rPr>
        <w:t xml:space="preserve"> данная функция остаётся прерогативой Управления социальной политики округа и СФР.</w:t>
      </w:r>
    </w:p>
    <w:p w14:paraId="0A000000">
      <w:pPr>
        <w:spacing w:after="0" w:line="360" w:lineRule="auto"/>
        <w:ind w:firstLine="709" w:left="0"/>
        <w:jc w:val="both"/>
        <w:rPr>
          <w:rFonts w:ascii="Times New Roman" w:hAnsi="Times New Roman"/>
          <w:sz w:val="28"/>
        </w:rPr>
      </w:pPr>
      <w:r>
        <w:rPr>
          <w:rFonts w:ascii="Times New Roman" w:hAnsi="Times New Roman"/>
          <w:sz w:val="28"/>
        </w:rPr>
        <w:t>Правовая природа территориального управления в системе местного самоуправления России определена ст. 34 и ст. 41 Федерального закона № 131-ФЗ. Вопрос о наделении территориальных управлений собственными полномочиями в сфере социальной защиты решается на уровне уставов и иных муниципальных правовых актов. В Артемовском округе ТУ выполняет организационную и информационную роль без собственных финансовых полномочий в данной сфере. Это формирует структурное противоречие между функциональными ожиданиями населения (граждане воспринимают ТУ как ближайший орган власти и адресуют туда все вопросы, включая социальные) и реальными полномочиями и ресурсами учреждения. Преодоление этого разрыва требует либо расширения штата ТУ, либо создания постоянной «точки приёма» СФР или Управления социальной политики непосредственно в посёлке.</w:t>
      </w:r>
    </w:p>
    <w:p w14:paraId="0B000000">
      <w:pPr>
        <w:spacing w:after="0" w:line="360" w:lineRule="auto"/>
        <w:ind w:firstLine="709" w:left="0"/>
        <w:jc w:val="both"/>
        <w:rPr>
          <w:rFonts w:ascii="Times New Roman" w:hAnsi="Times New Roman"/>
          <w:sz w:val="28"/>
        </w:rPr>
      </w:pPr>
      <w:r>
        <w:rPr>
          <w:rFonts w:ascii="Times New Roman" w:hAnsi="Times New Roman"/>
          <w:sz w:val="28"/>
        </w:rPr>
        <w:t xml:space="preserve">Центральным учреждением социальной инфраструктуры посёлка является ГАСУСО СО «Красногвардейский психоневрологический интернат» (ПНИ). Учреждение расположено по адресу: ул. Серова, д. 20, п. Красногвардейский; учредитель </w:t>
      </w:r>
      <w:r>
        <w:rPr>
          <w:rFonts w:ascii="Times New Roman" w:hAnsi="Times New Roman"/>
          <w:sz w:val="28"/>
        </w:rPr>
        <w:t>–</w:t>
      </w:r>
      <w:r>
        <w:rPr>
          <w:rFonts w:ascii="Times New Roman" w:hAnsi="Times New Roman"/>
          <w:sz w:val="28"/>
        </w:rPr>
        <w:t xml:space="preserve"> Свердловская область в лице Министерства социальной политики области; организационно-правовая форма </w:t>
      </w:r>
      <w:r>
        <w:rPr>
          <w:rFonts w:ascii="Times New Roman" w:hAnsi="Times New Roman"/>
          <w:sz w:val="28"/>
        </w:rPr>
        <w:t>–</w:t>
      </w:r>
      <w:r>
        <w:rPr>
          <w:rFonts w:ascii="Times New Roman" w:hAnsi="Times New Roman"/>
          <w:sz w:val="28"/>
        </w:rPr>
        <w:t xml:space="preserve"> государственное автономное учреждение. ПНИ располагает тремя действующими лицензиями на осуществление деятельности в сфере социального обслуживания и включён в реестр поставщиков социальных услуг Свердловской области. В соответствии с информацией официального сайта Правительства Свердловской области, учреждение подпадает под регуляторный контроль в части соблюдения прав граждан с психическими расстройствами. ПНИ одновременно выполняет три роли: специализированного учреждения социальной защиты для лиц с тяжёлыми </w:t>
      </w:r>
      <w:r>
        <w:rPr>
          <w:rFonts w:ascii="Times New Roman" w:hAnsi="Times New Roman"/>
          <w:sz w:val="28"/>
        </w:rPr>
        <w:t>психическими расстройствами; крупнейшего работодателя посёлка; субъекта, формирующего специфическую дополнительную нагрузку на всю местную инфраструктуру (ОВП, аптека, транспорт).</w:t>
      </w:r>
    </w:p>
    <w:p w14:paraId="0C000000">
      <w:pPr>
        <w:spacing w:after="0" w:line="360" w:lineRule="auto"/>
        <w:ind w:firstLine="709" w:left="0"/>
        <w:jc w:val="both"/>
        <w:rPr>
          <w:rFonts w:ascii="Times New Roman" w:hAnsi="Times New Roman"/>
          <w:sz w:val="28"/>
        </w:rPr>
      </w:pPr>
      <w:r>
        <w:rPr>
          <w:rFonts w:ascii="Times New Roman" w:hAnsi="Times New Roman"/>
          <w:sz w:val="28"/>
        </w:rPr>
        <w:t xml:space="preserve">Вторым ключевым учреждением является ГАУСО СО «Комплексный центр социального обслуживания населения Артемовского района» (КЦСОН). Учреждение осуществляет социальное обслуживание в стационарной, полустационарной формах и на дому на основании Федерального закона № 442-ФЗ. Согласно данным официального сайта учреждения, государственное задание на 2026 год предусматривает: стационарная форма </w:t>
      </w:r>
      <w:r>
        <w:rPr>
          <w:rFonts w:ascii="Times New Roman" w:hAnsi="Times New Roman"/>
          <w:sz w:val="28"/>
        </w:rPr>
        <w:t>–</w:t>
      </w:r>
      <w:r>
        <w:rPr>
          <w:rFonts w:ascii="Times New Roman" w:hAnsi="Times New Roman"/>
          <w:sz w:val="28"/>
        </w:rPr>
        <w:t xml:space="preserve"> 23 чел.; полустационарная </w:t>
      </w:r>
      <w:r>
        <w:rPr>
          <w:rFonts w:ascii="Times New Roman" w:hAnsi="Times New Roman"/>
          <w:sz w:val="28"/>
        </w:rPr>
        <w:t>–</w:t>
      </w:r>
      <w:r>
        <w:rPr>
          <w:rFonts w:ascii="Times New Roman" w:hAnsi="Times New Roman"/>
          <w:sz w:val="28"/>
        </w:rPr>
        <w:t xml:space="preserve"> 3 230 чел.; обслуживание на дому </w:t>
      </w:r>
      <w:r>
        <w:rPr>
          <w:rFonts w:ascii="Times New Roman" w:hAnsi="Times New Roman"/>
          <w:sz w:val="28"/>
        </w:rPr>
        <w:t>–</w:t>
      </w:r>
      <w:r>
        <w:rPr>
          <w:rFonts w:ascii="Times New Roman" w:hAnsi="Times New Roman"/>
          <w:sz w:val="28"/>
        </w:rPr>
        <w:t xml:space="preserve"> 608 чел. Это суммарные показатели по всему Артемовскому округу. Применительно к Красногвардейскому (доля в населении округа </w:t>
      </w:r>
      <w:r>
        <w:rPr>
          <w:rFonts w:ascii="Times New Roman" w:hAnsi="Times New Roman"/>
          <w:sz w:val="28"/>
        </w:rPr>
        <w:t>–</w:t>
      </w:r>
      <w:r>
        <w:rPr>
          <w:rFonts w:ascii="Times New Roman" w:hAnsi="Times New Roman"/>
          <w:sz w:val="28"/>
        </w:rPr>
        <w:t xml:space="preserve"> 7,2% по данным 202</w:t>
      </w:r>
      <w:r>
        <w:rPr>
          <w:rFonts w:ascii="Times New Roman" w:hAnsi="Times New Roman"/>
          <w:sz w:val="28"/>
        </w:rPr>
        <w:t>5</w:t>
      </w:r>
      <w:r>
        <w:rPr>
          <w:rFonts w:ascii="Times New Roman" w:hAnsi="Times New Roman"/>
          <w:sz w:val="28"/>
        </w:rPr>
        <w:t xml:space="preserve"> г.) расчётные объёмы составляют: надомное обслуживание </w:t>
      </w:r>
      <w:r>
        <w:rPr>
          <w:rFonts w:ascii="Times New Roman" w:hAnsi="Times New Roman"/>
          <w:sz w:val="28"/>
        </w:rPr>
        <w:t>–</w:t>
      </w:r>
      <w:r>
        <w:rPr>
          <w:rFonts w:ascii="Times New Roman" w:hAnsi="Times New Roman"/>
          <w:sz w:val="28"/>
        </w:rPr>
        <w:t xml:space="preserve"> около 44 чел., полустационарное </w:t>
      </w:r>
      <w:r>
        <w:rPr>
          <w:rFonts w:ascii="Times New Roman" w:hAnsi="Times New Roman"/>
          <w:sz w:val="28"/>
        </w:rPr>
        <w:t>–</w:t>
      </w:r>
      <w:r>
        <w:rPr>
          <w:rFonts w:ascii="Times New Roman" w:hAnsi="Times New Roman"/>
          <w:sz w:val="28"/>
        </w:rPr>
        <w:t xml:space="preserve"> около 233 чел. </w:t>
      </w:r>
    </w:p>
    <w:p w14:paraId="0D000000">
      <w:pPr>
        <w:spacing w:after="0" w:line="360" w:lineRule="auto"/>
        <w:ind w:firstLine="709" w:left="0"/>
        <w:jc w:val="both"/>
        <w:rPr>
          <w:rFonts w:ascii="Times New Roman" w:hAnsi="Times New Roman"/>
          <w:sz w:val="28"/>
        </w:rPr>
      </w:pPr>
      <w:r>
        <w:rPr>
          <w:rFonts w:ascii="Times New Roman" w:hAnsi="Times New Roman"/>
          <w:sz w:val="28"/>
        </w:rPr>
        <w:t>Медицинская инфраструктура посёлка представлена тремя общеврачебными практиками (ОВП), являющимися структурными подразделениями ГАУЗ СО «Артемовская центральная районная больница». ОВП выполняют ключевую роль в системе социального скрининга: именно участковый врач, как правило, первым выявляет гражданина, нуждающегося в социальных услугах, и инициирует его направление в КЦСОН, Управление социальной политики или ПНИ. Межведомственное взаимодействие между ОВП, ТУ и КЦСОН носит неформальный характер и определяется инициативой конкретных специалистов, а не чётко закреплёнными процедурами, что является институциональным недостатком. Аптека МУП АГО «Аптека № 191» обеспечивает льготный отпуск лекарственных препаратов по рецептам в рамках набора социальных услуг (НСУ) и регионального перечня льготных медикаментов.</w:t>
      </w:r>
    </w:p>
    <w:p w14:paraId="0E000000">
      <w:pPr>
        <w:spacing w:after="0" w:line="360" w:lineRule="auto"/>
        <w:ind w:firstLine="709" w:left="0"/>
        <w:jc w:val="both"/>
        <w:rPr>
          <w:rFonts w:ascii="Times New Roman" w:hAnsi="Times New Roman"/>
          <w:sz w:val="28"/>
        </w:rPr>
      </w:pPr>
      <w:r>
        <w:rPr>
          <w:rFonts w:ascii="Times New Roman" w:hAnsi="Times New Roman"/>
          <w:sz w:val="28"/>
        </w:rPr>
        <w:t xml:space="preserve">Образовательная инфраструктура, включающая МБОУ «СОШ № 14» и МБДОУ № 27, принципиальна с точки зрения реализации ряда мер социальной поддержки. Компенсация части родительской платы за детский сад для </w:t>
      </w:r>
      <w:r>
        <w:rPr>
          <w:rFonts w:ascii="Times New Roman" w:hAnsi="Times New Roman"/>
          <w:sz w:val="28"/>
        </w:rPr>
        <w:t xml:space="preserve">многодетных и малоимущих семей (20–70% в зависимости от очерёдности рождения ребёнка) предполагает фактическое посещение ребёнком дошкольного учреждения </w:t>
      </w:r>
      <w:r>
        <w:rPr>
          <w:rFonts w:ascii="Times New Roman" w:hAnsi="Times New Roman"/>
          <w:sz w:val="28"/>
        </w:rPr>
        <w:t>–</w:t>
      </w:r>
      <w:r>
        <w:rPr>
          <w:rFonts w:ascii="Times New Roman" w:hAnsi="Times New Roman"/>
          <w:sz w:val="28"/>
        </w:rPr>
        <w:t xml:space="preserve"> при его наличии в посёлке это условие выполнимо. Бесплатное питание школьников из многодетных семей (завтраки и обеды) реализуется непосредственно в СОШ № 14. Культурно-досуговые учреждения (Центр досуга, библиотека) являются точками реализации программы «Активное долголетие» и областной программы «Старшее поколение», обеспечивая занятость и социализацию пожилых граждан.</w:t>
      </w:r>
    </w:p>
    <w:p w14:paraId="0F000000">
      <w:pPr>
        <w:spacing w:after="0" w:line="360" w:lineRule="auto"/>
        <w:ind w:firstLine="709" w:left="0"/>
        <w:jc w:val="both"/>
        <w:rPr>
          <w:rFonts w:ascii="Times New Roman" w:hAnsi="Times New Roman"/>
          <w:sz w:val="28"/>
        </w:rPr>
      </w:pPr>
      <w:r>
        <w:rPr>
          <w:rFonts w:ascii="Times New Roman" w:hAnsi="Times New Roman"/>
          <w:sz w:val="28"/>
        </w:rPr>
        <w:t xml:space="preserve">Наличие спортивно-патриотического клуба «Кварц» обеспечивает взаимодействие ТУ с молодёжной средой и семьями военнослужащих, что приобрело особое значение в 2022–2025 гг. в связи с проведением специальной военной операции. В посёлке проживают семьи военнослужащих </w:t>
      </w:r>
      <w:r>
        <w:rPr>
          <w:rFonts w:ascii="Times New Roman" w:hAnsi="Times New Roman"/>
          <w:sz w:val="28"/>
        </w:rPr>
        <w:t>–</w:t>
      </w:r>
      <w:r>
        <w:rPr>
          <w:rFonts w:ascii="Times New Roman" w:hAnsi="Times New Roman"/>
          <w:sz w:val="28"/>
        </w:rPr>
        <w:t xml:space="preserve"> участников СВО, которым полагается расширенный пакет федеральных мер поддержки; часть из них не осведомлена об имеющихся правах, что создаёт дополнительную консультационную нагрузку на ТУ.</w:t>
      </w:r>
    </w:p>
    <w:p w14:paraId="10000000">
      <w:pPr>
        <w:spacing w:after="0" w:line="360" w:lineRule="auto"/>
        <w:ind w:firstLine="709" w:left="0"/>
        <w:jc w:val="both"/>
        <w:rPr>
          <w:rFonts w:ascii="Times New Roman" w:hAnsi="Times New Roman"/>
          <w:sz w:val="28"/>
        </w:rPr>
      </w:pPr>
      <w:r>
        <w:rPr>
          <w:rFonts w:ascii="Times New Roman" w:hAnsi="Times New Roman"/>
          <w:sz w:val="28"/>
        </w:rPr>
        <w:t xml:space="preserve">Динамика численности населения </w:t>
      </w:r>
      <w:r>
        <w:rPr>
          <w:rFonts w:ascii="Times New Roman" w:hAnsi="Times New Roman"/>
          <w:sz w:val="28"/>
        </w:rPr>
        <w:t>посёлк</w:t>
      </w:r>
      <w:r>
        <w:rPr>
          <w:rFonts w:ascii="Times New Roman" w:hAnsi="Times New Roman"/>
          <w:sz w:val="28"/>
        </w:rPr>
        <w:t>а,</w:t>
      </w:r>
      <w:r>
        <w:rPr>
          <w:rFonts w:ascii="Times New Roman" w:hAnsi="Times New Roman"/>
          <w:sz w:val="28"/>
        </w:rPr>
        <w:t xml:space="preserve"> отражена в таблице 2.1</w:t>
      </w:r>
      <w:r>
        <w:rPr>
          <w:rFonts w:ascii="Times New Roman" w:hAnsi="Times New Roman"/>
          <w:sz w:val="28"/>
        </w:rPr>
        <w:t>.</w:t>
      </w:r>
    </w:p>
    <w:p w14:paraId="11000000">
      <w:pPr>
        <w:spacing w:after="0" w:line="360" w:lineRule="auto"/>
        <w:ind w:firstLine="709" w:left="0"/>
        <w:jc w:val="right"/>
        <w:rPr>
          <w:rFonts w:ascii="Times New Roman" w:hAnsi="Times New Roman"/>
          <w:sz w:val="28"/>
        </w:rPr>
      </w:pPr>
      <w:r>
        <w:rPr>
          <w:rFonts w:ascii="Times New Roman" w:hAnsi="Times New Roman"/>
          <w:sz w:val="28"/>
        </w:rPr>
        <w:t>Таблица 2.1</w:t>
      </w:r>
    </w:p>
    <w:p w14:paraId="12000000">
      <w:pPr>
        <w:spacing w:after="0" w:line="360" w:lineRule="auto"/>
        <w:ind/>
        <w:jc w:val="center"/>
        <w:rPr>
          <w:rFonts w:ascii="Times New Roman" w:hAnsi="Times New Roman"/>
          <w:sz w:val="28"/>
        </w:rPr>
      </w:pPr>
      <w:r>
        <w:rPr>
          <w:rFonts w:ascii="Times New Roman" w:hAnsi="Times New Roman"/>
          <w:sz w:val="28"/>
        </w:rPr>
        <w:t>Динамика численности населения Артемовского муниципального округа (2007–2025 гг.), чел.</w:t>
      </w:r>
    </w:p>
    <w:tbl>
      <w:tblPr>
        <w:tblStyle w:val="Style_4"/>
        <w:tblLayout w:type="fixed"/>
      </w:tblPr>
      <w:tblGrid>
        <w:gridCol w:w="980"/>
        <w:gridCol w:w="2050"/>
        <w:gridCol w:w="1550"/>
        <w:gridCol w:w="1538"/>
        <w:gridCol w:w="1845"/>
        <w:gridCol w:w="1392"/>
      </w:tblGrid>
      <w:tr>
        <w:tc>
          <w:tcPr>
            <w:tcW w:type="dxa" w:w="980"/>
            <w:vAlign w:val="center"/>
          </w:tcPr>
          <w:p w14:paraId="13000000">
            <w:pPr>
              <w:ind/>
              <w:jc w:val="center"/>
              <w:rPr>
                <w:rFonts w:ascii="Times New Roman" w:hAnsi="Times New Roman"/>
                <w:sz w:val="24"/>
              </w:rPr>
            </w:pPr>
            <w:r>
              <w:rPr>
                <w:rFonts w:ascii="Times New Roman" w:hAnsi="Times New Roman"/>
                <w:sz w:val="24"/>
              </w:rPr>
              <w:t>Год</w:t>
            </w:r>
          </w:p>
        </w:tc>
        <w:tc>
          <w:tcPr>
            <w:tcW w:type="dxa" w:w="2050"/>
            <w:vAlign w:val="center"/>
          </w:tcPr>
          <w:p w14:paraId="14000000">
            <w:pPr>
              <w:ind/>
              <w:jc w:val="center"/>
              <w:rPr>
                <w:rFonts w:ascii="Times New Roman" w:hAnsi="Times New Roman"/>
                <w:sz w:val="24"/>
              </w:rPr>
            </w:pPr>
            <w:r>
              <w:rPr>
                <w:rFonts w:ascii="Times New Roman" w:hAnsi="Times New Roman"/>
                <w:sz w:val="24"/>
              </w:rPr>
              <w:t>Всё население (01.01)</w:t>
            </w:r>
          </w:p>
        </w:tc>
        <w:tc>
          <w:tcPr>
            <w:tcW w:type="dxa" w:w="1550"/>
            <w:vAlign w:val="center"/>
          </w:tcPr>
          <w:p w14:paraId="15000000">
            <w:pPr>
              <w:ind/>
              <w:jc w:val="center"/>
              <w:rPr>
                <w:rFonts w:ascii="Times New Roman" w:hAnsi="Times New Roman"/>
                <w:sz w:val="24"/>
              </w:rPr>
            </w:pPr>
            <w:r>
              <w:rPr>
                <w:rFonts w:ascii="Times New Roman" w:hAnsi="Times New Roman"/>
                <w:sz w:val="24"/>
              </w:rPr>
              <w:t>Городское</w:t>
            </w:r>
          </w:p>
        </w:tc>
        <w:tc>
          <w:tcPr>
            <w:tcW w:type="dxa" w:w="1538"/>
            <w:vAlign w:val="center"/>
          </w:tcPr>
          <w:p w14:paraId="16000000">
            <w:pPr>
              <w:ind/>
              <w:jc w:val="center"/>
              <w:rPr>
                <w:rFonts w:ascii="Times New Roman" w:hAnsi="Times New Roman"/>
                <w:sz w:val="24"/>
              </w:rPr>
            </w:pPr>
            <w:r>
              <w:rPr>
                <w:rFonts w:ascii="Times New Roman" w:hAnsi="Times New Roman"/>
                <w:sz w:val="24"/>
              </w:rPr>
              <w:t>Сельское</w:t>
            </w:r>
          </w:p>
        </w:tc>
        <w:tc>
          <w:tcPr>
            <w:tcW w:type="dxa" w:w="1845"/>
            <w:vAlign w:val="center"/>
          </w:tcPr>
          <w:p w14:paraId="17000000">
            <w:pPr>
              <w:ind/>
              <w:jc w:val="center"/>
              <w:rPr>
                <w:rFonts w:ascii="Times New Roman" w:hAnsi="Times New Roman"/>
                <w:sz w:val="24"/>
              </w:rPr>
            </w:pPr>
            <w:r>
              <w:rPr>
                <w:rFonts w:ascii="Times New Roman" w:hAnsi="Times New Roman"/>
                <w:sz w:val="24"/>
              </w:rPr>
              <w:t>Абс</w:t>
            </w:r>
            <w:r>
              <w:rPr>
                <w:rFonts w:ascii="Times New Roman" w:hAnsi="Times New Roman"/>
                <w:sz w:val="24"/>
              </w:rPr>
              <w:t>. изм., чел.</w:t>
            </w:r>
          </w:p>
        </w:tc>
        <w:tc>
          <w:tcPr>
            <w:tcW w:type="dxa" w:w="1392"/>
            <w:vAlign w:val="center"/>
          </w:tcPr>
          <w:p w14:paraId="18000000">
            <w:pPr>
              <w:ind/>
              <w:jc w:val="center"/>
              <w:rPr>
                <w:rFonts w:ascii="Times New Roman" w:hAnsi="Times New Roman"/>
                <w:sz w:val="24"/>
              </w:rPr>
            </w:pPr>
            <w:r>
              <w:rPr>
                <w:rFonts w:ascii="Times New Roman" w:hAnsi="Times New Roman"/>
                <w:sz w:val="24"/>
              </w:rPr>
              <w:t>Темп изм., %</w:t>
            </w:r>
          </w:p>
        </w:tc>
      </w:tr>
      <w:tr>
        <w:tc>
          <w:tcPr>
            <w:tcW w:type="dxa" w:w="980"/>
            <w:vAlign w:val="center"/>
          </w:tcPr>
          <w:p w14:paraId="19000000">
            <w:pPr>
              <w:ind/>
              <w:jc w:val="center"/>
              <w:rPr>
                <w:rFonts w:ascii="Times New Roman" w:hAnsi="Times New Roman"/>
                <w:sz w:val="24"/>
              </w:rPr>
            </w:pPr>
            <w:r>
              <w:rPr>
                <w:rFonts w:ascii="Times New Roman" w:hAnsi="Times New Roman"/>
                <w:sz w:val="24"/>
              </w:rPr>
              <w:t>2007</w:t>
            </w:r>
          </w:p>
        </w:tc>
        <w:tc>
          <w:tcPr>
            <w:tcW w:type="dxa" w:w="2050"/>
            <w:vAlign w:val="center"/>
          </w:tcPr>
          <w:p w14:paraId="1A000000">
            <w:pPr>
              <w:ind/>
              <w:jc w:val="center"/>
              <w:rPr>
                <w:rFonts w:ascii="Times New Roman" w:hAnsi="Times New Roman"/>
                <w:sz w:val="24"/>
              </w:rPr>
            </w:pPr>
            <w:r>
              <w:rPr>
                <w:rFonts w:ascii="Times New Roman" w:hAnsi="Times New Roman"/>
                <w:sz w:val="24"/>
              </w:rPr>
              <w:t>61 414</w:t>
            </w:r>
          </w:p>
        </w:tc>
        <w:tc>
          <w:tcPr>
            <w:tcW w:type="dxa" w:w="1550"/>
            <w:vAlign w:val="center"/>
          </w:tcPr>
          <w:p w14:paraId="1B000000">
            <w:pPr>
              <w:ind/>
              <w:jc w:val="center"/>
              <w:rPr>
                <w:rFonts w:ascii="Times New Roman" w:hAnsi="Times New Roman"/>
                <w:sz w:val="24"/>
              </w:rPr>
            </w:pPr>
            <w:r>
              <w:rPr>
                <w:rFonts w:ascii="Times New Roman" w:hAnsi="Times New Roman"/>
                <w:sz w:val="24"/>
              </w:rPr>
              <w:t>34 101</w:t>
            </w:r>
          </w:p>
        </w:tc>
        <w:tc>
          <w:tcPr>
            <w:tcW w:type="dxa" w:w="1538"/>
            <w:vAlign w:val="center"/>
          </w:tcPr>
          <w:p w14:paraId="1C000000">
            <w:pPr>
              <w:ind/>
              <w:jc w:val="center"/>
              <w:rPr>
                <w:rFonts w:ascii="Times New Roman" w:hAnsi="Times New Roman"/>
                <w:sz w:val="24"/>
              </w:rPr>
            </w:pPr>
            <w:r>
              <w:rPr>
                <w:rFonts w:ascii="Times New Roman" w:hAnsi="Times New Roman"/>
                <w:sz w:val="24"/>
              </w:rPr>
              <w:t>27 313</w:t>
            </w:r>
          </w:p>
        </w:tc>
        <w:tc>
          <w:tcPr>
            <w:tcW w:type="dxa" w:w="1845"/>
            <w:vAlign w:val="center"/>
          </w:tcPr>
          <w:p w14:paraId="1D000000">
            <w:pPr>
              <w:ind/>
              <w:jc w:val="center"/>
              <w:rPr>
                <w:rFonts w:ascii="Times New Roman" w:hAnsi="Times New Roman"/>
                <w:sz w:val="24"/>
              </w:rPr>
            </w:pPr>
            <w:r>
              <w:rPr>
                <w:rFonts w:ascii="Times New Roman" w:hAnsi="Times New Roman"/>
                <w:sz w:val="24"/>
              </w:rPr>
              <w:t>–</w:t>
            </w:r>
          </w:p>
        </w:tc>
        <w:tc>
          <w:tcPr>
            <w:tcW w:type="dxa" w:w="1392"/>
            <w:vAlign w:val="center"/>
          </w:tcPr>
          <w:p w14:paraId="1E000000">
            <w:pPr>
              <w:ind/>
              <w:jc w:val="center"/>
              <w:rPr>
                <w:rFonts w:ascii="Times New Roman" w:hAnsi="Times New Roman"/>
                <w:sz w:val="24"/>
              </w:rPr>
            </w:pPr>
            <w:r>
              <w:rPr>
                <w:rFonts w:ascii="Times New Roman" w:hAnsi="Times New Roman"/>
                <w:sz w:val="24"/>
              </w:rPr>
              <w:t>–</w:t>
            </w:r>
          </w:p>
        </w:tc>
      </w:tr>
      <w:tr>
        <w:tc>
          <w:tcPr>
            <w:tcW w:type="dxa" w:w="980"/>
            <w:vAlign w:val="center"/>
          </w:tcPr>
          <w:p w14:paraId="1F000000">
            <w:pPr>
              <w:ind/>
              <w:jc w:val="center"/>
              <w:rPr>
                <w:rFonts w:ascii="Times New Roman" w:hAnsi="Times New Roman"/>
                <w:sz w:val="24"/>
              </w:rPr>
            </w:pPr>
            <w:r>
              <w:rPr>
                <w:rFonts w:ascii="Times New Roman" w:hAnsi="Times New Roman"/>
                <w:sz w:val="24"/>
              </w:rPr>
              <w:t>2010</w:t>
            </w:r>
          </w:p>
        </w:tc>
        <w:tc>
          <w:tcPr>
            <w:tcW w:type="dxa" w:w="2050"/>
            <w:vAlign w:val="center"/>
          </w:tcPr>
          <w:p w14:paraId="20000000">
            <w:pPr>
              <w:ind/>
              <w:jc w:val="center"/>
              <w:rPr>
                <w:rFonts w:ascii="Times New Roman" w:hAnsi="Times New Roman"/>
                <w:sz w:val="24"/>
              </w:rPr>
            </w:pPr>
            <w:r>
              <w:rPr>
                <w:rFonts w:ascii="Times New Roman" w:hAnsi="Times New Roman"/>
                <w:sz w:val="24"/>
              </w:rPr>
              <w:t>59 499</w:t>
            </w:r>
          </w:p>
        </w:tc>
        <w:tc>
          <w:tcPr>
            <w:tcW w:type="dxa" w:w="1550"/>
            <w:vAlign w:val="center"/>
          </w:tcPr>
          <w:p w14:paraId="21000000">
            <w:pPr>
              <w:ind/>
              <w:jc w:val="center"/>
              <w:rPr>
                <w:rFonts w:ascii="Times New Roman" w:hAnsi="Times New Roman"/>
                <w:sz w:val="24"/>
              </w:rPr>
            </w:pPr>
            <w:r>
              <w:rPr>
                <w:rFonts w:ascii="Times New Roman" w:hAnsi="Times New Roman"/>
                <w:sz w:val="24"/>
              </w:rPr>
              <w:t>33 125</w:t>
            </w:r>
          </w:p>
        </w:tc>
        <w:tc>
          <w:tcPr>
            <w:tcW w:type="dxa" w:w="1538"/>
            <w:vAlign w:val="center"/>
          </w:tcPr>
          <w:p w14:paraId="22000000">
            <w:pPr>
              <w:ind/>
              <w:jc w:val="center"/>
              <w:rPr>
                <w:rFonts w:ascii="Times New Roman" w:hAnsi="Times New Roman"/>
                <w:sz w:val="24"/>
              </w:rPr>
            </w:pPr>
            <w:r>
              <w:rPr>
                <w:rFonts w:ascii="Times New Roman" w:hAnsi="Times New Roman"/>
                <w:sz w:val="24"/>
              </w:rPr>
              <w:t>26 374</w:t>
            </w:r>
          </w:p>
        </w:tc>
        <w:tc>
          <w:tcPr>
            <w:tcW w:type="dxa" w:w="1845"/>
            <w:vAlign w:val="center"/>
          </w:tcPr>
          <w:p w14:paraId="23000000">
            <w:pPr>
              <w:ind/>
              <w:jc w:val="center"/>
              <w:rPr>
                <w:rFonts w:ascii="Times New Roman" w:hAnsi="Times New Roman"/>
                <w:sz w:val="24"/>
              </w:rPr>
            </w:pPr>
            <w:r>
              <w:rPr>
                <w:rFonts w:ascii="Times New Roman" w:hAnsi="Times New Roman"/>
                <w:sz w:val="24"/>
              </w:rPr>
              <w:t>–638 (к 2009)</w:t>
            </w:r>
          </w:p>
        </w:tc>
        <w:tc>
          <w:tcPr>
            <w:tcW w:type="dxa" w:w="1392"/>
            <w:vAlign w:val="center"/>
          </w:tcPr>
          <w:p w14:paraId="24000000">
            <w:pPr>
              <w:ind/>
              <w:jc w:val="center"/>
              <w:rPr>
                <w:rFonts w:ascii="Times New Roman" w:hAnsi="Times New Roman"/>
                <w:sz w:val="24"/>
              </w:rPr>
            </w:pPr>
            <w:r>
              <w:rPr>
                <w:rFonts w:ascii="Times New Roman" w:hAnsi="Times New Roman"/>
                <w:sz w:val="24"/>
              </w:rPr>
              <w:t>–1,1</w:t>
            </w:r>
          </w:p>
        </w:tc>
      </w:tr>
      <w:tr>
        <w:tc>
          <w:tcPr>
            <w:tcW w:type="dxa" w:w="980"/>
            <w:vAlign w:val="center"/>
          </w:tcPr>
          <w:p w14:paraId="25000000">
            <w:pPr>
              <w:ind/>
              <w:jc w:val="center"/>
              <w:rPr>
                <w:rFonts w:ascii="Times New Roman" w:hAnsi="Times New Roman"/>
                <w:sz w:val="24"/>
              </w:rPr>
            </w:pPr>
            <w:r>
              <w:rPr>
                <w:rFonts w:ascii="Times New Roman" w:hAnsi="Times New Roman"/>
                <w:sz w:val="24"/>
              </w:rPr>
              <w:t>2015</w:t>
            </w:r>
          </w:p>
        </w:tc>
        <w:tc>
          <w:tcPr>
            <w:tcW w:type="dxa" w:w="2050"/>
            <w:vAlign w:val="center"/>
          </w:tcPr>
          <w:p w14:paraId="26000000">
            <w:pPr>
              <w:ind/>
              <w:jc w:val="center"/>
              <w:rPr>
                <w:rFonts w:ascii="Times New Roman" w:hAnsi="Times New Roman"/>
                <w:sz w:val="24"/>
              </w:rPr>
            </w:pPr>
            <w:r>
              <w:rPr>
                <w:rFonts w:ascii="Times New Roman" w:hAnsi="Times New Roman"/>
                <w:sz w:val="24"/>
              </w:rPr>
              <w:t>57 551</w:t>
            </w:r>
          </w:p>
        </w:tc>
        <w:tc>
          <w:tcPr>
            <w:tcW w:type="dxa" w:w="1550"/>
            <w:vAlign w:val="center"/>
          </w:tcPr>
          <w:p w14:paraId="27000000">
            <w:pPr>
              <w:ind/>
              <w:jc w:val="center"/>
              <w:rPr>
                <w:rFonts w:ascii="Times New Roman" w:hAnsi="Times New Roman"/>
                <w:sz w:val="24"/>
              </w:rPr>
            </w:pPr>
            <w:r>
              <w:rPr>
                <w:rFonts w:ascii="Times New Roman" w:hAnsi="Times New Roman"/>
                <w:sz w:val="24"/>
              </w:rPr>
              <w:t>31 557</w:t>
            </w:r>
          </w:p>
        </w:tc>
        <w:tc>
          <w:tcPr>
            <w:tcW w:type="dxa" w:w="1538"/>
            <w:vAlign w:val="center"/>
          </w:tcPr>
          <w:p w14:paraId="28000000">
            <w:pPr>
              <w:ind/>
              <w:jc w:val="center"/>
              <w:rPr>
                <w:rFonts w:ascii="Times New Roman" w:hAnsi="Times New Roman"/>
                <w:sz w:val="24"/>
              </w:rPr>
            </w:pPr>
            <w:r>
              <w:rPr>
                <w:rFonts w:ascii="Times New Roman" w:hAnsi="Times New Roman"/>
                <w:sz w:val="24"/>
              </w:rPr>
              <w:t>25 994</w:t>
            </w:r>
          </w:p>
        </w:tc>
        <w:tc>
          <w:tcPr>
            <w:tcW w:type="dxa" w:w="1845"/>
            <w:vAlign w:val="center"/>
          </w:tcPr>
          <w:p w14:paraId="29000000">
            <w:pPr>
              <w:ind/>
              <w:jc w:val="center"/>
              <w:rPr>
                <w:rFonts w:ascii="Times New Roman" w:hAnsi="Times New Roman"/>
                <w:sz w:val="24"/>
              </w:rPr>
            </w:pPr>
            <w:r>
              <w:rPr>
                <w:rFonts w:ascii="Times New Roman" w:hAnsi="Times New Roman"/>
                <w:sz w:val="24"/>
              </w:rPr>
              <w:t>–635 (к 2014)</w:t>
            </w:r>
          </w:p>
        </w:tc>
        <w:tc>
          <w:tcPr>
            <w:tcW w:type="dxa" w:w="1392"/>
            <w:vAlign w:val="center"/>
          </w:tcPr>
          <w:p w14:paraId="2A000000">
            <w:pPr>
              <w:ind/>
              <w:jc w:val="center"/>
              <w:rPr>
                <w:rFonts w:ascii="Times New Roman" w:hAnsi="Times New Roman"/>
                <w:sz w:val="24"/>
              </w:rPr>
            </w:pPr>
            <w:r>
              <w:rPr>
                <w:rFonts w:ascii="Times New Roman" w:hAnsi="Times New Roman"/>
                <w:sz w:val="24"/>
              </w:rPr>
              <w:t>–1,1</w:t>
            </w:r>
          </w:p>
        </w:tc>
      </w:tr>
      <w:tr>
        <w:tc>
          <w:tcPr>
            <w:tcW w:type="dxa" w:w="980"/>
            <w:vAlign w:val="center"/>
          </w:tcPr>
          <w:p w14:paraId="2B000000">
            <w:pPr>
              <w:ind/>
              <w:jc w:val="center"/>
              <w:rPr>
                <w:rFonts w:ascii="Times New Roman" w:hAnsi="Times New Roman"/>
                <w:sz w:val="24"/>
              </w:rPr>
            </w:pPr>
            <w:r>
              <w:rPr>
                <w:rFonts w:ascii="Times New Roman" w:hAnsi="Times New Roman"/>
                <w:sz w:val="24"/>
              </w:rPr>
              <w:t>2019</w:t>
            </w:r>
          </w:p>
        </w:tc>
        <w:tc>
          <w:tcPr>
            <w:tcW w:type="dxa" w:w="2050"/>
            <w:vAlign w:val="center"/>
          </w:tcPr>
          <w:p w14:paraId="2C000000">
            <w:pPr>
              <w:ind/>
              <w:jc w:val="center"/>
              <w:rPr>
                <w:rFonts w:ascii="Times New Roman" w:hAnsi="Times New Roman"/>
                <w:sz w:val="24"/>
              </w:rPr>
            </w:pPr>
            <w:r>
              <w:rPr>
                <w:rFonts w:ascii="Times New Roman" w:hAnsi="Times New Roman"/>
                <w:sz w:val="24"/>
              </w:rPr>
              <w:t>55 465</w:t>
            </w:r>
          </w:p>
        </w:tc>
        <w:tc>
          <w:tcPr>
            <w:tcW w:type="dxa" w:w="1550"/>
            <w:vAlign w:val="center"/>
          </w:tcPr>
          <w:p w14:paraId="2D000000">
            <w:pPr>
              <w:ind/>
              <w:jc w:val="center"/>
              <w:rPr>
                <w:rFonts w:ascii="Times New Roman" w:hAnsi="Times New Roman"/>
                <w:sz w:val="24"/>
              </w:rPr>
            </w:pPr>
            <w:r>
              <w:rPr>
                <w:rFonts w:ascii="Times New Roman" w:hAnsi="Times New Roman"/>
                <w:sz w:val="24"/>
              </w:rPr>
              <w:t>30 366</w:t>
            </w:r>
          </w:p>
        </w:tc>
        <w:tc>
          <w:tcPr>
            <w:tcW w:type="dxa" w:w="1538"/>
            <w:vAlign w:val="center"/>
          </w:tcPr>
          <w:p w14:paraId="2E000000">
            <w:pPr>
              <w:ind/>
              <w:jc w:val="center"/>
              <w:rPr>
                <w:rFonts w:ascii="Times New Roman" w:hAnsi="Times New Roman"/>
                <w:sz w:val="24"/>
              </w:rPr>
            </w:pPr>
            <w:r>
              <w:rPr>
                <w:rFonts w:ascii="Times New Roman" w:hAnsi="Times New Roman"/>
                <w:sz w:val="24"/>
              </w:rPr>
              <w:t>25 099</w:t>
            </w:r>
          </w:p>
        </w:tc>
        <w:tc>
          <w:tcPr>
            <w:tcW w:type="dxa" w:w="1845"/>
            <w:vAlign w:val="center"/>
          </w:tcPr>
          <w:p w14:paraId="2F000000">
            <w:pPr>
              <w:ind/>
              <w:jc w:val="center"/>
              <w:rPr>
                <w:rFonts w:ascii="Times New Roman" w:hAnsi="Times New Roman"/>
                <w:sz w:val="24"/>
              </w:rPr>
            </w:pPr>
            <w:r>
              <w:rPr>
                <w:rFonts w:ascii="Times New Roman" w:hAnsi="Times New Roman"/>
                <w:sz w:val="24"/>
              </w:rPr>
              <w:t>–501</w:t>
            </w:r>
          </w:p>
        </w:tc>
        <w:tc>
          <w:tcPr>
            <w:tcW w:type="dxa" w:w="1392"/>
            <w:vAlign w:val="center"/>
          </w:tcPr>
          <w:p w14:paraId="30000000">
            <w:pPr>
              <w:ind/>
              <w:jc w:val="center"/>
              <w:rPr>
                <w:rFonts w:ascii="Times New Roman" w:hAnsi="Times New Roman"/>
                <w:sz w:val="24"/>
              </w:rPr>
            </w:pPr>
            <w:r>
              <w:rPr>
                <w:rFonts w:ascii="Times New Roman" w:hAnsi="Times New Roman"/>
                <w:sz w:val="24"/>
              </w:rPr>
              <w:t>–0,9</w:t>
            </w:r>
          </w:p>
        </w:tc>
      </w:tr>
      <w:tr>
        <w:tc>
          <w:tcPr>
            <w:tcW w:type="dxa" w:w="980"/>
            <w:vAlign w:val="center"/>
          </w:tcPr>
          <w:p w14:paraId="31000000">
            <w:pPr>
              <w:ind/>
              <w:jc w:val="center"/>
              <w:rPr>
                <w:rFonts w:ascii="Times New Roman" w:hAnsi="Times New Roman"/>
                <w:sz w:val="24"/>
              </w:rPr>
            </w:pPr>
            <w:r>
              <w:rPr>
                <w:rFonts w:ascii="Times New Roman" w:hAnsi="Times New Roman"/>
                <w:sz w:val="24"/>
              </w:rPr>
              <w:t>2020</w:t>
            </w:r>
          </w:p>
        </w:tc>
        <w:tc>
          <w:tcPr>
            <w:tcW w:type="dxa" w:w="2050"/>
            <w:vAlign w:val="center"/>
          </w:tcPr>
          <w:p w14:paraId="32000000">
            <w:pPr>
              <w:ind/>
              <w:jc w:val="center"/>
              <w:rPr>
                <w:rFonts w:ascii="Times New Roman" w:hAnsi="Times New Roman"/>
                <w:sz w:val="24"/>
              </w:rPr>
            </w:pPr>
            <w:r>
              <w:rPr>
                <w:rFonts w:ascii="Times New Roman" w:hAnsi="Times New Roman"/>
                <w:sz w:val="24"/>
              </w:rPr>
              <w:t>54 966</w:t>
            </w:r>
          </w:p>
        </w:tc>
        <w:tc>
          <w:tcPr>
            <w:tcW w:type="dxa" w:w="1550"/>
            <w:vAlign w:val="center"/>
          </w:tcPr>
          <w:p w14:paraId="33000000">
            <w:pPr>
              <w:ind/>
              <w:jc w:val="center"/>
              <w:rPr>
                <w:rFonts w:ascii="Times New Roman" w:hAnsi="Times New Roman"/>
                <w:sz w:val="24"/>
              </w:rPr>
            </w:pPr>
            <w:r>
              <w:rPr>
                <w:rFonts w:ascii="Times New Roman" w:hAnsi="Times New Roman"/>
                <w:sz w:val="24"/>
              </w:rPr>
              <w:t>30 101</w:t>
            </w:r>
          </w:p>
        </w:tc>
        <w:tc>
          <w:tcPr>
            <w:tcW w:type="dxa" w:w="1538"/>
            <w:vAlign w:val="center"/>
          </w:tcPr>
          <w:p w14:paraId="34000000">
            <w:pPr>
              <w:ind/>
              <w:jc w:val="center"/>
              <w:rPr>
                <w:rFonts w:ascii="Times New Roman" w:hAnsi="Times New Roman"/>
                <w:sz w:val="24"/>
              </w:rPr>
            </w:pPr>
            <w:r>
              <w:rPr>
                <w:rFonts w:ascii="Times New Roman" w:hAnsi="Times New Roman"/>
                <w:sz w:val="24"/>
              </w:rPr>
              <w:t>24 865</w:t>
            </w:r>
          </w:p>
        </w:tc>
        <w:tc>
          <w:tcPr>
            <w:tcW w:type="dxa" w:w="1845"/>
            <w:vAlign w:val="center"/>
          </w:tcPr>
          <w:p w14:paraId="35000000">
            <w:pPr>
              <w:ind/>
              <w:jc w:val="center"/>
              <w:rPr>
                <w:rFonts w:ascii="Times New Roman" w:hAnsi="Times New Roman"/>
                <w:sz w:val="24"/>
              </w:rPr>
            </w:pPr>
            <w:r>
              <w:rPr>
                <w:rFonts w:ascii="Times New Roman" w:hAnsi="Times New Roman"/>
                <w:sz w:val="24"/>
              </w:rPr>
              <w:t>–499</w:t>
            </w:r>
          </w:p>
        </w:tc>
        <w:tc>
          <w:tcPr>
            <w:tcW w:type="dxa" w:w="1392"/>
            <w:vAlign w:val="center"/>
          </w:tcPr>
          <w:p w14:paraId="36000000">
            <w:pPr>
              <w:ind/>
              <w:jc w:val="center"/>
              <w:rPr>
                <w:rFonts w:ascii="Times New Roman" w:hAnsi="Times New Roman"/>
                <w:sz w:val="24"/>
              </w:rPr>
            </w:pPr>
            <w:r>
              <w:rPr>
                <w:rFonts w:ascii="Times New Roman" w:hAnsi="Times New Roman"/>
                <w:sz w:val="24"/>
              </w:rPr>
              <w:t>–0,9</w:t>
            </w:r>
          </w:p>
        </w:tc>
      </w:tr>
      <w:tr>
        <w:tc>
          <w:tcPr>
            <w:tcW w:type="dxa" w:w="980"/>
            <w:vAlign w:val="center"/>
          </w:tcPr>
          <w:p w14:paraId="37000000">
            <w:pPr>
              <w:ind/>
              <w:jc w:val="center"/>
              <w:rPr>
                <w:rFonts w:ascii="Times New Roman" w:hAnsi="Times New Roman"/>
                <w:sz w:val="24"/>
              </w:rPr>
            </w:pPr>
            <w:r>
              <w:rPr>
                <w:rFonts w:ascii="Times New Roman" w:hAnsi="Times New Roman"/>
                <w:sz w:val="24"/>
              </w:rPr>
              <w:t>2021</w:t>
            </w:r>
          </w:p>
        </w:tc>
        <w:tc>
          <w:tcPr>
            <w:tcW w:type="dxa" w:w="2050"/>
            <w:vAlign w:val="center"/>
          </w:tcPr>
          <w:p w14:paraId="38000000">
            <w:pPr>
              <w:ind/>
              <w:jc w:val="center"/>
              <w:rPr>
                <w:rFonts w:ascii="Times New Roman" w:hAnsi="Times New Roman"/>
                <w:sz w:val="24"/>
              </w:rPr>
            </w:pPr>
            <w:r>
              <w:rPr>
                <w:rFonts w:ascii="Times New Roman" w:hAnsi="Times New Roman"/>
                <w:sz w:val="24"/>
              </w:rPr>
              <w:t>54 232</w:t>
            </w:r>
          </w:p>
        </w:tc>
        <w:tc>
          <w:tcPr>
            <w:tcW w:type="dxa" w:w="1550"/>
            <w:vAlign w:val="center"/>
          </w:tcPr>
          <w:p w14:paraId="39000000">
            <w:pPr>
              <w:ind/>
              <w:jc w:val="center"/>
              <w:rPr>
                <w:rFonts w:ascii="Times New Roman" w:hAnsi="Times New Roman"/>
                <w:sz w:val="24"/>
              </w:rPr>
            </w:pPr>
            <w:r>
              <w:rPr>
                <w:rFonts w:ascii="Times New Roman" w:hAnsi="Times New Roman"/>
                <w:sz w:val="24"/>
              </w:rPr>
              <w:t>29 754</w:t>
            </w:r>
          </w:p>
        </w:tc>
        <w:tc>
          <w:tcPr>
            <w:tcW w:type="dxa" w:w="1538"/>
            <w:vAlign w:val="center"/>
          </w:tcPr>
          <w:p w14:paraId="3A000000">
            <w:pPr>
              <w:ind/>
              <w:jc w:val="center"/>
              <w:rPr>
                <w:rFonts w:ascii="Times New Roman" w:hAnsi="Times New Roman"/>
                <w:sz w:val="24"/>
              </w:rPr>
            </w:pPr>
            <w:r>
              <w:rPr>
                <w:rFonts w:ascii="Times New Roman" w:hAnsi="Times New Roman"/>
                <w:sz w:val="24"/>
              </w:rPr>
              <w:t>24 478</w:t>
            </w:r>
          </w:p>
        </w:tc>
        <w:tc>
          <w:tcPr>
            <w:tcW w:type="dxa" w:w="1845"/>
            <w:vAlign w:val="center"/>
          </w:tcPr>
          <w:p w14:paraId="3B000000">
            <w:pPr>
              <w:ind/>
              <w:jc w:val="center"/>
              <w:rPr>
                <w:rFonts w:ascii="Times New Roman" w:hAnsi="Times New Roman"/>
                <w:sz w:val="24"/>
              </w:rPr>
            </w:pPr>
            <w:r>
              <w:rPr>
                <w:rFonts w:ascii="Times New Roman" w:hAnsi="Times New Roman"/>
                <w:sz w:val="24"/>
              </w:rPr>
              <w:t>–734</w:t>
            </w:r>
          </w:p>
        </w:tc>
        <w:tc>
          <w:tcPr>
            <w:tcW w:type="dxa" w:w="1392"/>
            <w:vAlign w:val="center"/>
          </w:tcPr>
          <w:p w14:paraId="3C000000">
            <w:pPr>
              <w:ind/>
              <w:jc w:val="center"/>
              <w:rPr>
                <w:rFonts w:ascii="Times New Roman" w:hAnsi="Times New Roman"/>
                <w:sz w:val="24"/>
              </w:rPr>
            </w:pPr>
            <w:r>
              <w:rPr>
                <w:rFonts w:ascii="Times New Roman" w:hAnsi="Times New Roman"/>
                <w:sz w:val="24"/>
              </w:rPr>
              <w:t>–1,3</w:t>
            </w:r>
          </w:p>
        </w:tc>
      </w:tr>
      <w:tr>
        <w:tc>
          <w:tcPr>
            <w:tcW w:type="dxa" w:w="980"/>
            <w:vAlign w:val="center"/>
          </w:tcPr>
          <w:p w14:paraId="3D000000">
            <w:pPr>
              <w:ind/>
              <w:jc w:val="center"/>
              <w:rPr>
                <w:rFonts w:ascii="Times New Roman" w:hAnsi="Times New Roman"/>
                <w:sz w:val="24"/>
              </w:rPr>
            </w:pPr>
            <w:r>
              <w:rPr>
                <w:rFonts w:ascii="Times New Roman" w:hAnsi="Times New Roman"/>
                <w:sz w:val="24"/>
              </w:rPr>
              <w:t>2022</w:t>
            </w:r>
          </w:p>
        </w:tc>
        <w:tc>
          <w:tcPr>
            <w:tcW w:type="dxa" w:w="2050"/>
            <w:vAlign w:val="center"/>
          </w:tcPr>
          <w:p w14:paraId="3E000000">
            <w:pPr>
              <w:ind/>
              <w:jc w:val="center"/>
              <w:rPr>
                <w:rFonts w:ascii="Times New Roman" w:hAnsi="Times New Roman"/>
                <w:sz w:val="24"/>
              </w:rPr>
            </w:pPr>
            <w:r>
              <w:rPr>
                <w:rFonts w:ascii="Times New Roman" w:hAnsi="Times New Roman"/>
                <w:sz w:val="24"/>
              </w:rPr>
              <w:t>53 554</w:t>
            </w:r>
          </w:p>
        </w:tc>
        <w:tc>
          <w:tcPr>
            <w:tcW w:type="dxa" w:w="1550"/>
            <w:vAlign w:val="center"/>
          </w:tcPr>
          <w:p w14:paraId="3F000000">
            <w:pPr>
              <w:ind/>
              <w:jc w:val="center"/>
              <w:rPr>
                <w:rFonts w:ascii="Times New Roman" w:hAnsi="Times New Roman"/>
                <w:sz w:val="24"/>
              </w:rPr>
            </w:pPr>
            <w:r>
              <w:rPr>
                <w:rFonts w:ascii="Times New Roman" w:hAnsi="Times New Roman"/>
                <w:sz w:val="24"/>
              </w:rPr>
              <w:t>29 406</w:t>
            </w:r>
          </w:p>
        </w:tc>
        <w:tc>
          <w:tcPr>
            <w:tcW w:type="dxa" w:w="1538"/>
            <w:vAlign w:val="center"/>
          </w:tcPr>
          <w:p w14:paraId="40000000">
            <w:pPr>
              <w:ind/>
              <w:jc w:val="center"/>
              <w:rPr>
                <w:rFonts w:ascii="Times New Roman" w:hAnsi="Times New Roman"/>
                <w:sz w:val="24"/>
              </w:rPr>
            </w:pPr>
            <w:r>
              <w:rPr>
                <w:rFonts w:ascii="Times New Roman" w:hAnsi="Times New Roman"/>
                <w:sz w:val="24"/>
              </w:rPr>
              <w:t>24 148</w:t>
            </w:r>
          </w:p>
        </w:tc>
        <w:tc>
          <w:tcPr>
            <w:tcW w:type="dxa" w:w="1845"/>
            <w:vAlign w:val="center"/>
          </w:tcPr>
          <w:p w14:paraId="41000000">
            <w:pPr>
              <w:ind/>
              <w:jc w:val="center"/>
              <w:rPr>
                <w:rFonts w:ascii="Times New Roman" w:hAnsi="Times New Roman"/>
                <w:sz w:val="24"/>
              </w:rPr>
            </w:pPr>
            <w:r>
              <w:rPr>
                <w:rFonts w:ascii="Times New Roman" w:hAnsi="Times New Roman"/>
                <w:sz w:val="24"/>
              </w:rPr>
              <w:t>–678</w:t>
            </w:r>
          </w:p>
        </w:tc>
        <w:tc>
          <w:tcPr>
            <w:tcW w:type="dxa" w:w="1392"/>
            <w:vAlign w:val="center"/>
          </w:tcPr>
          <w:p w14:paraId="42000000">
            <w:pPr>
              <w:ind/>
              <w:jc w:val="center"/>
              <w:rPr>
                <w:rFonts w:ascii="Times New Roman" w:hAnsi="Times New Roman"/>
                <w:sz w:val="24"/>
              </w:rPr>
            </w:pPr>
            <w:r>
              <w:rPr>
                <w:rFonts w:ascii="Times New Roman" w:hAnsi="Times New Roman"/>
                <w:sz w:val="24"/>
              </w:rPr>
              <w:t>–1,2</w:t>
            </w:r>
          </w:p>
        </w:tc>
      </w:tr>
      <w:tr>
        <w:tc>
          <w:tcPr>
            <w:tcW w:type="dxa" w:w="980"/>
            <w:vAlign w:val="center"/>
          </w:tcPr>
          <w:p w14:paraId="43000000">
            <w:pPr>
              <w:ind/>
              <w:jc w:val="center"/>
              <w:rPr>
                <w:rFonts w:ascii="Times New Roman" w:hAnsi="Times New Roman"/>
                <w:sz w:val="24"/>
              </w:rPr>
            </w:pPr>
            <w:r>
              <w:rPr>
                <w:rFonts w:ascii="Times New Roman" w:hAnsi="Times New Roman"/>
                <w:sz w:val="24"/>
              </w:rPr>
              <w:t>2023</w:t>
            </w:r>
          </w:p>
        </w:tc>
        <w:tc>
          <w:tcPr>
            <w:tcW w:type="dxa" w:w="2050"/>
            <w:vAlign w:val="center"/>
          </w:tcPr>
          <w:p w14:paraId="44000000">
            <w:pPr>
              <w:ind/>
              <w:jc w:val="center"/>
              <w:rPr>
                <w:rFonts w:ascii="Times New Roman" w:hAnsi="Times New Roman"/>
                <w:sz w:val="24"/>
              </w:rPr>
            </w:pPr>
            <w:r>
              <w:rPr>
                <w:rFonts w:ascii="Times New Roman" w:hAnsi="Times New Roman"/>
                <w:sz w:val="24"/>
              </w:rPr>
              <w:t>52 575</w:t>
            </w:r>
          </w:p>
        </w:tc>
        <w:tc>
          <w:tcPr>
            <w:tcW w:type="dxa" w:w="1550"/>
            <w:vAlign w:val="center"/>
          </w:tcPr>
          <w:p w14:paraId="45000000">
            <w:pPr>
              <w:ind/>
              <w:jc w:val="center"/>
              <w:rPr>
                <w:rFonts w:ascii="Times New Roman" w:hAnsi="Times New Roman"/>
                <w:sz w:val="24"/>
              </w:rPr>
            </w:pPr>
            <w:r>
              <w:rPr>
                <w:rFonts w:ascii="Times New Roman" w:hAnsi="Times New Roman"/>
                <w:sz w:val="24"/>
              </w:rPr>
              <w:t>28 775</w:t>
            </w:r>
          </w:p>
        </w:tc>
        <w:tc>
          <w:tcPr>
            <w:tcW w:type="dxa" w:w="1538"/>
            <w:vAlign w:val="center"/>
          </w:tcPr>
          <w:p w14:paraId="46000000">
            <w:pPr>
              <w:ind/>
              <w:jc w:val="center"/>
              <w:rPr>
                <w:rFonts w:ascii="Times New Roman" w:hAnsi="Times New Roman"/>
                <w:sz w:val="24"/>
              </w:rPr>
            </w:pPr>
            <w:r>
              <w:rPr>
                <w:rFonts w:ascii="Times New Roman" w:hAnsi="Times New Roman"/>
                <w:sz w:val="24"/>
              </w:rPr>
              <w:t>23 800</w:t>
            </w:r>
          </w:p>
        </w:tc>
        <w:tc>
          <w:tcPr>
            <w:tcW w:type="dxa" w:w="1845"/>
            <w:vAlign w:val="center"/>
          </w:tcPr>
          <w:p w14:paraId="47000000">
            <w:pPr>
              <w:ind/>
              <w:jc w:val="center"/>
              <w:rPr>
                <w:rFonts w:ascii="Times New Roman" w:hAnsi="Times New Roman"/>
                <w:sz w:val="24"/>
              </w:rPr>
            </w:pPr>
            <w:r>
              <w:rPr>
                <w:rFonts w:ascii="Times New Roman" w:hAnsi="Times New Roman"/>
                <w:sz w:val="24"/>
              </w:rPr>
              <w:t>–979</w:t>
            </w:r>
          </w:p>
        </w:tc>
        <w:tc>
          <w:tcPr>
            <w:tcW w:type="dxa" w:w="1392"/>
            <w:vAlign w:val="center"/>
          </w:tcPr>
          <w:p w14:paraId="48000000">
            <w:pPr>
              <w:ind/>
              <w:jc w:val="center"/>
              <w:rPr>
                <w:rFonts w:ascii="Times New Roman" w:hAnsi="Times New Roman"/>
                <w:sz w:val="24"/>
              </w:rPr>
            </w:pPr>
            <w:r>
              <w:rPr>
                <w:rFonts w:ascii="Times New Roman" w:hAnsi="Times New Roman"/>
                <w:sz w:val="24"/>
              </w:rPr>
              <w:t>–1,8</w:t>
            </w:r>
          </w:p>
        </w:tc>
      </w:tr>
      <w:tr>
        <w:tc>
          <w:tcPr>
            <w:tcW w:type="dxa" w:w="980"/>
            <w:vAlign w:val="center"/>
          </w:tcPr>
          <w:p w14:paraId="49000000">
            <w:pPr>
              <w:ind/>
              <w:jc w:val="center"/>
              <w:rPr>
                <w:rFonts w:ascii="Times New Roman" w:hAnsi="Times New Roman"/>
                <w:sz w:val="24"/>
              </w:rPr>
            </w:pPr>
            <w:r>
              <w:rPr>
                <w:rFonts w:ascii="Times New Roman" w:hAnsi="Times New Roman"/>
                <w:sz w:val="24"/>
              </w:rPr>
              <w:t>2024</w:t>
            </w:r>
          </w:p>
        </w:tc>
        <w:tc>
          <w:tcPr>
            <w:tcW w:type="dxa" w:w="2050"/>
            <w:vAlign w:val="center"/>
          </w:tcPr>
          <w:p w14:paraId="4A000000">
            <w:pPr>
              <w:ind/>
              <w:jc w:val="center"/>
              <w:rPr>
                <w:rFonts w:ascii="Times New Roman" w:hAnsi="Times New Roman"/>
                <w:sz w:val="24"/>
              </w:rPr>
            </w:pPr>
            <w:r>
              <w:rPr>
                <w:rFonts w:ascii="Times New Roman" w:hAnsi="Times New Roman"/>
                <w:sz w:val="24"/>
              </w:rPr>
              <w:t>52 119</w:t>
            </w:r>
          </w:p>
        </w:tc>
        <w:tc>
          <w:tcPr>
            <w:tcW w:type="dxa" w:w="1550"/>
            <w:vAlign w:val="center"/>
          </w:tcPr>
          <w:p w14:paraId="4B000000">
            <w:pPr>
              <w:ind/>
              <w:jc w:val="center"/>
              <w:rPr>
                <w:rFonts w:ascii="Times New Roman" w:hAnsi="Times New Roman"/>
                <w:sz w:val="24"/>
              </w:rPr>
            </w:pPr>
            <w:r>
              <w:rPr>
                <w:rFonts w:ascii="Times New Roman" w:hAnsi="Times New Roman"/>
                <w:sz w:val="24"/>
              </w:rPr>
              <w:t>28 655</w:t>
            </w:r>
          </w:p>
        </w:tc>
        <w:tc>
          <w:tcPr>
            <w:tcW w:type="dxa" w:w="1538"/>
            <w:vAlign w:val="center"/>
          </w:tcPr>
          <w:p w14:paraId="4C000000">
            <w:pPr>
              <w:ind/>
              <w:jc w:val="center"/>
              <w:rPr>
                <w:rFonts w:ascii="Times New Roman" w:hAnsi="Times New Roman"/>
                <w:sz w:val="24"/>
              </w:rPr>
            </w:pPr>
            <w:r>
              <w:rPr>
                <w:rFonts w:ascii="Times New Roman" w:hAnsi="Times New Roman"/>
                <w:sz w:val="24"/>
              </w:rPr>
              <w:t>23 464</w:t>
            </w:r>
          </w:p>
        </w:tc>
        <w:tc>
          <w:tcPr>
            <w:tcW w:type="dxa" w:w="1845"/>
            <w:vAlign w:val="center"/>
          </w:tcPr>
          <w:p w14:paraId="4D000000">
            <w:pPr>
              <w:ind/>
              <w:jc w:val="center"/>
              <w:rPr>
                <w:rFonts w:ascii="Times New Roman" w:hAnsi="Times New Roman"/>
                <w:sz w:val="24"/>
              </w:rPr>
            </w:pPr>
            <w:r>
              <w:rPr>
                <w:rFonts w:ascii="Times New Roman" w:hAnsi="Times New Roman"/>
                <w:sz w:val="24"/>
              </w:rPr>
              <w:t>–456</w:t>
            </w:r>
          </w:p>
        </w:tc>
        <w:tc>
          <w:tcPr>
            <w:tcW w:type="dxa" w:w="1392"/>
            <w:vAlign w:val="center"/>
          </w:tcPr>
          <w:p w14:paraId="4E000000">
            <w:pPr>
              <w:ind/>
              <w:jc w:val="center"/>
              <w:rPr>
                <w:rFonts w:ascii="Times New Roman" w:hAnsi="Times New Roman"/>
                <w:sz w:val="24"/>
              </w:rPr>
            </w:pPr>
            <w:r>
              <w:rPr>
                <w:rFonts w:ascii="Times New Roman" w:hAnsi="Times New Roman"/>
                <w:sz w:val="24"/>
              </w:rPr>
              <w:t>–0,9</w:t>
            </w:r>
          </w:p>
        </w:tc>
      </w:tr>
      <w:tr>
        <w:tc>
          <w:tcPr>
            <w:tcW w:type="dxa" w:w="980"/>
            <w:vAlign w:val="center"/>
          </w:tcPr>
          <w:p w14:paraId="4F000000">
            <w:pPr>
              <w:ind/>
              <w:jc w:val="center"/>
              <w:rPr>
                <w:rFonts w:ascii="Times New Roman" w:hAnsi="Times New Roman"/>
                <w:sz w:val="24"/>
              </w:rPr>
            </w:pPr>
            <w:r>
              <w:rPr>
                <w:rFonts w:ascii="Times New Roman" w:hAnsi="Times New Roman"/>
                <w:sz w:val="24"/>
              </w:rPr>
              <w:t>2025</w:t>
            </w:r>
          </w:p>
        </w:tc>
        <w:tc>
          <w:tcPr>
            <w:tcW w:type="dxa" w:w="2050"/>
            <w:vAlign w:val="center"/>
          </w:tcPr>
          <w:p w14:paraId="50000000">
            <w:pPr>
              <w:ind/>
              <w:jc w:val="center"/>
              <w:rPr>
                <w:rFonts w:ascii="Times New Roman" w:hAnsi="Times New Roman"/>
                <w:sz w:val="24"/>
              </w:rPr>
            </w:pPr>
            <w:r>
              <w:rPr>
                <w:rFonts w:ascii="Times New Roman" w:hAnsi="Times New Roman"/>
                <w:sz w:val="24"/>
              </w:rPr>
              <w:t>51 818</w:t>
            </w:r>
          </w:p>
        </w:tc>
        <w:tc>
          <w:tcPr>
            <w:tcW w:type="dxa" w:w="1550"/>
            <w:vAlign w:val="center"/>
          </w:tcPr>
          <w:p w14:paraId="51000000">
            <w:pPr>
              <w:ind/>
              <w:jc w:val="center"/>
              <w:rPr>
                <w:rFonts w:ascii="Times New Roman" w:hAnsi="Times New Roman"/>
                <w:sz w:val="24"/>
              </w:rPr>
            </w:pPr>
            <w:r>
              <w:rPr>
                <w:rFonts w:ascii="Times New Roman" w:hAnsi="Times New Roman"/>
                <w:sz w:val="24"/>
              </w:rPr>
              <w:t>28 558</w:t>
            </w:r>
          </w:p>
        </w:tc>
        <w:tc>
          <w:tcPr>
            <w:tcW w:type="dxa" w:w="1538"/>
            <w:vAlign w:val="center"/>
          </w:tcPr>
          <w:p w14:paraId="52000000">
            <w:pPr>
              <w:ind/>
              <w:jc w:val="center"/>
              <w:rPr>
                <w:rFonts w:ascii="Times New Roman" w:hAnsi="Times New Roman"/>
                <w:sz w:val="24"/>
              </w:rPr>
            </w:pPr>
            <w:r>
              <w:rPr>
                <w:rFonts w:ascii="Times New Roman" w:hAnsi="Times New Roman"/>
                <w:sz w:val="24"/>
              </w:rPr>
              <w:t>23 260</w:t>
            </w:r>
          </w:p>
        </w:tc>
        <w:tc>
          <w:tcPr>
            <w:tcW w:type="dxa" w:w="1845"/>
            <w:vAlign w:val="center"/>
          </w:tcPr>
          <w:p w14:paraId="53000000">
            <w:pPr>
              <w:ind/>
              <w:jc w:val="center"/>
              <w:rPr>
                <w:rFonts w:ascii="Times New Roman" w:hAnsi="Times New Roman"/>
                <w:sz w:val="24"/>
              </w:rPr>
            </w:pPr>
            <w:r>
              <w:rPr>
                <w:rFonts w:ascii="Times New Roman" w:hAnsi="Times New Roman"/>
                <w:sz w:val="24"/>
              </w:rPr>
              <w:t>–301</w:t>
            </w:r>
          </w:p>
        </w:tc>
        <w:tc>
          <w:tcPr>
            <w:tcW w:type="dxa" w:w="1392"/>
            <w:vAlign w:val="center"/>
          </w:tcPr>
          <w:p w14:paraId="54000000">
            <w:pPr>
              <w:ind/>
              <w:jc w:val="center"/>
              <w:rPr>
                <w:rFonts w:ascii="Times New Roman" w:hAnsi="Times New Roman"/>
                <w:sz w:val="24"/>
              </w:rPr>
            </w:pPr>
            <w:r>
              <w:rPr>
                <w:rFonts w:ascii="Times New Roman" w:hAnsi="Times New Roman"/>
                <w:sz w:val="24"/>
              </w:rPr>
              <w:t>–0,6</w:t>
            </w:r>
          </w:p>
        </w:tc>
      </w:tr>
    </w:tbl>
    <w:p w14:paraId="55000000">
      <w:pPr>
        <w:spacing w:after="0" w:line="360" w:lineRule="auto"/>
        <w:ind w:firstLine="709" w:left="0"/>
        <w:jc w:val="both"/>
        <w:rPr>
          <w:rFonts w:ascii="Times New Roman" w:hAnsi="Times New Roman"/>
          <w:sz w:val="28"/>
        </w:rPr>
      </w:pPr>
    </w:p>
    <w:p w14:paraId="56000000">
      <w:pPr>
        <w:spacing w:after="0" w:line="360" w:lineRule="auto"/>
        <w:ind w:firstLine="709" w:left="0"/>
        <w:jc w:val="both"/>
        <w:rPr>
          <w:rFonts w:ascii="Times New Roman" w:hAnsi="Times New Roman"/>
          <w:sz w:val="28"/>
        </w:rPr>
      </w:pPr>
      <w:r>
        <w:rPr>
          <w:rFonts w:ascii="Times New Roman" w:hAnsi="Times New Roman"/>
          <w:sz w:val="28"/>
        </w:rPr>
        <w:t xml:space="preserve">По состоянию на 1 января 2023 года численность населения посёлка Красногвардейский составляла 3 724 чел., из которых 686 </w:t>
      </w:r>
      <w:r>
        <w:rPr>
          <w:rFonts w:ascii="Times New Roman" w:hAnsi="Times New Roman"/>
          <w:sz w:val="28"/>
        </w:rPr>
        <w:t>–</w:t>
      </w:r>
      <w:r>
        <w:rPr>
          <w:rFonts w:ascii="Times New Roman" w:hAnsi="Times New Roman"/>
          <w:sz w:val="28"/>
        </w:rPr>
        <w:t xml:space="preserve"> дети в возрасте 0–18 лет (доля 18,4%). Динамика численности населения посёлка в открытых </w:t>
      </w:r>
      <w:r>
        <w:rPr>
          <w:rFonts w:ascii="Times New Roman" w:hAnsi="Times New Roman"/>
          <w:sz w:val="28"/>
        </w:rPr>
        <w:t xml:space="preserve">источниках публикуется </w:t>
      </w:r>
      <w:r>
        <w:rPr>
          <w:rFonts w:ascii="Times New Roman" w:hAnsi="Times New Roman"/>
          <w:sz w:val="28"/>
        </w:rPr>
        <w:t>агрегированно</w:t>
      </w:r>
      <w:r>
        <w:rPr>
          <w:rFonts w:ascii="Times New Roman" w:hAnsi="Times New Roman"/>
          <w:sz w:val="28"/>
        </w:rPr>
        <w:t xml:space="preserve"> в составе данных по Артемовскому муниципальному округу, что затрудняет точное определение долгосрочных трендов именно для Красногвардейского. Тем не менее, как часть сельского населения округа, посёлок разделяет его демографические тенденции </w:t>
      </w:r>
      <w:r>
        <w:rPr>
          <w:rFonts w:ascii="Times New Roman" w:hAnsi="Times New Roman"/>
          <w:sz w:val="28"/>
        </w:rPr>
        <w:t>–</w:t>
      </w:r>
      <w:r>
        <w:rPr>
          <w:rFonts w:ascii="Times New Roman" w:hAnsi="Times New Roman"/>
          <w:sz w:val="28"/>
        </w:rPr>
        <w:t xml:space="preserve"> прежде всего устойчивую убыль.</w:t>
      </w:r>
    </w:p>
    <w:p w14:paraId="57000000">
      <w:pPr>
        <w:spacing w:after="0" w:line="360" w:lineRule="auto"/>
        <w:ind w:firstLine="709" w:left="0"/>
        <w:jc w:val="both"/>
        <w:rPr>
          <w:rFonts w:ascii="Times New Roman" w:hAnsi="Times New Roman"/>
          <w:sz w:val="28"/>
        </w:rPr>
      </w:pPr>
      <w:r>
        <w:rPr>
          <w:rFonts w:ascii="Times New Roman" w:hAnsi="Times New Roman"/>
          <w:sz w:val="28"/>
        </w:rPr>
        <w:t xml:space="preserve">Численность населения Артемовского муниципального округа сократилась с 61 414 чел. (01.01.2007) до 51 818 чел. (01.01.2025) </w:t>
      </w:r>
      <w:r>
        <w:rPr>
          <w:rFonts w:ascii="Times New Roman" w:hAnsi="Times New Roman"/>
          <w:sz w:val="28"/>
        </w:rPr>
        <w:t>–</w:t>
      </w:r>
      <w:r>
        <w:rPr>
          <w:rFonts w:ascii="Times New Roman" w:hAnsi="Times New Roman"/>
          <w:sz w:val="28"/>
        </w:rPr>
        <w:t xml:space="preserve"> убыль за 18 лет составила 9 596 чел. (15,6%). Темп убыли в 2019–2025 гг. колебался от –301 до –979 чел./год; наибольшие потери пришлись на 2023 год (–979 чел.), наименьшие </w:t>
      </w:r>
      <w:r>
        <w:rPr>
          <w:rFonts w:ascii="Times New Roman" w:hAnsi="Times New Roman"/>
          <w:sz w:val="28"/>
        </w:rPr>
        <w:t>–</w:t>
      </w:r>
      <w:r>
        <w:rPr>
          <w:rFonts w:ascii="Times New Roman" w:hAnsi="Times New Roman"/>
          <w:sz w:val="28"/>
        </w:rPr>
        <w:t xml:space="preserve"> на 2025 год (–301 чел.). Убыль носит двойственный характер: естественная убыль (превышение числа умерших над числом родившихся) усугубляется миграционным оттоком трудоспособного населения в г. Екатеринбург и другие крупные города Свердловской области. Для посёлка Красногвардейский это означает постепенное «старение» остающегося населения при одновременном сокращении числа работающих граждан, формирующих налоговую базу округа и финансирующих систему социальной защиты.</w:t>
      </w:r>
    </w:p>
    <w:p w14:paraId="58000000">
      <w:pPr>
        <w:spacing w:after="0" w:line="360" w:lineRule="auto"/>
        <w:ind w:firstLine="709" w:left="0"/>
        <w:jc w:val="both"/>
        <w:rPr>
          <w:rFonts w:ascii="Times New Roman" w:hAnsi="Times New Roman"/>
          <w:sz w:val="28"/>
        </w:rPr>
      </w:pPr>
      <w:r>
        <w:rPr>
          <w:rFonts w:ascii="Times New Roman" w:hAnsi="Times New Roman"/>
          <w:sz w:val="28"/>
        </w:rPr>
        <w:t xml:space="preserve">Приведённые данные демонстрируют, что общая убыль населения за 2019–2025 гг. составила 3 647 чел. (–6,2%). При этом сельское население сокращалось быстрее городского в абсолютном выражении: убыль по сельскому населению за тот же период составила 1 839 чел. (–7,3%), </w:t>
      </w:r>
      <w:r>
        <w:rPr>
          <w:rFonts w:ascii="Times New Roman" w:hAnsi="Times New Roman"/>
          <w:sz w:val="28"/>
        </w:rPr>
        <w:t>по городскому</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1 808 чел. (–5,6%). Для посёлка Красногвардейский как сельского населённого пункта данный тренд означает ускоренную убыль по сравнению со </w:t>
      </w:r>
      <w:r>
        <w:rPr>
          <w:rFonts w:ascii="Times New Roman" w:hAnsi="Times New Roman"/>
          <w:sz w:val="28"/>
        </w:rPr>
        <w:t>среднеокружным</w:t>
      </w:r>
      <w:r>
        <w:rPr>
          <w:rFonts w:ascii="Times New Roman" w:hAnsi="Times New Roman"/>
          <w:sz w:val="28"/>
        </w:rPr>
        <w:t xml:space="preserve"> показателем.</w:t>
      </w:r>
    </w:p>
    <w:p w14:paraId="59000000">
      <w:pPr>
        <w:spacing w:after="0" w:line="360" w:lineRule="auto"/>
        <w:ind w:firstLine="709" w:left="0"/>
        <w:jc w:val="both"/>
        <w:rPr>
          <w:rFonts w:ascii="Times New Roman" w:hAnsi="Times New Roman"/>
          <w:sz w:val="28"/>
        </w:rPr>
      </w:pPr>
      <w:r>
        <w:rPr>
          <w:rFonts w:ascii="Times New Roman" w:hAnsi="Times New Roman"/>
          <w:sz w:val="28"/>
        </w:rPr>
        <w:t xml:space="preserve">По данным сводной статистики по Артемовскому району, общая численность населения района составляет 30 116 чел., из которых: дети до 7 лет </w:t>
      </w:r>
      <w:r>
        <w:rPr>
          <w:rFonts w:ascii="Times New Roman" w:hAnsi="Times New Roman"/>
          <w:sz w:val="28"/>
        </w:rPr>
        <w:t>–</w:t>
      </w:r>
      <w:r>
        <w:rPr>
          <w:rFonts w:ascii="Times New Roman" w:hAnsi="Times New Roman"/>
          <w:sz w:val="28"/>
        </w:rPr>
        <w:t xml:space="preserve"> 3 000 чел. (9,9%); подростки 8–18 лет </w:t>
      </w:r>
      <w:r>
        <w:rPr>
          <w:rFonts w:ascii="Times New Roman" w:hAnsi="Times New Roman"/>
          <w:sz w:val="28"/>
        </w:rPr>
        <w:t>–</w:t>
      </w:r>
      <w:r>
        <w:rPr>
          <w:rFonts w:ascii="Times New Roman" w:hAnsi="Times New Roman"/>
          <w:sz w:val="28"/>
        </w:rPr>
        <w:t xml:space="preserve"> 3 565 чел. (11,8%); молодёжь 19–30 лет </w:t>
      </w:r>
      <w:r>
        <w:rPr>
          <w:rFonts w:ascii="Times New Roman" w:hAnsi="Times New Roman"/>
          <w:sz w:val="28"/>
        </w:rPr>
        <w:t>–</w:t>
      </w:r>
      <w:r>
        <w:rPr>
          <w:rFonts w:ascii="Times New Roman" w:hAnsi="Times New Roman"/>
          <w:sz w:val="28"/>
        </w:rPr>
        <w:t xml:space="preserve"> 3 603 чел. (12,0%); взрослые 31–60 лет </w:t>
      </w:r>
      <w:r>
        <w:rPr>
          <w:rFonts w:ascii="Times New Roman" w:hAnsi="Times New Roman"/>
          <w:sz w:val="28"/>
        </w:rPr>
        <w:t>–</w:t>
      </w:r>
      <w:r>
        <w:rPr>
          <w:rFonts w:ascii="Times New Roman" w:hAnsi="Times New Roman"/>
          <w:sz w:val="28"/>
        </w:rPr>
        <w:t xml:space="preserve"> 12 961 чел. (43,1%); лица старше 60 лет </w:t>
      </w:r>
      <w:r>
        <w:rPr>
          <w:rFonts w:ascii="Times New Roman" w:hAnsi="Times New Roman"/>
          <w:sz w:val="28"/>
        </w:rPr>
        <w:t>–</w:t>
      </w:r>
      <w:r>
        <w:rPr>
          <w:rFonts w:ascii="Times New Roman" w:hAnsi="Times New Roman"/>
          <w:sz w:val="28"/>
        </w:rPr>
        <w:t xml:space="preserve"> 6 565 чел. (21,8%); в том числе старше 80 лет </w:t>
      </w:r>
      <w:r>
        <w:rPr>
          <w:rFonts w:ascii="Times New Roman" w:hAnsi="Times New Roman"/>
          <w:sz w:val="28"/>
        </w:rPr>
        <w:t>–</w:t>
      </w:r>
      <w:r>
        <w:rPr>
          <w:rFonts w:ascii="Times New Roman" w:hAnsi="Times New Roman"/>
          <w:sz w:val="28"/>
        </w:rPr>
        <w:t xml:space="preserve"> 422 чел. (1,4%). Коэффициент демографической нагрузки </w:t>
      </w:r>
      <w:r>
        <w:rPr>
          <w:rFonts w:ascii="Times New Roman" w:hAnsi="Times New Roman"/>
          <w:sz w:val="28"/>
        </w:rPr>
        <w:t>–</w:t>
      </w:r>
      <w:r>
        <w:rPr>
          <w:rFonts w:ascii="Times New Roman" w:hAnsi="Times New Roman"/>
          <w:sz w:val="28"/>
        </w:rPr>
        <w:t xml:space="preserve"> соотношение нетрудоспособного </w:t>
      </w:r>
      <w:r>
        <w:rPr>
          <w:rFonts w:ascii="Times New Roman" w:hAnsi="Times New Roman"/>
          <w:sz w:val="28"/>
        </w:rPr>
        <w:t xml:space="preserve">(дети до 16 лет + пенсионеры 60+) к трудоспособному населению </w:t>
      </w:r>
      <w:r>
        <w:rPr>
          <w:rFonts w:ascii="Times New Roman" w:hAnsi="Times New Roman"/>
          <w:sz w:val="28"/>
        </w:rPr>
        <w:t>–</w:t>
      </w:r>
      <w:r>
        <w:rPr>
          <w:rFonts w:ascii="Times New Roman" w:hAnsi="Times New Roman"/>
          <w:sz w:val="28"/>
        </w:rPr>
        <w:t xml:space="preserve"> превышает 600 нетрудоспособных на 1 000 трудоспособных, что является повышенным уровнем и означает повышенный спрос на меры социальной поддержки.</w:t>
      </w:r>
    </w:p>
    <w:p w14:paraId="5A000000">
      <w:pPr>
        <w:spacing w:after="0" w:line="360" w:lineRule="auto"/>
        <w:ind w:firstLine="709" w:left="0"/>
        <w:jc w:val="both"/>
        <w:rPr>
          <w:rFonts w:ascii="Times New Roman" w:hAnsi="Times New Roman"/>
          <w:sz w:val="28"/>
        </w:rPr>
      </w:pPr>
      <w:r>
        <w:rPr>
          <w:rFonts w:ascii="Times New Roman" w:hAnsi="Times New Roman"/>
          <w:sz w:val="28"/>
        </w:rPr>
        <w:t xml:space="preserve">Присутствие ПНИ вносит искажение в демографическую картину посёлка. Контингент ПНИ </w:t>
      </w:r>
      <w:r>
        <w:rPr>
          <w:rFonts w:ascii="Times New Roman" w:hAnsi="Times New Roman"/>
          <w:sz w:val="28"/>
        </w:rPr>
        <w:t>–</w:t>
      </w:r>
      <w:r>
        <w:rPr>
          <w:rFonts w:ascii="Times New Roman" w:hAnsi="Times New Roman"/>
          <w:sz w:val="28"/>
        </w:rPr>
        <w:t xml:space="preserve"> граждане с психическими расстройствами в различных возрастных группах, включая молодой и средний возраст, </w:t>
      </w:r>
      <w:r>
        <w:rPr>
          <w:rFonts w:ascii="Times New Roman" w:hAnsi="Times New Roman"/>
          <w:sz w:val="28"/>
        </w:rPr>
        <w:t>–</w:t>
      </w:r>
      <w:r>
        <w:rPr>
          <w:rFonts w:ascii="Times New Roman" w:hAnsi="Times New Roman"/>
          <w:sz w:val="28"/>
        </w:rPr>
        <w:t xml:space="preserve"> фактически проживает на территории посёлка, пользуется его инфраструктурой (аптека, медицинские пункты), но учитывается в показателях социального обслуживания, а не в данных переписи населения. В России в 2024 году насчитывалось 466 ПНИ с 139 тыс. проживающими; средний ПНИ </w:t>
      </w:r>
      <w:r>
        <w:rPr>
          <w:rFonts w:ascii="Times New Roman" w:hAnsi="Times New Roman"/>
          <w:sz w:val="28"/>
        </w:rPr>
        <w:t>–</w:t>
      </w:r>
      <w:r>
        <w:rPr>
          <w:rFonts w:ascii="Times New Roman" w:hAnsi="Times New Roman"/>
          <w:sz w:val="28"/>
        </w:rPr>
        <w:t xml:space="preserve"> около 289 мест. Даже при наличии учреждения небольшого размера несколько сотен проживающих создают существенную дополнительную нагрузку на сервисную инфраструктуру посёлка с исходной численностью менее 4 000 постоянных жителей.</w:t>
      </w:r>
    </w:p>
    <w:p w14:paraId="5B000000">
      <w:pPr>
        <w:spacing w:after="0" w:line="360" w:lineRule="auto"/>
        <w:ind w:firstLine="709" w:left="0"/>
        <w:jc w:val="both"/>
        <w:rPr>
          <w:rFonts w:ascii="Times New Roman" w:hAnsi="Times New Roman"/>
          <w:sz w:val="28"/>
        </w:rPr>
      </w:pPr>
      <w:r>
        <w:rPr>
          <w:rFonts w:ascii="Times New Roman" w:hAnsi="Times New Roman"/>
          <w:sz w:val="28"/>
        </w:rPr>
        <w:t>Средняя заработная плата в Артемовском районе в 2025 году составляла около 64 580 руб./мес., что на 1</w:t>
      </w:r>
      <w:r>
        <w:rPr>
          <w:rFonts w:ascii="Times New Roman" w:hAnsi="Times New Roman"/>
          <w:sz w:val="28"/>
        </w:rPr>
        <w:t>9</w:t>
      </w:r>
      <w:r>
        <w:rPr>
          <w:rFonts w:ascii="Times New Roman" w:hAnsi="Times New Roman"/>
          <w:sz w:val="28"/>
        </w:rPr>
        <w:t>% ниже среднеобластного уровня (83 000 руб. в 2024 г.). Данное соотношение устойчиво: на протяжении последних 10 лет зарплаты в округе систематически отстают от региональных. Это означает более высокую долю работников с доходами в диапазоне 1–1,5 прожиточного минимума, которые, хотя и не являются официально бедными, находятся в зоне повышенного социального риска. Экономическая база посёлка включает: промышленность (АО «Красногвардейский крановый завод»); лесной сектор (ООО «Красногвардейский лес»); социальный сектор (ПНИ, школа, детский сад, учреждения культуры) как крупный работодатель бюджетных работников с относительно стабильной, но невысокой зарплатой. Диверсификация экономики низкая; альтернативных точек роста в посёлке на 2025 год не выявлено.</w:t>
      </w:r>
    </w:p>
    <w:p w14:paraId="5C000000">
      <w:pPr>
        <w:spacing w:after="0" w:line="360" w:lineRule="auto"/>
        <w:ind w:firstLine="709" w:left="0"/>
        <w:jc w:val="both"/>
        <w:rPr>
          <w:rFonts w:ascii="Times New Roman" w:hAnsi="Times New Roman"/>
          <w:sz w:val="28"/>
        </w:rPr>
      </w:pPr>
      <w:r>
        <w:rPr>
          <w:rFonts w:ascii="Times New Roman" w:hAnsi="Times New Roman"/>
          <w:sz w:val="28"/>
        </w:rPr>
        <w:t xml:space="preserve">По итогам 2025 года Свердловская область относится к регионам с относительно низким уровнем официальной бедности </w:t>
      </w:r>
      <w:r>
        <w:rPr>
          <w:rFonts w:ascii="Times New Roman" w:hAnsi="Times New Roman"/>
          <w:sz w:val="28"/>
        </w:rPr>
        <w:t>–</w:t>
      </w:r>
      <w:r>
        <w:rPr>
          <w:rFonts w:ascii="Times New Roman" w:hAnsi="Times New Roman"/>
          <w:sz w:val="28"/>
        </w:rPr>
        <w:t xml:space="preserve"> 5,5%, что ниже общероссийского показателя 6,8%. Снижение официальной бедности в </w:t>
      </w:r>
      <w:r>
        <w:rPr>
          <w:rFonts w:ascii="Times New Roman" w:hAnsi="Times New Roman"/>
          <w:sz w:val="28"/>
        </w:rPr>
        <w:t xml:space="preserve">области за 2024–2025 гг. составило 0,8 </w:t>
      </w:r>
      <w:r>
        <w:rPr>
          <w:rFonts w:ascii="Times New Roman" w:hAnsi="Times New Roman"/>
          <w:sz w:val="28"/>
        </w:rPr>
        <w:t>п.п</w:t>
      </w:r>
      <w:r>
        <w:rPr>
          <w:rFonts w:ascii="Times New Roman" w:hAnsi="Times New Roman"/>
          <w:sz w:val="28"/>
        </w:rPr>
        <w:t>. Вместе с тем применение более консервативной границы бедности (на уровне актуального прожиточного минимума) даёт оценку в 9–10% для малых поселений Уральского федерального округа. При такой оценке в посёлке Красногвардейский за чертой бедности может находиться от 335 до 372 чел. (9–10% от 3 724). В составе этой группы наиболее уязвимы: одинокие пенсионеры без трудового стажа или с минимальным стажем; семьи с детьми-инвалидами; неполные семьи с несовершеннолетними детьми; граждане, утратившие трудоспособность после травмы или тяжёлого заболевания в возрасте до 40 лет.</w:t>
      </w:r>
    </w:p>
    <w:p w14:paraId="5D000000">
      <w:pPr>
        <w:spacing w:after="0" w:line="360" w:lineRule="auto"/>
        <w:ind w:firstLine="709" w:left="0"/>
        <w:jc w:val="both"/>
        <w:rPr>
          <w:rFonts w:ascii="Times New Roman" w:hAnsi="Times New Roman"/>
          <w:sz w:val="28"/>
        </w:rPr>
      </w:pPr>
      <w:r>
        <w:rPr>
          <w:rFonts w:ascii="Times New Roman" w:hAnsi="Times New Roman"/>
          <w:sz w:val="28"/>
        </w:rPr>
        <w:t>Социальная инфраструктура посёлка Красногвардейский</w:t>
      </w:r>
      <w:r>
        <w:rPr>
          <w:rFonts w:ascii="Times New Roman" w:hAnsi="Times New Roman"/>
          <w:sz w:val="28"/>
        </w:rPr>
        <w:t xml:space="preserve"> представлена в таблице 2.2.</w:t>
      </w:r>
    </w:p>
    <w:p w14:paraId="5E000000">
      <w:pPr>
        <w:spacing w:after="0" w:line="360" w:lineRule="auto"/>
        <w:ind w:firstLine="709" w:left="0"/>
        <w:jc w:val="right"/>
        <w:rPr>
          <w:rFonts w:ascii="Times New Roman" w:hAnsi="Times New Roman"/>
          <w:sz w:val="28"/>
        </w:rPr>
      </w:pPr>
      <w:r>
        <w:rPr>
          <w:rFonts w:ascii="Times New Roman" w:hAnsi="Times New Roman"/>
          <w:sz w:val="28"/>
        </w:rPr>
        <w:t>Таблица 2.2</w:t>
      </w:r>
    </w:p>
    <w:p w14:paraId="5F000000">
      <w:pPr>
        <w:spacing w:after="0" w:line="360" w:lineRule="auto"/>
        <w:ind/>
        <w:jc w:val="center"/>
        <w:rPr>
          <w:rFonts w:ascii="Times New Roman" w:hAnsi="Times New Roman"/>
          <w:sz w:val="28"/>
        </w:rPr>
      </w:pPr>
      <w:r>
        <w:rPr>
          <w:rFonts w:ascii="Times New Roman" w:hAnsi="Times New Roman"/>
          <w:sz w:val="28"/>
        </w:rPr>
        <w:t>Социальная инфраструктура посёлка Красногвардейский</w:t>
      </w:r>
      <w:r>
        <w:rPr>
          <w:rFonts w:ascii="Times New Roman" w:hAnsi="Times New Roman"/>
          <w:sz w:val="28"/>
        </w:rPr>
        <w:t xml:space="preserve"> (2025 г.)</w:t>
      </w:r>
    </w:p>
    <w:tbl>
      <w:tblPr>
        <w:tblStyle w:val="Style_4"/>
        <w:tblLayout w:type="fixed"/>
      </w:tblPr>
      <w:tblGrid>
        <w:gridCol w:w="2185"/>
        <w:gridCol w:w="35"/>
        <w:gridCol w:w="2453"/>
        <w:gridCol w:w="34"/>
        <w:gridCol w:w="1811"/>
        <w:gridCol w:w="34"/>
        <w:gridCol w:w="2803"/>
      </w:tblGrid>
      <w:tr>
        <w:tc>
          <w:tcPr>
            <w:tcW w:type="dxa" w:w="2185"/>
            <w:vAlign w:val="center"/>
          </w:tcPr>
          <w:p w14:paraId="60000000">
            <w:pPr>
              <w:ind/>
              <w:jc w:val="center"/>
              <w:rPr>
                <w:rFonts w:ascii="Times New Roman" w:hAnsi="Times New Roman"/>
                <w:sz w:val="24"/>
              </w:rPr>
            </w:pPr>
            <w:r>
              <w:rPr>
                <w:rFonts w:ascii="Times New Roman" w:hAnsi="Times New Roman"/>
                <w:sz w:val="24"/>
              </w:rPr>
              <w:t>Объект</w:t>
            </w:r>
          </w:p>
        </w:tc>
        <w:tc>
          <w:tcPr>
            <w:tcW w:type="dxa" w:w="2488"/>
            <w:gridSpan w:val="2"/>
            <w:vAlign w:val="center"/>
          </w:tcPr>
          <w:p w14:paraId="61000000">
            <w:pPr>
              <w:ind/>
              <w:jc w:val="center"/>
              <w:rPr>
                <w:rFonts w:ascii="Times New Roman" w:hAnsi="Times New Roman"/>
                <w:sz w:val="24"/>
              </w:rPr>
            </w:pPr>
            <w:r>
              <w:rPr>
                <w:rFonts w:ascii="Times New Roman" w:hAnsi="Times New Roman"/>
                <w:sz w:val="24"/>
              </w:rPr>
              <w:t>Вид деятельности</w:t>
            </w:r>
          </w:p>
        </w:tc>
        <w:tc>
          <w:tcPr>
            <w:tcW w:type="dxa" w:w="1845"/>
            <w:gridSpan w:val="2"/>
            <w:vAlign w:val="center"/>
          </w:tcPr>
          <w:p w14:paraId="62000000">
            <w:pPr>
              <w:ind/>
              <w:jc w:val="center"/>
              <w:rPr>
                <w:rFonts w:ascii="Times New Roman" w:hAnsi="Times New Roman"/>
                <w:sz w:val="24"/>
              </w:rPr>
            </w:pPr>
            <w:r>
              <w:rPr>
                <w:rFonts w:ascii="Times New Roman" w:hAnsi="Times New Roman"/>
                <w:sz w:val="24"/>
              </w:rPr>
              <w:t>Правовой статус</w:t>
            </w:r>
          </w:p>
        </w:tc>
        <w:tc>
          <w:tcPr>
            <w:tcW w:type="dxa" w:w="2837"/>
            <w:gridSpan w:val="2"/>
            <w:vAlign w:val="center"/>
          </w:tcPr>
          <w:p w14:paraId="63000000">
            <w:pPr>
              <w:ind/>
              <w:jc w:val="center"/>
              <w:rPr>
                <w:rFonts w:ascii="Times New Roman" w:hAnsi="Times New Roman"/>
                <w:sz w:val="24"/>
              </w:rPr>
            </w:pPr>
            <w:r>
              <w:rPr>
                <w:rFonts w:ascii="Times New Roman" w:hAnsi="Times New Roman"/>
                <w:sz w:val="24"/>
              </w:rPr>
              <w:t>Роль в системе соцзащиты</w:t>
            </w:r>
          </w:p>
        </w:tc>
      </w:tr>
      <w:tr>
        <w:tc>
          <w:tcPr>
            <w:tcW w:type="dxa" w:w="2185"/>
            <w:vAlign w:val="center"/>
          </w:tcPr>
          <w:p w14:paraId="64000000">
            <w:pPr>
              <w:ind/>
              <w:jc w:val="center"/>
              <w:rPr>
                <w:rFonts w:ascii="Times New Roman" w:hAnsi="Times New Roman"/>
                <w:sz w:val="24"/>
              </w:rPr>
            </w:pPr>
            <w:r>
              <w:rPr>
                <w:rFonts w:ascii="Times New Roman" w:hAnsi="Times New Roman"/>
                <w:sz w:val="24"/>
              </w:rPr>
              <w:t>ГАСУСО СО «Красногвардейский ПНИ»</w:t>
            </w:r>
          </w:p>
        </w:tc>
        <w:tc>
          <w:tcPr>
            <w:tcW w:type="dxa" w:w="2488"/>
            <w:gridSpan w:val="2"/>
            <w:vAlign w:val="center"/>
          </w:tcPr>
          <w:p w14:paraId="65000000">
            <w:pPr>
              <w:ind/>
              <w:jc w:val="center"/>
              <w:rPr>
                <w:rFonts w:ascii="Times New Roman" w:hAnsi="Times New Roman"/>
                <w:sz w:val="24"/>
              </w:rPr>
            </w:pPr>
            <w:r>
              <w:rPr>
                <w:rFonts w:ascii="Times New Roman" w:hAnsi="Times New Roman"/>
                <w:sz w:val="24"/>
              </w:rPr>
              <w:t>Стационарное обслуживание (психоневрологический профиль)</w:t>
            </w:r>
          </w:p>
        </w:tc>
        <w:tc>
          <w:tcPr>
            <w:tcW w:type="dxa" w:w="1845"/>
            <w:gridSpan w:val="2"/>
            <w:vAlign w:val="center"/>
          </w:tcPr>
          <w:p w14:paraId="66000000">
            <w:pPr>
              <w:ind/>
              <w:jc w:val="center"/>
              <w:rPr>
                <w:rFonts w:ascii="Times New Roman" w:hAnsi="Times New Roman"/>
                <w:sz w:val="24"/>
              </w:rPr>
            </w:pPr>
            <w:r>
              <w:rPr>
                <w:rFonts w:ascii="Times New Roman" w:hAnsi="Times New Roman"/>
                <w:sz w:val="24"/>
              </w:rPr>
              <w:t>Государственное автономное учреждение СО</w:t>
            </w:r>
          </w:p>
        </w:tc>
        <w:tc>
          <w:tcPr>
            <w:tcW w:type="dxa" w:w="2837"/>
            <w:gridSpan w:val="2"/>
            <w:vAlign w:val="center"/>
          </w:tcPr>
          <w:p w14:paraId="67000000">
            <w:pPr>
              <w:ind/>
              <w:jc w:val="center"/>
              <w:rPr>
                <w:rFonts w:ascii="Times New Roman" w:hAnsi="Times New Roman"/>
                <w:sz w:val="24"/>
              </w:rPr>
            </w:pPr>
            <w:r>
              <w:rPr>
                <w:rFonts w:ascii="Times New Roman" w:hAnsi="Times New Roman"/>
                <w:sz w:val="24"/>
              </w:rPr>
              <w:t>Прямое обслуживание; крупный работодатель</w:t>
            </w:r>
          </w:p>
        </w:tc>
      </w:tr>
      <w:tr>
        <w:tc>
          <w:tcPr>
            <w:tcW w:type="dxa" w:w="2185"/>
            <w:vAlign w:val="center"/>
          </w:tcPr>
          <w:p w14:paraId="68000000">
            <w:pPr>
              <w:ind/>
              <w:jc w:val="center"/>
              <w:rPr>
                <w:rFonts w:ascii="Times New Roman" w:hAnsi="Times New Roman"/>
                <w:sz w:val="24"/>
              </w:rPr>
            </w:pPr>
            <w:r>
              <w:rPr>
                <w:rFonts w:ascii="Times New Roman" w:hAnsi="Times New Roman"/>
                <w:sz w:val="24"/>
              </w:rPr>
              <w:t>ГАУСО СО «КЦСОН» (отделение)</w:t>
            </w:r>
          </w:p>
        </w:tc>
        <w:tc>
          <w:tcPr>
            <w:tcW w:type="dxa" w:w="2488"/>
            <w:gridSpan w:val="2"/>
            <w:vAlign w:val="center"/>
          </w:tcPr>
          <w:p w14:paraId="69000000">
            <w:pPr>
              <w:ind/>
              <w:jc w:val="center"/>
              <w:rPr>
                <w:rFonts w:ascii="Times New Roman" w:hAnsi="Times New Roman"/>
                <w:sz w:val="24"/>
              </w:rPr>
            </w:pPr>
            <w:r>
              <w:rPr>
                <w:rFonts w:ascii="Times New Roman" w:hAnsi="Times New Roman"/>
                <w:sz w:val="24"/>
              </w:rPr>
              <w:t>Надомное, полустационарное, стационарное обслуживание</w:t>
            </w:r>
          </w:p>
        </w:tc>
        <w:tc>
          <w:tcPr>
            <w:tcW w:type="dxa" w:w="1845"/>
            <w:gridSpan w:val="2"/>
            <w:vAlign w:val="center"/>
          </w:tcPr>
          <w:p w14:paraId="6A000000">
            <w:pPr>
              <w:ind/>
              <w:jc w:val="center"/>
              <w:rPr>
                <w:rFonts w:ascii="Times New Roman" w:hAnsi="Times New Roman"/>
                <w:sz w:val="24"/>
              </w:rPr>
            </w:pPr>
            <w:r>
              <w:rPr>
                <w:rFonts w:ascii="Times New Roman" w:hAnsi="Times New Roman"/>
                <w:sz w:val="24"/>
              </w:rPr>
              <w:t>Государственное автономное учреждение СО</w:t>
            </w:r>
          </w:p>
        </w:tc>
        <w:tc>
          <w:tcPr>
            <w:tcW w:type="dxa" w:w="2837"/>
            <w:gridSpan w:val="2"/>
            <w:vAlign w:val="center"/>
          </w:tcPr>
          <w:p w14:paraId="6B000000">
            <w:pPr>
              <w:ind/>
              <w:jc w:val="center"/>
              <w:rPr>
                <w:rFonts w:ascii="Times New Roman" w:hAnsi="Times New Roman"/>
                <w:sz w:val="24"/>
              </w:rPr>
            </w:pPr>
            <w:r>
              <w:rPr>
                <w:rFonts w:ascii="Times New Roman" w:hAnsi="Times New Roman"/>
                <w:sz w:val="24"/>
              </w:rPr>
              <w:t>Прямое обслуживание на территории</w:t>
            </w:r>
          </w:p>
        </w:tc>
      </w:tr>
      <w:tr>
        <w:tc>
          <w:tcPr>
            <w:tcW w:type="dxa" w:w="2185"/>
            <w:vAlign w:val="center"/>
          </w:tcPr>
          <w:p w14:paraId="6C000000">
            <w:pPr>
              <w:ind/>
              <w:jc w:val="center"/>
              <w:rPr>
                <w:rFonts w:ascii="Times New Roman" w:hAnsi="Times New Roman"/>
                <w:sz w:val="24"/>
              </w:rPr>
            </w:pPr>
            <w:r>
              <w:rPr>
                <w:rFonts w:ascii="Times New Roman" w:hAnsi="Times New Roman"/>
                <w:sz w:val="24"/>
              </w:rPr>
              <w:t>ОВП № 1, 2, 3 (ГАУЗ СО «Артемовская ЦРБ»)</w:t>
            </w:r>
          </w:p>
        </w:tc>
        <w:tc>
          <w:tcPr>
            <w:tcW w:type="dxa" w:w="2488"/>
            <w:gridSpan w:val="2"/>
            <w:vAlign w:val="center"/>
          </w:tcPr>
          <w:p w14:paraId="6D000000">
            <w:pPr>
              <w:ind/>
              <w:jc w:val="center"/>
              <w:rPr>
                <w:rFonts w:ascii="Times New Roman" w:hAnsi="Times New Roman"/>
                <w:sz w:val="24"/>
              </w:rPr>
            </w:pPr>
            <w:r>
              <w:rPr>
                <w:rFonts w:ascii="Times New Roman" w:hAnsi="Times New Roman"/>
                <w:sz w:val="24"/>
              </w:rPr>
              <w:t>Первичная медицинская помощь</w:t>
            </w:r>
          </w:p>
        </w:tc>
        <w:tc>
          <w:tcPr>
            <w:tcW w:type="dxa" w:w="1845"/>
            <w:gridSpan w:val="2"/>
            <w:vAlign w:val="center"/>
          </w:tcPr>
          <w:p w14:paraId="6E000000">
            <w:pPr>
              <w:ind/>
              <w:jc w:val="center"/>
              <w:rPr>
                <w:rFonts w:ascii="Times New Roman" w:hAnsi="Times New Roman"/>
                <w:sz w:val="24"/>
              </w:rPr>
            </w:pPr>
            <w:r>
              <w:rPr>
                <w:rFonts w:ascii="Times New Roman" w:hAnsi="Times New Roman"/>
                <w:sz w:val="24"/>
              </w:rPr>
              <w:t>ГАУЗ</w:t>
            </w:r>
          </w:p>
        </w:tc>
        <w:tc>
          <w:tcPr>
            <w:tcW w:type="dxa" w:w="2837"/>
            <w:gridSpan w:val="2"/>
            <w:vAlign w:val="center"/>
          </w:tcPr>
          <w:p w14:paraId="6F000000">
            <w:pPr>
              <w:ind/>
              <w:jc w:val="center"/>
              <w:rPr>
                <w:rFonts w:ascii="Times New Roman" w:hAnsi="Times New Roman"/>
                <w:sz w:val="24"/>
              </w:rPr>
            </w:pPr>
            <w:r>
              <w:rPr>
                <w:rFonts w:ascii="Times New Roman" w:hAnsi="Times New Roman"/>
                <w:sz w:val="24"/>
              </w:rPr>
              <w:t>Выявление нуждающихся; направление в соцслужбы</w:t>
            </w:r>
          </w:p>
        </w:tc>
      </w:tr>
      <w:tr>
        <w:tc>
          <w:tcPr>
            <w:tcW w:type="dxa" w:w="2185"/>
            <w:vAlign w:val="center"/>
          </w:tcPr>
          <w:p w14:paraId="70000000">
            <w:pPr>
              <w:ind/>
              <w:jc w:val="center"/>
              <w:rPr>
                <w:rFonts w:ascii="Times New Roman" w:hAnsi="Times New Roman"/>
                <w:sz w:val="24"/>
              </w:rPr>
            </w:pPr>
            <w:r>
              <w:rPr>
                <w:rFonts w:ascii="Times New Roman" w:hAnsi="Times New Roman"/>
                <w:sz w:val="24"/>
              </w:rPr>
              <w:t>МУП АГО «Аптека № 191»</w:t>
            </w:r>
          </w:p>
        </w:tc>
        <w:tc>
          <w:tcPr>
            <w:tcW w:type="dxa" w:w="2488"/>
            <w:gridSpan w:val="2"/>
            <w:vAlign w:val="center"/>
          </w:tcPr>
          <w:p w14:paraId="71000000">
            <w:pPr>
              <w:ind/>
              <w:jc w:val="center"/>
              <w:rPr>
                <w:rFonts w:ascii="Times New Roman" w:hAnsi="Times New Roman"/>
                <w:sz w:val="24"/>
              </w:rPr>
            </w:pPr>
            <w:r>
              <w:rPr>
                <w:rFonts w:ascii="Times New Roman" w:hAnsi="Times New Roman"/>
                <w:sz w:val="24"/>
              </w:rPr>
              <w:t>Лекарственное обеспечение</w:t>
            </w:r>
          </w:p>
        </w:tc>
        <w:tc>
          <w:tcPr>
            <w:tcW w:type="dxa" w:w="1845"/>
            <w:gridSpan w:val="2"/>
            <w:vAlign w:val="center"/>
          </w:tcPr>
          <w:p w14:paraId="72000000">
            <w:pPr>
              <w:ind/>
              <w:jc w:val="center"/>
              <w:rPr>
                <w:rFonts w:ascii="Times New Roman" w:hAnsi="Times New Roman"/>
                <w:sz w:val="24"/>
              </w:rPr>
            </w:pPr>
            <w:r>
              <w:rPr>
                <w:rFonts w:ascii="Times New Roman" w:hAnsi="Times New Roman"/>
                <w:sz w:val="24"/>
              </w:rPr>
              <w:t>МУП</w:t>
            </w:r>
          </w:p>
        </w:tc>
        <w:tc>
          <w:tcPr>
            <w:tcW w:type="dxa" w:w="2837"/>
            <w:gridSpan w:val="2"/>
            <w:vAlign w:val="center"/>
          </w:tcPr>
          <w:p w14:paraId="73000000">
            <w:pPr>
              <w:ind/>
              <w:jc w:val="center"/>
              <w:rPr>
                <w:rFonts w:ascii="Times New Roman" w:hAnsi="Times New Roman"/>
                <w:sz w:val="24"/>
              </w:rPr>
            </w:pPr>
            <w:r>
              <w:rPr>
                <w:rFonts w:ascii="Times New Roman" w:hAnsi="Times New Roman"/>
                <w:sz w:val="24"/>
              </w:rPr>
              <w:t>Льготный отпуск лекарств по НСУ</w:t>
            </w:r>
          </w:p>
        </w:tc>
      </w:tr>
      <w:tr>
        <w:tc>
          <w:tcPr>
            <w:tcW w:type="dxa" w:w="2185"/>
            <w:vAlign w:val="center"/>
          </w:tcPr>
          <w:p w14:paraId="74000000">
            <w:pPr>
              <w:ind/>
              <w:jc w:val="center"/>
              <w:rPr>
                <w:rFonts w:ascii="Times New Roman" w:hAnsi="Times New Roman"/>
                <w:sz w:val="24"/>
              </w:rPr>
            </w:pPr>
            <w:r>
              <w:rPr>
                <w:rFonts w:ascii="Times New Roman" w:hAnsi="Times New Roman"/>
                <w:sz w:val="24"/>
              </w:rPr>
              <w:t>МБОУ «СОШ № 14»</w:t>
            </w:r>
          </w:p>
        </w:tc>
        <w:tc>
          <w:tcPr>
            <w:tcW w:type="dxa" w:w="2488"/>
            <w:gridSpan w:val="2"/>
            <w:vAlign w:val="center"/>
          </w:tcPr>
          <w:p w14:paraId="75000000">
            <w:pPr>
              <w:ind/>
              <w:jc w:val="center"/>
              <w:rPr>
                <w:rFonts w:ascii="Times New Roman" w:hAnsi="Times New Roman"/>
                <w:sz w:val="24"/>
              </w:rPr>
            </w:pPr>
            <w:r>
              <w:rPr>
                <w:rFonts w:ascii="Times New Roman" w:hAnsi="Times New Roman"/>
                <w:sz w:val="24"/>
              </w:rPr>
              <w:t>Общее образование</w:t>
            </w:r>
          </w:p>
        </w:tc>
        <w:tc>
          <w:tcPr>
            <w:tcW w:type="dxa" w:w="1845"/>
            <w:gridSpan w:val="2"/>
            <w:vAlign w:val="center"/>
          </w:tcPr>
          <w:p w14:paraId="76000000">
            <w:pPr>
              <w:ind/>
              <w:jc w:val="center"/>
              <w:rPr>
                <w:rFonts w:ascii="Times New Roman" w:hAnsi="Times New Roman"/>
                <w:sz w:val="24"/>
              </w:rPr>
            </w:pPr>
            <w:r>
              <w:rPr>
                <w:rFonts w:ascii="Times New Roman" w:hAnsi="Times New Roman"/>
                <w:sz w:val="24"/>
              </w:rPr>
              <w:t>МБУ</w:t>
            </w:r>
          </w:p>
        </w:tc>
        <w:tc>
          <w:tcPr>
            <w:tcW w:type="dxa" w:w="2837"/>
            <w:gridSpan w:val="2"/>
            <w:vAlign w:val="center"/>
          </w:tcPr>
          <w:p w14:paraId="77000000">
            <w:pPr>
              <w:ind/>
              <w:jc w:val="center"/>
              <w:rPr>
                <w:rFonts w:ascii="Times New Roman" w:hAnsi="Times New Roman"/>
                <w:sz w:val="24"/>
              </w:rPr>
            </w:pPr>
            <w:r>
              <w:rPr>
                <w:rFonts w:ascii="Times New Roman" w:hAnsi="Times New Roman"/>
                <w:sz w:val="24"/>
              </w:rPr>
              <w:t>Бесплатное питание многодетным</w:t>
            </w:r>
          </w:p>
        </w:tc>
      </w:tr>
      <w:tr>
        <w:tc>
          <w:tcPr>
            <w:tcW w:type="dxa" w:w="2185"/>
            <w:vAlign w:val="center"/>
          </w:tcPr>
          <w:p w14:paraId="78000000">
            <w:pPr>
              <w:ind/>
              <w:jc w:val="center"/>
              <w:rPr>
                <w:rFonts w:ascii="Times New Roman" w:hAnsi="Times New Roman"/>
                <w:sz w:val="24"/>
              </w:rPr>
            </w:pPr>
            <w:r>
              <w:rPr>
                <w:rFonts w:ascii="Times New Roman" w:hAnsi="Times New Roman"/>
                <w:sz w:val="24"/>
              </w:rPr>
              <w:t>МБДОУ № 27</w:t>
            </w:r>
          </w:p>
        </w:tc>
        <w:tc>
          <w:tcPr>
            <w:tcW w:type="dxa" w:w="2488"/>
            <w:gridSpan w:val="2"/>
            <w:vAlign w:val="center"/>
          </w:tcPr>
          <w:p w14:paraId="79000000">
            <w:pPr>
              <w:ind/>
              <w:jc w:val="center"/>
              <w:rPr>
                <w:rFonts w:ascii="Times New Roman" w:hAnsi="Times New Roman"/>
                <w:sz w:val="24"/>
              </w:rPr>
            </w:pPr>
            <w:r>
              <w:rPr>
                <w:rFonts w:ascii="Times New Roman" w:hAnsi="Times New Roman"/>
                <w:sz w:val="24"/>
              </w:rPr>
              <w:t>Дошкольное образование</w:t>
            </w:r>
          </w:p>
        </w:tc>
        <w:tc>
          <w:tcPr>
            <w:tcW w:type="dxa" w:w="1845"/>
            <w:gridSpan w:val="2"/>
            <w:vAlign w:val="center"/>
          </w:tcPr>
          <w:p w14:paraId="7A000000">
            <w:pPr>
              <w:ind/>
              <w:jc w:val="center"/>
              <w:rPr>
                <w:rFonts w:ascii="Times New Roman" w:hAnsi="Times New Roman"/>
                <w:sz w:val="24"/>
              </w:rPr>
            </w:pPr>
            <w:r>
              <w:rPr>
                <w:rFonts w:ascii="Times New Roman" w:hAnsi="Times New Roman"/>
                <w:sz w:val="24"/>
              </w:rPr>
              <w:t>МБУ</w:t>
            </w:r>
          </w:p>
        </w:tc>
        <w:tc>
          <w:tcPr>
            <w:tcW w:type="dxa" w:w="2837"/>
            <w:gridSpan w:val="2"/>
            <w:vAlign w:val="center"/>
          </w:tcPr>
          <w:p w14:paraId="7B000000">
            <w:pPr>
              <w:ind/>
              <w:jc w:val="center"/>
              <w:rPr>
                <w:rFonts w:ascii="Times New Roman" w:hAnsi="Times New Roman"/>
                <w:sz w:val="24"/>
              </w:rPr>
            </w:pPr>
            <w:r>
              <w:rPr>
                <w:rFonts w:ascii="Times New Roman" w:hAnsi="Times New Roman"/>
                <w:sz w:val="24"/>
              </w:rPr>
              <w:t>Компенсация платы многодетным/малоимущим</w:t>
            </w:r>
          </w:p>
        </w:tc>
      </w:tr>
      <w:tr>
        <w:tc>
          <w:tcPr>
            <w:tcW w:type="dxa" w:w="2185"/>
            <w:vAlign w:val="center"/>
          </w:tcPr>
          <w:p w14:paraId="7C000000">
            <w:pPr>
              <w:ind/>
              <w:jc w:val="center"/>
              <w:rPr>
                <w:rFonts w:ascii="Times New Roman" w:hAnsi="Times New Roman"/>
                <w:sz w:val="24"/>
              </w:rPr>
            </w:pPr>
            <w:r>
              <w:rPr>
                <w:rFonts w:ascii="Times New Roman" w:hAnsi="Times New Roman"/>
                <w:sz w:val="24"/>
              </w:rPr>
              <w:t>Центр досуга</w:t>
            </w:r>
          </w:p>
        </w:tc>
        <w:tc>
          <w:tcPr>
            <w:tcW w:type="dxa" w:w="2488"/>
            <w:gridSpan w:val="2"/>
            <w:vAlign w:val="center"/>
          </w:tcPr>
          <w:p w14:paraId="7D000000">
            <w:pPr>
              <w:ind/>
              <w:jc w:val="center"/>
              <w:rPr>
                <w:rFonts w:ascii="Times New Roman" w:hAnsi="Times New Roman"/>
                <w:sz w:val="24"/>
              </w:rPr>
            </w:pPr>
            <w:r>
              <w:rPr>
                <w:rFonts w:ascii="Times New Roman" w:hAnsi="Times New Roman"/>
                <w:sz w:val="24"/>
              </w:rPr>
              <w:t>Культурно-досуговые услуги</w:t>
            </w:r>
          </w:p>
        </w:tc>
        <w:tc>
          <w:tcPr>
            <w:tcW w:type="dxa" w:w="1845"/>
            <w:gridSpan w:val="2"/>
            <w:vAlign w:val="center"/>
          </w:tcPr>
          <w:p w14:paraId="7E000000">
            <w:pPr>
              <w:ind/>
              <w:jc w:val="center"/>
              <w:rPr>
                <w:rFonts w:ascii="Times New Roman" w:hAnsi="Times New Roman"/>
                <w:sz w:val="24"/>
              </w:rPr>
            </w:pPr>
            <w:r>
              <w:rPr>
                <w:rFonts w:ascii="Times New Roman" w:hAnsi="Times New Roman"/>
                <w:sz w:val="24"/>
              </w:rPr>
              <w:t>МБУ культуры</w:t>
            </w:r>
          </w:p>
        </w:tc>
        <w:tc>
          <w:tcPr>
            <w:tcW w:type="dxa" w:w="2837"/>
            <w:gridSpan w:val="2"/>
            <w:vAlign w:val="center"/>
          </w:tcPr>
          <w:p w14:paraId="7F000000">
            <w:pPr>
              <w:ind/>
              <w:jc w:val="center"/>
              <w:rPr>
                <w:rFonts w:ascii="Times New Roman" w:hAnsi="Times New Roman"/>
                <w:sz w:val="24"/>
              </w:rPr>
            </w:pPr>
            <w:r>
              <w:rPr>
                <w:rFonts w:ascii="Times New Roman" w:hAnsi="Times New Roman"/>
                <w:sz w:val="24"/>
              </w:rPr>
              <w:t>Активное долголетие; программа «Старшее поколение»</w:t>
            </w:r>
          </w:p>
        </w:tc>
      </w:tr>
      <w:tr>
        <w:tc>
          <w:tcPr>
            <w:tcW w:type="dxa" w:w="2185"/>
            <w:tcBorders>
              <w:bottom w:color="000000" w:sz="4" w:val="single"/>
            </w:tcBorders>
            <w:vAlign w:val="center"/>
          </w:tcPr>
          <w:p w14:paraId="80000000">
            <w:pPr>
              <w:ind/>
              <w:jc w:val="center"/>
              <w:rPr>
                <w:rFonts w:ascii="Times New Roman" w:hAnsi="Times New Roman"/>
                <w:sz w:val="24"/>
              </w:rPr>
            </w:pPr>
            <w:r>
              <w:rPr>
                <w:rFonts w:ascii="Times New Roman" w:hAnsi="Times New Roman"/>
                <w:sz w:val="24"/>
              </w:rPr>
              <w:t>Поселковая и детская библиотека</w:t>
            </w:r>
          </w:p>
        </w:tc>
        <w:tc>
          <w:tcPr>
            <w:tcW w:type="dxa" w:w="2488"/>
            <w:gridSpan w:val="2"/>
            <w:tcBorders>
              <w:bottom w:color="000000" w:sz="4" w:val="single"/>
            </w:tcBorders>
            <w:vAlign w:val="center"/>
          </w:tcPr>
          <w:p w14:paraId="81000000">
            <w:pPr>
              <w:ind/>
              <w:jc w:val="center"/>
              <w:rPr>
                <w:rFonts w:ascii="Times New Roman" w:hAnsi="Times New Roman"/>
                <w:sz w:val="24"/>
              </w:rPr>
            </w:pPr>
            <w:r>
              <w:rPr>
                <w:rFonts w:ascii="Times New Roman" w:hAnsi="Times New Roman"/>
                <w:sz w:val="24"/>
              </w:rPr>
              <w:t>Информационно-культурные услуги</w:t>
            </w:r>
          </w:p>
        </w:tc>
        <w:tc>
          <w:tcPr>
            <w:tcW w:type="dxa" w:w="1845"/>
            <w:gridSpan w:val="2"/>
            <w:tcBorders>
              <w:bottom w:color="000000" w:sz="4" w:val="single"/>
            </w:tcBorders>
            <w:vAlign w:val="center"/>
          </w:tcPr>
          <w:p w14:paraId="82000000">
            <w:pPr>
              <w:ind/>
              <w:jc w:val="center"/>
              <w:rPr>
                <w:rFonts w:ascii="Times New Roman" w:hAnsi="Times New Roman"/>
                <w:sz w:val="24"/>
              </w:rPr>
            </w:pPr>
            <w:r>
              <w:rPr>
                <w:rFonts w:ascii="Times New Roman" w:hAnsi="Times New Roman"/>
                <w:sz w:val="24"/>
              </w:rPr>
              <w:t>МБУ культуры</w:t>
            </w:r>
          </w:p>
        </w:tc>
        <w:tc>
          <w:tcPr>
            <w:tcW w:type="dxa" w:w="2837"/>
            <w:gridSpan w:val="2"/>
            <w:tcBorders>
              <w:bottom w:color="000000" w:sz="4" w:val="single"/>
            </w:tcBorders>
            <w:vAlign w:val="center"/>
          </w:tcPr>
          <w:p w14:paraId="83000000">
            <w:pPr>
              <w:ind/>
              <w:jc w:val="center"/>
              <w:rPr>
                <w:rFonts w:ascii="Times New Roman" w:hAnsi="Times New Roman"/>
                <w:sz w:val="24"/>
              </w:rPr>
            </w:pPr>
            <w:r>
              <w:rPr>
                <w:rFonts w:ascii="Times New Roman" w:hAnsi="Times New Roman"/>
                <w:sz w:val="24"/>
              </w:rPr>
              <w:t>Социализация; информирование</w:t>
            </w:r>
          </w:p>
        </w:tc>
      </w:tr>
      <w:tr>
        <w:tc>
          <w:tcPr>
            <w:tcW w:type="dxa" w:w="2185"/>
            <w:tcBorders>
              <w:left w:sz="4" w:val="nil"/>
              <w:bottom w:sz="4" w:val="nil"/>
              <w:right w:sz="4" w:val="nil"/>
            </w:tcBorders>
            <w:vAlign w:val="center"/>
          </w:tcPr>
          <w:p w14:paraId="84000000">
            <w:pPr>
              <w:ind/>
              <w:jc w:val="center"/>
              <w:rPr>
                <w:rFonts w:ascii="Times New Roman" w:hAnsi="Times New Roman"/>
              </w:rPr>
            </w:pPr>
          </w:p>
        </w:tc>
        <w:tc>
          <w:tcPr>
            <w:tcW w:type="dxa" w:w="2488"/>
            <w:gridSpan w:val="2"/>
            <w:tcBorders>
              <w:left w:sz="4" w:val="nil"/>
              <w:bottom w:sz="4" w:val="nil"/>
              <w:right w:sz="4" w:val="nil"/>
            </w:tcBorders>
            <w:vAlign w:val="center"/>
          </w:tcPr>
          <w:p w14:paraId="85000000">
            <w:pPr>
              <w:ind/>
              <w:jc w:val="center"/>
              <w:rPr>
                <w:rFonts w:ascii="Times New Roman" w:hAnsi="Times New Roman"/>
              </w:rPr>
            </w:pPr>
          </w:p>
        </w:tc>
        <w:tc>
          <w:tcPr>
            <w:tcW w:type="dxa" w:w="1845"/>
            <w:gridSpan w:val="2"/>
            <w:tcBorders>
              <w:left w:sz="4" w:val="nil"/>
              <w:bottom w:sz="4" w:val="nil"/>
              <w:right w:sz="4" w:val="nil"/>
            </w:tcBorders>
            <w:vAlign w:val="center"/>
          </w:tcPr>
          <w:p w14:paraId="86000000">
            <w:pPr>
              <w:ind/>
              <w:jc w:val="center"/>
              <w:rPr>
                <w:rFonts w:ascii="Times New Roman" w:hAnsi="Times New Roman"/>
              </w:rPr>
            </w:pPr>
          </w:p>
        </w:tc>
        <w:tc>
          <w:tcPr>
            <w:tcW w:type="dxa" w:w="2837"/>
            <w:gridSpan w:val="2"/>
            <w:tcBorders>
              <w:left w:sz="4" w:val="nil"/>
              <w:bottom w:sz="4" w:val="nil"/>
              <w:right w:sz="4" w:val="nil"/>
            </w:tcBorders>
            <w:vAlign w:val="center"/>
          </w:tcPr>
          <w:p w14:paraId="87000000">
            <w:pPr>
              <w:ind/>
              <w:jc w:val="center"/>
              <w:rPr>
                <w:rFonts w:ascii="Times New Roman" w:hAnsi="Times New Roman"/>
              </w:rPr>
            </w:pPr>
          </w:p>
        </w:tc>
      </w:tr>
      <w:tr>
        <w:tc>
          <w:tcPr>
            <w:tcW w:type="dxa" w:w="9355"/>
            <w:gridSpan w:val="7"/>
            <w:tcBorders>
              <w:top w:sz="4" w:val="nil"/>
              <w:left w:sz="4" w:val="nil"/>
              <w:right w:sz="4" w:val="nil"/>
            </w:tcBorders>
            <w:vAlign w:val="center"/>
          </w:tcPr>
          <w:p w14:paraId="88000000">
            <w:pPr>
              <w:spacing w:line="360" w:lineRule="auto"/>
              <w:ind/>
              <w:jc w:val="right"/>
              <w:rPr>
                <w:rFonts w:ascii="Times New Roman" w:hAnsi="Times New Roman"/>
                <w:sz w:val="28"/>
              </w:rPr>
            </w:pPr>
            <w:r>
              <w:rPr>
                <w:rFonts w:ascii="Times New Roman" w:hAnsi="Times New Roman"/>
                <w:sz w:val="28"/>
              </w:rPr>
              <w:t>Продолжение таблицы 2.2</w:t>
            </w:r>
          </w:p>
        </w:tc>
      </w:tr>
      <w:tr>
        <w:tc>
          <w:tcPr>
            <w:tcW w:type="dxa" w:w="2220"/>
            <w:gridSpan w:val="2"/>
            <w:vAlign w:val="center"/>
          </w:tcPr>
          <w:p w14:paraId="89000000">
            <w:pPr>
              <w:ind/>
              <w:jc w:val="center"/>
              <w:rPr>
                <w:rFonts w:ascii="Times New Roman" w:hAnsi="Times New Roman"/>
                <w:sz w:val="24"/>
              </w:rPr>
            </w:pPr>
            <w:r>
              <w:rPr>
                <w:rFonts w:ascii="Times New Roman" w:hAnsi="Times New Roman"/>
                <w:sz w:val="24"/>
              </w:rPr>
              <w:t>СПК «Кварц»</w:t>
            </w:r>
          </w:p>
        </w:tc>
        <w:tc>
          <w:tcPr>
            <w:tcW w:type="dxa" w:w="2487"/>
            <w:gridSpan w:val="2"/>
            <w:vAlign w:val="center"/>
          </w:tcPr>
          <w:p w14:paraId="8A000000">
            <w:pPr>
              <w:ind/>
              <w:jc w:val="center"/>
              <w:rPr>
                <w:rFonts w:ascii="Times New Roman" w:hAnsi="Times New Roman"/>
                <w:sz w:val="24"/>
              </w:rPr>
            </w:pPr>
            <w:r>
              <w:rPr>
                <w:rFonts w:ascii="Times New Roman" w:hAnsi="Times New Roman"/>
                <w:sz w:val="24"/>
              </w:rPr>
              <w:t>Физкультурно-патриотическая работа</w:t>
            </w:r>
          </w:p>
        </w:tc>
        <w:tc>
          <w:tcPr>
            <w:tcW w:type="dxa" w:w="1845"/>
            <w:gridSpan w:val="2"/>
            <w:vAlign w:val="center"/>
          </w:tcPr>
          <w:p w14:paraId="8B000000">
            <w:pPr>
              <w:ind/>
              <w:jc w:val="center"/>
              <w:rPr>
                <w:rFonts w:ascii="Times New Roman" w:hAnsi="Times New Roman"/>
                <w:sz w:val="24"/>
              </w:rPr>
            </w:pPr>
            <w:r>
              <w:rPr>
                <w:rFonts w:ascii="Times New Roman" w:hAnsi="Times New Roman"/>
                <w:sz w:val="24"/>
              </w:rPr>
              <w:t>Общественная организация</w:t>
            </w:r>
          </w:p>
        </w:tc>
        <w:tc>
          <w:tcPr>
            <w:tcW w:type="dxa" w:w="2803"/>
            <w:vAlign w:val="center"/>
          </w:tcPr>
          <w:p w14:paraId="8C000000">
            <w:pPr>
              <w:ind/>
              <w:jc w:val="center"/>
              <w:rPr>
                <w:rFonts w:ascii="Times New Roman" w:hAnsi="Times New Roman"/>
                <w:sz w:val="24"/>
              </w:rPr>
            </w:pPr>
            <w:r>
              <w:rPr>
                <w:rFonts w:ascii="Times New Roman" w:hAnsi="Times New Roman"/>
                <w:sz w:val="24"/>
              </w:rPr>
              <w:t>Работа с молодёжью и семьями военнослужащих</w:t>
            </w:r>
          </w:p>
        </w:tc>
      </w:tr>
      <w:tr>
        <w:tc>
          <w:tcPr>
            <w:tcW w:type="dxa" w:w="2220"/>
            <w:gridSpan w:val="2"/>
            <w:vAlign w:val="center"/>
          </w:tcPr>
          <w:p w14:paraId="8D000000">
            <w:pPr>
              <w:ind/>
              <w:jc w:val="center"/>
              <w:rPr>
                <w:rFonts w:ascii="Times New Roman" w:hAnsi="Times New Roman"/>
                <w:sz w:val="24"/>
              </w:rPr>
            </w:pPr>
            <w:r>
              <w:rPr>
                <w:rFonts w:ascii="Times New Roman" w:hAnsi="Times New Roman"/>
                <w:sz w:val="24"/>
              </w:rPr>
              <w:t>ТУ посёлка Красногвардейский</w:t>
            </w:r>
          </w:p>
        </w:tc>
        <w:tc>
          <w:tcPr>
            <w:tcW w:type="dxa" w:w="2487"/>
            <w:gridSpan w:val="2"/>
            <w:vAlign w:val="center"/>
          </w:tcPr>
          <w:p w14:paraId="8E000000">
            <w:pPr>
              <w:ind/>
              <w:jc w:val="center"/>
              <w:rPr>
                <w:rFonts w:ascii="Times New Roman" w:hAnsi="Times New Roman"/>
                <w:sz w:val="24"/>
              </w:rPr>
            </w:pPr>
            <w:r>
              <w:rPr>
                <w:rFonts w:ascii="Times New Roman" w:hAnsi="Times New Roman"/>
                <w:sz w:val="24"/>
              </w:rPr>
              <w:t>Первичный приём граждан; координация</w:t>
            </w:r>
          </w:p>
        </w:tc>
        <w:tc>
          <w:tcPr>
            <w:tcW w:type="dxa" w:w="1845"/>
            <w:gridSpan w:val="2"/>
            <w:vAlign w:val="center"/>
          </w:tcPr>
          <w:p w14:paraId="8F000000">
            <w:pPr>
              <w:ind/>
              <w:jc w:val="center"/>
              <w:rPr>
                <w:rFonts w:ascii="Times New Roman" w:hAnsi="Times New Roman"/>
                <w:sz w:val="24"/>
              </w:rPr>
            </w:pPr>
            <w:r>
              <w:rPr>
                <w:rFonts w:ascii="Times New Roman" w:hAnsi="Times New Roman"/>
                <w:sz w:val="24"/>
              </w:rPr>
              <w:t>Структурное подразделение администрации</w:t>
            </w:r>
          </w:p>
        </w:tc>
        <w:tc>
          <w:tcPr>
            <w:tcW w:type="dxa" w:w="2803"/>
            <w:vAlign w:val="center"/>
          </w:tcPr>
          <w:p w14:paraId="90000000">
            <w:pPr>
              <w:ind/>
              <w:jc w:val="center"/>
              <w:rPr>
                <w:rFonts w:ascii="Times New Roman" w:hAnsi="Times New Roman"/>
                <w:sz w:val="24"/>
              </w:rPr>
            </w:pPr>
            <w:r>
              <w:rPr>
                <w:rFonts w:ascii="Times New Roman" w:hAnsi="Times New Roman"/>
                <w:sz w:val="24"/>
              </w:rPr>
              <w:t>Информирование; первичные консультации</w:t>
            </w:r>
          </w:p>
        </w:tc>
      </w:tr>
    </w:tbl>
    <w:p w14:paraId="91000000">
      <w:pPr>
        <w:spacing w:after="0" w:line="360" w:lineRule="auto"/>
        <w:ind w:firstLine="709" w:left="0"/>
        <w:jc w:val="both"/>
        <w:rPr>
          <w:rFonts w:ascii="Times New Roman" w:hAnsi="Times New Roman"/>
          <w:sz w:val="28"/>
        </w:rPr>
      </w:pPr>
    </w:p>
    <w:p w14:paraId="92000000">
      <w:pPr>
        <w:spacing w:after="0" w:line="360" w:lineRule="auto"/>
        <w:ind w:firstLine="709" w:left="0"/>
        <w:jc w:val="both"/>
        <w:rPr>
          <w:rFonts w:ascii="Times New Roman" w:hAnsi="Times New Roman"/>
          <w:sz w:val="28"/>
        </w:rPr>
      </w:pPr>
      <w:r>
        <w:rPr>
          <w:rFonts w:ascii="Times New Roman" w:hAnsi="Times New Roman"/>
          <w:sz w:val="28"/>
        </w:rPr>
        <w:t xml:space="preserve">Таким образом, социально-демографическая ситуация в посёлке Красногвардейский характеризуется сочетанием нескольких неблагоприятных факторов: систематической убылью населения и постепенным «старением» оставшегося контингента; доходами ниже среднеобластного уровня; наличием специфического контингента учреждения социального обслуживания (ПНИ); минимальным штатом единственного учреждения, напрямую представляющего интересы населения в системе социальной защиты (ТУ). </w:t>
      </w:r>
    </w:p>
    <w:p w14:paraId="93000000">
      <w:pPr>
        <w:spacing w:after="0" w:line="360" w:lineRule="auto"/>
        <w:ind w:firstLine="709" w:left="0"/>
        <w:jc w:val="both"/>
        <w:rPr>
          <w:rFonts w:ascii="Times New Roman" w:hAnsi="Times New Roman"/>
          <w:sz w:val="28"/>
        </w:rPr>
      </w:pPr>
      <w:r>
        <w:rPr>
          <w:rFonts w:ascii="Times New Roman" w:hAnsi="Times New Roman"/>
          <w:sz w:val="28"/>
        </w:rPr>
        <w:t>Совокупность этих обстоятельств формирует устойчивый запрос на адресную, территориально ориентированную и кадрово</w:t>
      </w:r>
      <w:r>
        <w:rPr>
          <w:rFonts w:ascii="Times New Roman" w:hAnsi="Times New Roman"/>
          <w:sz w:val="28"/>
        </w:rPr>
        <w:t>-</w:t>
      </w:r>
      <w:r>
        <w:rPr>
          <w:rFonts w:ascii="Times New Roman" w:hAnsi="Times New Roman"/>
          <w:sz w:val="28"/>
        </w:rPr>
        <w:t>обеспеченную систему социальной поддержки, которая в настоящее время реализована лишь частично.</w:t>
      </w:r>
    </w:p>
    <w:p w14:paraId="94000000">
      <w:pPr>
        <w:spacing w:after="0" w:line="360" w:lineRule="auto"/>
        <w:ind w:firstLine="709" w:left="0"/>
        <w:jc w:val="both"/>
        <w:rPr>
          <w:rFonts w:ascii="Times New Roman" w:hAnsi="Times New Roman"/>
          <w:sz w:val="28"/>
        </w:rPr>
      </w:pPr>
      <w:r>
        <w:rPr>
          <w:rFonts w:ascii="Times New Roman" w:hAnsi="Times New Roman"/>
          <w:sz w:val="28"/>
        </w:rPr>
        <w:t>​</w:t>
      </w:r>
    </w:p>
    <w:p w14:paraId="95000000">
      <w:pPr>
        <w:pStyle w:val="Style_3"/>
      </w:pPr>
      <w:r>
        <w:t xml:space="preserve">2.2 </w:t>
      </w:r>
      <w:r>
        <w:t>Анализ действующих программ и мер социальной поддержки населения</w:t>
      </w:r>
    </w:p>
    <w:p w14:paraId="96000000">
      <w:pPr>
        <w:spacing w:after="0" w:line="360" w:lineRule="auto"/>
        <w:ind w:firstLine="709" w:left="0"/>
        <w:jc w:val="both"/>
        <w:rPr>
          <w:rFonts w:ascii="Times New Roman" w:hAnsi="Times New Roman"/>
          <w:sz w:val="28"/>
        </w:rPr>
      </w:pPr>
    </w:p>
    <w:p w14:paraId="97000000">
      <w:pPr>
        <w:spacing w:after="0" w:line="360" w:lineRule="auto"/>
        <w:ind w:firstLine="709" w:left="0"/>
        <w:jc w:val="both"/>
        <w:rPr>
          <w:rFonts w:ascii="Times New Roman" w:hAnsi="Times New Roman"/>
          <w:sz w:val="28"/>
        </w:rPr>
      </w:pPr>
      <w:r>
        <w:rPr>
          <w:rFonts w:ascii="Times New Roman" w:hAnsi="Times New Roman"/>
          <w:sz w:val="28"/>
        </w:rPr>
        <w:t xml:space="preserve">Система социальной поддержки населения посёлка Красногвардейский строится на трёхуровневой нормативно-финансовой архитектуре: федеральный уровень задаёт рамку базовых выплат и услуг и обеспечивает их основное финансирование; региональный уровень (Свердловская область) добавляет собственные меры поддержки, финансирует систему социального обслуживания и устанавливает региональные стандарты; муниципальный уровень (Артемовский муниципальный округ, ТУ посёлка) обеспечивает организационно-информационное сопровождение граждан. Реальные выплаты и услуги назначаются Управлением социальной политики Артемовского округа, Социальным фондом России (отделение по </w:t>
      </w:r>
      <w:r>
        <w:rPr>
          <w:rFonts w:ascii="Times New Roman" w:hAnsi="Times New Roman"/>
          <w:sz w:val="28"/>
        </w:rPr>
        <w:t>Свердловской области) и КЦСОН. ТУ посёлка в данной цепочке занимает позицию ближайшего к гражданину представителя системы, не обладающего, однако, прямыми финансовыми полномочиями.</w:t>
      </w:r>
    </w:p>
    <w:p w14:paraId="98000000">
      <w:pPr>
        <w:spacing w:after="0" w:line="360" w:lineRule="auto"/>
        <w:ind w:firstLine="709" w:left="0"/>
        <w:jc w:val="both"/>
        <w:rPr>
          <w:rFonts w:ascii="Times New Roman" w:hAnsi="Times New Roman"/>
          <w:sz w:val="28"/>
        </w:rPr>
      </w:pPr>
      <w:r>
        <w:rPr>
          <w:rFonts w:ascii="Times New Roman" w:hAnsi="Times New Roman"/>
          <w:sz w:val="28"/>
        </w:rPr>
        <w:t>Федеральная нормативная основа. Систему федеральных мер социальной поддержки определяют прежде всего следующие нормативные акты: Федеральный закон от 24.11.1995 № 181-ФЗ «О социальной защите инвалидов в Российской Федерации» (ЕДВ, НСУ, технические средства реабилитации); Федеральный закон от 19.05.1995 № 81-ФЗ «О государственных пособиях гражданам, имеющим детей» (пособие по беременности и родам, по уходу за ребёнком); Федеральный закон от 29.12.2006 № 256-ФЗ «О дополнительных мерах государственной поддержки семей, имеющих детей» (материнский капитал); Федеральный закон от 28.12.2013 № 442-ФЗ «Об основах социального обслуживания граждан в Российской Федерации» (формы и условия предоставления социальных услуг); Федеральный закон от 17.07.1999 № 178-ФЗ «О государственной социальной помощи» (социальный контракт, адресная помощь). С 2023 года администрирование большинства федеральных выплат передано Социальному фонду России, образованному путём слияния ПФР и ФСС РФ.</w:t>
      </w:r>
    </w:p>
    <w:p w14:paraId="99000000">
      <w:pPr>
        <w:spacing w:after="0" w:line="360" w:lineRule="auto"/>
        <w:ind w:firstLine="709" w:left="0"/>
        <w:jc w:val="both"/>
        <w:rPr>
          <w:rFonts w:ascii="Times New Roman" w:hAnsi="Times New Roman"/>
          <w:sz w:val="28"/>
        </w:rPr>
      </w:pPr>
      <w:r>
        <w:rPr>
          <w:rFonts w:ascii="Times New Roman" w:hAnsi="Times New Roman"/>
          <w:sz w:val="28"/>
        </w:rPr>
        <w:t xml:space="preserve">С 1 февраля 2025 года, после ежегодной индексации на 9,5% (в соответствии с уровнем инфляции), размеры ЕДВ составили: инвалиды I группы </w:t>
      </w:r>
      <w:r>
        <w:rPr>
          <w:rFonts w:ascii="Times New Roman" w:hAnsi="Times New Roman"/>
          <w:sz w:val="28"/>
        </w:rPr>
        <w:t>–</w:t>
      </w:r>
      <w:r>
        <w:rPr>
          <w:rFonts w:ascii="Times New Roman" w:hAnsi="Times New Roman"/>
          <w:sz w:val="28"/>
        </w:rPr>
        <w:t xml:space="preserve"> 5 830,70 руб./мес.; II группы </w:t>
      </w:r>
      <w:r>
        <w:rPr>
          <w:rFonts w:ascii="Times New Roman" w:hAnsi="Times New Roman"/>
          <w:sz w:val="28"/>
        </w:rPr>
        <w:t>–</w:t>
      </w:r>
      <w:r>
        <w:rPr>
          <w:rFonts w:ascii="Times New Roman" w:hAnsi="Times New Roman"/>
          <w:sz w:val="28"/>
        </w:rPr>
        <w:t xml:space="preserve"> 2 963,90 руб./мес.; III группы </w:t>
      </w:r>
      <w:r>
        <w:rPr>
          <w:rFonts w:ascii="Times New Roman" w:hAnsi="Times New Roman"/>
          <w:sz w:val="28"/>
        </w:rPr>
        <w:t>–</w:t>
      </w:r>
      <w:r>
        <w:rPr>
          <w:rFonts w:ascii="Times New Roman" w:hAnsi="Times New Roman"/>
          <w:sz w:val="28"/>
        </w:rPr>
        <w:t xml:space="preserve"> 2 371,40 руб./мес.; дети-инвалиды </w:t>
      </w:r>
      <w:r>
        <w:rPr>
          <w:rFonts w:ascii="Times New Roman" w:hAnsi="Times New Roman"/>
          <w:sz w:val="28"/>
        </w:rPr>
        <w:t>–</w:t>
      </w:r>
      <w:r>
        <w:rPr>
          <w:rFonts w:ascii="Times New Roman" w:hAnsi="Times New Roman"/>
          <w:sz w:val="28"/>
        </w:rPr>
        <w:t xml:space="preserve"> 3 540,55 руб./мес. В состав ЕДВ включён набор социальных услуг (НСУ) в стоимостном выражении: лекарственное обеспечение </w:t>
      </w:r>
      <w:r>
        <w:rPr>
          <w:rFonts w:ascii="Times New Roman" w:hAnsi="Times New Roman"/>
          <w:sz w:val="28"/>
        </w:rPr>
        <w:t>–</w:t>
      </w:r>
      <w:r>
        <w:rPr>
          <w:rFonts w:ascii="Times New Roman" w:hAnsi="Times New Roman"/>
          <w:sz w:val="28"/>
        </w:rPr>
        <w:t xml:space="preserve"> 1 331,30 руб./мес.; санаторно-курортное лечение </w:t>
      </w:r>
      <w:r>
        <w:rPr>
          <w:rFonts w:ascii="Times New Roman" w:hAnsi="Times New Roman"/>
          <w:sz w:val="28"/>
        </w:rPr>
        <w:t>–</w:t>
      </w:r>
      <w:r>
        <w:rPr>
          <w:rFonts w:ascii="Times New Roman" w:hAnsi="Times New Roman"/>
          <w:sz w:val="28"/>
        </w:rPr>
        <w:t xml:space="preserve"> 205,95 руб./мес.; льготный проезд </w:t>
      </w:r>
      <w:r>
        <w:rPr>
          <w:rFonts w:ascii="Times New Roman" w:hAnsi="Times New Roman"/>
          <w:sz w:val="28"/>
        </w:rPr>
        <w:t>–</w:t>
      </w:r>
      <w:r>
        <w:rPr>
          <w:rFonts w:ascii="Times New Roman" w:hAnsi="Times New Roman"/>
          <w:sz w:val="28"/>
        </w:rPr>
        <w:t xml:space="preserve"> 191,21 руб./мес.; итого полный НСУ </w:t>
      </w:r>
      <w:r>
        <w:rPr>
          <w:rFonts w:ascii="Times New Roman" w:hAnsi="Times New Roman"/>
          <w:sz w:val="28"/>
        </w:rPr>
        <w:t>–</w:t>
      </w:r>
      <w:r>
        <w:rPr>
          <w:rFonts w:ascii="Times New Roman" w:hAnsi="Times New Roman"/>
          <w:sz w:val="28"/>
        </w:rPr>
        <w:t xml:space="preserve"> 1 728,46 руб./мес. Гражданин вправе выбрать: получать НСУ в натуральной форме (лекарства </w:t>
      </w:r>
      <w:r>
        <w:rPr>
          <w:rFonts w:ascii="Times New Roman" w:hAnsi="Times New Roman"/>
          <w:sz w:val="28"/>
        </w:rPr>
        <w:t>–</w:t>
      </w:r>
      <w:r>
        <w:rPr>
          <w:rFonts w:ascii="Times New Roman" w:hAnsi="Times New Roman"/>
          <w:sz w:val="28"/>
        </w:rPr>
        <w:t xml:space="preserve"> через аптеку, путёвка </w:t>
      </w:r>
      <w:r>
        <w:rPr>
          <w:rFonts w:ascii="Times New Roman" w:hAnsi="Times New Roman"/>
          <w:sz w:val="28"/>
        </w:rPr>
        <w:t>–</w:t>
      </w:r>
      <w:r>
        <w:rPr>
          <w:rFonts w:ascii="Times New Roman" w:hAnsi="Times New Roman"/>
          <w:sz w:val="28"/>
        </w:rPr>
        <w:t xml:space="preserve"> через ФСС/СФР) или в денежной форме (монетизировать весь НСУ или его часть). Для жителей посёлка Красногвардейский монетизация НСУ, как правило, предпочтительнее: санаторно-курортное лечение труднодоступно из-за организационных </w:t>
      </w:r>
      <w:r>
        <w:rPr>
          <w:rFonts w:ascii="Times New Roman" w:hAnsi="Times New Roman"/>
          <w:sz w:val="28"/>
        </w:rPr>
        <w:t>барьеров, а льготный проезд практически не используется из-за отсутствия регулярного транспортного сообщения с пунктами предоставления этой льготы.</w:t>
      </w:r>
    </w:p>
    <w:p w14:paraId="9A000000">
      <w:pPr>
        <w:spacing w:after="0" w:line="360" w:lineRule="auto"/>
        <w:ind w:firstLine="709" w:left="0"/>
        <w:jc w:val="both"/>
        <w:rPr>
          <w:rFonts w:ascii="Times New Roman" w:hAnsi="Times New Roman"/>
          <w:sz w:val="28"/>
        </w:rPr>
      </w:pPr>
      <w:r>
        <w:rPr>
          <w:rFonts w:ascii="Times New Roman" w:hAnsi="Times New Roman"/>
          <w:sz w:val="28"/>
        </w:rPr>
        <w:t xml:space="preserve">С 1 января 2025 года ежемесячные компенсационные выплаты (1 200 руб./мес.) трудоспособным неработающим гражданам, осуществлявшим уход за инвалидами I группы в прежнем формате, прекращены. Вместо них введена автоматическая надбавка к пенсии нуждающегося в уходе. Одновременно сохранена (и с 2025 года распространена на более широкий круг ухаживающих) ежемесячная выплата в 10 000 руб. для лиц, ухаживающих за инвалидами с детства I группы и детьми-инвалидами. Помощникам по уходу по-прежнему начисляются страховой стаж и пенсионные баллы (1,8 балла за год ухода). Для получения баллов необходимо подать соответствующее заявление в органы соцзащиты </w:t>
      </w:r>
      <w:r>
        <w:rPr>
          <w:rFonts w:ascii="Times New Roman" w:hAnsi="Times New Roman"/>
          <w:sz w:val="28"/>
        </w:rPr>
        <w:t>–</w:t>
      </w:r>
      <w:r>
        <w:rPr>
          <w:rFonts w:ascii="Times New Roman" w:hAnsi="Times New Roman"/>
          <w:sz w:val="28"/>
        </w:rPr>
        <w:t xml:space="preserve"> без заявления начисление автоматическим не является. Данное требование существенно для посёлка: граждане, ухаживающие за тяжёлыми инвалидами, могут не знать об этом условии, что приводит к потере пенсионных прав. Задача ТУ </w:t>
      </w:r>
      <w:r>
        <w:rPr>
          <w:rFonts w:ascii="Times New Roman" w:hAnsi="Times New Roman"/>
          <w:sz w:val="28"/>
        </w:rPr>
        <w:t>–</w:t>
      </w:r>
      <w:r>
        <w:rPr>
          <w:rFonts w:ascii="Times New Roman" w:hAnsi="Times New Roman"/>
          <w:sz w:val="28"/>
        </w:rPr>
        <w:t xml:space="preserve"> информировать данную категорию граждан о необходимости подачи заявления.</w:t>
      </w:r>
    </w:p>
    <w:p w14:paraId="9B000000">
      <w:pPr>
        <w:spacing w:after="0" w:line="360" w:lineRule="auto"/>
        <w:ind w:firstLine="709" w:left="0"/>
        <w:jc w:val="both"/>
        <w:rPr>
          <w:rFonts w:ascii="Times New Roman" w:hAnsi="Times New Roman"/>
          <w:sz w:val="28"/>
        </w:rPr>
      </w:pPr>
      <w:r>
        <w:rPr>
          <w:rFonts w:ascii="Times New Roman" w:hAnsi="Times New Roman"/>
          <w:sz w:val="28"/>
        </w:rPr>
        <w:t xml:space="preserve">Введённое с 1 января 2023 года Указом Президента РФ от 21.12.2022 единое пособие объединило несколько прежних видов поддержки: пособие по уходу за ребёнком до 1,5 лет малоимущим; пособие на детей от 3 до 7 лет; пособие на детей от 8 до 17 лет; выплату беременным женщинам. Пособие назначается по принципу нуждаемости: среднедушевой доход семьи ниже одного прожиточного минимума на чел. в регионе, соответствие имущественному цензу (отсутствие имущества сверх установленных норм). Размер пособия </w:t>
      </w:r>
      <w:r>
        <w:rPr>
          <w:rFonts w:ascii="Times New Roman" w:hAnsi="Times New Roman"/>
          <w:sz w:val="28"/>
        </w:rPr>
        <w:t>–</w:t>
      </w:r>
      <w:r>
        <w:rPr>
          <w:rFonts w:ascii="Times New Roman" w:hAnsi="Times New Roman"/>
          <w:sz w:val="28"/>
        </w:rPr>
        <w:t xml:space="preserve"> 50%, 75% или 100% прожиточного минимума на ребёнка. В Свердловской области прожиточный минимум на ребёнка в 2025 году составляет около 15 800 руб.; соответственно, ежемесячная выплата на одного ребёнка варьируется от 7 900 до 15 800 руб. При наличии в семье двух-трёх детей суммарная поддержка может составлять от 15 800 до 47 400 руб./мес., что для малоимущих семей в посёлке Красногвардейский является </w:t>
      </w:r>
      <w:r>
        <w:rPr>
          <w:rFonts w:ascii="Times New Roman" w:hAnsi="Times New Roman"/>
          <w:sz w:val="28"/>
        </w:rPr>
        <w:t xml:space="preserve">существенным вкладом в бюджет. Охват семей с детьми данным пособием в посёлке </w:t>
      </w:r>
      <w:r>
        <w:rPr>
          <w:rFonts w:ascii="Times New Roman" w:hAnsi="Times New Roman"/>
          <w:sz w:val="28"/>
        </w:rPr>
        <w:t>–</w:t>
      </w:r>
      <w:r>
        <w:rPr>
          <w:rFonts w:ascii="Times New Roman" w:hAnsi="Times New Roman"/>
          <w:sz w:val="28"/>
        </w:rPr>
        <w:t xml:space="preserve"> один из важнейших показателей результативности системы.</w:t>
      </w:r>
    </w:p>
    <w:p w14:paraId="9C000000">
      <w:pPr>
        <w:spacing w:after="0" w:line="360" w:lineRule="auto"/>
        <w:ind w:firstLine="709" w:left="0"/>
        <w:jc w:val="both"/>
        <w:rPr>
          <w:rFonts w:ascii="Times New Roman" w:hAnsi="Times New Roman"/>
          <w:sz w:val="28"/>
        </w:rPr>
      </w:pPr>
      <w:r>
        <w:rPr>
          <w:rFonts w:ascii="Times New Roman" w:hAnsi="Times New Roman"/>
          <w:sz w:val="28"/>
        </w:rPr>
        <w:t xml:space="preserve">Пособие по беременности и родам зависит от среднего заработка за два предшествующих года. В 2025 году минимальный размер составляет: при одноплодной беременности </w:t>
      </w:r>
      <w:r>
        <w:rPr>
          <w:rFonts w:ascii="Times New Roman" w:hAnsi="Times New Roman"/>
          <w:sz w:val="28"/>
        </w:rPr>
        <w:t>–</w:t>
      </w:r>
      <w:r>
        <w:rPr>
          <w:rFonts w:ascii="Times New Roman" w:hAnsi="Times New Roman"/>
          <w:sz w:val="28"/>
        </w:rPr>
        <w:t xml:space="preserve"> 103 285 руб. за 140 дней; при осложнённых родах </w:t>
      </w:r>
      <w:r>
        <w:rPr>
          <w:rFonts w:ascii="Times New Roman" w:hAnsi="Times New Roman"/>
          <w:sz w:val="28"/>
        </w:rPr>
        <w:t>–</w:t>
      </w:r>
      <w:r>
        <w:rPr>
          <w:rFonts w:ascii="Times New Roman" w:hAnsi="Times New Roman"/>
          <w:sz w:val="28"/>
        </w:rPr>
        <w:t xml:space="preserve"> 115 089 руб.; при многоплодной беременности </w:t>
      </w:r>
      <w:r>
        <w:rPr>
          <w:rFonts w:ascii="Times New Roman" w:hAnsi="Times New Roman"/>
          <w:sz w:val="28"/>
        </w:rPr>
        <w:t>–</w:t>
      </w:r>
      <w:r>
        <w:rPr>
          <w:rFonts w:ascii="Times New Roman" w:hAnsi="Times New Roman"/>
          <w:sz w:val="28"/>
        </w:rPr>
        <w:t xml:space="preserve"> 143 123 руб. Максимальные размеры при высоком заработке: 794 355, 885 139 и 1 100 750 руб. соответственно. Для жителей посёлка с медианной зарплатой около 40 000–50 000 руб. (ниже </w:t>
      </w:r>
      <w:r>
        <w:rPr>
          <w:rFonts w:ascii="Times New Roman" w:hAnsi="Times New Roman"/>
          <w:sz w:val="28"/>
        </w:rPr>
        <w:t>среднеокружного</w:t>
      </w:r>
      <w:r>
        <w:rPr>
          <w:rFonts w:ascii="Times New Roman" w:hAnsi="Times New Roman"/>
          <w:sz w:val="28"/>
        </w:rPr>
        <w:t xml:space="preserve"> показателя 64 580 руб.) пособие окажется ближе к минимальным значениям. Пособие по уходу за ребёнком до 1,5 лет </w:t>
      </w:r>
      <w:r>
        <w:rPr>
          <w:rFonts w:ascii="Times New Roman" w:hAnsi="Times New Roman"/>
          <w:sz w:val="28"/>
        </w:rPr>
        <w:t>–</w:t>
      </w:r>
      <w:r>
        <w:rPr>
          <w:rFonts w:ascii="Times New Roman" w:hAnsi="Times New Roman"/>
          <w:sz w:val="28"/>
        </w:rPr>
        <w:t xml:space="preserve"> 40% от среднего заработка; с 1 января 2025 года максимум составляет 68 995 руб./мес., минимум </w:t>
      </w:r>
      <w:r>
        <w:rPr>
          <w:rFonts w:ascii="Times New Roman" w:hAnsi="Times New Roman"/>
          <w:sz w:val="28"/>
        </w:rPr>
        <w:t>–</w:t>
      </w:r>
      <w:r>
        <w:rPr>
          <w:rFonts w:ascii="Times New Roman" w:hAnsi="Times New Roman"/>
          <w:sz w:val="28"/>
        </w:rPr>
        <w:t xml:space="preserve"> 8 976 руб./мес. (40% от МРОТ 22 440 руб.).</w:t>
      </w:r>
    </w:p>
    <w:p w14:paraId="9D000000">
      <w:pPr>
        <w:spacing w:after="0" w:line="360" w:lineRule="auto"/>
        <w:ind w:firstLine="709" w:left="0"/>
        <w:jc w:val="both"/>
        <w:rPr>
          <w:rFonts w:ascii="Times New Roman" w:hAnsi="Times New Roman"/>
          <w:sz w:val="28"/>
        </w:rPr>
      </w:pPr>
      <w:r>
        <w:rPr>
          <w:rFonts w:ascii="Times New Roman" w:hAnsi="Times New Roman"/>
          <w:sz w:val="28"/>
        </w:rPr>
        <w:t xml:space="preserve">После индексации с 1 февраля 2025 года на 9,5% размеры МСК составили: на первого ребёнка </w:t>
      </w:r>
      <w:r>
        <w:rPr>
          <w:rFonts w:ascii="Times New Roman" w:hAnsi="Times New Roman"/>
          <w:sz w:val="28"/>
        </w:rPr>
        <w:t>–</w:t>
      </w:r>
      <w:r>
        <w:rPr>
          <w:rFonts w:ascii="Times New Roman" w:hAnsi="Times New Roman"/>
          <w:sz w:val="28"/>
        </w:rPr>
        <w:t xml:space="preserve"> 690 266 руб.; на второго (если за первого не получали) </w:t>
      </w:r>
      <w:r>
        <w:rPr>
          <w:rFonts w:ascii="Times New Roman" w:hAnsi="Times New Roman"/>
          <w:sz w:val="28"/>
        </w:rPr>
        <w:t>–</w:t>
      </w:r>
      <w:r>
        <w:rPr>
          <w:rFonts w:ascii="Times New Roman" w:hAnsi="Times New Roman"/>
          <w:sz w:val="28"/>
        </w:rPr>
        <w:t xml:space="preserve"> 912 162 руб.; дополнительно на второго при наличии МСК за первого </w:t>
      </w:r>
      <w:r>
        <w:rPr>
          <w:rFonts w:ascii="Times New Roman" w:hAnsi="Times New Roman"/>
          <w:sz w:val="28"/>
        </w:rPr>
        <w:t>–</w:t>
      </w:r>
      <w:r>
        <w:rPr>
          <w:rFonts w:ascii="Times New Roman" w:hAnsi="Times New Roman"/>
          <w:sz w:val="28"/>
        </w:rPr>
        <w:t xml:space="preserve"> 221 895 руб. Ежемесячная выплата из МСК на детей до 3 лет доступна семьям, чей среднедушевой доход не превышает двух прожиточных минимумов в регионе; в Свердловской области </w:t>
      </w:r>
      <w:r>
        <w:rPr>
          <w:rFonts w:ascii="Times New Roman" w:hAnsi="Times New Roman"/>
          <w:sz w:val="28"/>
        </w:rPr>
        <w:t>–</w:t>
      </w:r>
      <w:r>
        <w:rPr>
          <w:rFonts w:ascii="Times New Roman" w:hAnsi="Times New Roman"/>
          <w:sz w:val="28"/>
        </w:rPr>
        <w:t xml:space="preserve"> не более 35 466 руб. на чел./мес. Основные направления использования МСК: улучшение жилищных условий (ипотека или строительство); образование детей; накопительная пенсия матери; социальная адаптация ребёнка-инвалида. В посёлке Красногвардейский преобладающее использование </w:t>
      </w:r>
      <w:r>
        <w:rPr>
          <w:rFonts w:ascii="Times New Roman" w:hAnsi="Times New Roman"/>
          <w:sz w:val="28"/>
        </w:rPr>
        <w:t>–</w:t>
      </w:r>
      <w:r>
        <w:rPr>
          <w:rFonts w:ascii="Times New Roman" w:hAnsi="Times New Roman"/>
          <w:sz w:val="28"/>
        </w:rPr>
        <w:t xml:space="preserve"> улучшение жилищных условий: ипотека или строительство (расширение) собственного дома.</w:t>
      </w:r>
    </w:p>
    <w:p w14:paraId="9E000000">
      <w:pPr>
        <w:spacing w:after="0" w:line="360" w:lineRule="auto"/>
        <w:ind w:firstLine="709" w:left="0"/>
        <w:jc w:val="both"/>
        <w:rPr>
          <w:rFonts w:ascii="Times New Roman" w:hAnsi="Times New Roman"/>
          <w:sz w:val="28"/>
        </w:rPr>
      </w:pPr>
      <w:r>
        <w:rPr>
          <w:rFonts w:ascii="Times New Roman" w:hAnsi="Times New Roman"/>
          <w:sz w:val="28"/>
        </w:rPr>
        <w:t xml:space="preserve">Действующая государственная программа «Социальная поддержка и социальное обслуживание населения Свердловской области» закрепляет три приоритетных направления: содействие снижению уровня бедности; модернизация и развитие сектора социальных услуг; содействие росту численности населения. Программа финансирует государственные учреждения социального обслуживания (КЦСОН, ПНИ и другие), региональные надбавки к федеральным пособиям, а также ряд специфически </w:t>
      </w:r>
      <w:r>
        <w:rPr>
          <w:rFonts w:ascii="Times New Roman" w:hAnsi="Times New Roman"/>
          <w:sz w:val="28"/>
        </w:rPr>
        <w:t>региональных мер. Общие расходы консолидированного бюджета Свердловской области на социальную политику в 2025 году составили более 85 млрд руб., однако публичная разбивка этих расходов по муниципальным образованиям в открытых источниках не представлена.</w:t>
      </w:r>
    </w:p>
    <w:p w14:paraId="9F000000">
      <w:pPr>
        <w:spacing w:after="0" w:line="360" w:lineRule="auto"/>
        <w:ind w:firstLine="709" w:left="0"/>
        <w:jc w:val="both"/>
        <w:rPr>
          <w:rFonts w:ascii="Times New Roman" w:hAnsi="Times New Roman"/>
          <w:sz w:val="28"/>
        </w:rPr>
      </w:pPr>
      <w:r>
        <w:rPr>
          <w:rFonts w:ascii="Times New Roman" w:hAnsi="Times New Roman"/>
          <w:sz w:val="28"/>
        </w:rPr>
        <w:t>Свердловская область устанавливает звание «Ветеран труда Свердловской области» в дополнение к федеральному «Ветерану труда» для граждан, проработавших на территории области не менее 35 (женщины) или 40 (мужчины) лет. По данным 2018 г. по Артемовскому округу, ежегодно присваивалось около 70–92 новых удостоверений; общая численность ветеранов труда СО в округе превышала 1 100 чел. Ежемесячная денежная компенсация ветеранам труда финансируется из областного бюджета. Для Красногвардейского, учитывая наличие крупных предприятий-работодателей с многолетней историей, данная категория получателей поддержки весьма значительна.</w:t>
      </w:r>
    </w:p>
    <w:p w14:paraId="A0000000">
      <w:pPr>
        <w:spacing w:after="0" w:line="360" w:lineRule="auto"/>
        <w:ind w:firstLine="709" w:left="0"/>
        <w:jc w:val="both"/>
        <w:rPr>
          <w:rFonts w:ascii="Times New Roman" w:hAnsi="Times New Roman"/>
          <w:sz w:val="28"/>
        </w:rPr>
      </w:pPr>
      <w:r>
        <w:rPr>
          <w:rFonts w:ascii="Times New Roman" w:hAnsi="Times New Roman"/>
          <w:sz w:val="28"/>
        </w:rPr>
        <w:t xml:space="preserve">В Свердловской области в 2025 году заключено 3 700 </w:t>
      </w:r>
      <w:r>
        <w:rPr>
          <w:rFonts w:ascii="Times New Roman" w:hAnsi="Times New Roman"/>
          <w:sz w:val="28"/>
        </w:rPr>
        <w:t>соцконтрактов</w:t>
      </w:r>
      <w:r>
        <w:rPr>
          <w:rFonts w:ascii="Times New Roman" w:hAnsi="Times New Roman"/>
          <w:sz w:val="28"/>
        </w:rPr>
        <w:t xml:space="preserve">. Приоритетные направления: открытие собственного дела (ИПД) </w:t>
      </w:r>
      <w:r>
        <w:rPr>
          <w:rFonts w:ascii="Times New Roman" w:hAnsi="Times New Roman"/>
          <w:sz w:val="28"/>
        </w:rPr>
        <w:t>–</w:t>
      </w:r>
      <w:r>
        <w:rPr>
          <w:rFonts w:ascii="Times New Roman" w:hAnsi="Times New Roman"/>
          <w:sz w:val="28"/>
        </w:rPr>
        <w:t xml:space="preserve"> до 350 000 руб. единовременно; ведение ЛПХ </w:t>
      </w:r>
      <w:r>
        <w:rPr>
          <w:rFonts w:ascii="Times New Roman" w:hAnsi="Times New Roman"/>
          <w:sz w:val="28"/>
        </w:rPr>
        <w:t>–</w:t>
      </w:r>
      <w:r>
        <w:rPr>
          <w:rFonts w:ascii="Times New Roman" w:hAnsi="Times New Roman"/>
          <w:sz w:val="28"/>
        </w:rPr>
        <w:t xml:space="preserve"> до 200 000 руб.; трудоустройство </w:t>
      </w:r>
      <w:r>
        <w:rPr>
          <w:rFonts w:ascii="Times New Roman" w:hAnsi="Times New Roman"/>
          <w:sz w:val="28"/>
        </w:rPr>
        <w:t>–</w:t>
      </w:r>
      <w:r>
        <w:rPr>
          <w:rFonts w:ascii="Times New Roman" w:hAnsi="Times New Roman"/>
          <w:sz w:val="28"/>
        </w:rPr>
        <w:t xml:space="preserve"> ежемесячные выплаты в период поиска работы и в течение трёх месяцев после трудоустройства; преодоление иной ТЖС </w:t>
      </w:r>
      <w:r>
        <w:rPr>
          <w:rFonts w:ascii="Times New Roman" w:hAnsi="Times New Roman"/>
          <w:sz w:val="28"/>
        </w:rPr>
        <w:t>–</w:t>
      </w:r>
      <w:r>
        <w:rPr>
          <w:rFonts w:ascii="Times New Roman" w:hAnsi="Times New Roman"/>
          <w:sz w:val="28"/>
        </w:rPr>
        <w:t xml:space="preserve"> до 50 000 руб. В числе 3 700 заключённых в 2025 году контрактов около 60 заключено с участниками СВО и членами их семей в приоритетном порядке. По итогам года по России в целом 74,8% участников повысили доходы, 44,4% вышли из бедности; наиболее эффективны контракты по ЛПХ и ИПД. Для посёлка Красногвардейский основным применимым направлением является ЛПХ: субсидия до 200 000 руб. на приобретение скота, птицы, инвентаря, строительство тепличного хозяйства позволяет семьям с приусадебными участками создать устойчивый дополнительный источник дохода. Направление ИПД ограничено из-за узости местного потребительского рынка.</w:t>
      </w:r>
    </w:p>
    <w:p w14:paraId="A1000000">
      <w:pPr>
        <w:spacing w:after="0" w:line="360" w:lineRule="auto"/>
        <w:ind w:firstLine="709" w:left="0"/>
        <w:jc w:val="both"/>
        <w:rPr>
          <w:rFonts w:ascii="Times New Roman" w:hAnsi="Times New Roman"/>
          <w:sz w:val="28"/>
        </w:rPr>
      </w:pPr>
      <w:r>
        <w:rPr>
          <w:rFonts w:ascii="Times New Roman" w:hAnsi="Times New Roman"/>
          <w:sz w:val="28"/>
        </w:rPr>
        <w:t xml:space="preserve">В Свердловской области неработающим пенсионерам с доходом ниже прожиточного минимума пенсионера (14 361 руб. в 2025 г.) Социальный фонд </w:t>
      </w:r>
      <w:r>
        <w:rPr>
          <w:rFonts w:ascii="Times New Roman" w:hAnsi="Times New Roman"/>
          <w:sz w:val="28"/>
        </w:rPr>
        <w:t xml:space="preserve">осуществляет федеральную социальную доплату до уровня ПМ пенсионера. Региональная социальная доплата применяется, если региональный ПМ выше федерального; разницу доплачивает субъект. Областное дополнительное пособие малоимущим составляет 387 руб./мес. на каждого члена семьи </w:t>
      </w:r>
      <w:r>
        <w:rPr>
          <w:rFonts w:ascii="Times New Roman" w:hAnsi="Times New Roman"/>
          <w:sz w:val="28"/>
        </w:rPr>
        <w:t>–</w:t>
      </w:r>
      <w:r>
        <w:rPr>
          <w:rFonts w:ascii="Times New Roman" w:hAnsi="Times New Roman"/>
          <w:sz w:val="28"/>
        </w:rPr>
        <w:t xml:space="preserve"> символическая сумма, служащая скорее формальным выполнением регионального норматива, нежели реальным инструментом поддержки.</w:t>
      </w:r>
    </w:p>
    <w:p w14:paraId="A2000000">
      <w:pPr>
        <w:spacing w:after="0" w:line="360" w:lineRule="auto"/>
        <w:ind w:firstLine="709" w:left="0"/>
        <w:jc w:val="both"/>
        <w:rPr>
          <w:rFonts w:ascii="Times New Roman" w:hAnsi="Times New Roman"/>
          <w:sz w:val="28"/>
        </w:rPr>
      </w:pPr>
      <w:r>
        <w:rPr>
          <w:rFonts w:ascii="Times New Roman" w:hAnsi="Times New Roman"/>
          <w:sz w:val="28"/>
        </w:rPr>
        <w:t xml:space="preserve">Федеральный закон № 442-ФЗ устанавливает пять форм социального обслуживания: на дому; в полустационарной форме (отделения дневного пребывания); в стационарной форме; в форме срочного социального обслуживания; в форме социального сопровождения. В посёлке Красногвардейский реализуются: стационарное </w:t>
      </w:r>
      <w:r>
        <w:rPr>
          <w:rFonts w:ascii="Times New Roman" w:hAnsi="Times New Roman"/>
          <w:sz w:val="28"/>
        </w:rPr>
        <w:t>–</w:t>
      </w:r>
      <w:r>
        <w:rPr>
          <w:rFonts w:ascii="Times New Roman" w:hAnsi="Times New Roman"/>
          <w:sz w:val="28"/>
        </w:rPr>
        <w:t xml:space="preserve"> через ПНИ; надомное, полустационарное и срочное </w:t>
      </w:r>
      <w:r>
        <w:rPr>
          <w:rFonts w:ascii="Times New Roman" w:hAnsi="Times New Roman"/>
          <w:sz w:val="28"/>
        </w:rPr>
        <w:t>–</w:t>
      </w:r>
      <w:r>
        <w:rPr>
          <w:rFonts w:ascii="Times New Roman" w:hAnsi="Times New Roman"/>
          <w:sz w:val="28"/>
        </w:rPr>
        <w:t xml:space="preserve"> через отделение КЦСОН. По государственному заданию КЦСОН на 2026 год предусмотрено: стационарная форма </w:t>
      </w:r>
      <w:r>
        <w:rPr>
          <w:rFonts w:ascii="Times New Roman" w:hAnsi="Times New Roman"/>
          <w:sz w:val="28"/>
        </w:rPr>
        <w:t>–</w:t>
      </w:r>
      <w:r>
        <w:rPr>
          <w:rFonts w:ascii="Times New Roman" w:hAnsi="Times New Roman"/>
          <w:sz w:val="28"/>
        </w:rPr>
        <w:t xml:space="preserve"> 23 чел.; полустационарная </w:t>
      </w:r>
      <w:r>
        <w:rPr>
          <w:rFonts w:ascii="Times New Roman" w:hAnsi="Times New Roman"/>
          <w:sz w:val="28"/>
        </w:rPr>
        <w:t>–</w:t>
      </w:r>
      <w:r>
        <w:rPr>
          <w:rFonts w:ascii="Times New Roman" w:hAnsi="Times New Roman"/>
          <w:sz w:val="28"/>
        </w:rPr>
        <w:t xml:space="preserve"> 3 230 чел.; надомная </w:t>
      </w:r>
      <w:r>
        <w:rPr>
          <w:rFonts w:ascii="Times New Roman" w:hAnsi="Times New Roman"/>
          <w:sz w:val="28"/>
        </w:rPr>
        <w:t>–</w:t>
      </w:r>
      <w:r>
        <w:rPr>
          <w:rFonts w:ascii="Times New Roman" w:hAnsi="Times New Roman"/>
          <w:sz w:val="28"/>
        </w:rPr>
        <w:t xml:space="preserve"> 608 чел. (по Артемовскому округу в целом). Услуги предоставляются бесплатно гражданам, чей среднедушевой доход не превышает предельной величины, установленной субъектом; для прочих </w:t>
      </w:r>
      <w:r>
        <w:rPr>
          <w:rFonts w:ascii="Times New Roman" w:hAnsi="Times New Roman"/>
          <w:sz w:val="28"/>
        </w:rPr>
        <w:t>–</w:t>
      </w:r>
      <w:r>
        <w:rPr>
          <w:rFonts w:ascii="Times New Roman" w:hAnsi="Times New Roman"/>
          <w:sz w:val="28"/>
        </w:rPr>
        <w:t xml:space="preserve"> на платной основе, но не более 50% разницы между доходом и предельной величиной. Для стационарных форм размер платы составляет 75% среднедушевого дохода проживающего.</w:t>
      </w:r>
    </w:p>
    <w:p w14:paraId="A3000000">
      <w:pPr>
        <w:spacing w:after="0" w:line="360" w:lineRule="auto"/>
        <w:ind w:firstLine="709" w:left="0"/>
        <w:jc w:val="both"/>
        <w:rPr>
          <w:rFonts w:ascii="Times New Roman" w:hAnsi="Times New Roman"/>
          <w:sz w:val="28"/>
        </w:rPr>
      </w:pPr>
      <w:r>
        <w:rPr>
          <w:rFonts w:ascii="Times New Roman" w:hAnsi="Times New Roman"/>
          <w:sz w:val="28"/>
        </w:rPr>
        <w:t xml:space="preserve">Программа «Старшее поколение» Свердловской области (2019–2025 гг.). Финансирование программы: 2,6 млрд руб. из областного бюджета и 764 млн руб. из федерального </w:t>
      </w:r>
      <w:r>
        <w:rPr>
          <w:rFonts w:ascii="Times New Roman" w:hAnsi="Times New Roman"/>
          <w:sz w:val="28"/>
        </w:rPr>
        <w:t>–</w:t>
      </w:r>
      <w:r>
        <w:rPr>
          <w:rFonts w:ascii="Times New Roman" w:hAnsi="Times New Roman"/>
          <w:sz w:val="28"/>
        </w:rPr>
        <w:t xml:space="preserve"> итого около 3,4 млрд руб. за семь лет. Основные направления: медицинская помощь гражданам старше 60 лет (диспансеризация, профилактика, реабилитация); содействие занятости граждан предпенсионного возраста; культурные и досуговые программы; туризм для пожилых; физическая культура и спорт. Для посёлка Красногвардейский программа реализуется преимущественно через Центр досуга (культурные мероприятия для пожилых) и ОВП (профилактические осмотры). Специализированного геронтологического центра или центра дневного пребывания для пожилых непосредственно в посёлке нет </w:t>
      </w:r>
      <w:r>
        <w:rPr>
          <w:rFonts w:ascii="Times New Roman" w:hAnsi="Times New Roman"/>
          <w:sz w:val="28"/>
        </w:rPr>
        <w:t>–</w:t>
      </w:r>
      <w:r>
        <w:rPr>
          <w:rFonts w:ascii="Times New Roman" w:hAnsi="Times New Roman"/>
          <w:sz w:val="28"/>
        </w:rPr>
        <w:t xml:space="preserve"> жители </w:t>
      </w:r>
      <w:r>
        <w:rPr>
          <w:rFonts w:ascii="Times New Roman" w:hAnsi="Times New Roman"/>
          <w:sz w:val="28"/>
        </w:rPr>
        <w:t>вынуждены обращаться в аналогичные учреждения в г. Артемовский, что создаёт транспортный барьер.</w:t>
      </w:r>
    </w:p>
    <w:p w14:paraId="A4000000">
      <w:pPr>
        <w:spacing w:after="0" w:line="360" w:lineRule="auto"/>
        <w:ind w:firstLine="709" w:left="0"/>
        <w:jc w:val="both"/>
        <w:rPr>
          <w:rFonts w:ascii="Times New Roman" w:hAnsi="Times New Roman"/>
          <w:sz w:val="28"/>
        </w:rPr>
      </w:pPr>
      <w:r>
        <w:rPr>
          <w:rFonts w:ascii="Times New Roman" w:hAnsi="Times New Roman"/>
          <w:sz w:val="28"/>
        </w:rPr>
        <w:t>Пилотный проект СДУ действует с 2018 года; с 1 сентября 2023 года распространён на все регионы России. По данным Минтруда (по состоянию на 1 апреля 2025 года), в стране функционируют 871 «школа ухода», где родственников и сиделок обучают правильным техникам ухода; действуют пункты проката технических средств реабилитации (ТСР) на базе КЦСОН. В рамках СДУ граждане получают социальный пакет объёмом: до 14 ч./</w:t>
      </w:r>
      <w:r>
        <w:rPr>
          <w:rFonts w:ascii="Times New Roman" w:hAnsi="Times New Roman"/>
          <w:sz w:val="28"/>
        </w:rPr>
        <w:t>нед</w:t>
      </w:r>
      <w:r>
        <w:rPr>
          <w:rFonts w:ascii="Times New Roman" w:hAnsi="Times New Roman"/>
          <w:sz w:val="28"/>
        </w:rPr>
        <w:t xml:space="preserve">. (I уровень нуждаемости </w:t>
      </w:r>
      <w:r>
        <w:rPr>
          <w:rFonts w:ascii="Times New Roman" w:hAnsi="Times New Roman"/>
          <w:sz w:val="28"/>
        </w:rPr>
        <w:t>–</w:t>
      </w:r>
      <w:r>
        <w:rPr>
          <w:rFonts w:ascii="Times New Roman" w:hAnsi="Times New Roman"/>
          <w:sz w:val="28"/>
        </w:rPr>
        <w:t xml:space="preserve"> частичная утрата самообслуживания); до 21 ч./</w:t>
      </w:r>
      <w:r>
        <w:rPr>
          <w:rFonts w:ascii="Times New Roman" w:hAnsi="Times New Roman"/>
          <w:sz w:val="28"/>
        </w:rPr>
        <w:t>нед</w:t>
      </w:r>
      <w:r>
        <w:rPr>
          <w:rFonts w:ascii="Times New Roman" w:hAnsi="Times New Roman"/>
          <w:sz w:val="28"/>
        </w:rPr>
        <w:t xml:space="preserve">. (II уровень </w:t>
      </w:r>
      <w:r>
        <w:rPr>
          <w:rFonts w:ascii="Times New Roman" w:hAnsi="Times New Roman"/>
          <w:sz w:val="28"/>
        </w:rPr>
        <w:t>–</w:t>
      </w:r>
      <w:r>
        <w:rPr>
          <w:rFonts w:ascii="Times New Roman" w:hAnsi="Times New Roman"/>
          <w:sz w:val="28"/>
        </w:rPr>
        <w:t xml:space="preserve"> значительная утрата); до 28 ч./</w:t>
      </w:r>
      <w:r>
        <w:rPr>
          <w:rFonts w:ascii="Times New Roman" w:hAnsi="Times New Roman"/>
          <w:sz w:val="28"/>
        </w:rPr>
        <w:t>нед</w:t>
      </w:r>
      <w:r>
        <w:rPr>
          <w:rFonts w:ascii="Times New Roman" w:hAnsi="Times New Roman"/>
          <w:sz w:val="28"/>
        </w:rPr>
        <w:t xml:space="preserve">. (III уровень </w:t>
      </w:r>
      <w:r>
        <w:rPr>
          <w:rFonts w:ascii="Times New Roman" w:hAnsi="Times New Roman"/>
          <w:sz w:val="28"/>
        </w:rPr>
        <w:t>–</w:t>
      </w:r>
      <w:r>
        <w:rPr>
          <w:rFonts w:ascii="Times New Roman" w:hAnsi="Times New Roman"/>
          <w:sz w:val="28"/>
        </w:rPr>
        <w:t xml:space="preserve"> полная утрата). Помощником по уходу может стать родственник, оформленный к поставщику социальных услуг: ему начисляются стаж и пенсионные баллы. С 1 января 2025 года введена надбавка к пенсии нуждающегося в уходе в 1 200 руб./мес. (автоматически). Законодательное закрепление СДУ как полноправного элемента системы соцобслуживания планируется с 1 января 2027 года, включая оформление через Госуслуги.</w:t>
      </w:r>
    </w:p>
    <w:p w14:paraId="A5000000">
      <w:pPr>
        <w:spacing w:after="0" w:line="360" w:lineRule="auto"/>
        <w:ind w:firstLine="709" w:left="0"/>
        <w:jc w:val="both"/>
        <w:rPr>
          <w:rFonts w:ascii="Times New Roman" w:hAnsi="Times New Roman"/>
          <w:sz w:val="28"/>
        </w:rPr>
      </w:pPr>
      <w:r>
        <w:rPr>
          <w:rFonts w:ascii="Times New Roman" w:hAnsi="Times New Roman"/>
          <w:sz w:val="28"/>
        </w:rPr>
        <w:t xml:space="preserve">С 2022 по 2025 год в России сформирован обширный пакет мер для участников специальной военной операции и их семей. Принятый в 2025 году законопроект ввёл: налоговые льготы по имущественному, земельному и транспортному налогам для участников СВО; бесплатный проезд к месту прохождения военно-врачебной комиссии; приоритетное получение жилья или жилищной субсидии для участников с детьми-инвалидами I группы; продление социальной поддержки совершеннолетним детям участников СВО до 1 сентября после окончания школы. На уровне Свердловской области: </w:t>
      </w:r>
      <w:r>
        <w:rPr>
          <w:rFonts w:ascii="Times New Roman" w:hAnsi="Times New Roman"/>
          <w:sz w:val="28"/>
        </w:rPr>
        <w:t>соцконтракты</w:t>
      </w:r>
      <w:r>
        <w:rPr>
          <w:rFonts w:ascii="Times New Roman" w:hAnsi="Times New Roman"/>
          <w:sz w:val="28"/>
        </w:rPr>
        <w:t xml:space="preserve"> для участников СВО и членов их семей выдаются в приоритетном порядке (60 контрактов в 2025 г.); действуют региональные единовременные выплаты при мобилизации, гибели и ранении. Для посёлка Красногвардейский, где часть жителей является военнослужащими или их родственниками, данная группа мер приобрела существенное значение; ТУ исполняет функцию первичного информирования этой категории граждан.</w:t>
      </w:r>
    </w:p>
    <w:p w14:paraId="A6000000">
      <w:pPr>
        <w:spacing w:after="0" w:line="360" w:lineRule="auto"/>
        <w:ind w:firstLine="709" w:left="0"/>
        <w:jc w:val="both"/>
        <w:rPr>
          <w:rFonts w:ascii="Times New Roman" w:hAnsi="Times New Roman"/>
          <w:sz w:val="28"/>
        </w:rPr>
      </w:pPr>
      <w:r>
        <w:rPr>
          <w:rFonts w:ascii="Times New Roman" w:hAnsi="Times New Roman"/>
          <w:sz w:val="28"/>
        </w:rPr>
        <w:t>В таблице 2.3 представлены м</w:t>
      </w:r>
      <w:r>
        <w:rPr>
          <w:rFonts w:ascii="Times New Roman" w:hAnsi="Times New Roman"/>
          <w:sz w:val="28"/>
        </w:rPr>
        <w:t>еры социальной поддержки населения посёлка Красногвардейский по категориям получателей</w:t>
      </w:r>
      <w:r>
        <w:rPr>
          <w:rFonts w:ascii="Times New Roman" w:hAnsi="Times New Roman"/>
          <w:sz w:val="28"/>
        </w:rPr>
        <w:t>.</w:t>
      </w:r>
    </w:p>
    <w:p w14:paraId="A7000000">
      <w:pPr>
        <w:spacing w:after="0" w:line="360" w:lineRule="auto"/>
        <w:ind w:firstLine="709" w:left="0"/>
        <w:jc w:val="right"/>
        <w:rPr>
          <w:rFonts w:ascii="Times New Roman" w:hAnsi="Times New Roman"/>
          <w:sz w:val="28"/>
        </w:rPr>
      </w:pPr>
      <w:r>
        <w:rPr>
          <w:rFonts w:ascii="Times New Roman" w:hAnsi="Times New Roman"/>
          <w:sz w:val="28"/>
        </w:rPr>
        <w:t>Таблица 2.3</w:t>
      </w:r>
    </w:p>
    <w:p w14:paraId="A8000000">
      <w:pPr>
        <w:spacing w:after="0" w:line="360" w:lineRule="auto"/>
        <w:ind/>
        <w:jc w:val="center"/>
        <w:rPr>
          <w:rFonts w:ascii="Times New Roman" w:hAnsi="Times New Roman"/>
          <w:sz w:val="28"/>
        </w:rPr>
      </w:pPr>
      <w:r>
        <w:rPr>
          <w:rFonts w:ascii="Times New Roman" w:hAnsi="Times New Roman"/>
          <w:sz w:val="28"/>
        </w:rPr>
        <w:t>Меры социальной поддержки населения посёлка Красногвардейский по категориям получателей</w:t>
      </w:r>
      <w:r>
        <w:rPr>
          <w:rFonts w:ascii="Times New Roman" w:hAnsi="Times New Roman"/>
          <w:sz w:val="28"/>
        </w:rPr>
        <w:t xml:space="preserve"> (2025 год)</w:t>
      </w:r>
    </w:p>
    <w:tbl>
      <w:tblPr>
        <w:tblStyle w:val="Style_4"/>
        <w:tblLayout w:type="fixed"/>
      </w:tblPr>
      <w:tblGrid>
        <w:gridCol w:w="1722"/>
        <w:gridCol w:w="1882"/>
        <w:gridCol w:w="2168"/>
        <w:gridCol w:w="1688"/>
        <w:gridCol w:w="1895"/>
      </w:tblGrid>
      <w:tr>
        <w:tc>
          <w:tcPr>
            <w:tcW w:type="dxa" w:w="1722"/>
            <w:vAlign w:val="center"/>
          </w:tcPr>
          <w:p w14:paraId="A9000000">
            <w:pPr>
              <w:ind/>
              <w:jc w:val="center"/>
              <w:rPr>
                <w:rFonts w:ascii="Times New Roman" w:hAnsi="Times New Roman"/>
                <w:sz w:val="24"/>
              </w:rPr>
            </w:pPr>
            <w:r>
              <w:rPr>
                <w:rFonts w:ascii="Times New Roman" w:hAnsi="Times New Roman"/>
                <w:sz w:val="24"/>
              </w:rPr>
              <w:t>Категория</w:t>
            </w:r>
          </w:p>
        </w:tc>
        <w:tc>
          <w:tcPr>
            <w:tcW w:type="dxa" w:w="1882"/>
            <w:vAlign w:val="center"/>
          </w:tcPr>
          <w:p w14:paraId="AA000000">
            <w:pPr>
              <w:ind/>
              <w:jc w:val="center"/>
              <w:rPr>
                <w:rFonts w:ascii="Times New Roman" w:hAnsi="Times New Roman"/>
                <w:sz w:val="24"/>
              </w:rPr>
            </w:pPr>
            <w:r>
              <w:rPr>
                <w:rFonts w:ascii="Times New Roman" w:hAnsi="Times New Roman"/>
                <w:sz w:val="24"/>
              </w:rPr>
              <w:t>Мера поддержки</w:t>
            </w:r>
          </w:p>
        </w:tc>
        <w:tc>
          <w:tcPr>
            <w:tcW w:type="dxa" w:w="2168"/>
            <w:vAlign w:val="center"/>
          </w:tcPr>
          <w:p w14:paraId="AB000000">
            <w:pPr>
              <w:ind/>
              <w:jc w:val="center"/>
              <w:rPr>
                <w:rFonts w:ascii="Times New Roman" w:hAnsi="Times New Roman"/>
                <w:sz w:val="24"/>
              </w:rPr>
            </w:pPr>
            <w:r>
              <w:rPr>
                <w:rFonts w:ascii="Times New Roman" w:hAnsi="Times New Roman"/>
                <w:sz w:val="24"/>
              </w:rPr>
              <w:t>Размер / условие (2025)</w:t>
            </w:r>
          </w:p>
        </w:tc>
        <w:tc>
          <w:tcPr>
            <w:tcW w:type="dxa" w:w="1688"/>
            <w:vAlign w:val="center"/>
          </w:tcPr>
          <w:p w14:paraId="AC000000">
            <w:pPr>
              <w:ind/>
              <w:jc w:val="center"/>
              <w:rPr>
                <w:rFonts w:ascii="Times New Roman" w:hAnsi="Times New Roman"/>
                <w:sz w:val="24"/>
              </w:rPr>
            </w:pPr>
            <w:r>
              <w:rPr>
                <w:rFonts w:ascii="Times New Roman" w:hAnsi="Times New Roman"/>
                <w:sz w:val="24"/>
              </w:rPr>
              <w:t>Уровень</w:t>
            </w:r>
          </w:p>
        </w:tc>
        <w:tc>
          <w:tcPr>
            <w:tcW w:type="dxa" w:w="1895"/>
            <w:vAlign w:val="center"/>
          </w:tcPr>
          <w:p w14:paraId="AD000000">
            <w:pPr>
              <w:ind/>
              <w:jc w:val="center"/>
              <w:rPr>
                <w:rFonts w:ascii="Times New Roman" w:hAnsi="Times New Roman"/>
                <w:sz w:val="24"/>
              </w:rPr>
            </w:pPr>
            <w:r>
              <w:rPr>
                <w:rFonts w:ascii="Times New Roman" w:hAnsi="Times New Roman"/>
                <w:sz w:val="24"/>
              </w:rPr>
              <w:t>Периодичность</w:t>
            </w:r>
          </w:p>
        </w:tc>
      </w:tr>
      <w:tr>
        <w:tc>
          <w:tcPr>
            <w:tcW w:type="dxa" w:w="1722"/>
            <w:vAlign w:val="center"/>
          </w:tcPr>
          <w:p w14:paraId="AE000000">
            <w:pPr>
              <w:ind/>
              <w:jc w:val="center"/>
              <w:rPr>
                <w:rFonts w:ascii="Times New Roman" w:hAnsi="Times New Roman"/>
                <w:sz w:val="24"/>
              </w:rPr>
            </w:pPr>
            <w:r>
              <w:rPr>
                <w:rFonts w:ascii="Times New Roman" w:hAnsi="Times New Roman"/>
                <w:sz w:val="24"/>
              </w:rPr>
              <w:t>Инвалиды I группы</w:t>
            </w:r>
          </w:p>
        </w:tc>
        <w:tc>
          <w:tcPr>
            <w:tcW w:type="dxa" w:w="1882"/>
            <w:vAlign w:val="center"/>
          </w:tcPr>
          <w:p w14:paraId="AF000000">
            <w:pPr>
              <w:ind/>
              <w:jc w:val="center"/>
              <w:rPr>
                <w:rFonts w:ascii="Times New Roman" w:hAnsi="Times New Roman"/>
                <w:sz w:val="24"/>
              </w:rPr>
            </w:pPr>
            <w:r>
              <w:rPr>
                <w:rFonts w:ascii="Times New Roman" w:hAnsi="Times New Roman"/>
                <w:sz w:val="24"/>
              </w:rPr>
              <w:t>ЕДВ (полный, с НСУ)</w:t>
            </w:r>
          </w:p>
        </w:tc>
        <w:tc>
          <w:tcPr>
            <w:tcW w:type="dxa" w:w="2168"/>
            <w:vAlign w:val="center"/>
          </w:tcPr>
          <w:p w14:paraId="B0000000">
            <w:pPr>
              <w:ind/>
              <w:jc w:val="center"/>
              <w:rPr>
                <w:rFonts w:ascii="Times New Roman" w:hAnsi="Times New Roman"/>
                <w:sz w:val="24"/>
              </w:rPr>
            </w:pPr>
            <w:r>
              <w:rPr>
                <w:rFonts w:ascii="Times New Roman" w:hAnsi="Times New Roman"/>
                <w:sz w:val="24"/>
              </w:rPr>
              <w:t>5 830,70 руб.</w:t>
            </w:r>
          </w:p>
        </w:tc>
        <w:tc>
          <w:tcPr>
            <w:tcW w:type="dxa" w:w="1688"/>
            <w:vAlign w:val="center"/>
          </w:tcPr>
          <w:p w14:paraId="B100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B2000000">
            <w:pPr>
              <w:ind/>
              <w:jc w:val="center"/>
              <w:rPr>
                <w:rFonts w:ascii="Times New Roman" w:hAnsi="Times New Roman"/>
                <w:sz w:val="24"/>
              </w:rPr>
            </w:pPr>
            <w:r>
              <w:rPr>
                <w:rFonts w:ascii="Times New Roman" w:hAnsi="Times New Roman"/>
                <w:sz w:val="24"/>
              </w:rPr>
              <w:t>Ежемесячно</w:t>
            </w:r>
          </w:p>
        </w:tc>
      </w:tr>
      <w:tr>
        <w:tc>
          <w:tcPr>
            <w:tcW w:type="dxa" w:w="1722"/>
            <w:vAlign w:val="center"/>
          </w:tcPr>
          <w:p w14:paraId="B3000000">
            <w:pPr>
              <w:ind/>
              <w:jc w:val="center"/>
              <w:rPr>
                <w:rFonts w:ascii="Times New Roman" w:hAnsi="Times New Roman"/>
                <w:sz w:val="24"/>
              </w:rPr>
            </w:pPr>
            <w:r>
              <w:rPr>
                <w:rFonts w:ascii="Times New Roman" w:hAnsi="Times New Roman"/>
                <w:sz w:val="24"/>
              </w:rPr>
              <w:t>Инвалиды II группы</w:t>
            </w:r>
          </w:p>
        </w:tc>
        <w:tc>
          <w:tcPr>
            <w:tcW w:type="dxa" w:w="1882"/>
            <w:vAlign w:val="center"/>
          </w:tcPr>
          <w:p w14:paraId="B4000000">
            <w:pPr>
              <w:ind/>
              <w:jc w:val="center"/>
              <w:rPr>
                <w:rFonts w:ascii="Times New Roman" w:hAnsi="Times New Roman"/>
                <w:sz w:val="24"/>
              </w:rPr>
            </w:pPr>
            <w:r>
              <w:rPr>
                <w:rFonts w:ascii="Times New Roman" w:hAnsi="Times New Roman"/>
                <w:sz w:val="24"/>
              </w:rPr>
              <w:t>ЕДВ (полный, с НСУ)</w:t>
            </w:r>
          </w:p>
        </w:tc>
        <w:tc>
          <w:tcPr>
            <w:tcW w:type="dxa" w:w="2168"/>
            <w:vAlign w:val="center"/>
          </w:tcPr>
          <w:p w14:paraId="B5000000">
            <w:pPr>
              <w:ind/>
              <w:jc w:val="center"/>
              <w:rPr>
                <w:rFonts w:ascii="Times New Roman" w:hAnsi="Times New Roman"/>
                <w:sz w:val="24"/>
              </w:rPr>
            </w:pPr>
            <w:r>
              <w:rPr>
                <w:rFonts w:ascii="Times New Roman" w:hAnsi="Times New Roman"/>
                <w:sz w:val="24"/>
              </w:rPr>
              <w:t>2 963,90 руб.</w:t>
            </w:r>
          </w:p>
        </w:tc>
        <w:tc>
          <w:tcPr>
            <w:tcW w:type="dxa" w:w="1688"/>
            <w:vAlign w:val="center"/>
          </w:tcPr>
          <w:p w14:paraId="B600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B7000000">
            <w:pPr>
              <w:ind/>
              <w:jc w:val="center"/>
              <w:rPr>
                <w:rFonts w:ascii="Times New Roman" w:hAnsi="Times New Roman"/>
                <w:sz w:val="24"/>
              </w:rPr>
            </w:pPr>
            <w:r>
              <w:rPr>
                <w:rFonts w:ascii="Times New Roman" w:hAnsi="Times New Roman"/>
                <w:sz w:val="24"/>
              </w:rPr>
              <w:t>Ежемесячно</w:t>
            </w:r>
          </w:p>
        </w:tc>
      </w:tr>
      <w:tr>
        <w:tc>
          <w:tcPr>
            <w:tcW w:type="dxa" w:w="1722"/>
            <w:vAlign w:val="center"/>
          </w:tcPr>
          <w:p w14:paraId="B8000000">
            <w:pPr>
              <w:ind/>
              <w:jc w:val="center"/>
              <w:rPr>
                <w:rFonts w:ascii="Times New Roman" w:hAnsi="Times New Roman"/>
                <w:sz w:val="24"/>
              </w:rPr>
            </w:pPr>
            <w:r>
              <w:rPr>
                <w:rFonts w:ascii="Times New Roman" w:hAnsi="Times New Roman"/>
                <w:sz w:val="24"/>
              </w:rPr>
              <w:t>Инвалиды III группы</w:t>
            </w:r>
          </w:p>
        </w:tc>
        <w:tc>
          <w:tcPr>
            <w:tcW w:type="dxa" w:w="1882"/>
            <w:vAlign w:val="center"/>
          </w:tcPr>
          <w:p w14:paraId="B9000000">
            <w:pPr>
              <w:ind/>
              <w:jc w:val="center"/>
              <w:rPr>
                <w:rFonts w:ascii="Times New Roman" w:hAnsi="Times New Roman"/>
                <w:sz w:val="24"/>
              </w:rPr>
            </w:pPr>
            <w:r>
              <w:rPr>
                <w:rFonts w:ascii="Times New Roman" w:hAnsi="Times New Roman"/>
                <w:sz w:val="24"/>
              </w:rPr>
              <w:t>ЕДВ (полный, с НСУ)</w:t>
            </w:r>
          </w:p>
        </w:tc>
        <w:tc>
          <w:tcPr>
            <w:tcW w:type="dxa" w:w="2168"/>
            <w:vAlign w:val="center"/>
          </w:tcPr>
          <w:p w14:paraId="BA000000">
            <w:pPr>
              <w:ind/>
              <w:jc w:val="center"/>
              <w:rPr>
                <w:rFonts w:ascii="Times New Roman" w:hAnsi="Times New Roman"/>
                <w:sz w:val="24"/>
              </w:rPr>
            </w:pPr>
            <w:r>
              <w:rPr>
                <w:rFonts w:ascii="Times New Roman" w:hAnsi="Times New Roman"/>
                <w:sz w:val="24"/>
              </w:rPr>
              <w:t>2 371,40 руб.</w:t>
            </w:r>
          </w:p>
        </w:tc>
        <w:tc>
          <w:tcPr>
            <w:tcW w:type="dxa" w:w="1688"/>
            <w:vAlign w:val="center"/>
          </w:tcPr>
          <w:p w14:paraId="BB00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BC000000">
            <w:pPr>
              <w:ind/>
              <w:jc w:val="center"/>
              <w:rPr>
                <w:rFonts w:ascii="Times New Roman" w:hAnsi="Times New Roman"/>
                <w:sz w:val="24"/>
              </w:rPr>
            </w:pPr>
            <w:r>
              <w:rPr>
                <w:rFonts w:ascii="Times New Roman" w:hAnsi="Times New Roman"/>
                <w:sz w:val="24"/>
              </w:rPr>
              <w:t>Ежемесячно</w:t>
            </w:r>
          </w:p>
        </w:tc>
      </w:tr>
      <w:tr>
        <w:tc>
          <w:tcPr>
            <w:tcW w:type="dxa" w:w="1722"/>
            <w:vAlign w:val="center"/>
          </w:tcPr>
          <w:p w14:paraId="BD000000">
            <w:pPr>
              <w:ind/>
              <w:jc w:val="center"/>
              <w:rPr>
                <w:rFonts w:ascii="Times New Roman" w:hAnsi="Times New Roman"/>
                <w:sz w:val="24"/>
              </w:rPr>
            </w:pPr>
            <w:r>
              <w:rPr>
                <w:rFonts w:ascii="Times New Roman" w:hAnsi="Times New Roman"/>
                <w:sz w:val="24"/>
              </w:rPr>
              <w:t>Дети-инвалиды</w:t>
            </w:r>
          </w:p>
        </w:tc>
        <w:tc>
          <w:tcPr>
            <w:tcW w:type="dxa" w:w="1882"/>
            <w:vAlign w:val="center"/>
          </w:tcPr>
          <w:p w14:paraId="BE000000">
            <w:pPr>
              <w:ind/>
              <w:jc w:val="center"/>
              <w:rPr>
                <w:rFonts w:ascii="Times New Roman" w:hAnsi="Times New Roman"/>
                <w:sz w:val="24"/>
              </w:rPr>
            </w:pPr>
            <w:r>
              <w:rPr>
                <w:rFonts w:ascii="Times New Roman" w:hAnsi="Times New Roman"/>
                <w:sz w:val="24"/>
              </w:rPr>
              <w:t>ЕДВ (полный, с НСУ)</w:t>
            </w:r>
          </w:p>
        </w:tc>
        <w:tc>
          <w:tcPr>
            <w:tcW w:type="dxa" w:w="2168"/>
            <w:vAlign w:val="center"/>
          </w:tcPr>
          <w:p w14:paraId="BF000000">
            <w:pPr>
              <w:ind/>
              <w:jc w:val="center"/>
              <w:rPr>
                <w:rFonts w:ascii="Times New Roman" w:hAnsi="Times New Roman"/>
                <w:sz w:val="24"/>
              </w:rPr>
            </w:pPr>
            <w:r>
              <w:rPr>
                <w:rFonts w:ascii="Times New Roman" w:hAnsi="Times New Roman"/>
                <w:sz w:val="24"/>
              </w:rPr>
              <w:t>3 540,55 руб.</w:t>
            </w:r>
          </w:p>
        </w:tc>
        <w:tc>
          <w:tcPr>
            <w:tcW w:type="dxa" w:w="1688"/>
            <w:vAlign w:val="center"/>
          </w:tcPr>
          <w:p w14:paraId="C000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C1000000">
            <w:pPr>
              <w:ind/>
              <w:jc w:val="center"/>
              <w:rPr>
                <w:rFonts w:ascii="Times New Roman" w:hAnsi="Times New Roman"/>
                <w:sz w:val="24"/>
              </w:rPr>
            </w:pPr>
            <w:r>
              <w:rPr>
                <w:rFonts w:ascii="Times New Roman" w:hAnsi="Times New Roman"/>
                <w:sz w:val="24"/>
              </w:rPr>
              <w:t>Ежемесячно</w:t>
            </w:r>
          </w:p>
        </w:tc>
      </w:tr>
      <w:tr>
        <w:tc>
          <w:tcPr>
            <w:tcW w:type="dxa" w:w="1722"/>
            <w:vAlign w:val="center"/>
          </w:tcPr>
          <w:p w14:paraId="C2000000">
            <w:pPr>
              <w:ind/>
              <w:jc w:val="center"/>
              <w:rPr>
                <w:rFonts w:ascii="Times New Roman" w:hAnsi="Times New Roman"/>
                <w:sz w:val="24"/>
              </w:rPr>
            </w:pPr>
            <w:r>
              <w:rPr>
                <w:rFonts w:ascii="Times New Roman" w:hAnsi="Times New Roman"/>
                <w:sz w:val="24"/>
              </w:rPr>
              <w:t>Уход за инв. с детства I гр.</w:t>
            </w:r>
          </w:p>
        </w:tc>
        <w:tc>
          <w:tcPr>
            <w:tcW w:type="dxa" w:w="1882"/>
            <w:vAlign w:val="center"/>
          </w:tcPr>
          <w:p w14:paraId="C3000000">
            <w:pPr>
              <w:ind/>
              <w:jc w:val="center"/>
              <w:rPr>
                <w:rFonts w:ascii="Times New Roman" w:hAnsi="Times New Roman"/>
                <w:sz w:val="24"/>
              </w:rPr>
            </w:pPr>
            <w:r>
              <w:rPr>
                <w:rFonts w:ascii="Times New Roman" w:hAnsi="Times New Roman"/>
                <w:sz w:val="24"/>
              </w:rPr>
              <w:t>Выплата ухаживающему</w:t>
            </w:r>
          </w:p>
        </w:tc>
        <w:tc>
          <w:tcPr>
            <w:tcW w:type="dxa" w:w="2168"/>
            <w:vAlign w:val="center"/>
          </w:tcPr>
          <w:p w14:paraId="C4000000">
            <w:pPr>
              <w:ind/>
              <w:jc w:val="center"/>
              <w:rPr>
                <w:rFonts w:ascii="Times New Roman" w:hAnsi="Times New Roman"/>
                <w:sz w:val="24"/>
              </w:rPr>
            </w:pPr>
            <w:r>
              <w:rPr>
                <w:rFonts w:ascii="Times New Roman" w:hAnsi="Times New Roman"/>
                <w:sz w:val="24"/>
              </w:rPr>
              <w:t>10 000 руб.</w:t>
            </w:r>
          </w:p>
        </w:tc>
        <w:tc>
          <w:tcPr>
            <w:tcW w:type="dxa" w:w="1688"/>
            <w:vAlign w:val="center"/>
          </w:tcPr>
          <w:p w14:paraId="C500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C6000000">
            <w:pPr>
              <w:ind/>
              <w:jc w:val="center"/>
              <w:rPr>
                <w:rFonts w:ascii="Times New Roman" w:hAnsi="Times New Roman"/>
                <w:sz w:val="24"/>
              </w:rPr>
            </w:pPr>
            <w:r>
              <w:rPr>
                <w:rFonts w:ascii="Times New Roman" w:hAnsi="Times New Roman"/>
                <w:sz w:val="24"/>
              </w:rPr>
              <w:t>Ежемесячно</w:t>
            </w:r>
          </w:p>
        </w:tc>
      </w:tr>
      <w:tr>
        <w:tc>
          <w:tcPr>
            <w:tcW w:type="dxa" w:w="1722"/>
            <w:vAlign w:val="center"/>
          </w:tcPr>
          <w:p w14:paraId="C7000000">
            <w:pPr>
              <w:ind/>
              <w:jc w:val="center"/>
              <w:rPr>
                <w:rFonts w:ascii="Times New Roman" w:hAnsi="Times New Roman"/>
                <w:sz w:val="24"/>
              </w:rPr>
            </w:pPr>
            <w:r>
              <w:rPr>
                <w:rFonts w:ascii="Times New Roman" w:hAnsi="Times New Roman"/>
                <w:sz w:val="24"/>
              </w:rPr>
              <w:t>Семьи с детьми (малоимущие)</w:t>
            </w:r>
          </w:p>
        </w:tc>
        <w:tc>
          <w:tcPr>
            <w:tcW w:type="dxa" w:w="1882"/>
            <w:vAlign w:val="center"/>
          </w:tcPr>
          <w:p w14:paraId="C8000000">
            <w:pPr>
              <w:ind/>
              <w:jc w:val="center"/>
              <w:rPr>
                <w:rFonts w:ascii="Times New Roman" w:hAnsi="Times New Roman"/>
                <w:sz w:val="24"/>
              </w:rPr>
            </w:pPr>
            <w:r>
              <w:rPr>
                <w:rFonts w:ascii="Times New Roman" w:hAnsi="Times New Roman"/>
                <w:sz w:val="24"/>
              </w:rPr>
              <w:t>Единое пособие до 17 лет</w:t>
            </w:r>
          </w:p>
        </w:tc>
        <w:tc>
          <w:tcPr>
            <w:tcW w:type="dxa" w:w="2168"/>
            <w:vAlign w:val="center"/>
          </w:tcPr>
          <w:p w14:paraId="C9000000">
            <w:pPr>
              <w:ind/>
              <w:jc w:val="center"/>
              <w:rPr>
                <w:rFonts w:ascii="Times New Roman" w:hAnsi="Times New Roman"/>
                <w:sz w:val="24"/>
              </w:rPr>
            </w:pPr>
            <w:r>
              <w:rPr>
                <w:rFonts w:ascii="Times New Roman" w:hAnsi="Times New Roman"/>
                <w:sz w:val="24"/>
              </w:rPr>
              <w:t>50–100% ПМ на ребёнка (7 900–15 800 руб.)</w:t>
            </w:r>
          </w:p>
        </w:tc>
        <w:tc>
          <w:tcPr>
            <w:tcW w:type="dxa" w:w="1688"/>
            <w:vAlign w:val="center"/>
          </w:tcPr>
          <w:p w14:paraId="CA00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CB000000">
            <w:pPr>
              <w:ind/>
              <w:jc w:val="center"/>
              <w:rPr>
                <w:rFonts w:ascii="Times New Roman" w:hAnsi="Times New Roman"/>
                <w:sz w:val="24"/>
              </w:rPr>
            </w:pPr>
            <w:r>
              <w:rPr>
                <w:rFonts w:ascii="Times New Roman" w:hAnsi="Times New Roman"/>
                <w:sz w:val="24"/>
              </w:rPr>
              <w:t>Ежемесячно</w:t>
            </w:r>
          </w:p>
        </w:tc>
      </w:tr>
      <w:tr>
        <w:tc>
          <w:tcPr>
            <w:tcW w:type="dxa" w:w="1722"/>
            <w:vAlign w:val="center"/>
          </w:tcPr>
          <w:p w14:paraId="CC000000">
            <w:pPr>
              <w:ind/>
              <w:jc w:val="center"/>
              <w:rPr>
                <w:rFonts w:ascii="Times New Roman" w:hAnsi="Times New Roman"/>
                <w:sz w:val="24"/>
              </w:rPr>
            </w:pPr>
            <w:r>
              <w:rPr>
                <w:rFonts w:ascii="Times New Roman" w:hAnsi="Times New Roman"/>
                <w:sz w:val="24"/>
              </w:rPr>
              <w:t>Беременные (малоимущие)</w:t>
            </w:r>
          </w:p>
        </w:tc>
        <w:tc>
          <w:tcPr>
            <w:tcW w:type="dxa" w:w="1882"/>
            <w:vAlign w:val="center"/>
          </w:tcPr>
          <w:p w14:paraId="CD000000">
            <w:pPr>
              <w:ind/>
              <w:jc w:val="center"/>
              <w:rPr>
                <w:rFonts w:ascii="Times New Roman" w:hAnsi="Times New Roman"/>
                <w:sz w:val="24"/>
              </w:rPr>
            </w:pPr>
            <w:r>
              <w:rPr>
                <w:rFonts w:ascii="Times New Roman" w:hAnsi="Times New Roman"/>
                <w:sz w:val="24"/>
              </w:rPr>
              <w:t>Единое пособие</w:t>
            </w:r>
          </w:p>
        </w:tc>
        <w:tc>
          <w:tcPr>
            <w:tcW w:type="dxa" w:w="2168"/>
            <w:vAlign w:val="center"/>
          </w:tcPr>
          <w:p w14:paraId="CE000000">
            <w:pPr>
              <w:ind/>
              <w:jc w:val="center"/>
              <w:rPr>
                <w:rFonts w:ascii="Times New Roman" w:hAnsi="Times New Roman"/>
                <w:sz w:val="24"/>
              </w:rPr>
            </w:pPr>
            <w:r>
              <w:rPr>
                <w:rFonts w:ascii="Times New Roman" w:hAnsi="Times New Roman"/>
                <w:sz w:val="24"/>
              </w:rPr>
              <w:t>50–100% ПМ тр. нас.</w:t>
            </w:r>
          </w:p>
        </w:tc>
        <w:tc>
          <w:tcPr>
            <w:tcW w:type="dxa" w:w="1688"/>
            <w:vAlign w:val="center"/>
          </w:tcPr>
          <w:p w14:paraId="CF00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D0000000">
            <w:pPr>
              <w:ind/>
              <w:jc w:val="center"/>
              <w:rPr>
                <w:rFonts w:ascii="Times New Roman" w:hAnsi="Times New Roman"/>
                <w:sz w:val="24"/>
              </w:rPr>
            </w:pPr>
            <w:r>
              <w:rPr>
                <w:rFonts w:ascii="Times New Roman" w:hAnsi="Times New Roman"/>
                <w:sz w:val="24"/>
              </w:rPr>
              <w:t>Ежемесячно</w:t>
            </w:r>
          </w:p>
        </w:tc>
      </w:tr>
      <w:tr>
        <w:tc>
          <w:tcPr>
            <w:tcW w:type="dxa" w:w="1722"/>
            <w:vAlign w:val="center"/>
          </w:tcPr>
          <w:p w14:paraId="D1000000">
            <w:pPr>
              <w:ind/>
              <w:jc w:val="center"/>
              <w:rPr>
                <w:rFonts w:ascii="Times New Roman" w:hAnsi="Times New Roman"/>
                <w:sz w:val="24"/>
              </w:rPr>
            </w:pPr>
            <w:r>
              <w:rPr>
                <w:rFonts w:ascii="Times New Roman" w:hAnsi="Times New Roman"/>
                <w:sz w:val="24"/>
              </w:rPr>
              <w:t>Семьи с детьми</w:t>
            </w:r>
          </w:p>
        </w:tc>
        <w:tc>
          <w:tcPr>
            <w:tcW w:type="dxa" w:w="1882"/>
            <w:vAlign w:val="center"/>
          </w:tcPr>
          <w:p w14:paraId="D2000000">
            <w:pPr>
              <w:ind/>
              <w:jc w:val="center"/>
              <w:rPr>
                <w:rFonts w:ascii="Times New Roman" w:hAnsi="Times New Roman"/>
                <w:sz w:val="24"/>
              </w:rPr>
            </w:pPr>
            <w:r>
              <w:rPr>
                <w:rFonts w:ascii="Times New Roman" w:hAnsi="Times New Roman"/>
                <w:sz w:val="24"/>
              </w:rPr>
              <w:t xml:space="preserve">МСК </w:t>
            </w:r>
            <w:r>
              <w:rPr>
                <w:rFonts w:ascii="Times New Roman" w:hAnsi="Times New Roman"/>
                <w:sz w:val="24"/>
              </w:rPr>
              <w:t>–</w:t>
            </w:r>
            <w:r>
              <w:rPr>
                <w:rFonts w:ascii="Times New Roman" w:hAnsi="Times New Roman"/>
                <w:sz w:val="24"/>
              </w:rPr>
              <w:t xml:space="preserve"> 1-й ребёнок</w:t>
            </w:r>
          </w:p>
        </w:tc>
        <w:tc>
          <w:tcPr>
            <w:tcW w:type="dxa" w:w="2168"/>
            <w:vAlign w:val="center"/>
          </w:tcPr>
          <w:p w14:paraId="D3000000">
            <w:pPr>
              <w:ind/>
              <w:jc w:val="center"/>
              <w:rPr>
                <w:rFonts w:ascii="Times New Roman" w:hAnsi="Times New Roman"/>
                <w:sz w:val="24"/>
              </w:rPr>
            </w:pPr>
            <w:r>
              <w:rPr>
                <w:rFonts w:ascii="Times New Roman" w:hAnsi="Times New Roman"/>
                <w:sz w:val="24"/>
              </w:rPr>
              <w:t>690 266 руб.</w:t>
            </w:r>
          </w:p>
        </w:tc>
        <w:tc>
          <w:tcPr>
            <w:tcW w:type="dxa" w:w="1688"/>
            <w:vAlign w:val="center"/>
          </w:tcPr>
          <w:p w14:paraId="D400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D5000000">
            <w:pPr>
              <w:ind/>
              <w:jc w:val="center"/>
              <w:rPr>
                <w:rFonts w:ascii="Times New Roman" w:hAnsi="Times New Roman"/>
                <w:sz w:val="24"/>
              </w:rPr>
            </w:pPr>
            <w:r>
              <w:rPr>
                <w:rFonts w:ascii="Times New Roman" w:hAnsi="Times New Roman"/>
                <w:sz w:val="24"/>
              </w:rPr>
              <w:t>Единовременно</w:t>
            </w:r>
          </w:p>
        </w:tc>
      </w:tr>
      <w:tr>
        <w:tc>
          <w:tcPr>
            <w:tcW w:type="dxa" w:w="1722"/>
            <w:vAlign w:val="center"/>
          </w:tcPr>
          <w:p w14:paraId="D6000000">
            <w:pPr>
              <w:ind/>
              <w:jc w:val="center"/>
              <w:rPr>
                <w:rFonts w:ascii="Times New Roman" w:hAnsi="Times New Roman"/>
                <w:sz w:val="24"/>
              </w:rPr>
            </w:pPr>
            <w:r>
              <w:rPr>
                <w:rFonts w:ascii="Times New Roman" w:hAnsi="Times New Roman"/>
                <w:sz w:val="24"/>
              </w:rPr>
              <w:t>Семьи с детьми</w:t>
            </w:r>
          </w:p>
        </w:tc>
        <w:tc>
          <w:tcPr>
            <w:tcW w:type="dxa" w:w="1882"/>
            <w:vAlign w:val="center"/>
          </w:tcPr>
          <w:p w14:paraId="D7000000">
            <w:pPr>
              <w:ind/>
              <w:jc w:val="center"/>
              <w:rPr>
                <w:rFonts w:ascii="Times New Roman" w:hAnsi="Times New Roman"/>
                <w:sz w:val="24"/>
              </w:rPr>
            </w:pPr>
            <w:r>
              <w:rPr>
                <w:rFonts w:ascii="Times New Roman" w:hAnsi="Times New Roman"/>
                <w:sz w:val="24"/>
              </w:rPr>
              <w:t xml:space="preserve">МСК </w:t>
            </w:r>
            <w:r>
              <w:rPr>
                <w:rFonts w:ascii="Times New Roman" w:hAnsi="Times New Roman"/>
                <w:sz w:val="24"/>
              </w:rPr>
              <w:t>–</w:t>
            </w:r>
            <w:r>
              <w:rPr>
                <w:rFonts w:ascii="Times New Roman" w:hAnsi="Times New Roman"/>
                <w:sz w:val="24"/>
              </w:rPr>
              <w:t xml:space="preserve"> доп. на 2-й</w:t>
            </w:r>
          </w:p>
        </w:tc>
        <w:tc>
          <w:tcPr>
            <w:tcW w:type="dxa" w:w="2168"/>
            <w:vAlign w:val="center"/>
          </w:tcPr>
          <w:p w14:paraId="D8000000">
            <w:pPr>
              <w:ind/>
              <w:jc w:val="center"/>
              <w:rPr>
                <w:rFonts w:ascii="Times New Roman" w:hAnsi="Times New Roman"/>
                <w:sz w:val="24"/>
              </w:rPr>
            </w:pPr>
            <w:r>
              <w:rPr>
                <w:rFonts w:ascii="Times New Roman" w:hAnsi="Times New Roman"/>
                <w:sz w:val="24"/>
              </w:rPr>
              <w:t>221 895 руб.</w:t>
            </w:r>
          </w:p>
        </w:tc>
        <w:tc>
          <w:tcPr>
            <w:tcW w:type="dxa" w:w="1688"/>
            <w:vAlign w:val="center"/>
          </w:tcPr>
          <w:p w14:paraId="D900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DA000000">
            <w:pPr>
              <w:ind/>
              <w:jc w:val="center"/>
              <w:rPr>
                <w:rFonts w:ascii="Times New Roman" w:hAnsi="Times New Roman"/>
                <w:sz w:val="24"/>
              </w:rPr>
            </w:pPr>
            <w:r>
              <w:rPr>
                <w:rFonts w:ascii="Times New Roman" w:hAnsi="Times New Roman"/>
                <w:sz w:val="24"/>
              </w:rPr>
              <w:t>Единовременно</w:t>
            </w:r>
          </w:p>
        </w:tc>
      </w:tr>
      <w:tr>
        <w:tc>
          <w:tcPr>
            <w:tcW w:type="dxa" w:w="1722"/>
            <w:vAlign w:val="center"/>
          </w:tcPr>
          <w:p w14:paraId="DB000000">
            <w:pPr>
              <w:ind/>
              <w:jc w:val="center"/>
              <w:rPr>
                <w:rFonts w:ascii="Times New Roman" w:hAnsi="Times New Roman"/>
                <w:sz w:val="24"/>
              </w:rPr>
            </w:pPr>
            <w:r>
              <w:rPr>
                <w:rFonts w:ascii="Times New Roman" w:hAnsi="Times New Roman"/>
                <w:sz w:val="24"/>
              </w:rPr>
              <w:t>Малоимущие</w:t>
            </w:r>
          </w:p>
        </w:tc>
        <w:tc>
          <w:tcPr>
            <w:tcW w:type="dxa" w:w="1882"/>
            <w:vAlign w:val="center"/>
          </w:tcPr>
          <w:p w14:paraId="DC000000">
            <w:pPr>
              <w:ind/>
              <w:jc w:val="center"/>
              <w:rPr>
                <w:rFonts w:ascii="Times New Roman" w:hAnsi="Times New Roman"/>
                <w:sz w:val="24"/>
              </w:rPr>
            </w:pPr>
            <w:r>
              <w:rPr>
                <w:rFonts w:ascii="Times New Roman" w:hAnsi="Times New Roman"/>
                <w:sz w:val="24"/>
              </w:rPr>
              <w:t>Соцконтракт</w:t>
            </w:r>
            <w:r>
              <w:rPr>
                <w:rFonts w:ascii="Times New Roman" w:hAnsi="Times New Roman"/>
                <w:sz w:val="24"/>
              </w:rPr>
              <w:t xml:space="preserve"> (ЛПХ)</w:t>
            </w:r>
          </w:p>
        </w:tc>
        <w:tc>
          <w:tcPr>
            <w:tcW w:type="dxa" w:w="2168"/>
            <w:vAlign w:val="center"/>
          </w:tcPr>
          <w:p w14:paraId="DD000000">
            <w:pPr>
              <w:ind/>
              <w:jc w:val="center"/>
              <w:rPr>
                <w:rFonts w:ascii="Times New Roman" w:hAnsi="Times New Roman"/>
                <w:sz w:val="24"/>
              </w:rPr>
            </w:pPr>
            <w:r>
              <w:rPr>
                <w:rFonts w:ascii="Times New Roman" w:hAnsi="Times New Roman"/>
                <w:sz w:val="24"/>
              </w:rPr>
              <w:t>До 200 000 руб.</w:t>
            </w:r>
          </w:p>
        </w:tc>
        <w:tc>
          <w:tcPr>
            <w:tcW w:type="dxa" w:w="1688"/>
            <w:vAlign w:val="center"/>
          </w:tcPr>
          <w:p w14:paraId="DE000000">
            <w:pPr>
              <w:ind/>
              <w:jc w:val="center"/>
              <w:rPr>
                <w:rFonts w:ascii="Times New Roman" w:hAnsi="Times New Roman"/>
                <w:sz w:val="24"/>
              </w:rPr>
            </w:pPr>
            <w:r>
              <w:rPr>
                <w:rFonts w:ascii="Times New Roman" w:hAnsi="Times New Roman"/>
                <w:sz w:val="24"/>
              </w:rPr>
              <w:t>Фед</w:t>
            </w:r>
            <w:r>
              <w:rPr>
                <w:rFonts w:ascii="Times New Roman" w:hAnsi="Times New Roman"/>
                <w:sz w:val="24"/>
              </w:rPr>
              <w:t>. + обл.</w:t>
            </w:r>
          </w:p>
        </w:tc>
        <w:tc>
          <w:tcPr>
            <w:tcW w:type="dxa" w:w="1895"/>
            <w:vAlign w:val="center"/>
          </w:tcPr>
          <w:p w14:paraId="DF000000">
            <w:pPr>
              <w:ind/>
              <w:jc w:val="center"/>
              <w:rPr>
                <w:rFonts w:ascii="Times New Roman" w:hAnsi="Times New Roman"/>
                <w:sz w:val="24"/>
              </w:rPr>
            </w:pPr>
            <w:r>
              <w:rPr>
                <w:rFonts w:ascii="Times New Roman" w:hAnsi="Times New Roman"/>
                <w:sz w:val="24"/>
              </w:rPr>
              <w:t>Единовременно</w:t>
            </w:r>
          </w:p>
        </w:tc>
      </w:tr>
      <w:tr>
        <w:tc>
          <w:tcPr>
            <w:tcW w:type="dxa" w:w="1722"/>
            <w:vAlign w:val="center"/>
          </w:tcPr>
          <w:p w14:paraId="E0000000">
            <w:pPr>
              <w:ind/>
              <w:jc w:val="center"/>
              <w:rPr>
                <w:rFonts w:ascii="Times New Roman" w:hAnsi="Times New Roman"/>
                <w:sz w:val="24"/>
              </w:rPr>
            </w:pPr>
            <w:r>
              <w:rPr>
                <w:rFonts w:ascii="Times New Roman" w:hAnsi="Times New Roman"/>
                <w:sz w:val="24"/>
              </w:rPr>
              <w:t>Малоимущие</w:t>
            </w:r>
          </w:p>
        </w:tc>
        <w:tc>
          <w:tcPr>
            <w:tcW w:type="dxa" w:w="1882"/>
            <w:vAlign w:val="center"/>
          </w:tcPr>
          <w:p w14:paraId="E1000000">
            <w:pPr>
              <w:ind/>
              <w:jc w:val="center"/>
              <w:rPr>
                <w:rFonts w:ascii="Times New Roman" w:hAnsi="Times New Roman"/>
                <w:sz w:val="24"/>
              </w:rPr>
            </w:pPr>
            <w:r>
              <w:rPr>
                <w:rFonts w:ascii="Times New Roman" w:hAnsi="Times New Roman"/>
                <w:sz w:val="24"/>
              </w:rPr>
              <w:t>Соцконтракт</w:t>
            </w:r>
            <w:r>
              <w:rPr>
                <w:rFonts w:ascii="Times New Roman" w:hAnsi="Times New Roman"/>
                <w:sz w:val="24"/>
              </w:rPr>
              <w:t xml:space="preserve"> (ИПД)</w:t>
            </w:r>
          </w:p>
        </w:tc>
        <w:tc>
          <w:tcPr>
            <w:tcW w:type="dxa" w:w="2168"/>
            <w:vAlign w:val="center"/>
          </w:tcPr>
          <w:p w14:paraId="E2000000">
            <w:pPr>
              <w:ind/>
              <w:jc w:val="center"/>
              <w:rPr>
                <w:rFonts w:ascii="Times New Roman" w:hAnsi="Times New Roman"/>
                <w:sz w:val="24"/>
              </w:rPr>
            </w:pPr>
            <w:r>
              <w:rPr>
                <w:rFonts w:ascii="Times New Roman" w:hAnsi="Times New Roman"/>
                <w:sz w:val="24"/>
              </w:rPr>
              <w:t>До 350 000 руб.</w:t>
            </w:r>
          </w:p>
        </w:tc>
        <w:tc>
          <w:tcPr>
            <w:tcW w:type="dxa" w:w="1688"/>
            <w:vAlign w:val="center"/>
          </w:tcPr>
          <w:p w14:paraId="E3000000">
            <w:pPr>
              <w:ind/>
              <w:jc w:val="center"/>
              <w:rPr>
                <w:rFonts w:ascii="Times New Roman" w:hAnsi="Times New Roman"/>
                <w:sz w:val="24"/>
              </w:rPr>
            </w:pPr>
            <w:r>
              <w:rPr>
                <w:rFonts w:ascii="Times New Roman" w:hAnsi="Times New Roman"/>
                <w:sz w:val="24"/>
              </w:rPr>
              <w:t>Фед</w:t>
            </w:r>
            <w:r>
              <w:rPr>
                <w:rFonts w:ascii="Times New Roman" w:hAnsi="Times New Roman"/>
                <w:sz w:val="24"/>
              </w:rPr>
              <w:t>. + обл.</w:t>
            </w:r>
          </w:p>
        </w:tc>
        <w:tc>
          <w:tcPr>
            <w:tcW w:type="dxa" w:w="1895"/>
            <w:vAlign w:val="center"/>
          </w:tcPr>
          <w:p w14:paraId="E4000000">
            <w:pPr>
              <w:ind/>
              <w:jc w:val="center"/>
              <w:rPr>
                <w:rFonts w:ascii="Times New Roman" w:hAnsi="Times New Roman"/>
                <w:sz w:val="24"/>
              </w:rPr>
            </w:pPr>
            <w:r>
              <w:rPr>
                <w:rFonts w:ascii="Times New Roman" w:hAnsi="Times New Roman"/>
                <w:sz w:val="24"/>
              </w:rPr>
              <w:t>Единовременно</w:t>
            </w:r>
          </w:p>
        </w:tc>
      </w:tr>
      <w:tr>
        <w:tc>
          <w:tcPr>
            <w:tcW w:type="dxa" w:w="1722"/>
            <w:vAlign w:val="center"/>
          </w:tcPr>
          <w:p w14:paraId="E5000000">
            <w:pPr>
              <w:ind/>
              <w:jc w:val="center"/>
              <w:rPr>
                <w:rFonts w:ascii="Times New Roman" w:hAnsi="Times New Roman"/>
                <w:sz w:val="24"/>
              </w:rPr>
            </w:pPr>
            <w:r>
              <w:rPr>
                <w:rFonts w:ascii="Times New Roman" w:hAnsi="Times New Roman"/>
                <w:sz w:val="24"/>
              </w:rPr>
              <w:t>Малоимущие</w:t>
            </w:r>
          </w:p>
        </w:tc>
        <w:tc>
          <w:tcPr>
            <w:tcW w:type="dxa" w:w="1882"/>
            <w:vAlign w:val="center"/>
          </w:tcPr>
          <w:p w14:paraId="E6000000">
            <w:pPr>
              <w:ind/>
              <w:jc w:val="center"/>
              <w:rPr>
                <w:rFonts w:ascii="Times New Roman" w:hAnsi="Times New Roman"/>
                <w:sz w:val="24"/>
              </w:rPr>
            </w:pPr>
            <w:r>
              <w:rPr>
                <w:rFonts w:ascii="Times New Roman" w:hAnsi="Times New Roman"/>
                <w:sz w:val="24"/>
              </w:rPr>
              <w:t>Соцконтракт</w:t>
            </w:r>
            <w:r>
              <w:rPr>
                <w:rFonts w:ascii="Times New Roman" w:hAnsi="Times New Roman"/>
                <w:sz w:val="24"/>
              </w:rPr>
              <w:t xml:space="preserve"> (ТЖС)</w:t>
            </w:r>
          </w:p>
        </w:tc>
        <w:tc>
          <w:tcPr>
            <w:tcW w:type="dxa" w:w="2168"/>
            <w:vAlign w:val="center"/>
          </w:tcPr>
          <w:p w14:paraId="E7000000">
            <w:pPr>
              <w:ind/>
              <w:jc w:val="center"/>
              <w:rPr>
                <w:rFonts w:ascii="Times New Roman" w:hAnsi="Times New Roman"/>
                <w:sz w:val="24"/>
              </w:rPr>
            </w:pPr>
            <w:r>
              <w:rPr>
                <w:rFonts w:ascii="Times New Roman" w:hAnsi="Times New Roman"/>
                <w:sz w:val="24"/>
              </w:rPr>
              <w:t>До 50 000 руб.</w:t>
            </w:r>
          </w:p>
        </w:tc>
        <w:tc>
          <w:tcPr>
            <w:tcW w:type="dxa" w:w="1688"/>
            <w:vAlign w:val="center"/>
          </w:tcPr>
          <w:p w14:paraId="E8000000">
            <w:pPr>
              <w:ind/>
              <w:jc w:val="center"/>
              <w:rPr>
                <w:rFonts w:ascii="Times New Roman" w:hAnsi="Times New Roman"/>
                <w:sz w:val="24"/>
              </w:rPr>
            </w:pPr>
            <w:r>
              <w:rPr>
                <w:rFonts w:ascii="Times New Roman" w:hAnsi="Times New Roman"/>
                <w:sz w:val="24"/>
              </w:rPr>
              <w:t>Фед</w:t>
            </w:r>
            <w:r>
              <w:rPr>
                <w:rFonts w:ascii="Times New Roman" w:hAnsi="Times New Roman"/>
                <w:sz w:val="24"/>
              </w:rPr>
              <w:t>. + обл.</w:t>
            </w:r>
          </w:p>
        </w:tc>
        <w:tc>
          <w:tcPr>
            <w:tcW w:type="dxa" w:w="1895"/>
            <w:vAlign w:val="center"/>
          </w:tcPr>
          <w:p w14:paraId="E9000000">
            <w:pPr>
              <w:ind/>
              <w:jc w:val="center"/>
              <w:rPr>
                <w:rFonts w:ascii="Times New Roman" w:hAnsi="Times New Roman"/>
                <w:sz w:val="24"/>
              </w:rPr>
            </w:pPr>
            <w:r>
              <w:rPr>
                <w:rFonts w:ascii="Times New Roman" w:hAnsi="Times New Roman"/>
                <w:sz w:val="24"/>
              </w:rPr>
              <w:t>Единовременно</w:t>
            </w:r>
          </w:p>
        </w:tc>
      </w:tr>
      <w:tr>
        <w:tc>
          <w:tcPr>
            <w:tcW w:type="dxa" w:w="1722"/>
            <w:vAlign w:val="center"/>
          </w:tcPr>
          <w:p w14:paraId="EA000000">
            <w:pPr>
              <w:ind/>
              <w:jc w:val="center"/>
              <w:rPr>
                <w:rFonts w:ascii="Times New Roman" w:hAnsi="Times New Roman"/>
                <w:sz w:val="24"/>
              </w:rPr>
            </w:pPr>
            <w:r>
              <w:rPr>
                <w:rFonts w:ascii="Times New Roman" w:hAnsi="Times New Roman"/>
                <w:sz w:val="24"/>
              </w:rPr>
              <w:t>Многодетные (3+ детей)</w:t>
            </w:r>
          </w:p>
        </w:tc>
        <w:tc>
          <w:tcPr>
            <w:tcW w:type="dxa" w:w="1882"/>
            <w:vAlign w:val="center"/>
          </w:tcPr>
          <w:p w14:paraId="EB000000">
            <w:pPr>
              <w:ind/>
              <w:jc w:val="center"/>
              <w:rPr>
                <w:rFonts w:ascii="Times New Roman" w:hAnsi="Times New Roman"/>
                <w:sz w:val="24"/>
              </w:rPr>
            </w:pPr>
            <w:r>
              <w:rPr>
                <w:rFonts w:ascii="Times New Roman" w:hAnsi="Times New Roman"/>
                <w:sz w:val="24"/>
              </w:rPr>
              <w:t>Компенсация ЖКУ 30%</w:t>
            </w:r>
          </w:p>
        </w:tc>
        <w:tc>
          <w:tcPr>
            <w:tcW w:type="dxa" w:w="2168"/>
            <w:vAlign w:val="center"/>
          </w:tcPr>
          <w:p w14:paraId="EC000000">
            <w:pPr>
              <w:ind/>
              <w:jc w:val="center"/>
              <w:rPr>
                <w:rFonts w:ascii="Times New Roman" w:hAnsi="Times New Roman"/>
                <w:sz w:val="24"/>
              </w:rPr>
            </w:pPr>
            <w:r>
              <w:rPr>
                <w:rFonts w:ascii="Times New Roman" w:hAnsi="Times New Roman"/>
                <w:sz w:val="24"/>
              </w:rPr>
              <w:t>По факт. расходам</w:t>
            </w:r>
          </w:p>
        </w:tc>
        <w:tc>
          <w:tcPr>
            <w:tcW w:type="dxa" w:w="1688"/>
            <w:vAlign w:val="center"/>
          </w:tcPr>
          <w:p w14:paraId="ED00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EE000000">
            <w:pPr>
              <w:ind/>
              <w:jc w:val="center"/>
              <w:rPr>
                <w:rFonts w:ascii="Times New Roman" w:hAnsi="Times New Roman"/>
                <w:sz w:val="24"/>
              </w:rPr>
            </w:pPr>
            <w:r>
              <w:rPr>
                <w:rFonts w:ascii="Times New Roman" w:hAnsi="Times New Roman"/>
                <w:sz w:val="24"/>
              </w:rPr>
              <w:t>Ежемесячно</w:t>
            </w:r>
          </w:p>
        </w:tc>
      </w:tr>
      <w:tr>
        <w:tc>
          <w:tcPr>
            <w:tcW w:type="dxa" w:w="1722"/>
            <w:vAlign w:val="center"/>
          </w:tcPr>
          <w:p w14:paraId="EF000000">
            <w:pPr>
              <w:ind/>
              <w:jc w:val="center"/>
              <w:rPr>
                <w:rFonts w:ascii="Times New Roman" w:hAnsi="Times New Roman"/>
                <w:sz w:val="24"/>
              </w:rPr>
            </w:pPr>
            <w:r>
              <w:rPr>
                <w:rFonts w:ascii="Times New Roman" w:hAnsi="Times New Roman"/>
                <w:sz w:val="24"/>
              </w:rPr>
              <w:t>Многодетные</w:t>
            </w:r>
          </w:p>
        </w:tc>
        <w:tc>
          <w:tcPr>
            <w:tcW w:type="dxa" w:w="1882"/>
            <w:vAlign w:val="center"/>
          </w:tcPr>
          <w:p w14:paraId="F0000000">
            <w:pPr>
              <w:ind/>
              <w:jc w:val="center"/>
              <w:rPr>
                <w:rFonts w:ascii="Times New Roman" w:hAnsi="Times New Roman"/>
                <w:sz w:val="24"/>
              </w:rPr>
            </w:pPr>
            <w:r>
              <w:rPr>
                <w:rFonts w:ascii="Times New Roman" w:hAnsi="Times New Roman"/>
                <w:sz w:val="24"/>
              </w:rPr>
              <w:t>Погашение ипотеки</w:t>
            </w:r>
          </w:p>
        </w:tc>
        <w:tc>
          <w:tcPr>
            <w:tcW w:type="dxa" w:w="2168"/>
            <w:vAlign w:val="center"/>
          </w:tcPr>
          <w:p w14:paraId="F1000000">
            <w:pPr>
              <w:ind/>
              <w:jc w:val="center"/>
              <w:rPr>
                <w:rFonts w:ascii="Times New Roman" w:hAnsi="Times New Roman"/>
                <w:sz w:val="24"/>
              </w:rPr>
            </w:pPr>
            <w:r>
              <w:rPr>
                <w:rFonts w:ascii="Times New Roman" w:hAnsi="Times New Roman"/>
                <w:sz w:val="24"/>
              </w:rPr>
              <w:t>До 450 000 руб.</w:t>
            </w:r>
          </w:p>
        </w:tc>
        <w:tc>
          <w:tcPr>
            <w:tcW w:type="dxa" w:w="1688"/>
            <w:vAlign w:val="center"/>
          </w:tcPr>
          <w:p w14:paraId="F200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F3000000">
            <w:pPr>
              <w:ind/>
              <w:jc w:val="center"/>
              <w:rPr>
                <w:rFonts w:ascii="Times New Roman" w:hAnsi="Times New Roman"/>
                <w:sz w:val="24"/>
              </w:rPr>
            </w:pPr>
            <w:r>
              <w:rPr>
                <w:rFonts w:ascii="Times New Roman" w:hAnsi="Times New Roman"/>
                <w:sz w:val="24"/>
              </w:rPr>
              <w:t>Единовременно</w:t>
            </w:r>
          </w:p>
        </w:tc>
      </w:tr>
      <w:tr>
        <w:tc>
          <w:tcPr>
            <w:tcW w:type="dxa" w:w="1722"/>
            <w:vAlign w:val="center"/>
          </w:tcPr>
          <w:p w14:paraId="F4000000">
            <w:pPr>
              <w:ind/>
              <w:jc w:val="center"/>
              <w:rPr>
                <w:rFonts w:ascii="Times New Roman" w:hAnsi="Times New Roman"/>
                <w:sz w:val="24"/>
              </w:rPr>
            </w:pPr>
            <w:r>
              <w:rPr>
                <w:rFonts w:ascii="Times New Roman" w:hAnsi="Times New Roman"/>
                <w:sz w:val="24"/>
              </w:rPr>
              <w:t>Многодетные</w:t>
            </w:r>
          </w:p>
        </w:tc>
        <w:tc>
          <w:tcPr>
            <w:tcW w:type="dxa" w:w="1882"/>
            <w:vAlign w:val="center"/>
          </w:tcPr>
          <w:p w14:paraId="F5000000">
            <w:pPr>
              <w:ind/>
              <w:jc w:val="center"/>
              <w:rPr>
                <w:rFonts w:ascii="Times New Roman" w:hAnsi="Times New Roman"/>
                <w:sz w:val="24"/>
              </w:rPr>
            </w:pPr>
            <w:r>
              <w:rPr>
                <w:rFonts w:ascii="Times New Roman" w:hAnsi="Times New Roman"/>
                <w:sz w:val="24"/>
              </w:rPr>
              <w:t>Компенсация д/сада</w:t>
            </w:r>
          </w:p>
        </w:tc>
        <w:tc>
          <w:tcPr>
            <w:tcW w:type="dxa" w:w="2168"/>
            <w:vAlign w:val="center"/>
          </w:tcPr>
          <w:p w14:paraId="F6000000">
            <w:pPr>
              <w:ind/>
              <w:jc w:val="center"/>
              <w:rPr>
                <w:rFonts w:ascii="Times New Roman" w:hAnsi="Times New Roman"/>
                <w:sz w:val="24"/>
              </w:rPr>
            </w:pPr>
            <w:r>
              <w:rPr>
                <w:rFonts w:ascii="Times New Roman" w:hAnsi="Times New Roman"/>
                <w:sz w:val="24"/>
              </w:rPr>
              <w:t>20–70% платежа</w:t>
            </w:r>
          </w:p>
        </w:tc>
        <w:tc>
          <w:tcPr>
            <w:tcW w:type="dxa" w:w="1688"/>
            <w:vAlign w:val="center"/>
          </w:tcPr>
          <w:p w14:paraId="F7000000">
            <w:pPr>
              <w:ind/>
              <w:jc w:val="center"/>
              <w:rPr>
                <w:rFonts w:ascii="Times New Roman" w:hAnsi="Times New Roman"/>
                <w:sz w:val="24"/>
              </w:rPr>
            </w:pPr>
            <w:r>
              <w:rPr>
                <w:rFonts w:ascii="Times New Roman" w:hAnsi="Times New Roman"/>
                <w:sz w:val="24"/>
              </w:rPr>
              <w:t>Региональный</w:t>
            </w:r>
          </w:p>
        </w:tc>
        <w:tc>
          <w:tcPr>
            <w:tcW w:type="dxa" w:w="1895"/>
            <w:vAlign w:val="center"/>
          </w:tcPr>
          <w:p w14:paraId="F8000000">
            <w:pPr>
              <w:ind/>
              <w:jc w:val="center"/>
              <w:rPr>
                <w:rFonts w:ascii="Times New Roman" w:hAnsi="Times New Roman"/>
                <w:sz w:val="24"/>
              </w:rPr>
            </w:pPr>
            <w:r>
              <w:rPr>
                <w:rFonts w:ascii="Times New Roman" w:hAnsi="Times New Roman"/>
                <w:sz w:val="24"/>
              </w:rPr>
              <w:t>Ежемесячно</w:t>
            </w:r>
          </w:p>
        </w:tc>
      </w:tr>
      <w:tr>
        <w:tc>
          <w:tcPr>
            <w:tcW w:type="dxa" w:w="1722"/>
            <w:vAlign w:val="center"/>
          </w:tcPr>
          <w:p w14:paraId="F9000000">
            <w:pPr>
              <w:ind/>
              <w:jc w:val="center"/>
              <w:rPr>
                <w:rFonts w:ascii="Times New Roman" w:hAnsi="Times New Roman"/>
                <w:sz w:val="24"/>
              </w:rPr>
            </w:pPr>
            <w:r>
              <w:rPr>
                <w:rFonts w:ascii="Times New Roman" w:hAnsi="Times New Roman"/>
                <w:sz w:val="24"/>
              </w:rPr>
              <w:t>Ветераны труда СО</w:t>
            </w:r>
          </w:p>
        </w:tc>
        <w:tc>
          <w:tcPr>
            <w:tcW w:type="dxa" w:w="1882"/>
            <w:vAlign w:val="center"/>
          </w:tcPr>
          <w:p w14:paraId="FA000000">
            <w:pPr>
              <w:ind/>
              <w:jc w:val="center"/>
              <w:rPr>
                <w:rFonts w:ascii="Times New Roman" w:hAnsi="Times New Roman"/>
                <w:sz w:val="24"/>
              </w:rPr>
            </w:pPr>
            <w:r>
              <w:rPr>
                <w:rFonts w:ascii="Times New Roman" w:hAnsi="Times New Roman"/>
                <w:sz w:val="24"/>
              </w:rPr>
              <w:t>Ежем</w:t>
            </w:r>
            <w:r>
              <w:rPr>
                <w:rFonts w:ascii="Times New Roman" w:hAnsi="Times New Roman"/>
                <w:sz w:val="24"/>
              </w:rPr>
              <w:t xml:space="preserve">. денежная </w:t>
            </w:r>
            <w:r>
              <w:rPr>
                <w:rFonts w:ascii="Times New Roman" w:hAnsi="Times New Roman"/>
                <w:sz w:val="24"/>
              </w:rPr>
              <w:t>компенс</w:t>
            </w:r>
            <w:r>
              <w:rPr>
                <w:rFonts w:ascii="Times New Roman" w:hAnsi="Times New Roman"/>
                <w:sz w:val="24"/>
              </w:rPr>
              <w:t>.</w:t>
            </w:r>
          </w:p>
        </w:tc>
        <w:tc>
          <w:tcPr>
            <w:tcW w:type="dxa" w:w="2168"/>
            <w:vAlign w:val="center"/>
          </w:tcPr>
          <w:p w14:paraId="FB000000">
            <w:pPr>
              <w:ind/>
              <w:jc w:val="center"/>
              <w:rPr>
                <w:rFonts w:ascii="Times New Roman" w:hAnsi="Times New Roman"/>
                <w:sz w:val="24"/>
              </w:rPr>
            </w:pPr>
            <w:r>
              <w:rPr>
                <w:rFonts w:ascii="Times New Roman" w:hAnsi="Times New Roman"/>
                <w:sz w:val="24"/>
              </w:rPr>
              <w:t>По нормативам СО</w:t>
            </w:r>
          </w:p>
        </w:tc>
        <w:tc>
          <w:tcPr>
            <w:tcW w:type="dxa" w:w="1688"/>
            <w:vAlign w:val="center"/>
          </w:tcPr>
          <w:p w14:paraId="FC000000">
            <w:pPr>
              <w:ind/>
              <w:jc w:val="center"/>
              <w:rPr>
                <w:rFonts w:ascii="Times New Roman" w:hAnsi="Times New Roman"/>
                <w:sz w:val="24"/>
              </w:rPr>
            </w:pPr>
            <w:r>
              <w:rPr>
                <w:rFonts w:ascii="Times New Roman" w:hAnsi="Times New Roman"/>
                <w:sz w:val="24"/>
              </w:rPr>
              <w:t>Региональный</w:t>
            </w:r>
          </w:p>
        </w:tc>
        <w:tc>
          <w:tcPr>
            <w:tcW w:type="dxa" w:w="1895"/>
            <w:vAlign w:val="center"/>
          </w:tcPr>
          <w:p w14:paraId="FD000000">
            <w:pPr>
              <w:ind/>
              <w:jc w:val="center"/>
              <w:rPr>
                <w:rFonts w:ascii="Times New Roman" w:hAnsi="Times New Roman"/>
                <w:sz w:val="24"/>
              </w:rPr>
            </w:pPr>
            <w:r>
              <w:rPr>
                <w:rFonts w:ascii="Times New Roman" w:hAnsi="Times New Roman"/>
                <w:sz w:val="24"/>
              </w:rPr>
              <w:t>Ежемесячно</w:t>
            </w:r>
          </w:p>
        </w:tc>
      </w:tr>
      <w:tr>
        <w:tc>
          <w:tcPr>
            <w:tcW w:type="dxa" w:w="1722"/>
            <w:vAlign w:val="center"/>
          </w:tcPr>
          <w:p w14:paraId="FE000000">
            <w:pPr>
              <w:ind/>
              <w:jc w:val="center"/>
              <w:rPr>
                <w:rFonts w:ascii="Times New Roman" w:hAnsi="Times New Roman"/>
                <w:sz w:val="24"/>
              </w:rPr>
            </w:pPr>
            <w:r>
              <w:rPr>
                <w:rFonts w:ascii="Times New Roman" w:hAnsi="Times New Roman"/>
                <w:sz w:val="24"/>
              </w:rPr>
              <w:t>Пенсионеры 60/55+</w:t>
            </w:r>
          </w:p>
        </w:tc>
        <w:tc>
          <w:tcPr>
            <w:tcW w:type="dxa" w:w="1882"/>
            <w:vAlign w:val="center"/>
          </w:tcPr>
          <w:p w14:paraId="FF000000">
            <w:pPr>
              <w:ind/>
              <w:jc w:val="center"/>
              <w:rPr>
                <w:rFonts w:ascii="Times New Roman" w:hAnsi="Times New Roman"/>
                <w:sz w:val="24"/>
              </w:rPr>
            </w:pPr>
            <w:r>
              <w:rPr>
                <w:rFonts w:ascii="Times New Roman" w:hAnsi="Times New Roman"/>
                <w:sz w:val="24"/>
              </w:rPr>
              <w:t>Бесплатный проезд (</w:t>
            </w:r>
            <w:r>
              <w:rPr>
                <w:rFonts w:ascii="Times New Roman" w:hAnsi="Times New Roman"/>
                <w:sz w:val="24"/>
              </w:rPr>
              <w:t>межмун</w:t>
            </w:r>
            <w:r>
              <w:rPr>
                <w:rFonts w:ascii="Times New Roman" w:hAnsi="Times New Roman"/>
                <w:sz w:val="24"/>
              </w:rPr>
              <w:t>.)</w:t>
            </w:r>
          </w:p>
        </w:tc>
        <w:tc>
          <w:tcPr>
            <w:tcW w:type="dxa" w:w="2168"/>
            <w:vAlign w:val="center"/>
          </w:tcPr>
          <w:p w14:paraId="00010000">
            <w:pPr>
              <w:ind/>
              <w:jc w:val="center"/>
              <w:rPr>
                <w:rFonts w:ascii="Times New Roman" w:hAnsi="Times New Roman"/>
                <w:sz w:val="24"/>
              </w:rPr>
            </w:pPr>
            <w:r>
              <w:rPr>
                <w:rFonts w:ascii="Times New Roman" w:hAnsi="Times New Roman"/>
                <w:sz w:val="24"/>
              </w:rPr>
              <w:t>Натуральная</w:t>
            </w:r>
          </w:p>
        </w:tc>
        <w:tc>
          <w:tcPr>
            <w:tcW w:type="dxa" w:w="1688"/>
            <w:vAlign w:val="center"/>
          </w:tcPr>
          <w:p w14:paraId="01010000">
            <w:pPr>
              <w:ind/>
              <w:jc w:val="center"/>
              <w:rPr>
                <w:rFonts w:ascii="Times New Roman" w:hAnsi="Times New Roman"/>
                <w:sz w:val="24"/>
              </w:rPr>
            </w:pPr>
            <w:r>
              <w:rPr>
                <w:rFonts w:ascii="Times New Roman" w:hAnsi="Times New Roman"/>
                <w:sz w:val="24"/>
              </w:rPr>
              <w:t>Региональный</w:t>
            </w:r>
          </w:p>
        </w:tc>
        <w:tc>
          <w:tcPr>
            <w:tcW w:type="dxa" w:w="1895"/>
            <w:vAlign w:val="center"/>
          </w:tcPr>
          <w:p w14:paraId="02010000">
            <w:pPr>
              <w:ind/>
              <w:jc w:val="center"/>
              <w:rPr>
                <w:rFonts w:ascii="Times New Roman" w:hAnsi="Times New Roman"/>
                <w:sz w:val="24"/>
              </w:rPr>
            </w:pPr>
            <w:r>
              <w:rPr>
                <w:rFonts w:ascii="Times New Roman" w:hAnsi="Times New Roman"/>
                <w:sz w:val="24"/>
              </w:rPr>
              <w:t>По факту</w:t>
            </w:r>
          </w:p>
        </w:tc>
      </w:tr>
      <w:tr>
        <w:tc>
          <w:tcPr>
            <w:tcW w:type="dxa" w:w="1722"/>
            <w:vAlign w:val="center"/>
          </w:tcPr>
          <w:p w14:paraId="03010000">
            <w:pPr>
              <w:ind/>
              <w:jc w:val="center"/>
              <w:rPr>
                <w:rFonts w:ascii="Times New Roman" w:hAnsi="Times New Roman"/>
                <w:sz w:val="24"/>
              </w:rPr>
            </w:pPr>
            <w:r>
              <w:rPr>
                <w:rFonts w:ascii="Times New Roman" w:hAnsi="Times New Roman"/>
                <w:sz w:val="24"/>
              </w:rPr>
              <w:t>Малоимущие</w:t>
            </w:r>
          </w:p>
        </w:tc>
        <w:tc>
          <w:tcPr>
            <w:tcW w:type="dxa" w:w="1882"/>
            <w:vAlign w:val="center"/>
          </w:tcPr>
          <w:p w14:paraId="04010000">
            <w:pPr>
              <w:ind/>
              <w:jc w:val="center"/>
              <w:rPr>
                <w:rFonts w:ascii="Times New Roman" w:hAnsi="Times New Roman"/>
                <w:sz w:val="24"/>
              </w:rPr>
            </w:pPr>
            <w:r>
              <w:rPr>
                <w:rFonts w:ascii="Times New Roman" w:hAnsi="Times New Roman"/>
                <w:sz w:val="24"/>
              </w:rPr>
              <w:t>Обл. пособие</w:t>
            </w:r>
          </w:p>
        </w:tc>
        <w:tc>
          <w:tcPr>
            <w:tcW w:type="dxa" w:w="2168"/>
            <w:vAlign w:val="center"/>
          </w:tcPr>
          <w:p w14:paraId="05010000">
            <w:pPr>
              <w:ind/>
              <w:jc w:val="center"/>
              <w:rPr>
                <w:rFonts w:ascii="Times New Roman" w:hAnsi="Times New Roman"/>
                <w:sz w:val="24"/>
              </w:rPr>
            </w:pPr>
            <w:r>
              <w:rPr>
                <w:rFonts w:ascii="Times New Roman" w:hAnsi="Times New Roman"/>
                <w:sz w:val="24"/>
              </w:rPr>
              <w:t>387 руб./чел.</w:t>
            </w:r>
          </w:p>
        </w:tc>
        <w:tc>
          <w:tcPr>
            <w:tcW w:type="dxa" w:w="1688"/>
            <w:vAlign w:val="center"/>
          </w:tcPr>
          <w:p w14:paraId="06010000">
            <w:pPr>
              <w:ind/>
              <w:jc w:val="center"/>
              <w:rPr>
                <w:rFonts w:ascii="Times New Roman" w:hAnsi="Times New Roman"/>
                <w:sz w:val="24"/>
              </w:rPr>
            </w:pPr>
            <w:r>
              <w:rPr>
                <w:rFonts w:ascii="Times New Roman" w:hAnsi="Times New Roman"/>
                <w:sz w:val="24"/>
              </w:rPr>
              <w:t>Региональный</w:t>
            </w:r>
          </w:p>
        </w:tc>
        <w:tc>
          <w:tcPr>
            <w:tcW w:type="dxa" w:w="1895"/>
            <w:vAlign w:val="center"/>
          </w:tcPr>
          <w:p w14:paraId="07010000">
            <w:pPr>
              <w:ind/>
              <w:jc w:val="center"/>
              <w:rPr>
                <w:rFonts w:ascii="Times New Roman" w:hAnsi="Times New Roman"/>
                <w:sz w:val="24"/>
              </w:rPr>
            </w:pPr>
            <w:r>
              <w:rPr>
                <w:rFonts w:ascii="Times New Roman" w:hAnsi="Times New Roman"/>
                <w:sz w:val="24"/>
              </w:rPr>
              <w:t>Ежемесячно</w:t>
            </w:r>
          </w:p>
        </w:tc>
      </w:tr>
      <w:tr>
        <w:tc>
          <w:tcPr>
            <w:tcW w:type="dxa" w:w="1722"/>
            <w:vAlign w:val="center"/>
          </w:tcPr>
          <w:p w14:paraId="08010000">
            <w:pPr>
              <w:ind/>
              <w:jc w:val="center"/>
              <w:rPr>
                <w:rFonts w:ascii="Times New Roman" w:hAnsi="Times New Roman"/>
                <w:sz w:val="24"/>
              </w:rPr>
            </w:pPr>
            <w:r>
              <w:rPr>
                <w:rFonts w:ascii="Times New Roman" w:hAnsi="Times New Roman"/>
                <w:sz w:val="24"/>
              </w:rPr>
              <w:t>Участники СВО</w:t>
            </w:r>
          </w:p>
        </w:tc>
        <w:tc>
          <w:tcPr>
            <w:tcW w:type="dxa" w:w="1882"/>
            <w:vAlign w:val="center"/>
          </w:tcPr>
          <w:p w14:paraId="09010000">
            <w:pPr>
              <w:ind/>
              <w:jc w:val="center"/>
              <w:rPr>
                <w:rFonts w:ascii="Times New Roman" w:hAnsi="Times New Roman"/>
                <w:sz w:val="24"/>
              </w:rPr>
            </w:pPr>
            <w:r>
              <w:rPr>
                <w:rFonts w:ascii="Times New Roman" w:hAnsi="Times New Roman"/>
                <w:sz w:val="24"/>
              </w:rPr>
              <w:t>Налоговые льготы</w:t>
            </w:r>
          </w:p>
        </w:tc>
        <w:tc>
          <w:tcPr>
            <w:tcW w:type="dxa" w:w="2168"/>
            <w:vAlign w:val="center"/>
          </w:tcPr>
          <w:p w14:paraId="0A010000">
            <w:pPr>
              <w:ind/>
              <w:jc w:val="center"/>
              <w:rPr>
                <w:rFonts w:ascii="Times New Roman" w:hAnsi="Times New Roman"/>
                <w:sz w:val="24"/>
              </w:rPr>
            </w:pPr>
            <w:r>
              <w:rPr>
                <w:rFonts w:ascii="Times New Roman" w:hAnsi="Times New Roman"/>
                <w:sz w:val="24"/>
              </w:rPr>
              <w:t xml:space="preserve">Освобождение от </w:t>
            </w:r>
            <w:r>
              <w:rPr>
                <w:rFonts w:ascii="Times New Roman" w:hAnsi="Times New Roman"/>
                <w:sz w:val="24"/>
              </w:rPr>
              <w:t>имущ</w:t>
            </w:r>
            <w:r>
              <w:rPr>
                <w:rFonts w:ascii="Times New Roman" w:hAnsi="Times New Roman"/>
                <w:sz w:val="24"/>
              </w:rPr>
              <w:t>./</w:t>
            </w:r>
            <w:r>
              <w:rPr>
                <w:rFonts w:ascii="Times New Roman" w:hAnsi="Times New Roman"/>
                <w:sz w:val="24"/>
              </w:rPr>
              <w:t>зем</w:t>
            </w:r>
            <w:r>
              <w:rPr>
                <w:rFonts w:ascii="Times New Roman" w:hAnsi="Times New Roman"/>
                <w:sz w:val="24"/>
              </w:rPr>
              <w:t>./</w:t>
            </w:r>
            <w:r>
              <w:rPr>
                <w:rFonts w:ascii="Times New Roman" w:hAnsi="Times New Roman"/>
                <w:sz w:val="24"/>
              </w:rPr>
              <w:t>трансп. налогов</w:t>
            </w:r>
          </w:p>
        </w:tc>
        <w:tc>
          <w:tcPr>
            <w:tcW w:type="dxa" w:w="1688"/>
            <w:vAlign w:val="center"/>
          </w:tcPr>
          <w:p w14:paraId="0B010000">
            <w:pPr>
              <w:ind/>
              <w:jc w:val="center"/>
              <w:rPr>
                <w:rFonts w:ascii="Times New Roman" w:hAnsi="Times New Roman"/>
                <w:sz w:val="24"/>
              </w:rPr>
            </w:pPr>
            <w:r>
              <w:rPr>
                <w:rFonts w:ascii="Times New Roman" w:hAnsi="Times New Roman"/>
                <w:sz w:val="24"/>
              </w:rPr>
              <w:t>Федеральный</w:t>
            </w:r>
          </w:p>
        </w:tc>
        <w:tc>
          <w:tcPr>
            <w:tcW w:type="dxa" w:w="1895"/>
            <w:vAlign w:val="center"/>
          </w:tcPr>
          <w:p w14:paraId="0C010000">
            <w:pPr>
              <w:ind/>
              <w:jc w:val="center"/>
              <w:rPr>
                <w:rFonts w:ascii="Times New Roman" w:hAnsi="Times New Roman"/>
                <w:sz w:val="24"/>
              </w:rPr>
            </w:pPr>
            <w:r>
              <w:rPr>
                <w:rFonts w:ascii="Times New Roman" w:hAnsi="Times New Roman"/>
                <w:sz w:val="24"/>
              </w:rPr>
              <w:t>Ежегодно</w:t>
            </w:r>
          </w:p>
        </w:tc>
      </w:tr>
      <w:tr>
        <w:tc>
          <w:tcPr>
            <w:tcW w:type="dxa" w:w="9355"/>
            <w:gridSpan w:val="5"/>
            <w:tcBorders>
              <w:top w:sz="4" w:val="nil"/>
              <w:left w:sz="4" w:val="nil"/>
              <w:right w:sz="4" w:val="nil"/>
            </w:tcBorders>
            <w:vAlign w:val="center"/>
          </w:tcPr>
          <w:p w14:paraId="0D010000">
            <w:pPr>
              <w:spacing w:line="360" w:lineRule="auto"/>
              <w:ind/>
              <w:jc w:val="right"/>
              <w:rPr>
                <w:rFonts w:ascii="Times New Roman" w:hAnsi="Times New Roman"/>
                <w:sz w:val="28"/>
              </w:rPr>
            </w:pPr>
            <w:r>
              <w:rPr>
                <w:rFonts w:ascii="Times New Roman" w:hAnsi="Times New Roman"/>
                <w:sz w:val="28"/>
              </w:rPr>
              <w:t>Продолжение таблицы 2.3</w:t>
            </w:r>
          </w:p>
        </w:tc>
      </w:tr>
      <w:tr>
        <w:tc>
          <w:tcPr>
            <w:tcW w:type="dxa" w:w="1722"/>
            <w:vAlign w:val="center"/>
          </w:tcPr>
          <w:p w14:paraId="0E010000">
            <w:pPr>
              <w:ind/>
              <w:jc w:val="center"/>
              <w:rPr>
                <w:rFonts w:ascii="Times New Roman" w:hAnsi="Times New Roman"/>
                <w:sz w:val="24"/>
              </w:rPr>
            </w:pPr>
            <w:r>
              <w:rPr>
                <w:rFonts w:ascii="Times New Roman" w:hAnsi="Times New Roman"/>
                <w:sz w:val="24"/>
              </w:rPr>
              <w:t>Нуждающиеся в уходе</w:t>
            </w:r>
          </w:p>
        </w:tc>
        <w:tc>
          <w:tcPr>
            <w:tcW w:type="dxa" w:w="1882"/>
            <w:vAlign w:val="center"/>
          </w:tcPr>
          <w:p w14:paraId="0F010000">
            <w:pPr>
              <w:ind/>
              <w:jc w:val="center"/>
              <w:rPr>
                <w:rFonts w:ascii="Times New Roman" w:hAnsi="Times New Roman"/>
                <w:sz w:val="24"/>
              </w:rPr>
            </w:pPr>
            <w:r>
              <w:rPr>
                <w:rFonts w:ascii="Times New Roman" w:hAnsi="Times New Roman"/>
                <w:sz w:val="24"/>
              </w:rPr>
              <w:t>Соц. обслуживание (СДУ)</w:t>
            </w:r>
          </w:p>
        </w:tc>
        <w:tc>
          <w:tcPr>
            <w:tcW w:type="dxa" w:w="2168"/>
            <w:vAlign w:val="center"/>
          </w:tcPr>
          <w:p w14:paraId="10010000">
            <w:pPr>
              <w:ind/>
              <w:jc w:val="center"/>
              <w:rPr>
                <w:rFonts w:ascii="Times New Roman" w:hAnsi="Times New Roman"/>
                <w:sz w:val="24"/>
              </w:rPr>
            </w:pPr>
            <w:r>
              <w:rPr>
                <w:rFonts w:ascii="Times New Roman" w:hAnsi="Times New Roman"/>
                <w:sz w:val="24"/>
              </w:rPr>
              <w:t>14–28 ч./</w:t>
            </w:r>
            <w:r>
              <w:rPr>
                <w:rFonts w:ascii="Times New Roman" w:hAnsi="Times New Roman"/>
                <w:sz w:val="24"/>
              </w:rPr>
              <w:t>нед</w:t>
            </w:r>
            <w:r>
              <w:rPr>
                <w:rFonts w:ascii="Times New Roman" w:hAnsi="Times New Roman"/>
                <w:sz w:val="24"/>
              </w:rPr>
              <w:t>.</w:t>
            </w:r>
          </w:p>
        </w:tc>
        <w:tc>
          <w:tcPr>
            <w:tcW w:type="dxa" w:w="1688"/>
            <w:vAlign w:val="center"/>
          </w:tcPr>
          <w:p w14:paraId="11010000">
            <w:pPr>
              <w:ind/>
              <w:jc w:val="center"/>
              <w:rPr>
                <w:rFonts w:ascii="Times New Roman" w:hAnsi="Times New Roman"/>
                <w:sz w:val="24"/>
              </w:rPr>
            </w:pPr>
            <w:r>
              <w:rPr>
                <w:rFonts w:ascii="Times New Roman" w:hAnsi="Times New Roman"/>
                <w:sz w:val="24"/>
              </w:rPr>
              <w:t>Региональный (КЦСОН)</w:t>
            </w:r>
          </w:p>
        </w:tc>
        <w:tc>
          <w:tcPr>
            <w:tcW w:type="dxa" w:w="1895"/>
            <w:vAlign w:val="center"/>
          </w:tcPr>
          <w:p w14:paraId="12010000">
            <w:pPr>
              <w:ind/>
              <w:jc w:val="center"/>
              <w:rPr>
                <w:rFonts w:ascii="Times New Roman" w:hAnsi="Times New Roman"/>
                <w:sz w:val="24"/>
              </w:rPr>
            </w:pPr>
            <w:r>
              <w:rPr>
                <w:rFonts w:ascii="Times New Roman" w:hAnsi="Times New Roman"/>
                <w:sz w:val="24"/>
              </w:rPr>
              <w:t>Систематически</w:t>
            </w:r>
          </w:p>
        </w:tc>
      </w:tr>
    </w:tbl>
    <w:p w14:paraId="13010000">
      <w:pPr>
        <w:spacing w:after="0" w:line="360" w:lineRule="auto"/>
        <w:ind w:firstLine="709" w:left="0"/>
        <w:jc w:val="both"/>
        <w:rPr>
          <w:rFonts w:ascii="Times New Roman" w:hAnsi="Times New Roman"/>
          <w:sz w:val="28"/>
        </w:rPr>
      </w:pPr>
    </w:p>
    <w:p w14:paraId="14010000">
      <w:pPr>
        <w:spacing w:after="0" w:line="360" w:lineRule="auto"/>
        <w:ind w:firstLine="709" w:left="0"/>
        <w:jc w:val="both"/>
        <w:rPr>
          <w:rFonts w:ascii="Times New Roman" w:hAnsi="Times New Roman"/>
          <w:sz w:val="28"/>
        </w:rPr>
      </w:pPr>
      <w:r>
        <w:rPr>
          <w:rFonts w:ascii="Times New Roman" w:hAnsi="Times New Roman"/>
          <w:sz w:val="28"/>
        </w:rPr>
        <w:t xml:space="preserve">В Свердловской области действует областной перечень льготных лекарственных препаратов, дополняющий федеральный перечень. Право на льготное лекарственное обеспечение имеют: инвалиды, получающие НСУ в натуральной форме (по федеральному перечню через аптеку МУП АГО «Аптека № 191»); граждане, страдающие отдельными хроническими заболеваниями (бронхиальная астма, диабет, онкологические заболевания, психические расстройства и ряд других) </w:t>
      </w:r>
      <w:r>
        <w:rPr>
          <w:rFonts w:ascii="Times New Roman" w:hAnsi="Times New Roman"/>
          <w:sz w:val="28"/>
        </w:rPr>
        <w:t>–</w:t>
      </w:r>
      <w:r>
        <w:rPr>
          <w:rFonts w:ascii="Times New Roman" w:hAnsi="Times New Roman"/>
          <w:sz w:val="28"/>
        </w:rPr>
        <w:t xml:space="preserve"> по региональному перечню за счёт областного бюджета; дети до 3 лет и дети из многодетных семей до 6 лет </w:t>
      </w:r>
      <w:r>
        <w:rPr>
          <w:rFonts w:ascii="Times New Roman" w:hAnsi="Times New Roman"/>
          <w:sz w:val="28"/>
        </w:rPr>
        <w:t>–</w:t>
      </w:r>
      <w:r>
        <w:rPr>
          <w:rFonts w:ascii="Times New Roman" w:hAnsi="Times New Roman"/>
          <w:sz w:val="28"/>
        </w:rPr>
        <w:t xml:space="preserve"> бесплатно по любым назначениям врача. Для проживающих в ПНИ обеспечение лекарственными препаратами осуществляется в рамках учреждения за счёт государственного финансирования учреждения.</w:t>
      </w:r>
    </w:p>
    <w:p w14:paraId="15010000">
      <w:pPr>
        <w:spacing w:after="0" w:line="360" w:lineRule="auto"/>
        <w:ind w:firstLine="709" w:left="0"/>
        <w:jc w:val="both"/>
        <w:rPr>
          <w:rFonts w:ascii="Times New Roman" w:hAnsi="Times New Roman"/>
          <w:sz w:val="28"/>
        </w:rPr>
      </w:pPr>
      <w:r>
        <w:rPr>
          <w:rFonts w:ascii="Times New Roman" w:hAnsi="Times New Roman"/>
          <w:sz w:val="28"/>
        </w:rPr>
        <w:t>Пенсионеры по возрасту (60 лет для женщин, 65 лет для мужчин после реформы 2019 г., при этом нынешние пенсионеры, достигшие 55/60 лет до реформы, также имеют право) и инвалиды имеют право на льготный проезд в пригородном и межмуниципальном транспорте по территории Свердловской области. Компенсация осуществляется путём возмещения перевозчику разницы между льготным тарифом (нулевым или сниженным) и полным. В посёлке Красногвардейский данная льгота практически применима только для поездок в г. Артемовский: именно там расположены Управление социальной политики, СФР, МФЦ, крупные торговые точки и медицинские учреждения. Таким образом, льготный проезд является инструментом, частично компенсирующим территориальную недоступность услуг.</w:t>
      </w:r>
    </w:p>
    <w:p w14:paraId="16010000">
      <w:pPr>
        <w:spacing w:after="0" w:line="360" w:lineRule="auto"/>
        <w:ind w:firstLine="709" w:left="0"/>
        <w:jc w:val="both"/>
        <w:rPr>
          <w:rFonts w:ascii="Times New Roman" w:hAnsi="Times New Roman"/>
          <w:sz w:val="28"/>
        </w:rPr>
      </w:pPr>
      <w:r>
        <w:rPr>
          <w:rFonts w:ascii="Times New Roman" w:hAnsi="Times New Roman"/>
          <w:sz w:val="28"/>
        </w:rPr>
        <w:t xml:space="preserve">На территории округа реализуется адресная помощь в натуральной форме: продуктовые наборы, одежда, предметы первой необходимости для малоимущих одиноких пенсионеров, инвалидов, матерей-одиночек и многодетных семей. Данная помощь оказывается прежде всего в рамках </w:t>
      </w:r>
      <w:r>
        <w:rPr>
          <w:rFonts w:ascii="Times New Roman" w:hAnsi="Times New Roman"/>
          <w:sz w:val="28"/>
        </w:rPr>
        <w:t>срочного социального обслуживания (одно из направлений деятельности КЦСОН) и через благотворительные акции к праздничным датам. Для посёлка Красногвардейский ключевым условием доступности срочной помощи является наличие рабочего контакта между ТУ и отделением КЦСОН: сотрудники ТУ должны быть осведомлены о процедурах направления граждан в экстренных случаях и иметь устойчивые рабочие связи со специалистами КЦСОН.</w:t>
      </w:r>
    </w:p>
    <w:p w14:paraId="17010000">
      <w:pPr>
        <w:spacing w:after="0" w:line="360" w:lineRule="auto"/>
        <w:ind w:firstLine="709" w:left="0"/>
        <w:jc w:val="both"/>
        <w:rPr>
          <w:rFonts w:ascii="Times New Roman" w:hAnsi="Times New Roman"/>
          <w:sz w:val="28"/>
        </w:rPr>
      </w:pPr>
      <w:r>
        <w:rPr>
          <w:rFonts w:ascii="Times New Roman" w:hAnsi="Times New Roman"/>
          <w:sz w:val="28"/>
        </w:rPr>
        <w:t>Формальные каналы такого взаимодействия описаны во внутренних регламентах администрации округа, однако практика показывает, что их эффективность во многом зависит от личной инициативы конкретных сотрудников.</w:t>
      </w:r>
    </w:p>
    <w:p w14:paraId="18010000">
      <w:pPr>
        <w:spacing w:after="0" w:line="360" w:lineRule="auto"/>
        <w:ind w:firstLine="709" w:left="0"/>
        <w:jc w:val="both"/>
        <w:rPr>
          <w:rFonts w:ascii="Times New Roman" w:hAnsi="Times New Roman"/>
          <w:sz w:val="28"/>
        </w:rPr>
      </w:pPr>
    </w:p>
    <w:p w14:paraId="19010000">
      <w:pPr>
        <w:pStyle w:val="Style_3"/>
      </w:pPr>
      <w:r>
        <w:t xml:space="preserve">2.3 </w:t>
      </w:r>
      <w:r>
        <w:t>Оценка эффективности системы социальной защиты и выявление проблем</w:t>
      </w:r>
    </w:p>
    <w:p w14:paraId="1A010000">
      <w:pPr>
        <w:spacing w:after="0" w:line="360" w:lineRule="auto"/>
        <w:ind w:firstLine="709" w:left="0"/>
        <w:jc w:val="both"/>
        <w:rPr>
          <w:rFonts w:ascii="Times New Roman" w:hAnsi="Times New Roman"/>
          <w:sz w:val="28"/>
        </w:rPr>
      </w:pPr>
    </w:p>
    <w:p w14:paraId="1B010000">
      <w:pPr>
        <w:spacing w:after="0" w:line="360" w:lineRule="auto"/>
        <w:ind w:firstLine="709" w:left="0"/>
        <w:jc w:val="both"/>
        <w:rPr>
          <w:rFonts w:ascii="Times New Roman" w:hAnsi="Times New Roman"/>
          <w:sz w:val="28"/>
        </w:rPr>
      </w:pPr>
      <w:r>
        <w:rPr>
          <w:rFonts w:ascii="Times New Roman" w:hAnsi="Times New Roman"/>
          <w:sz w:val="28"/>
        </w:rPr>
        <w:t xml:space="preserve">Оценка эффективности системы социальной защиты на </w:t>
      </w:r>
      <w:r>
        <w:rPr>
          <w:rFonts w:ascii="Times New Roman" w:hAnsi="Times New Roman"/>
          <w:sz w:val="28"/>
        </w:rPr>
        <w:t>субмуниципальном</w:t>
      </w:r>
      <w:r>
        <w:rPr>
          <w:rFonts w:ascii="Times New Roman" w:hAnsi="Times New Roman"/>
          <w:sz w:val="28"/>
        </w:rPr>
        <w:t xml:space="preserve"> уровне (в масштабе отдельного посёлка) представляет методическую проблему: основные показатели (охват, объёмы выплат, число получателей по видам услуг) аккумулируются на уровне округа, а не отдельного населённого пункта. Тем не менее через сопоставление нормативных параметров с характеристиками территории, анализ институциональной архитектуры и данные по округу в целом можно сформулировать достаточно обоснованные выводы об эффективности системы применительно к посёлку Красногвардейский. В качестве аналитического инструмента использована матрица оценки по четырём измерениям: охват и полнота (удельный вес фактически охваченных нуждающихся к расчётному числу нуждающихся); адекватность (соответствие размеров выплат реальной стоимости жизни); доступность (возможность получателя физически и административно обратиться за поддержкой); координация (согласованность действий разных уровней системы).</w:t>
      </w:r>
    </w:p>
    <w:p w14:paraId="1C010000">
      <w:pPr>
        <w:spacing w:after="0" w:line="360" w:lineRule="auto"/>
        <w:ind w:firstLine="709" w:left="0"/>
        <w:jc w:val="both"/>
        <w:rPr>
          <w:rFonts w:ascii="Times New Roman" w:hAnsi="Times New Roman"/>
          <w:sz w:val="28"/>
        </w:rPr>
      </w:pPr>
      <w:r>
        <w:rPr>
          <w:rFonts w:ascii="Times New Roman" w:hAnsi="Times New Roman"/>
          <w:sz w:val="28"/>
        </w:rPr>
        <w:t xml:space="preserve">Охват нуждающихся. По данным опубликованных итогов реализации социальной политики в Свердловской области и Артемовском округе, охват граждан, нуждающихся в социальном обслуживании на дому, составляет около 70–75% от расчётной потребности. Расчётная потребность определяется исходя из нормативов: обслуживание на дому показано примерно 5–7% граждан старше 60 лет. При численности этой возрастной группы в округе около 12 400 чел. расчётная потребность составляет 620–868 чел./год, тогда как государственное задание КЦСОН </w:t>
      </w:r>
      <w:r>
        <w:rPr>
          <w:rFonts w:ascii="Times New Roman" w:hAnsi="Times New Roman"/>
          <w:sz w:val="28"/>
        </w:rPr>
        <w:t>–</w:t>
      </w:r>
      <w:r>
        <w:rPr>
          <w:rFonts w:ascii="Times New Roman" w:hAnsi="Times New Roman"/>
          <w:sz w:val="28"/>
        </w:rPr>
        <w:t xml:space="preserve"> 608 чел./год (по надомному обслуживанию). Это означает, что формально задание ориентировано на нижнюю границу расчётной потребности, а реальная потребность в ряде сложных случаев не удовлетворена. Применительно к посёлку Красногвардейский (7,2% населения округа) расчётная потребность в надомном обслуживании: 45–62 чел./год; задание </w:t>
      </w:r>
      <w:r>
        <w:rPr>
          <w:rFonts w:ascii="Times New Roman" w:hAnsi="Times New Roman"/>
          <w:sz w:val="28"/>
        </w:rPr>
        <w:t>–</w:t>
      </w:r>
      <w:r>
        <w:rPr>
          <w:rFonts w:ascii="Times New Roman" w:hAnsi="Times New Roman"/>
          <w:sz w:val="28"/>
        </w:rPr>
        <w:t xml:space="preserve"> около 44 чел./год (7,2% от 608). Разрыв 1–18 чел. / год невелик, но систематичен.</w:t>
      </w:r>
    </w:p>
    <w:p w14:paraId="1D010000">
      <w:pPr>
        <w:spacing w:after="0" w:line="360" w:lineRule="auto"/>
        <w:ind w:firstLine="709" w:left="0"/>
        <w:jc w:val="both"/>
        <w:rPr>
          <w:rFonts w:ascii="Times New Roman" w:hAnsi="Times New Roman"/>
          <w:sz w:val="28"/>
        </w:rPr>
      </w:pPr>
      <w:r>
        <w:rPr>
          <w:rFonts w:ascii="Times New Roman" w:hAnsi="Times New Roman"/>
          <w:sz w:val="28"/>
        </w:rPr>
        <w:t xml:space="preserve">Анализ данных по России в целом показывает, что около 12–14% семей с детьми отказывается в назначении единого пособия по причине несоответствия имущественному цензу («нулевой» доход, который выглядит неправдоподобным), превышения дохода, наличия незарегистрированных активов. В малых поселениях сельского типа, где значительна доля ЛПХ, нередко возникает ситуация, когда семья фактически нуждается, но формально «богата» из-за наличия земельного участка, автомобиля или скота, что приводит к отказу в назначении пособия. Для посёлка Красногвардейский, где многие жители </w:t>
      </w:r>
      <w:r>
        <w:rPr>
          <w:rFonts w:ascii="Times New Roman" w:hAnsi="Times New Roman"/>
          <w:sz w:val="28"/>
        </w:rPr>
        <w:t>со</w:t>
      </w:r>
      <w:r>
        <w:rPr>
          <w:rFonts w:ascii="Times New Roman" w:hAnsi="Times New Roman"/>
          <w:sz w:val="28"/>
        </w:rPr>
        <w:t xml:space="preserve">держат ЛПХ, эта проблема может иметь практическое значение. Общее число семей с детьми в посёлке </w:t>
      </w:r>
      <w:r>
        <w:rPr>
          <w:rFonts w:ascii="Times New Roman" w:hAnsi="Times New Roman"/>
          <w:sz w:val="28"/>
        </w:rPr>
        <w:t>–</w:t>
      </w:r>
      <w:r>
        <w:rPr>
          <w:rFonts w:ascii="Times New Roman" w:hAnsi="Times New Roman"/>
          <w:sz w:val="28"/>
        </w:rPr>
        <w:t xml:space="preserve"> ориентировочно 350–400 (исходя из доли детей в населении 18,4% и среднего размера домохозяйства 2,5 чел.). Из них реально нуждающихся и потенциально имеющих право на единое пособие </w:t>
      </w:r>
      <w:r>
        <w:rPr>
          <w:rFonts w:ascii="Times New Roman" w:hAnsi="Times New Roman"/>
          <w:sz w:val="28"/>
        </w:rPr>
        <w:t>–</w:t>
      </w:r>
      <w:r>
        <w:rPr>
          <w:rFonts w:ascii="Times New Roman" w:hAnsi="Times New Roman"/>
          <w:sz w:val="28"/>
        </w:rPr>
        <w:t xml:space="preserve"> ориентировочно 80–120 семей (20–30% от всех семей с детьми); реально охваченных </w:t>
      </w:r>
      <w:r>
        <w:rPr>
          <w:rFonts w:ascii="Times New Roman" w:hAnsi="Times New Roman"/>
          <w:sz w:val="28"/>
        </w:rPr>
        <w:t>–</w:t>
      </w:r>
      <w:r>
        <w:rPr>
          <w:rFonts w:ascii="Times New Roman" w:hAnsi="Times New Roman"/>
          <w:sz w:val="28"/>
        </w:rPr>
        <w:t xml:space="preserve"> несколько меньше из-за барьеров назначения.</w:t>
      </w:r>
    </w:p>
    <w:p w14:paraId="1E010000">
      <w:pPr>
        <w:spacing w:after="0" w:line="360" w:lineRule="auto"/>
        <w:ind w:firstLine="709" w:left="0"/>
        <w:jc w:val="both"/>
        <w:rPr>
          <w:rFonts w:ascii="Times New Roman" w:hAnsi="Times New Roman"/>
          <w:sz w:val="28"/>
        </w:rPr>
      </w:pPr>
      <w:r>
        <w:rPr>
          <w:rFonts w:ascii="Times New Roman" w:hAnsi="Times New Roman"/>
          <w:sz w:val="28"/>
        </w:rPr>
        <w:t xml:space="preserve">Несоответствие размеров выплат реальной стоимости жизни </w:t>
      </w:r>
      <w:r>
        <w:rPr>
          <w:rFonts w:ascii="Times New Roman" w:hAnsi="Times New Roman"/>
          <w:sz w:val="28"/>
        </w:rPr>
        <w:t>–</w:t>
      </w:r>
      <w:r>
        <w:rPr>
          <w:rFonts w:ascii="Times New Roman" w:hAnsi="Times New Roman"/>
          <w:sz w:val="28"/>
        </w:rPr>
        <w:t xml:space="preserve"> хронический изъян российской системы социальной защиты. ЕДВ инвалида II </w:t>
      </w:r>
      <w:r>
        <w:rPr>
          <w:rFonts w:ascii="Times New Roman" w:hAnsi="Times New Roman"/>
          <w:sz w:val="28"/>
        </w:rPr>
        <w:t xml:space="preserve">группы после индексации в феврале 2025 года </w:t>
      </w:r>
      <w:r>
        <w:rPr>
          <w:rFonts w:ascii="Times New Roman" w:hAnsi="Times New Roman"/>
          <w:sz w:val="28"/>
        </w:rPr>
        <w:t>–</w:t>
      </w:r>
      <w:r>
        <w:rPr>
          <w:rFonts w:ascii="Times New Roman" w:hAnsi="Times New Roman"/>
          <w:sz w:val="28"/>
        </w:rPr>
        <w:t xml:space="preserve"> 2 963,90 руб./мес. при прожиточном минимуме трудоспособного населения в Свердловской области в 2025 году 17 733 руб./мес. Отношение ЕДВ II группы к ПМ </w:t>
      </w:r>
      <w:r>
        <w:rPr>
          <w:rFonts w:ascii="Times New Roman" w:hAnsi="Times New Roman"/>
          <w:sz w:val="28"/>
        </w:rPr>
        <w:t>–</w:t>
      </w:r>
      <w:r>
        <w:rPr>
          <w:rFonts w:ascii="Times New Roman" w:hAnsi="Times New Roman"/>
          <w:sz w:val="28"/>
        </w:rPr>
        <w:t xml:space="preserve"> 16,7%. Даже учитывая, что ЕДВ является дополнением к пенсии (средняя пенсия по инвалидности </w:t>
      </w:r>
      <w:r>
        <w:rPr>
          <w:rFonts w:ascii="Times New Roman" w:hAnsi="Times New Roman"/>
          <w:sz w:val="28"/>
        </w:rPr>
        <w:t>–</w:t>
      </w:r>
      <w:r>
        <w:rPr>
          <w:rFonts w:ascii="Times New Roman" w:hAnsi="Times New Roman"/>
          <w:sz w:val="28"/>
        </w:rPr>
        <w:t xml:space="preserve"> около 9 000–12 000 руб./мес.), совокупный доход инвалида II группы составляет около 12 000–15 000 руб./мес., то есть едва превышает ПМ (14 361 руб. для пенсионеров) и явно недостаточен для полноценного покрытия дополнительных расходов, связанных с инвалидностью (ТСР, медикаменты, транспорт, уход). В посёлке Красногвардейский данная проблема усугубляется удалённостью от центра услуг: транспортные расходы на поездку в г. Артемовский (около 30 км в одну сторону) для инвалида могут составлять 300–500 руб./поездку, что при необходимости ежемесячных визитов в СФР, КЦСОН или медучреждения накапливается в 600–1 000 руб./мес.</w:t>
      </w:r>
    </w:p>
    <w:p w14:paraId="1F010000">
      <w:pPr>
        <w:spacing w:after="0" w:line="360" w:lineRule="auto"/>
        <w:ind w:firstLine="709" w:left="0"/>
        <w:jc w:val="both"/>
        <w:rPr>
          <w:rFonts w:ascii="Times New Roman" w:hAnsi="Times New Roman"/>
          <w:sz w:val="28"/>
        </w:rPr>
      </w:pPr>
      <w:r>
        <w:rPr>
          <w:rFonts w:ascii="Times New Roman" w:hAnsi="Times New Roman"/>
          <w:sz w:val="28"/>
        </w:rPr>
        <w:t xml:space="preserve">Областная программа «Старшее поколение» реализует задачу </w:t>
      </w:r>
      <w:r>
        <w:rPr>
          <w:rFonts w:ascii="Times New Roman" w:hAnsi="Times New Roman"/>
          <w:sz w:val="28"/>
        </w:rPr>
        <w:t xml:space="preserve">соответствия, </w:t>
      </w:r>
      <w:r>
        <w:rPr>
          <w:rFonts w:ascii="Times New Roman" w:hAnsi="Times New Roman"/>
          <w:sz w:val="28"/>
        </w:rPr>
        <w:t xml:space="preserve">частично: медицинская составляющая (диспансеризация, профилактика) является существенным дополнением к регулярным выплатам, так как позволяет сократить объём расходов пожилых граждан на медикаменты и услуги. За 2019–2025 гг. около 830 000 чел. старшей возрастной группы в Свердловской области прошли диспансеризацию в рамках программы; 92% из них получили конкретные рекомендации по коррекции образа жизни или лечению. Для посёлка Красногвардейский это означает охват в 600–700 чел. за семь лет в категории 60+ (при общей численности 60+ </w:t>
      </w:r>
      <w:r>
        <w:rPr>
          <w:rFonts w:ascii="Times New Roman" w:hAnsi="Times New Roman"/>
          <w:sz w:val="28"/>
        </w:rPr>
        <w:t xml:space="preserve">в </w:t>
      </w:r>
      <w:r>
        <w:rPr>
          <w:rFonts w:ascii="Times New Roman" w:hAnsi="Times New Roman"/>
          <w:sz w:val="28"/>
        </w:rPr>
        <w:t>800–810 чел. из числа постоянных жителей).</w:t>
      </w:r>
    </w:p>
    <w:p w14:paraId="20010000">
      <w:pPr>
        <w:spacing w:after="0" w:line="360" w:lineRule="auto"/>
        <w:ind w:firstLine="709" w:left="0"/>
        <w:jc w:val="both"/>
        <w:rPr>
          <w:rFonts w:ascii="Times New Roman" w:hAnsi="Times New Roman"/>
          <w:sz w:val="28"/>
        </w:rPr>
      </w:pPr>
      <w:r>
        <w:rPr>
          <w:rFonts w:ascii="Times New Roman" w:hAnsi="Times New Roman"/>
          <w:sz w:val="28"/>
        </w:rPr>
        <w:t xml:space="preserve">Транспортная доступность является ключевым ограничителем для жителей посёлка. Расстояние до г. Артемовский </w:t>
      </w:r>
      <w:r>
        <w:rPr>
          <w:rFonts w:ascii="Times New Roman" w:hAnsi="Times New Roman"/>
          <w:sz w:val="28"/>
        </w:rPr>
        <w:t>–</w:t>
      </w:r>
      <w:r>
        <w:rPr>
          <w:rFonts w:ascii="Times New Roman" w:hAnsi="Times New Roman"/>
          <w:sz w:val="28"/>
        </w:rPr>
        <w:t xml:space="preserve"> места расположения Управления социальной политики, МФЦ и отделения СФР </w:t>
      </w:r>
      <w:r>
        <w:rPr>
          <w:rFonts w:ascii="Times New Roman" w:hAnsi="Times New Roman"/>
          <w:sz w:val="28"/>
        </w:rPr>
        <w:t>–</w:t>
      </w:r>
      <w:r>
        <w:rPr>
          <w:rFonts w:ascii="Times New Roman" w:hAnsi="Times New Roman"/>
          <w:sz w:val="28"/>
        </w:rPr>
        <w:t xml:space="preserve"> составляет около 30 км. Регулярного автобусного сообщения, обеспечивающего комфортный ежедневный доступ (несколько рейсов в день с ранним утренним отправлением), в посёлке нет. Поездка личным или наёмным транспортом </w:t>
      </w:r>
      <w:r>
        <w:rPr>
          <w:rFonts w:ascii="Times New Roman" w:hAnsi="Times New Roman"/>
          <w:sz w:val="28"/>
        </w:rPr>
        <w:t>стоит 300–500 руб. в одну сторону. Для пенсионера с доходом на уровне ПМ (14 361 руб.) это составляет 4,2–6,9% месячного дохода за одну поездку. Таким образом, даже при наличии права на льготу, её практическая реализация требует затрат, несоразмерных доходу наиболее уязвимых получателей. Расширение сервисов Госуслуг (gosuslugi.ru) частично снимает этот барьер: значительная часть заявлений на ЕДВ, единое пособие, МСК, НСУ оформляется онлайн. Однако часть пожилых граждан не имеет ни навыков работы с порталом, ни технического оборудования (смартфон/компьютер).</w:t>
      </w:r>
    </w:p>
    <w:p w14:paraId="21010000">
      <w:pPr>
        <w:spacing w:after="0" w:line="360" w:lineRule="auto"/>
        <w:ind w:firstLine="709" w:left="0"/>
        <w:jc w:val="both"/>
        <w:rPr>
          <w:rFonts w:ascii="Times New Roman" w:hAnsi="Times New Roman"/>
          <w:sz w:val="28"/>
        </w:rPr>
      </w:pPr>
      <w:r>
        <w:rPr>
          <w:rFonts w:ascii="Times New Roman" w:hAnsi="Times New Roman"/>
          <w:sz w:val="28"/>
        </w:rPr>
        <w:t>С 2020 года федеральный центр последовательно переводит социальные выплаты в беззаявительный (проактивный) режим. По данным Минтруда, в 2024–2025 гг. в проактивный режим переведены: ЕДВ инвалидам при первичном установлении инвалидности; ежемесячные выплаты по уходу; пенсии по потере кормильца; ряд пособий по случаю рождения ребёнка. Фактически в 2025 году доля автоматически назначенных выплат, по оценке Минтруда, достигает 40–45% в общем объёме. Для посёлка Красногвардейский это означает, что наиболее «уязвимые» типы выплат (инвалиды, сироты, новорождённые) в большой степени защищены от «информационного разрыва». Оставшиеся 55–60% выплат требуют активного заявительного поведения гражданина, что всё ещё создаёт риск недополучения мер поддержки для менее информированных граждан.</w:t>
      </w:r>
    </w:p>
    <w:p w14:paraId="22010000">
      <w:pPr>
        <w:spacing w:after="0" w:line="360" w:lineRule="auto"/>
        <w:ind w:firstLine="709" w:left="0"/>
        <w:jc w:val="both"/>
        <w:rPr>
          <w:rFonts w:ascii="Times New Roman" w:hAnsi="Times New Roman"/>
          <w:sz w:val="28"/>
        </w:rPr>
      </w:pPr>
      <w:r>
        <w:rPr>
          <w:rFonts w:ascii="Times New Roman" w:hAnsi="Times New Roman"/>
          <w:sz w:val="28"/>
        </w:rPr>
        <w:t xml:space="preserve">Межведомственное взаимодействие в системе социальной защиты регулируется Постановлением Правительства РФ от 28.01.2017 № 110 и региональными соглашениями. На практике в посёлке Красногвардейский координация осуществляется через неформальные договорённости между специалистами ТУ, КЦСОН, ОВП и аптеки. Официально закреплённых процедур совместного ведения случая, включая плановые межведомственные консилиумы или единые информационные карточки получателей, в открытых источниках по Артемовскому округу не зафиксировано. Это означает, что информация об изменении состояния гражданина (ухудшение здоровья, переход в статус нуждающегося в стационарном уходе) может не передаваться </w:t>
      </w:r>
      <w:r>
        <w:rPr>
          <w:rFonts w:ascii="Times New Roman" w:hAnsi="Times New Roman"/>
          <w:sz w:val="28"/>
        </w:rPr>
        <w:t>своевременно между ОВП, ТУ и КЦСОН, что приводит к запозданию оказания помощи.</w:t>
      </w:r>
    </w:p>
    <w:p w14:paraId="23010000">
      <w:pPr>
        <w:spacing w:after="0" w:line="360" w:lineRule="auto"/>
        <w:ind w:firstLine="709" w:left="0"/>
        <w:jc w:val="both"/>
        <w:rPr>
          <w:rFonts w:ascii="Times New Roman" w:hAnsi="Times New Roman"/>
          <w:sz w:val="28"/>
        </w:rPr>
      </w:pPr>
      <w:r>
        <w:rPr>
          <w:rFonts w:ascii="Times New Roman" w:hAnsi="Times New Roman"/>
          <w:sz w:val="28"/>
        </w:rPr>
        <w:t xml:space="preserve">Согласно рекомендуемым нормативам Минтруда для социального обслуживания населения в сельской местности, один специалист по социальной работе должен обслуживать не более 40–50 семей (граждан) в году. В ТУ посёлка Красногвардейский работают трое сотрудников, ориентированных на первичный приём и информирование, </w:t>
      </w:r>
      <w:r>
        <w:rPr>
          <w:rFonts w:ascii="Times New Roman" w:hAnsi="Times New Roman"/>
          <w:sz w:val="28"/>
        </w:rPr>
        <w:t>–</w:t>
      </w:r>
      <w:r>
        <w:rPr>
          <w:rFonts w:ascii="Times New Roman" w:hAnsi="Times New Roman"/>
          <w:sz w:val="28"/>
        </w:rPr>
        <w:t xml:space="preserve"> не на сопровождение случаев. Специалисты КЦСОН, непосредственно оказывающие социальные услуги в посёлке, приезжают из г. Артемовский. Нормативная потребность в специалистах по социальной работе для посёлка с населением 3 724 чел., из которых до 23% составляют категории «повышенного риска» (дети до 14 лет, пожилые 70+ без родственников, инвалиды с тяжёлыми ограничениями), составляет не менее 4–5 чел. Фактически задействовано значительно меньше.</w:t>
      </w:r>
    </w:p>
    <w:p w14:paraId="24010000">
      <w:pPr>
        <w:spacing w:after="0" w:line="360" w:lineRule="auto"/>
        <w:ind w:firstLine="709" w:left="0"/>
        <w:jc w:val="both"/>
        <w:rPr>
          <w:rFonts w:ascii="Times New Roman" w:hAnsi="Times New Roman"/>
          <w:sz w:val="28"/>
        </w:rPr>
      </w:pPr>
      <w:r>
        <w:rPr>
          <w:rFonts w:ascii="Times New Roman" w:hAnsi="Times New Roman"/>
          <w:sz w:val="28"/>
        </w:rPr>
        <w:t xml:space="preserve">По данным Минтруда, в 2025 году по всей России выдано около 150 000 </w:t>
      </w:r>
      <w:r>
        <w:rPr>
          <w:rFonts w:ascii="Times New Roman" w:hAnsi="Times New Roman"/>
          <w:sz w:val="28"/>
        </w:rPr>
        <w:t>соцконтрактов</w:t>
      </w:r>
      <w:r>
        <w:rPr>
          <w:rFonts w:ascii="Times New Roman" w:hAnsi="Times New Roman"/>
          <w:sz w:val="28"/>
        </w:rPr>
        <w:t xml:space="preserve">, из них около 74,8% результативны (рост доходов участника). В Свердловской области </w:t>
      </w:r>
      <w:r>
        <w:rPr>
          <w:rFonts w:ascii="Times New Roman" w:hAnsi="Times New Roman"/>
          <w:sz w:val="28"/>
        </w:rPr>
        <w:t>–</w:t>
      </w:r>
      <w:r>
        <w:rPr>
          <w:rFonts w:ascii="Times New Roman" w:hAnsi="Times New Roman"/>
          <w:sz w:val="28"/>
        </w:rPr>
        <w:t xml:space="preserve"> около 3 700 контрактов. По направлению «ЛПХ» результативность в сельской местности превышает 85%, что связано с практичностью направления и наличием у получателей земли и базовых аграрных навыков. В посёлке Красногвардейский потенциальная ёмкость программы по направлению ЛПХ оценивается в 15–25 контрактов/год при активном информировании населения ТУ. При средней субсидии 180 000 руб. и результативности 85% это означало бы поддержку 13–21 семьи в год, которые стабилизируют своё материальное положение. Реальная реализация </w:t>
      </w:r>
      <w:r>
        <w:rPr>
          <w:rFonts w:ascii="Times New Roman" w:hAnsi="Times New Roman"/>
          <w:sz w:val="28"/>
        </w:rPr>
        <w:t>соцконтрактов</w:t>
      </w:r>
      <w:r>
        <w:rPr>
          <w:rFonts w:ascii="Times New Roman" w:hAnsi="Times New Roman"/>
          <w:sz w:val="28"/>
        </w:rPr>
        <w:t xml:space="preserve"> в посёлке в значительной мере определяется информационной активностью ТУ и Управления социальной политики.</w:t>
      </w:r>
    </w:p>
    <w:p w14:paraId="25010000">
      <w:pPr>
        <w:spacing w:after="0" w:line="360" w:lineRule="auto"/>
        <w:ind w:firstLine="709" w:left="0"/>
        <w:jc w:val="both"/>
        <w:rPr>
          <w:rFonts w:ascii="Times New Roman" w:hAnsi="Times New Roman"/>
          <w:sz w:val="28"/>
        </w:rPr>
      </w:pPr>
      <w:r>
        <w:rPr>
          <w:rFonts w:ascii="Times New Roman" w:hAnsi="Times New Roman"/>
          <w:sz w:val="28"/>
        </w:rPr>
        <w:t xml:space="preserve">Расходы консолидированного бюджета Свердловской области на социальную политику в 2025 году превышают 85 млрд руб. Бюджет Артемовского муниципального округа по разделу «Социальная политика» составил (по данным открытого бюджета) в 2024 году 384 млн руб. Применяя </w:t>
      </w:r>
      <w:r>
        <w:rPr>
          <w:rFonts w:ascii="Times New Roman" w:hAnsi="Times New Roman"/>
          <w:sz w:val="28"/>
        </w:rPr>
        <w:t xml:space="preserve">долю населения посёлка (7,2%) как ориентировочный коэффициент расчёта, можно оценить условный объём средств, направляемых на социальную защиту жителей Красногвардейского: 384 × 0,072 </w:t>
      </w:r>
      <w:r>
        <w:rPr>
          <w:rFonts w:ascii="Times New Roman" w:hAnsi="Times New Roman"/>
          <w:sz w:val="28"/>
        </w:rPr>
        <w:t>=</w:t>
      </w:r>
      <w:r>
        <w:rPr>
          <w:rFonts w:ascii="Times New Roman" w:hAnsi="Times New Roman"/>
          <w:sz w:val="28"/>
        </w:rPr>
        <w:t xml:space="preserve"> 27,6 млн руб./год из муниципального бюджета плюс финансирование из областного и федерального уровней. Расход на одного жителя посёлка составляет ориентировочно 7 400 руб./год (27,6 млн руб. / 3 724 чел.) только из муниципального бюджета. Данная оценка является нижней границей, поскольку основная часть выплат финансируется из СФР и областного бюджета непосредственно. Тем не менее она демонстрирует ограниченные собственные ресурсы округа в расчёте на одного жителя отдалённого посёлка.</w:t>
      </w:r>
    </w:p>
    <w:p w14:paraId="26010000">
      <w:pPr>
        <w:spacing w:after="0" w:line="360" w:lineRule="auto"/>
        <w:ind w:firstLine="709" w:left="0"/>
        <w:jc w:val="both"/>
        <w:rPr>
          <w:rFonts w:ascii="Times New Roman" w:hAnsi="Times New Roman"/>
          <w:sz w:val="28"/>
        </w:rPr>
      </w:pPr>
      <w:r>
        <w:rPr>
          <w:rFonts w:ascii="Times New Roman" w:hAnsi="Times New Roman"/>
          <w:sz w:val="28"/>
        </w:rPr>
        <w:t>Сравнительная оценка параметров системы социальной защиты посёлка Красногвардейский по измерениям эффективности</w:t>
      </w:r>
      <w:r>
        <w:rPr>
          <w:rFonts w:ascii="Times New Roman" w:hAnsi="Times New Roman"/>
          <w:sz w:val="28"/>
        </w:rPr>
        <w:t xml:space="preserve"> отражена в таблице 2.4.</w:t>
      </w:r>
    </w:p>
    <w:p w14:paraId="27010000">
      <w:pPr>
        <w:spacing w:after="0" w:line="360" w:lineRule="auto"/>
        <w:ind w:firstLine="709" w:left="0"/>
        <w:jc w:val="right"/>
        <w:rPr>
          <w:rFonts w:ascii="Times New Roman" w:hAnsi="Times New Roman"/>
          <w:sz w:val="28"/>
        </w:rPr>
      </w:pPr>
      <w:r>
        <w:rPr>
          <w:rFonts w:ascii="Times New Roman" w:hAnsi="Times New Roman"/>
          <w:sz w:val="28"/>
        </w:rPr>
        <w:t>Таблица 2.4</w:t>
      </w:r>
    </w:p>
    <w:p w14:paraId="28010000">
      <w:pPr>
        <w:spacing w:after="0" w:line="360" w:lineRule="auto"/>
        <w:ind/>
        <w:jc w:val="center"/>
        <w:rPr>
          <w:rFonts w:ascii="Times New Roman" w:hAnsi="Times New Roman"/>
          <w:sz w:val="28"/>
        </w:rPr>
      </w:pPr>
      <w:r>
        <w:rPr>
          <w:rFonts w:ascii="Times New Roman" w:hAnsi="Times New Roman"/>
          <w:sz w:val="28"/>
        </w:rPr>
        <w:t>Сравнительная оценка параметров системы социальной защиты посёлка Красногвардейский по измерениям эффективности</w:t>
      </w:r>
    </w:p>
    <w:tbl>
      <w:tblPr>
        <w:tblStyle w:val="Style_4"/>
        <w:tblLayout w:type="fixed"/>
      </w:tblPr>
      <w:tblGrid>
        <w:gridCol w:w="1571"/>
        <w:gridCol w:w="2149"/>
        <w:gridCol w:w="2243"/>
        <w:gridCol w:w="2243"/>
        <w:gridCol w:w="1148"/>
      </w:tblGrid>
      <w:tr>
        <w:tc>
          <w:tcPr>
            <w:tcW w:type="dxa" w:w="1571"/>
            <w:vAlign w:val="center"/>
          </w:tcPr>
          <w:p w14:paraId="29010000">
            <w:pPr>
              <w:ind/>
              <w:jc w:val="center"/>
              <w:rPr>
                <w:rFonts w:ascii="Times New Roman" w:hAnsi="Times New Roman"/>
                <w:sz w:val="24"/>
              </w:rPr>
            </w:pPr>
            <w:r>
              <w:rPr>
                <w:rFonts w:ascii="Times New Roman" w:hAnsi="Times New Roman"/>
                <w:sz w:val="24"/>
              </w:rPr>
              <w:t>Измерение</w:t>
            </w:r>
          </w:p>
        </w:tc>
        <w:tc>
          <w:tcPr>
            <w:tcW w:type="dxa" w:w="2149"/>
            <w:vAlign w:val="center"/>
          </w:tcPr>
          <w:p w14:paraId="2A010000">
            <w:pPr>
              <w:ind/>
              <w:jc w:val="center"/>
              <w:rPr>
                <w:rFonts w:ascii="Times New Roman" w:hAnsi="Times New Roman"/>
                <w:sz w:val="24"/>
              </w:rPr>
            </w:pPr>
            <w:r>
              <w:rPr>
                <w:rFonts w:ascii="Times New Roman" w:hAnsi="Times New Roman"/>
                <w:sz w:val="24"/>
              </w:rPr>
              <w:t>Параметр оценки</w:t>
            </w:r>
          </w:p>
        </w:tc>
        <w:tc>
          <w:tcPr>
            <w:tcW w:type="dxa" w:w="2243"/>
            <w:vAlign w:val="center"/>
          </w:tcPr>
          <w:p w14:paraId="2B010000">
            <w:pPr>
              <w:ind/>
              <w:jc w:val="center"/>
              <w:rPr>
                <w:rFonts w:ascii="Times New Roman" w:hAnsi="Times New Roman"/>
                <w:sz w:val="24"/>
              </w:rPr>
            </w:pPr>
            <w:r>
              <w:rPr>
                <w:rFonts w:ascii="Times New Roman" w:hAnsi="Times New Roman"/>
                <w:sz w:val="24"/>
              </w:rPr>
              <w:t>Фактическое состояние</w:t>
            </w:r>
          </w:p>
        </w:tc>
        <w:tc>
          <w:tcPr>
            <w:tcW w:type="dxa" w:w="2243"/>
            <w:vAlign w:val="center"/>
          </w:tcPr>
          <w:p w14:paraId="2C010000">
            <w:pPr>
              <w:ind/>
              <w:jc w:val="center"/>
              <w:rPr>
                <w:rFonts w:ascii="Times New Roman" w:hAnsi="Times New Roman"/>
                <w:sz w:val="24"/>
              </w:rPr>
            </w:pPr>
            <w:r>
              <w:rPr>
                <w:rFonts w:ascii="Times New Roman" w:hAnsi="Times New Roman"/>
                <w:sz w:val="24"/>
              </w:rPr>
              <w:t>Нормативный ориентир</w:t>
            </w:r>
          </w:p>
        </w:tc>
        <w:tc>
          <w:tcPr>
            <w:tcW w:type="dxa" w:w="1148"/>
            <w:vAlign w:val="center"/>
          </w:tcPr>
          <w:p w14:paraId="2D010000">
            <w:pPr>
              <w:ind/>
              <w:jc w:val="center"/>
              <w:rPr>
                <w:rFonts w:ascii="Times New Roman" w:hAnsi="Times New Roman"/>
                <w:sz w:val="24"/>
              </w:rPr>
            </w:pPr>
            <w:r>
              <w:rPr>
                <w:rFonts w:ascii="Times New Roman" w:hAnsi="Times New Roman"/>
                <w:sz w:val="24"/>
              </w:rPr>
              <w:t>Оценка</w:t>
            </w:r>
          </w:p>
        </w:tc>
      </w:tr>
      <w:tr>
        <w:tc>
          <w:tcPr>
            <w:tcW w:type="dxa" w:w="1571"/>
            <w:vMerge w:val="restart"/>
            <w:vAlign w:val="center"/>
          </w:tcPr>
          <w:p w14:paraId="2E010000">
            <w:pPr>
              <w:ind/>
              <w:jc w:val="center"/>
              <w:rPr>
                <w:rFonts w:ascii="Times New Roman" w:hAnsi="Times New Roman"/>
                <w:sz w:val="24"/>
              </w:rPr>
            </w:pPr>
            <w:r>
              <w:rPr>
                <w:rFonts w:ascii="Times New Roman" w:hAnsi="Times New Roman"/>
                <w:sz w:val="24"/>
              </w:rPr>
              <w:t>Охват</w:t>
            </w:r>
          </w:p>
        </w:tc>
        <w:tc>
          <w:tcPr>
            <w:tcW w:type="dxa" w:w="2149"/>
            <w:vAlign w:val="center"/>
          </w:tcPr>
          <w:p w14:paraId="2F010000">
            <w:pPr>
              <w:ind/>
              <w:jc w:val="center"/>
              <w:rPr>
                <w:rFonts w:ascii="Times New Roman" w:hAnsi="Times New Roman"/>
                <w:sz w:val="24"/>
              </w:rPr>
            </w:pPr>
            <w:r>
              <w:rPr>
                <w:rFonts w:ascii="Times New Roman" w:hAnsi="Times New Roman"/>
                <w:sz w:val="24"/>
              </w:rPr>
              <w:t>Обслуживание на дому (КЦСОН)</w:t>
            </w:r>
          </w:p>
        </w:tc>
        <w:tc>
          <w:tcPr>
            <w:tcW w:type="dxa" w:w="2243"/>
            <w:vAlign w:val="center"/>
          </w:tcPr>
          <w:p w14:paraId="30010000">
            <w:pPr>
              <w:ind/>
              <w:jc w:val="center"/>
              <w:rPr>
                <w:rFonts w:ascii="Times New Roman" w:hAnsi="Times New Roman"/>
                <w:sz w:val="24"/>
              </w:rPr>
            </w:pPr>
            <w:r>
              <w:rPr>
                <w:rFonts w:ascii="Times New Roman" w:hAnsi="Times New Roman"/>
                <w:sz w:val="24"/>
              </w:rPr>
              <w:t xml:space="preserve">44 чел./год </w:t>
            </w:r>
          </w:p>
        </w:tc>
        <w:tc>
          <w:tcPr>
            <w:tcW w:type="dxa" w:w="2243"/>
            <w:vAlign w:val="center"/>
          </w:tcPr>
          <w:p w14:paraId="31010000">
            <w:pPr>
              <w:ind/>
              <w:jc w:val="center"/>
              <w:rPr>
                <w:rFonts w:ascii="Times New Roman" w:hAnsi="Times New Roman"/>
                <w:sz w:val="24"/>
              </w:rPr>
            </w:pPr>
            <w:r>
              <w:rPr>
                <w:rFonts w:ascii="Times New Roman" w:hAnsi="Times New Roman"/>
                <w:sz w:val="24"/>
              </w:rPr>
              <w:t>45–62 чел./год</w:t>
            </w:r>
          </w:p>
        </w:tc>
        <w:tc>
          <w:tcPr>
            <w:tcW w:type="dxa" w:w="1148"/>
            <w:vAlign w:val="center"/>
          </w:tcPr>
          <w:p w14:paraId="32010000">
            <w:pPr>
              <w:ind/>
              <w:jc w:val="center"/>
              <w:rPr>
                <w:rFonts w:ascii="Times New Roman" w:hAnsi="Times New Roman"/>
                <w:sz w:val="24"/>
              </w:rPr>
            </w:pPr>
            <w:r>
              <w:rPr>
                <w:rFonts w:ascii="Times New Roman" w:hAnsi="Times New Roman"/>
                <w:sz w:val="24"/>
              </w:rPr>
              <w:t>Удовл</w:t>
            </w:r>
            <w:r>
              <w:rPr>
                <w:rFonts w:ascii="Times New Roman" w:hAnsi="Times New Roman"/>
                <w:sz w:val="24"/>
              </w:rPr>
              <w:t>. / граница нормы</w:t>
            </w:r>
          </w:p>
        </w:tc>
      </w:tr>
      <w:tr>
        <w:tc>
          <w:tcPr>
            <w:tcW w:type="dxa" w:w="1571"/>
            <w:gridSpan w:val="1"/>
            <w:vMerge w:val="continue"/>
            <w:vAlign w:val="center"/>
          </w:tcPr>
          <w:p/>
        </w:tc>
        <w:tc>
          <w:tcPr>
            <w:tcW w:type="dxa" w:w="2149"/>
            <w:vAlign w:val="center"/>
          </w:tcPr>
          <w:p w14:paraId="33010000">
            <w:pPr>
              <w:ind/>
              <w:jc w:val="center"/>
              <w:rPr>
                <w:rFonts w:ascii="Times New Roman" w:hAnsi="Times New Roman"/>
                <w:sz w:val="24"/>
              </w:rPr>
            </w:pPr>
            <w:r>
              <w:rPr>
                <w:rFonts w:ascii="Times New Roman" w:hAnsi="Times New Roman"/>
                <w:sz w:val="24"/>
              </w:rPr>
              <w:t>Единое пособие (семьи с детьми)</w:t>
            </w:r>
          </w:p>
        </w:tc>
        <w:tc>
          <w:tcPr>
            <w:tcW w:type="dxa" w:w="2243"/>
            <w:vAlign w:val="center"/>
          </w:tcPr>
          <w:p w14:paraId="34010000">
            <w:pPr>
              <w:ind/>
              <w:jc w:val="center"/>
              <w:rPr>
                <w:rFonts w:ascii="Times New Roman" w:hAnsi="Times New Roman"/>
                <w:sz w:val="24"/>
              </w:rPr>
            </w:pPr>
            <w:r>
              <w:rPr>
                <w:rFonts w:ascii="Times New Roman" w:hAnsi="Times New Roman"/>
                <w:sz w:val="24"/>
              </w:rPr>
              <w:t xml:space="preserve">65–80% нуждающихся </w:t>
            </w:r>
          </w:p>
        </w:tc>
        <w:tc>
          <w:tcPr>
            <w:tcW w:type="dxa" w:w="2243"/>
            <w:vAlign w:val="center"/>
          </w:tcPr>
          <w:p w14:paraId="35010000">
            <w:pPr>
              <w:ind/>
              <w:jc w:val="center"/>
              <w:rPr>
                <w:rFonts w:ascii="Times New Roman" w:hAnsi="Times New Roman"/>
                <w:sz w:val="24"/>
              </w:rPr>
            </w:pPr>
            <w:r>
              <w:rPr>
                <w:rFonts w:ascii="Times New Roman" w:hAnsi="Times New Roman"/>
                <w:sz w:val="24"/>
              </w:rPr>
              <w:t>100% нуждающихся</w:t>
            </w:r>
          </w:p>
        </w:tc>
        <w:tc>
          <w:tcPr>
            <w:tcW w:type="dxa" w:w="1148"/>
            <w:vAlign w:val="center"/>
          </w:tcPr>
          <w:p w14:paraId="36010000">
            <w:pPr>
              <w:ind/>
              <w:jc w:val="center"/>
              <w:rPr>
                <w:rFonts w:ascii="Times New Roman" w:hAnsi="Times New Roman"/>
                <w:sz w:val="24"/>
              </w:rPr>
            </w:pPr>
            <w:r>
              <w:rPr>
                <w:rFonts w:ascii="Times New Roman" w:hAnsi="Times New Roman"/>
                <w:sz w:val="24"/>
              </w:rPr>
              <w:t>Ниже нормы</w:t>
            </w:r>
          </w:p>
        </w:tc>
      </w:tr>
      <w:tr>
        <w:tc>
          <w:tcPr>
            <w:tcW w:type="dxa" w:w="1571"/>
            <w:gridSpan w:val="1"/>
            <w:vMerge w:val="continue"/>
            <w:vAlign w:val="center"/>
          </w:tcPr>
          <w:p/>
        </w:tc>
        <w:tc>
          <w:tcPr>
            <w:tcW w:type="dxa" w:w="2149"/>
            <w:vAlign w:val="center"/>
          </w:tcPr>
          <w:p w14:paraId="37010000">
            <w:pPr>
              <w:ind/>
              <w:jc w:val="center"/>
              <w:rPr>
                <w:rFonts w:ascii="Times New Roman" w:hAnsi="Times New Roman"/>
                <w:sz w:val="24"/>
              </w:rPr>
            </w:pPr>
            <w:r>
              <w:rPr>
                <w:rFonts w:ascii="Times New Roman" w:hAnsi="Times New Roman"/>
                <w:sz w:val="24"/>
              </w:rPr>
              <w:t>Охват инвалидов ЕДВ</w:t>
            </w:r>
          </w:p>
        </w:tc>
        <w:tc>
          <w:tcPr>
            <w:tcW w:type="dxa" w:w="2243"/>
            <w:vAlign w:val="center"/>
          </w:tcPr>
          <w:p w14:paraId="38010000">
            <w:pPr>
              <w:ind/>
              <w:jc w:val="center"/>
              <w:rPr>
                <w:rFonts w:ascii="Times New Roman" w:hAnsi="Times New Roman"/>
                <w:sz w:val="24"/>
              </w:rPr>
            </w:pPr>
            <w:r>
              <w:rPr>
                <w:rFonts w:ascii="Times New Roman" w:hAnsi="Times New Roman"/>
                <w:sz w:val="24"/>
              </w:rPr>
              <w:t>95% зарегистрированных инвалидов</w:t>
            </w:r>
          </w:p>
        </w:tc>
        <w:tc>
          <w:tcPr>
            <w:tcW w:type="dxa" w:w="2243"/>
            <w:vAlign w:val="center"/>
          </w:tcPr>
          <w:p w14:paraId="39010000">
            <w:pPr>
              <w:ind/>
              <w:jc w:val="center"/>
              <w:rPr>
                <w:rFonts w:ascii="Times New Roman" w:hAnsi="Times New Roman"/>
                <w:sz w:val="24"/>
              </w:rPr>
            </w:pPr>
            <w:r>
              <w:rPr>
                <w:rFonts w:ascii="Times New Roman" w:hAnsi="Times New Roman"/>
                <w:sz w:val="24"/>
              </w:rPr>
              <w:t>100% зарегистрированных</w:t>
            </w:r>
          </w:p>
        </w:tc>
        <w:tc>
          <w:tcPr>
            <w:tcW w:type="dxa" w:w="1148"/>
            <w:vAlign w:val="center"/>
          </w:tcPr>
          <w:p w14:paraId="3A010000">
            <w:pPr>
              <w:ind/>
              <w:jc w:val="center"/>
              <w:rPr>
                <w:rFonts w:ascii="Times New Roman" w:hAnsi="Times New Roman"/>
                <w:sz w:val="24"/>
              </w:rPr>
            </w:pPr>
            <w:r>
              <w:rPr>
                <w:rFonts w:ascii="Times New Roman" w:hAnsi="Times New Roman"/>
                <w:sz w:val="24"/>
              </w:rPr>
              <w:t>Хорошее</w:t>
            </w:r>
          </w:p>
        </w:tc>
      </w:tr>
      <w:tr>
        <w:tc>
          <w:tcPr>
            <w:tcW w:type="dxa" w:w="1571"/>
            <w:vMerge w:val="restart"/>
            <w:vAlign w:val="center"/>
          </w:tcPr>
          <w:p w14:paraId="3B010000">
            <w:pPr>
              <w:ind/>
              <w:jc w:val="center"/>
              <w:rPr>
                <w:rFonts w:ascii="Times New Roman" w:hAnsi="Times New Roman"/>
                <w:sz w:val="24"/>
              </w:rPr>
            </w:pPr>
            <w:r>
              <w:rPr>
                <w:rFonts w:ascii="Times New Roman" w:hAnsi="Times New Roman"/>
                <w:sz w:val="24"/>
              </w:rPr>
              <w:t>Адекватность</w:t>
            </w:r>
          </w:p>
        </w:tc>
        <w:tc>
          <w:tcPr>
            <w:tcW w:type="dxa" w:w="2149"/>
            <w:vAlign w:val="center"/>
          </w:tcPr>
          <w:p w14:paraId="3C010000">
            <w:pPr>
              <w:ind/>
              <w:jc w:val="center"/>
              <w:rPr>
                <w:rFonts w:ascii="Times New Roman" w:hAnsi="Times New Roman"/>
                <w:sz w:val="24"/>
              </w:rPr>
            </w:pPr>
            <w:r>
              <w:rPr>
                <w:rFonts w:ascii="Times New Roman" w:hAnsi="Times New Roman"/>
                <w:sz w:val="24"/>
              </w:rPr>
              <w:t xml:space="preserve">ЕДВ II гр. / ПМ </w:t>
            </w:r>
            <w:r>
              <w:rPr>
                <w:rFonts w:ascii="Times New Roman" w:hAnsi="Times New Roman"/>
                <w:sz w:val="24"/>
              </w:rPr>
              <w:t>трудоспос</w:t>
            </w:r>
            <w:r>
              <w:rPr>
                <w:rFonts w:ascii="Times New Roman" w:hAnsi="Times New Roman"/>
                <w:sz w:val="24"/>
              </w:rPr>
              <w:t>.</w:t>
            </w:r>
          </w:p>
        </w:tc>
        <w:tc>
          <w:tcPr>
            <w:tcW w:type="dxa" w:w="2243"/>
            <w:vAlign w:val="center"/>
          </w:tcPr>
          <w:p w14:paraId="3D010000">
            <w:pPr>
              <w:ind/>
              <w:jc w:val="center"/>
              <w:rPr>
                <w:rFonts w:ascii="Times New Roman" w:hAnsi="Times New Roman"/>
                <w:sz w:val="24"/>
              </w:rPr>
            </w:pPr>
            <w:r>
              <w:rPr>
                <w:rFonts w:ascii="Times New Roman" w:hAnsi="Times New Roman"/>
                <w:sz w:val="24"/>
              </w:rPr>
              <w:t>16,7% (2 964 / 17 733 руб.)</w:t>
            </w:r>
          </w:p>
        </w:tc>
        <w:tc>
          <w:tcPr>
            <w:tcW w:type="dxa" w:w="2243"/>
            <w:vAlign w:val="center"/>
          </w:tcPr>
          <w:p w14:paraId="3E010000">
            <w:pPr>
              <w:ind/>
              <w:jc w:val="center"/>
              <w:rPr>
                <w:rFonts w:ascii="Times New Roman" w:hAnsi="Times New Roman"/>
                <w:sz w:val="24"/>
              </w:rPr>
            </w:pPr>
            <w:r>
              <w:rPr>
                <w:rFonts w:ascii="Times New Roman" w:hAnsi="Times New Roman"/>
                <w:sz w:val="24"/>
              </w:rPr>
              <w:t>≥ 25% (рекомендация)</w:t>
            </w:r>
          </w:p>
        </w:tc>
        <w:tc>
          <w:tcPr>
            <w:tcW w:type="dxa" w:w="1148"/>
            <w:vAlign w:val="center"/>
          </w:tcPr>
          <w:p w14:paraId="3F010000">
            <w:pPr>
              <w:ind/>
              <w:jc w:val="center"/>
              <w:rPr>
                <w:rFonts w:ascii="Times New Roman" w:hAnsi="Times New Roman"/>
                <w:sz w:val="24"/>
              </w:rPr>
            </w:pPr>
            <w:r>
              <w:rPr>
                <w:rFonts w:ascii="Times New Roman" w:hAnsi="Times New Roman"/>
                <w:sz w:val="24"/>
              </w:rPr>
              <w:t>Неудовл</w:t>
            </w:r>
            <w:r>
              <w:rPr>
                <w:rFonts w:ascii="Times New Roman" w:hAnsi="Times New Roman"/>
                <w:sz w:val="24"/>
              </w:rPr>
              <w:t>.</w:t>
            </w:r>
          </w:p>
        </w:tc>
      </w:tr>
      <w:tr>
        <w:tc>
          <w:tcPr>
            <w:tcW w:type="dxa" w:w="1571"/>
            <w:gridSpan w:val="1"/>
            <w:vMerge w:val="continue"/>
            <w:vAlign w:val="center"/>
          </w:tcPr>
          <w:p/>
        </w:tc>
        <w:tc>
          <w:tcPr>
            <w:tcW w:type="dxa" w:w="2149"/>
            <w:vAlign w:val="center"/>
          </w:tcPr>
          <w:p w14:paraId="40010000">
            <w:pPr>
              <w:ind/>
              <w:jc w:val="center"/>
              <w:rPr>
                <w:rFonts w:ascii="Times New Roman" w:hAnsi="Times New Roman"/>
                <w:sz w:val="24"/>
              </w:rPr>
            </w:pPr>
            <w:r>
              <w:rPr>
                <w:rFonts w:ascii="Times New Roman" w:hAnsi="Times New Roman"/>
                <w:sz w:val="24"/>
              </w:rPr>
              <w:t>Единое пособие / ПМ ребёнка</w:t>
            </w:r>
          </w:p>
        </w:tc>
        <w:tc>
          <w:tcPr>
            <w:tcW w:type="dxa" w:w="2243"/>
            <w:vAlign w:val="center"/>
          </w:tcPr>
          <w:p w14:paraId="41010000">
            <w:pPr>
              <w:ind/>
              <w:jc w:val="center"/>
              <w:rPr>
                <w:rFonts w:ascii="Times New Roman" w:hAnsi="Times New Roman"/>
                <w:sz w:val="24"/>
              </w:rPr>
            </w:pPr>
            <w:r>
              <w:rPr>
                <w:rFonts w:ascii="Times New Roman" w:hAnsi="Times New Roman"/>
                <w:sz w:val="24"/>
              </w:rPr>
              <w:t>50–100% ПМ ребёнка</w:t>
            </w:r>
          </w:p>
        </w:tc>
        <w:tc>
          <w:tcPr>
            <w:tcW w:type="dxa" w:w="2243"/>
            <w:vAlign w:val="center"/>
          </w:tcPr>
          <w:p w14:paraId="42010000">
            <w:pPr>
              <w:ind/>
              <w:jc w:val="center"/>
              <w:rPr>
                <w:rFonts w:ascii="Times New Roman" w:hAnsi="Times New Roman"/>
                <w:sz w:val="24"/>
              </w:rPr>
            </w:pPr>
            <w:r>
              <w:rPr>
                <w:rFonts w:ascii="Times New Roman" w:hAnsi="Times New Roman"/>
                <w:sz w:val="24"/>
              </w:rPr>
              <w:t>≥ 100% ПМ ребёнка (100% уровень)</w:t>
            </w:r>
          </w:p>
        </w:tc>
        <w:tc>
          <w:tcPr>
            <w:tcW w:type="dxa" w:w="1148"/>
            <w:vAlign w:val="center"/>
          </w:tcPr>
          <w:p w14:paraId="43010000">
            <w:pPr>
              <w:ind/>
              <w:jc w:val="center"/>
              <w:rPr>
                <w:rFonts w:ascii="Times New Roman" w:hAnsi="Times New Roman"/>
                <w:sz w:val="24"/>
              </w:rPr>
            </w:pPr>
            <w:r>
              <w:rPr>
                <w:rFonts w:ascii="Times New Roman" w:hAnsi="Times New Roman"/>
                <w:sz w:val="24"/>
              </w:rPr>
              <w:t xml:space="preserve">Частично </w:t>
            </w:r>
            <w:r>
              <w:rPr>
                <w:rFonts w:ascii="Times New Roman" w:hAnsi="Times New Roman"/>
                <w:sz w:val="24"/>
              </w:rPr>
              <w:t>удовл</w:t>
            </w:r>
            <w:r>
              <w:rPr>
                <w:rFonts w:ascii="Times New Roman" w:hAnsi="Times New Roman"/>
                <w:sz w:val="24"/>
              </w:rPr>
              <w:t>.</w:t>
            </w:r>
          </w:p>
        </w:tc>
      </w:tr>
      <w:tr>
        <w:tc>
          <w:tcPr>
            <w:tcW w:type="dxa" w:w="1571"/>
            <w:gridSpan w:val="1"/>
            <w:vMerge w:val="continue"/>
            <w:vAlign w:val="center"/>
          </w:tcPr>
          <w:p/>
        </w:tc>
        <w:tc>
          <w:tcPr>
            <w:tcW w:type="dxa" w:w="2149"/>
            <w:vAlign w:val="center"/>
          </w:tcPr>
          <w:p w14:paraId="44010000">
            <w:pPr>
              <w:ind/>
              <w:jc w:val="center"/>
              <w:rPr>
                <w:rFonts w:ascii="Times New Roman" w:hAnsi="Times New Roman"/>
                <w:sz w:val="24"/>
              </w:rPr>
            </w:pPr>
            <w:r>
              <w:rPr>
                <w:rFonts w:ascii="Times New Roman" w:hAnsi="Times New Roman"/>
                <w:sz w:val="24"/>
              </w:rPr>
              <w:t>Соцконтракт</w:t>
            </w:r>
            <w:r>
              <w:rPr>
                <w:rFonts w:ascii="Times New Roman" w:hAnsi="Times New Roman"/>
                <w:sz w:val="24"/>
              </w:rPr>
              <w:t xml:space="preserve"> / порог бедности</w:t>
            </w:r>
          </w:p>
        </w:tc>
        <w:tc>
          <w:tcPr>
            <w:tcW w:type="dxa" w:w="2243"/>
            <w:vAlign w:val="center"/>
          </w:tcPr>
          <w:p w14:paraId="45010000">
            <w:pPr>
              <w:ind/>
              <w:jc w:val="center"/>
              <w:rPr>
                <w:rFonts w:ascii="Times New Roman" w:hAnsi="Times New Roman"/>
                <w:sz w:val="24"/>
              </w:rPr>
            </w:pPr>
            <w:r>
              <w:rPr>
                <w:rFonts w:ascii="Times New Roman" w:hAnsi="Times New Roman"/>
                <w:sz w:val="24"/>
              </w:rPr>
              <w:t>До 350 000 руб.</w:t>
            </w:r>
          </w:p>
        </w:tc>
        <w:tc>
          <w:tcPr>
            <w:tcW w:type="dxa" w:w="2243"/>
            <w:vAlign w:val="center"/>
          </w:tcPr>
          <w:p w14:paraId="46010000">
            <w:pPr>
              <w:ind/>
              <w:jc w:val="center"/>
              <w:rPr>
                <w:rFonts w:ascii="Times New Roman" w:hAnsi="Times New Roman"/>
                <w:sz w:val="24"/>
              </w:rPr>
            </w:pPr>
            <w:r>
              <w:rPr>
                <w:rFonts w:ascii="Times New Roman" w:hAnsi="Times New Roman"/>
                <w:sz w:val="24"/>
              </w:rPr>
              <w:t>Достаточно при целевом использовании</w:t>
            </w:r>
          </w:p>
        </w:tc>
        <w:tc>
          <w:tcPr>
            <w:tcW w:type="dxa" w:w="1148"/>
            <w:vAlign w:val="center"/>
          </w:tcPr>
          <w:p w14:paraId="47010000">
            <w:pPr>
              <w:ind/>
              <w:jc w:val="center"/>
              <w:rPr>
                <w:rFonts w:ascii="Times New Roman" w:hAnsi="Times New Roman"/>
                <w:sz w:val="24"/>
              </w:rPr>
            </w:pPr>
            <w:r>
              <w:rPr>
                <w:rFonts w:ascii="Times New Roman" w:hAnsi="Times New Roman"/>
                <w:sz w:val="24"/>
              </w:rPr>
              <w:t>Удовл</w:t>
            </w:r>
            <w:r>
              <w:rPr>
                <w:rFonts w:ascii="Times New Roman" w:hAnsi="Times New Roman"/>
                <w:sz w:val="24"/>
              </w:rPr>
              <w:t>.</w:t>
            </w:r>
          </w:p>
        </w:tc>
      </w:tr>
      <w:tr>
        <w:tc>
          <w:tcPr>
            <w:tcW w:type="dxa" w:w="1571"/>
            <w:vMerge w:val="restart"/>
            <w:vAlign w:val="center"/>
          </w:tcPr>
          <w:p w14:paraId="48010000">
            <w:pPr>
              <w:ind/>
              <w:jc w:val="center"/>
              <w:rPr>
                <w:rFonts w:ascii="Times New Roman" w:hAnsi="Times New Roman"/>
                <w:sz w:val="24"/>
              </w:rPr>
            </w:pPr>
            <w:r>
              <w:rPr>
                <w:rFonts w:ascii="Times New Roman" w:hAnsi="Times New Roman"/>
                <w:sz w:val="24"/>
              </w:rPr>
              <w:t>Доступность</w:t>
            </w:r>
          </w:p>
        </w:tc>
        <w:tc>
          <w:tcPr>
            <w:tcW w:type="dxa" w:w="2149"/>
            <w:vAlign w:val="center"/>
          </w:tcPr>
          <w:p w14:paraId="49010000">
            <w:pPr>
              <w:ind/>
              <w:jc w:val="center"/>
              <w:rPr>
                <w:rFonts w:ascii="Times New Roman" w:hAnsi="Times New Roman"/>
                <w:sz w:val="24"/>
              </w:rPr>
            </w:pPr>
            <w:r>
              <w:rPr>
                <w:rFonts w:ascii="Times New Roman" w:hAnsi="Times New Roman"/>
                <w:sz w:val="24"/>
              </w:rPr>
              <w:t>Транспортная доступность услуг</w:t>
            </w:r>
          </w:p>
        </w:tc>
        <w:tc>
          <w:tcPr>
            <w:tcW w:type="dxa" w:w="2243"/>
            <w:vAlign w:val="center"/>
          </w:tcPr>
          <w:p w14:paraId="4A010000">
            <w:pPr>
              <w:ind/>
              <w:jc w:val="center"/>
              <w:rPr>
                <w:rFonts w:ascii="Times New Roman" w:hAnsi="Times New Roman"/>
                <w:sz w:val="24"/>
              </w:rPr>
            </w:pPr>
            <w:r>
              <w:rPr>
                <w:rFonts w:ascii="Times New Roman" w:hAnsi="Times New Roman"/>
                <w:sz w:val="24"/>
              </w:rPr>
              <w:t>30 км до Артемовского; 1–2 рейса/день</w:t>
            </w:r>
          </w:p>
        </w:tc>
        <w:tc>
          <w:tcPr>
            <w:tcW w:type="dxa" w:w="2243"/>
            <w:vAlign w:val="center"/>
          </w:tcPr>
          <w:p w14:paraId="4B010000">
            <w:pPr>
              <w:ind/>
              <w:jc w:val="center"/>
              <w:rPr>
                <w:rFonts w:ascii="Times New Roman" w:hAnsi="Times New Roman"/>
                <w:sz w:val="24"/>
              </w:rPr>
            </w:pPr>
            <w:r>
              <w:rPr>
                <w:rFonts w:ascii="Times New Roman" w:hAnsi="Times New Roman"/>
                <w:sz w:val="24"/>
              </w:rPr>
              <w:t>Ежедневное сообщение (≥3 рейсов)</w:t>
            </w:r>
          </w:p>
        </w:tc>
        <w:tc>
          <w:tcPr>
            <w:tcW w:type="dxa" w:w="1148"/>
            <w:vAlign w:val="center"/>
          </w:tcPr>
          <w:p w14:paraId="4C010000">
            <w:pPr>
              <w:ind/>
              <w:jc w:val="center"/>
              <w:rPr>
                <w:rFonts w:ascii="Times New Roman" w:hAnsi="Times New Roman"/>
                <w:sz w:val="24"/>
              </w:rPr>
            </w:pPr>
            <w:r>
              <w:rPr>
                <w:rFonts w:ascii="Times New Roman" w:hAnsi="Times New Roman"/>
                <w:sz w:val="24"/>
              </w:rPr>
              <w:t>Неудовл</w:t>
            </w:r>
            <w:r>
              <w:rPr>
                <w:rFonts w:ascii="Times New Roman" w:hAnsi="Times New Roman"/>
                <w:sz w:val="24"/>
              </w:rPr>
              <w:t>.</w:t>
            </w:r>
          </w:p>
        </w:tc>
      </w:tr>
      <w:tr>
        <w:tc>
          <w:tcPr>
            <w:tcW w:type="dxa" w:w="1571"/>
            <w:gridSpan w:val="1"/>
            <w:vMerge w:val="continue"/>
            <w:vAlign w:val="center"/>
          </w:tcPr>
          <w:p/>
        </w:tc>
        <w:tc>
          <w:tcPr>
            <w:tcW w:type="dxa" w:w="2149"/>
            <w:vAlign w:val="center"/>
          </w:tcPr>
          <w:p w14:paraId="4D010000">
            <w:pPr>
              <w:ind/>
              <w:jc w:val="center"/>
              <w:rPr>
                <w:rFonts w:ascii="Times New Roman" w:hAnsi="Times New Roman"/>
                <w:sz w:val="24"/>
              </w:rPr>
            </w:pPr>
            <w:r>
              <w:rPr>
                <w:rFonts w:ascii="Times New Roman" w:hAnsi="Times New Roman"/>
                <w:sz w:val="24"/>
              </w:rPr>
              <w:t>Цифровой доступ к услугам</w:t>
            </w:r>
          </w:p>
        </w:tc>
        <w:tc>
          <w:tcPr>
            <w:tcW w:type="dxa" w:w="2243"/>
            <w:vAlign w:val="center"/>
          </w:tcPr>
          <w:p w14:paraId="4E010000">
            <w:pPr>
              <w:ind/>
              <w:jc w:val="center"/>
              <w:rPr>
                <w:rFonts w:ascii="Times New Roman" w:hAnsi="Times New Roman"/>
                <w:sz w:val="24"/>
              </w:rPr>
            </w:pPr>
            <w:r>
              <w:rPr>
                <w:rFonts w:ascii="Times New Roman" w:hAnsi="Times New Roman"/>
                <w:sz w:val="24"/>
              </w:rPr>
              <w:t xml:space="preserve">40–45% выплат </w:t>
            </w:r>
            <w:r>
              <w:rPr>
                <w:rFonts w:ascii="Times New Roman" w:hAnsi="Times New Roman"/>
                <w:sz w:val="24"/>
              </w:rPr>
              <w:t>–</w:t>
            </w:r>
            <w:r>
              <w:rPr>
                <w:rFonts w:ascii="Times New Roman" w:hAnsi="Times New Roman"/>
                <w:sz w:val="24"/>
              </w:rPr>
              <w:t xml:space="preserve"> </w:t>
            </w:r>
            <w:r>
              <w:rPr>
                <w:rFonts w:ascii="Times New Roman" w:hAnsi="Times New Roman"/>
                <w:sz w:val="24"/>
              </w:rPr>
              <w:t>беззаявительно</w:t>
            </w:r>
          </w:p>
        </w:tc>
        <w:tc>
          <w:tcPr>
            <w:tcW w:type="dxa" w:w="2243"/>
            <w:vAlign w:val="center"/>
          </w:tcPr>
          <w:p w14:paraId="4F010000">
            <w:pPr>
              <w:ind/>
              <w:jc w:val="center"/>
              <w:rPr>
                <w:rFonts w:ascii="Times New Roman" w:hAnsi="Times New Roman"/>
                <w:sz w:val="24"/>
              </w:rPr>
            </w:pPr>
            <w:r>
              <w:rPr>
                <w:rFonts w:ascii="Times New Roman" w:hAnsi="Times New Roman"/>
                <w:sz w:val="24"/>
              </w:rPr>
              <w:t xml:space="preserve">≥ 60% </w:t>
            </w:r>
            <w:r>
              <w:rPr>
                <w:rFonts w:ascii="Times New Roman" w:hAnsi="Times New Roman"/>
                <w:sz w:val="24"/>
              </w:rPr>
              <w:t>беззаявительно</w:t>
            </w:r>
          </w:p>
        </w:tc>
        <w:tc>
          <w:tcPr>
            <w:tcW w:type="dxa" w:w="1148"/>
            <w:vAlign w:val="center"/>
          </w:tcPr>
          <w:p w14:paraId="50010000">
            <w:pPr>
              <w:ind/>
              <w:jc w:val="center"/>
              <w:rPr>
                <w:rFonts w:ascii="Times New Roman" w:hAnsi="Times New Roman"/>
                <w:sz w:val="24"/>
              </w:rPr>
            </w:pPr>
            <w:r>
              <w:rPr>
                <w:rFonts w:ascii="Times New Roman" w:hAnsi="Times New Roman"/>
                <w:sz w:val="24"/>
              </w:rPr>
              <w:t>Ниже нормы</w:t>
            </w:r>
          </w:p>
        </w:tc>
      </w:tr>
      <w:tr>
        <w:tc>
          <w:tcPr>
            <w:tcW w:type="dxa" w:w="1571"/>
            <w:gridSpan w:val="1"/>
            <w:vMerge w:val="continue"/>
            <w:vAlign w:val="center"/>
          </w:tcPr>
          <w:p/>
        </w:tc>
        <w:tc>
          <w:tcPr>
            <w:tcW w:type="dxa" w:w="2149"/>
            <w:vAlign w:val="center"/>
          </w:tcPr>
          <w:p w14:paraId="51010000">
            <w:pPr>
              <w:ind/>
              <w:jc w:val="center"/>
              <w:rPr>
                <w:rFonts w:ascii="Times New Roman" w:hAnsi="Times New Roman"/>
                <w:sz w:val="24"/>
              </w:rPr>
            </w:pPr>
            <w:r>
              <w:rPr>
                <w:rFonts w:ascii="Times New Roman" w:hAnsi="Times New Roman"/>
                <w:sz w:val="24"/>
              </w:rPr>
              <w:t>Штатная обеспеченность ТУ</w:t>
            </w:r>
          </w:p>
        </w:tc>
        <w:tc>
          <w:tcPr>
            <w:tcW w:type="dxa" w:w="2243"/>
            <w:vAlign w:val="center"/>
          </w:tcPr>
          <w:p w14:paraId="52010000">
            <w:pPr>
              <w:ind/>
              <w:jc w:val="center"/>
              <w:rPr>
                <w:rFonts w:ascii="Times New Roman" w:hAnsi="Times New Roman"/>
                <w:sz w:val="24"/>
              </w:rPr>
            </w:pPr>
            <w:r>
              <w:rPr>
                <w:rFonts w:ascii="Times New Roman" w:hAnsi="Times New Roman"/>
                <w:sz w:val="24"/>
              </w:rPr>
              <w:t>3 чел. / 3724 жит.</w:t>
            </w:r>
          </w:p>
        </w:tc>
        <w:tc>
          <w:tcPr>
            <w:tcW w:type="dxa" w:w="2243"/>
            <w:vAlign w:val="center"/>
          </w:tcPr>
          <w:p w14:paraId="53010000">
            <w:pPr>
              <w:ind/>
              <w:jc w:val="center"/>
              <w:rPr>
                <w:rFonts w:ascii="Times New Roman" w:hAnsi="Times New Roman"/>
                <w:sz w:val="24"/>
              </w:rPr>
            </w:pPr>
            <w:r>
              <w:rPr>
                <w:rFonts w:ascii="Times New Roman" w:hAnsi="Times New Roman"/>
                <w:sz w:val="24"/>
              </w:rPr>
              <w:t xml:space="preserve">≥ 5 чел. (норматив для </w:t>
            </w:r>
            <w:r>
              <w:rPr>
                <w:rFonts w:ascii="Times New Roman" w:hAnsi="Times New Roman"/>
                <w:sz w:val="24"/>
              </w:rPr>
              <w:t>сельск</w:t>
            </w:r>
            <w:r>
              <w:rPr>
                <w:rFonts w:ascii="Times New Roman" w:hAnsi="Times New Roman"/>
                <w:sz w:val="24"/>
              </w:rPr>
              <w:t>. поселений)</w:t>
            </w:r>
          </w:p>
        </w:tc>
        <w:tc>
          <w:tcPr>
            <w:tcW w:type="dxa" w:w="1148"/>
            <w:vAlign w:val="center"/>
          </w:tcPr>
          <w:p w14:paraId="54010000">
            <w:pPr>
              <w:ind/>
              <w:jc w:val="center"/>
              <w:rPr>
                <w:rFonts w:ascii="Times New Roman" w:hAnsi="Times New Roman"/>
                <w:sz w:val="24"/>
              </w:rPr>
            </w:pPr>
            <w:r>
              <w:rPr>
                <w:rFonts w:ascii="Times New Roman" w:hAnsi="Times New Roman"/>
                <w:sz w:val="24"/>
              </w:rPr>
              <w:t>Неудовл</w:t>
            </w:r>
            <w:r>
              <w:rPr>
                <w:rFonts w:ascii="Times New Roman" w:hAnsi="Times New Roman"/>
                <w:sz w:val="24"/>
              </w:rPr>
              <w:t>.</w:t>
            </w:r>
          </w:p>
        </w:tc>
      </w:tr>
      <w:tr>
        <w:tc>
          <w:tcPr>
            <w:tcW w:type="dxa" w:w="9355"/>
            <w:gridSpan w:val="5"/>
            <w:tcBorders>
              <w:top w:sz="4" w:val="nil"/>
              <w:left w:sz="4" w:val="nil"/>
              <w:right w:sz="4" w:val="nil"/>
            </w:tcBorders>
            <w:vAlign w:val="center"/>
          </w:tcPr>
          <w:p w14:paraId="55010000">
            <w:pPr>
              <w:spacing w:line="360" w:lineRule="auto"/>
              <w:ind/>
              <w:jc w:val="right"/>
              <w:rPr>
                <w:rFonts w:ascii="Times New Roman" w:hAnsi="Times New Roman"/>
                <w:sz w:val="28"/>
              </w:rPr>
            </w:pPr>
            <w:r>
              <w:rPr>
                <w:rFonts w:ascii="Times New Roman" w:hAnsi="Times New Roman"/>
                <w:sz w:val="28"/>
              </w:rPr>
              <w:t>Продолжение таблицы 2.4</w:t>
            </w:r>
          </w:p>
        </w:tc>
      </w:tr>
      <w:tr>
        <w:tc>
          <w:tcPr>
            <w:tcW w:type="dxa" w:w="1571"/>
            <w:vMerge w:val="restart"/>
            <w:vAlign w:val="center"/>
          </w:tcPr>
          <w:p w14:paraId="56010000">
            <w:pPr>
              <w:ind/>
              <w:jc w:val="center"/>
              <w:rPr>
                <w:rFonts w:ascii="Times New Roman" w:hAnsi="Times New Roman"/>
                <w:sz w:val="24"/>
              </w:rPr>
            </w:pPr>
            <w:r>
              <w:rPr>
                <w:rFonts w:ascii="Times New Roman" w:hAnsi="Times New Roman"/>
                <w:sz w:val="24"/>
              </w:rPr>
              <w:t>Координация</w:t>
            </w:r>
          </w:p>
        </w:tc>
        <w:tc>
          <w:tcPr>
            <w:tcW w:type="dxa" w:w="2149"/>
            <w:vAlign w:val="center"/>
          </w:tcPr>
          <w:p w14:paraId="57010000">
            <w:pPr>
              <w:ind/>
              <w:jc w:val="center"/>
              <w:rPr>
                <w:rFonts w:ascii="Times New Roman" w:hAnsi="Times New Roman"/>
                <w:sz w:val="24"/>
              </w:rPr>
            </w:pPr>
            <w:r>
              <w:rPr>
                <w:rFonts w:ascii="Times New Roman" w:hAnsi="Times New Roman"/>
                <w:sz w:val="24"/>
              </w:rPr>
              <w:t>Межведомственное взаимодействие ОВП–КЦСОН–ТУ</w:t>
            </w:r>
          </w:p>
        </w:tc>
        <w:tc>
          <w:tcPr>
            <w:tcW w:type="dxa" w:w="2243"/>
            <w:vAlign w:val="center"/>
          </w:tcPr>
          <w:p w14:paraId="58010000">
            <w:pPr>
              <w:ind/>
              <w:jc w:val="center"/>
              <w:rPr>
                <w:rFonts w:ascii="Times New Roman" w:hAnsi="Times New Roman"/>
                <w:sz w:val="24"/>
              </w:rPr>
            </w:pPr>
            <w:r>
              <w:rPr>
                <w:rFonts w:ascii="Times New Roman" w:hAnsi="Times New Roman"/>
                <w:sz w:val="24"/>
              </w:rPr>
              <w:t>Неформальное</w:t>
            </w:r>
          </w:p>
        </w:tc>
        <w:tc>
          <w:tcPr>
            <w:tcW w:type="dxa" w:w="2243"/>
            <w:vAlign w:val="center"/>
          </w:tcPr>
          <w:p w14:paraId="59010000">
            <w:pPr>
              <w:ind/>
              <w:jc w:val="center"/>
              <w:rPr>
                <w:rFonts w:ascii="Times New Roman" w:hAnsi="Times New Roman"/>
                <w:sz w:val="24"/>
              </w:rPr>
            </w:pPr>
            <w:r>
              <w:rPr>
                <w:rFonts w:ascii="Times New Roman" w:hAnsi="Times New Roman"/>
                <w:sz w:val="24"/>
              </w:rPr>
              <w:t>Формализованные процедуры (протоколы, регламенты)</w:t>
            </w:r>
          </w:p>
        </w:tc>
        <w:tc>
          <w:tcPr>
            <w:tcW w:type="dxa" w:w="1148"/>
            <w:vAlign w:val="center"/>
          </w:tcPr>
          <w:p w14:paraId="5A010000">
            <w:pPr>
              <w:ind/>
              <w:jc w:val="center"/>
              <w:rPr>
                <w:rFonts w:ascii="Times New Roman" w:hAnsi="Times New Roman"/>
                <w:sz w:val="24"/>
              </w:rPr>
            </w:pPr>
            <w:r>
              <w:rPr>
                <w:rFonts w:ascii="Times New Roman" w:hAnsi="Times New Roman"/>
                <w:sz w:val="24"/>
              </w:rPr>
              <w:t>Неудовл</w:t>
            </w:r>
            <w:r>
              <w:rPr>
                <w:rFonts w:ascii="Times New Roman" w:hAnsi="Times New Roman"/>
                <w:sz w:val="24"/>
              </w:rPr>
              <w:t>.</w:t>
            </w:r>
          </w:p>
        </w:tc>
      </w:tr>
      <w:tr>
        <w:tc>
          <w:tcPr>
            <w:tcW w:type="dxa" w:w="1571"/>
            <w:gridSpan w:val="1"/>
            <w:vMerge w:val="continue"/>
            <w:vAlign w:val="center"/>
          </w:tcPr>
          <w:p/>
        </w:tc>
        <w:tc>
          <w:tcPr>
            <w:tcW w:type="dxa" w:w="2149"/>
            <w:vAlign w:val="center"/>
          </w:tcPr>
          <w:p w14:paraId="5B010000">
            <w:pPr>
              <w:ind/>
              <w:jc w:val="center"/>
              <w:rPr>
                <w:rFonts w:ascii="Times New Roman" w:hAnsi="Times New Roman"/>
                <w:sz w:val="24"/>
              </w:rPr>
            </w:pPr>
            <w:r>
              <w:rPr>
                <w:rFonts w:ascii="Times New Roman" w:hAnsi="Times New Roman"/>
                <w:sz w:val="24"/>
              </w:rPr>
              <w:t>Единая информационная система (ЕГИССО)</w:t>
            </w:r>
          </w:p>
        </w:tc>
        <w:tc>
          <w:tcPr>
            <w:tcW w:type="dxa" w:w="2243"/>
            <w:vAlign w:val="center"/>
          </w:tcPr>
          <w:p w14:paraId="5C010000">
            <w:pPr>
              <w:ind/>
              <w:jc w:val="center"/>
              <w:rPr>
                <w:rFonts w:ascii="Times New Roman" w:hAnsi="Times New Roman"/>
                <w:sz w:val="24"/>
              </w:rPr>
            </w:pPr>
            <w:r>
              <w:rPr>
                <w:rFonts w:ascii="Times New Roman" w:hAnsi="Times New Roman"/>
                <w:sz w:val="24"/>
              </w:rPr>
              <w:t>Действует; охват ≥ 90%</w:t>
            </w:r>
          </w:p>
        </w:tc>
        <w:tc>
          <w:tcPr>
            <w:tcW w:type="dxa" w:w="2243"/>
            <w:vAlign w:val="center"/>
          </w:tcPr>
          <w:p w14:paraId="5D010000">
            <w:pPr>
              <w:ind/>
              <w:jc w:val="center"/>
              <w:rPr>
                <w:rFonts w:ascii="Times New Roman" w:hAnsi="Times New Roman"/>
                <w:sz w:val="24"/>
              </w:rPr>
            </w:pPr>
            <w:r>
              <w:rPr>
                <w:rFonts w:ascii="Times New Roman" w:hAnsi="Times New Roman"/>
                <w:sz w:val="24"/>
              </w:rPr>
              <w:t>100% охват всех получателей</w:t>
            </w:r>
          </w:p>
        </w:tc>
        <w:tc>
          <w:tcPr>
            <w:tcW w:type="dxa" w:w="1148"/>
            <w:vAlign w:val="center"/>
          </w:tcPr>
          <w:p w14:paraId="5E010000">
            <w:pPr>
              <w:ind/>
              <w:jc w:val="center"/>
              <w:rPr>
                <w:rFonts w:ascii="Times New Roman" w:hAnsi="Times New Roman"/>
                <w:sz w:val="24"/>
              </w:rPr>
            </w:pPr>
            <w:r>
              <w:rPr>
                <w:rFonts w:ascii="Times New Roman" w:hAnsi="Times New Roman"/>
                <w:sz w:val="24"/>
              </w:rPr>
              <w:t>Хорошее</w:t>
            </w:r>
          </w:p>
        </w:tc>
      </w:tr>
      <w:tr>
        <w:tc>
          <w:tcPr>
            <w:tcW w:type="dxa" w:w="1571"/>
            <w:gridSpan w:val="1"/>
            <w:vMerge w:val="continue"/>
            <w:vAlign w:val="center"/>
          </w:tcPr>
          <w:p/>
        </w:tc>
        <w:tc>
          <w:tcPr>
            <w:tcW w:type="dxa" w:w="2149"/>
            <w:vAlign w:val="center"/>
          </w:tcPr>
          <w:p w14:paraId="5F010000">
            <w:pPr>
              <w:ind/>
              <w:jc w:val="center"/>
              <w:rPr>
                <w:rFonts w:ascii="Times New Roman" w:hAnsi="Times New Roman"/>
                <w:sz w:val="24"/>
              </w:rPr>
            </w:pPr>
            <w:r>
              <w:rPr>
                <w:rFonts w:ascii="Times New Roman" w:hAnsi="Times New Roman"/>
                <w:sz w:val="24"/>
              </w:rPr>
              <w:t>Наличие индивидуальных программ (ИПР)</w:t>
            </w:r>
          </w:p>
        </w:tc>
        <w:tc>
          <w:tcPr>
            <w:tcW w:type="dxa" w:w="2243"/>
            <w:vAlign w:val="center"/>
          </w:tcPr>
          <w:p w14:paraId="60010000">
            <w:pPr>
              <w:ind/>
              <w:jc w:val="center"/>
              <w:rPr>
                <w:rFonts w:ascii="Times New Roman" w:hAnsi="Times New Roman"/>
                <w:sz w:val="24"/>
              </w:rPr>
            </w:pPr>
            <w:r>
              <w:rPr>
                <w:rFonts w:ascii="Times New Roman" w:hAnsi="Times New Roman"/>
                <w:sz w:val="24"/>
              </w:rPr>
              <w:t xml:space="preserve">Для инвалидов </w:t>
            </w:r>
            <w:r>
              <w:rPr>
                <w:rFonts w:ascii="Times New Roman" w:hAnsi="Times New Roman"/>
                <w:sz w:val="24"/>
              </w:rPr>
              <w:t>–</w:t>
            </w:r>
            <w:r>
              <w:rPr>
                <w:rFonts w:ascii="Times New Roman" w:hAnsi="Times New Roman"/>
                <w:sz w:val="24"/>
              </w:rPr>
              <w:t xml:space="preserve"> обязательно</w:t>
            </w:r>
          </w:p>
        </w:tc>
        <w:tc>
          <w:tcPr>
            <w:tcW w:type="dxa" w:w="2243"/>
            <w:vAlign w:val="center"/>
          </w:tcPr>
          <w:p w14:paraId="61010000">
            <w:pPr>
              <w:ind/>
              <w:jc w:val="center"/>
              <w:rPr>
                <w:rFonts w:ascii="Times New Roman" w:hAnsi="Times New Roman"/>
                <w:sz w:val="24"/>
              </w:rPr>
            </w:pPr>
            <w:r>
              <w:rPr>
                <w:rFonts w:ascii="Times New Roman" w:hAnsi="Times New Roman"/>
                <w:sz w:val="24"/>
              </w:rPr>
              <w:t>По всем нуждающимся категориям</w:t>
            </w:r>
          </w:p>
        </w:tc>
        <w:tc>
          <w:tcPr>
            <w:tcW w:type="dxa" w:w="1148"/>
            <w:vAlign w:val="center"/>
          </w:tcPr>
          <w:p w14:paraId="62010000">
            <w:pPr>
              <w:ind/>
              <w:jc w:val="center"/>
              <w:rPr>
                <w:rFonts w:ascii="Times New Roman" w:hAnsi="Times New Roman"/>
                <w:sz w:val="24"/>
              </w:rPr>
            </w:pPr>
            <w:r>
              <w:rPr>
                <w:rFonts w:ascii="Times New Roman" w:hAnsi="Times New Roman"/>
                <w:sz w:val="24"/>
              </w:rPr>
              <w:t>Удовл</w:t>
            </w:r>
            <w:r>
              <w:rPr>
                <w:rFonts w:ascii="Times New Roman" w:hAnsi="Times New Roman"/>
                <w:sz w:val="24"/>
              </w:rPr>
              <w:t>.</w:t>
            </w:r>
          </w:p>
        </w:tc>
      </w:tr>
    </w:tbl>
    <w:p w14:paraId="63010000">
      <w:pPr>
        <w:spacing w:after="0" w:line="360" w:lineRule="auto"/>
        <w:ind w:firstLine="709" w:left="0"/>
        <w:jc w:val="both"/>
        <w:rPr>
          <w:rFonts w:ascii="Times New Roman" w:hAnsi="Times New Roman"/>
          <w:sz w:val="28"/>
        </w:rPr>
      </w:pPr>
    </w:p>
    <w:p w14:paraId="64010000">
      <w:pPr>
        <w:spacing w:after="0" w:line="360" w:lineRule="auto"/>
        <w:ind w:firstLine="709" w:left="0"/>
        <w:jc w:val="both"/>
        <w:rPr>
          <w:rFonts w:ascii="Times New Roman" w:hAnsi="Times New Roman"/>
          <w:sz w:val="28"/>
        </w:rPr>
      </w:pPr>
      <w:r>
        <w:rPr>
          <w:rFonts w:ascii="Times New Roman" w:hAnsi="Times New Roman"/>
          <w:sz w:val="28"/>
        </w:rPr>
        <w:t>Практика работы территориальных управлений в малых населённых пунктах России показывает</w:t>
      </w:r>
      <w:r>
        <w:rPr>
          <w:rFonts w:ascii="Times New Roman" w:hAnsi="Times New Roman"/>
          <w:sz w:val="28"/>
        </w:rPr>
        <w:t xml:space="preserve">, что </w:t>
      </w:r>
      <w:r>
        <w:rPr>
          <w:rFonts w:ascii="Times New Roman" w:hAnsi="Times New Roman"/>
          <w:sz w:val="28"/>
        </w:rPr>
        <w:t>формально система социальной защиты выстроена и финансирована, однако доходит до конкретного гражданина в неполном объёме. Причины: информационный дефицит (гражданин не знает о своих правах); административный барьер (сложность оформления документов); территориальная удалённость (физическая невозможность добраться до места назначения пособия); цифровое неравенство (невозможность воспользоваться онлайн-сервисами). В посёлке Красногвардейский все четыре фактора присутствуют в той или иной степени. Наиболее уязвимы пожилые одинокие граждане, не имеющие родственников, способных помочь с оформлением документов или транспортом.</w:t>
      </w:r>
    </w:p>
    <w:p w14:paraId="65010000">
      <w:pPr>
        <w:spacing w:after="0" w:line="360" w:lineRule="auto"/>
        <w:ind w:firstLine="709" w:left="0"/>
        <w:jc w:val="both"/>
        <w:rPr>
          <w:rFonts w:ascii="Times New Roman" w:hAnsi="Times New Roman"/>
          <w:sz w:val="28"/>
        </w:rPr>
      </w:pPr>
      <w:r>
        <w:rPr>
          <w:rFonts w:ascii="Times New Roman" w:hAnsi="Times New Roman"/>
          <w:sz w:val="28"/>
        </w:rPr>
        <w:t xml:space="preserve">Несмотря на то, что программа действует с 2020 года, охват малоимущих семей в сельской местности остаётся неполным. По данным Минтруда, в 2025 году охвачено около 4,3% от всех семей с доходами ниже ПМ в России. В Свердловской области при численности малоимущих, нуждающихся в поддержке, и выдаче 3 700 контрактов в год охват не превышает 5–7% от потенциальной целевой группы. В посёлке Красногвардейский при наличии 80–120 малоимущих семей и интенсивном информировании потенциальный охват </w:t>
      </w:r>
      <w:r>
        <w:rPr>
          <w:rFonts w:ascii="Times New Roman" w:hAnsi="Times New Roman"/>
          <w:sz w:val="28"/>
        </w:rPr>
        <w:t>соцконтрактом</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15–25 семей/год, фактический </w:t>
      </w:r>
      <w:r>
        <w:rPr>
          <w:rFonts w:ascii="Times New Roman" w:hAnsi="Times New Roman"/>
          <w:sz w:val="28"/>
        </w:rPr>
        <w:t>–</w:t>
      </w:r>
      <w:r>
        <w:rPr>
          <w:rFonts w:ascii="Times New Roman" w:hAnsi="Times New Roman"/>
          <w:sz w:val="28"/>
        </w:rPr>
        <w:t xml:space="preserve"> по имеющимся косвенным данным </w:t>
      </w:r>
      <w:r>
        <w:rPr>
          <w:rFonts w:ascii="Times New Roman" w:hAnsi="Times New Roman"/>
          <w:sz w:val="28"/>
        </w:rPr>
        <w:t>–</w:t>
      </w:r>
      <w:r>
        <w:rPr>
          <w:rFonts w:ascii="Times New Roman" w:hAnsi="Times New Roman"/>
          <w:sz w:val="28"/>
        </w:rPr>
        <w:t xml:space="preserve"> существенно ниже из-за недостаточного информирования.</w:t>
      </w:r>
    </w:p>
    <w:p w14:paraId="66010000">
      <w:pPr>
        <w:spacing w:after="0" w:line="360" w:lineRule="auto"/>
        <w:ind w:firstLine="709" w:left="0"/>
        <w:jc w:val="both"/>
        <w:rPr>
          <w:rFonts w:ascii="Times New Roman" w:hAnsi="Times New Roman"/>
          <w:sz w:val="28"/>
        </w:rPr>
      </w:pPr>
      <w:r>
        <w:rPr>
          <w:rFonts w:ascii="Times New Roman" w:hAnsi="Times New Roman"/>
          <w:sz w:val="28"/>
        </w:rPr>
        <w:t>СДУ требует нескольких организационных предпосылок: наличия специалистов по уходу у поставщиков социальных услуг; пункта проката ТСР; «школы ухода» в шаговой доступности. В посёлке Красногвардейский ни один из этих элементов формально не присутствует в самом посёлке: пункт проката ТСР расположен при КЦСОН в г. Артемовский; «школ ухода» в посёлке нет. Обслуживание нуждающихся осуществляется выездными специалистами КЦСОН. Это создаёт нагрузку на транспортный ресурс КЦСОН и ограничивает интенсивность ухода: социальный работник, приезжающий из г. Артемовский, физически не может посещать подопечного более 2–3 раз в неделю без значительных операционных издержек. Для тяжёлых случаев (III уровень нуждаемости, 28 ч./</w:t>
      </w:r>
      <w:r>
        <w:rPr>
          <w:rFonts w:ascii="Times New Roman" w:hAnsi="Times New Roman"/>
          <w:sz w:val="28"/>
        </w:rPr>
        <w:t>нед</w:t>
      </w:r>
      <w:r>
        <w:rPr>
          <w:rFonts w:ascii="Times New Roman" w:hAnsi="Times New Roman"/>
          <w:sz w:val="28"/>
        </w:rPr>
        <w:t>.) это означает фактическую невозможность предоставления помощи в нормативном объёме на дому.</w:t>
      </w:r>
    </w:p>
    <w:p w14:paraId="67010000">
      <w:pPr>
        <w:spacing w:after="0" w:line="360" w:lineRule="auto"/>
        <w:ind w:firstLine="709" w:left="0"/>
        <w:jc w:val="both"/>
        <w:rPr>
          <w:rFonts w:ascii="Times New Roman" w:hAnsi="Times New Roman"/>
          <w:sz w:val="28"/>
        </w:rPr>
      </w:pPr>
      <w:r>
        <w:rPr>
          <w:rFonts w:ascii="Times New Roman" w:hAnsi="Times New Roman"/>
          <w:sz w:val="28"/>
        </w:rPr>
        <w:t xml:space="preserve">Наличие крупного стационарного учреждения создаёт не только ресурс (рабочие места, специалисты), но и риски. В России в 2024 году зафиксировано несколько случаев нарушения прав проживающих в ПНИ, связанных с принудительным удержанием, применением фиксации, неправомерным распоряжением пенсиями. Прокуратура и Уполномоченный по правам человека Свердловской области периодически проводят проверки учреждений данного типа. В контексте задачи данной работы этот факт означает, что система социальной защиты в посёлке должна включать не только обеспечение выплат и услуг, но и правозащитный компонент: возможность проживающих в ПНИ обратиться за независимой консультацией и получить содействие от ТУ или уполномоченных органов. Механизм независимой оценки качества услуг ПНИ действует в рамках областной системы независимой оценки (Приказ </w:t>
      </w:r>
      <w:r>
        <w:rPr>
          <w:rFonts w:ascii="Times New Roman" w:hAnsi="Times New Roman"/>
          <w:sz w:val="28"/>
        </w:rPr>
        <w:t>Минсоц</w:t>
      </w:r>
      <w:r>
        <w:rPr>
          <w:rFonts w:ascii="Times New Roman" w:hAnsi="Times New Roman"/>
          <w:sz w:val="28"/>
        </w:rPr>
        <w:t xml:space="preserve"> СО), однако практика его применения в конкретном учреждении в открытых источниках не освещена.</w:t>
      </w:r>
    </w:p>
    <w:p w14:paraId="68010000">
      <w:pPr>
        <w:spacing w:after="0" w:line="360" w:lineRule="auto"/>
        <w:ind w:firstLine="709" w:left="0"/>
        <w:jc w:val="both"/>
        <w:rPr>
          <w:rFonts w:ascii="Times New Roman" w:hAnsi="Times New Roman"/>
          <w:sz w:val="28"/>
        </w:rPr>
      </w:pPr>
      <w:r>
        <w:rPr>
          <w:rFonts w:ascii="Times New Roman" w:hAnsi="Times New Roman"/>
          <w:sz w:val="28"/>
        </w:rPr>
        <w:t xml:space="preserve">Действующая система в значительной мере ориентирована на пожилых граждан и тяжёлых инвалидов. Вместе с тем молодые инвалиды в возрасте 18–40 лет, имеющие потенциал к частичной реабилитации и трудоустройству, нуждаются в иных видах поддержки: профессиональной реабилитации, </w:t>
      </w:r>
      <w:r>
        <w:rPr>
          <w:rFonts w:ascii="Times New Roman" w:hAnsi="Times New Roman"/>
          <w:sz w:val="28"/>
        </w:rPr>
        <w:t xml:space="preserve">содействии в трудоустройстве на квотированные рабочие места, психологическом сопровождении. Квота для инвалидов на предприятиях с численностью 35–100 чел. составляет 3%, с численностью более 100 чел. </w:t>
      </w:r>
      <w:r>
        <w:rPr>
          <w:rFonts w:ascii="Times New Roman" w:hAnsi="Times New Roman"/>
          <w:sz w:val="28"/>
        </w:rPr>
        <w:t>–</w:t>
      </w:r>
      <w:r>
        <w:rPr>
          <w:rFonts w:ascii="Times New Roman" w:hAnsi="Times New Roman"/>
          <w:sz w:val="28"/>
        </w:rPr>
        <w:t xml:space="preserve"> 2–4% (ст. 21 ФЗ № 181-ФЗ). Однако на практике квота в малых поселениях зачастую остаётся формальной: работодателей мало, вакансии с подходящими условиями труда редки. В посёлке Красногвардейский трудоустройство молодого инвалида на Красногвардейском крановом заводе или в ПНИ (как вспомогательный персонал) теоретически возможно, но требует активного посредничества центра занятости и ТУ.</w:t>
      </w:r>
    </w:p>
    <w:p w14:paraId="69010000">
      <w:pPr>
        <w:spacing w:after="0" w:line="360" w:lineRule="auto"/>
        <w:ind w:firstLine="709" w:left="0"/>
        <w:jc w:val="both"/>
        <w:rPr>
          <w:rFonts w:ascii="Times New Roman" w:hAnsi="Times New Roman"/>
          <w:sz w:val="28"/>
        </w:rPr>
      </w:pPr>
      <w:r>
        <w:rPr>
          <w:rFonts w:ascii="Times New Roman" w:hAnsi="Times New Roman"/>
          <w:sz w:val="28"/>
        </w:rPr>
        <w:t xml:space="preserve">Региональная программа «Активное долголетие», реализуемая в том числе через Центр досуга посёлка, фиксирует, по данным Министерства социальной политики СО за 2024 год, охват около 48% граждан 60+ по Свердловской области. В небольших поселениях охват ниже: ориентировочно 25–35% из-за ограниченности кружков и мероприятий. В абсолютных числах для посёлка (600–650 чел. в возрасте 60+) </w:t>
      </w:r>
      <w:r>
        <w:rPr>
          <w:rFonts w:ascii="Times New Roman" w:hAnsi="Times New Roman"/>
          <w:sz w:val="28"/>
        </w:rPr>
        <w:t>охват по умеренной оценке</w:t>
      </w:r>
      <w:r>
        <w:rPr>
          <w:rFonts w:ascii="Times New Roman" w:hAnsi="Times New Roman"/>
          <w:sz w:val="28"/>
        </w:rPr>
        <w:t xml:space="preserve"> составляет 150–230 чел./год </w:t>
      </w:r>
      <w:r>
        <w:rPr>
          <w:rFonts w:ascii="Times New Roman" w:hAnsi="Times New Roman"/>
          <w:sz w:val="28"/>
        </w:rPr>
        <w:t>–</w:t>
      </w:r>
      <w:r>
        <w:rPr>
          <w:rFonts w:ascii="Times New Roman" w:hAnsi="Times New Roman"/>
          <w:sz w:val="28"/>
        </w:rPr>
        <w:t xml:space="preserve"> тех, кто хотя бы однажды посетил мероприятие в рамках программы. Для остальных 420–450 пожилых граждан досуговые форматы социализации недоступны, что является фактором повышенного риска социальной изоляции и ухудшения психологического здоровья.</w:t>
      </w:r>
    </w:p>
    <w:p w14:paraId="6A010000">
      <w:pPr>
        <w:spacing w:after="0" w:line="360" w:lineRule="auto"/>
        <w:ind w:firstLine="709" w:left="0"/>
        <w:jc w:val="both"/>
        <w:rPr>
          <w:rFonts w:ascii="Times New Roman" w:hAnsi="Times New Roman"/>
          <w:sz w:val="28"/>
        </w:rPr>
      </w:pPr>
      <w:r>
        <w:rPr>
          <w:rFonts w:ascii="Times New Roman" w:hAnsi="Times New Roman"/>
          <w:sz w:val="28"/>
        </w:rPr>
        <w:t xml:space="preserve">Исследования в области информированности граждан о мерах социальной поддержки в России показывают: даже при высоком уровне осведомлённости о факте наличия льготы (80–90%) значительная доля граждан (30–40%) не знает конкретных условий назначения и механизма оформления. В посёлке Красногвардейский конкретным каналом информирования является публичное отчётное собрание (проводится раз в год </w:t>
      </w:r>
      <w:r>
        <w:rPr>
          <w:rFonts w:ascii="Times New Roman" w:hAnsi="Times New Roman"/>
          <w:sz w:val="28"/>
        </w:rPr>
        <w:t>–</w:t>
      </w:r>
      <w:r>
        <w:rPr>
          <w:rFonts w:ascii="Times New Roman" w:hAnsi="Times New Roman"/>
          <w:sz w:val="28"/>
        </w:rPr>
        <w:t xml:space="preserve"> в феврале), стенды в ТУ, а также неформальные консультации специалистов ТУ. Этот набор инструментов недостаточен для охвата всех уязвимых групп: пожилые одинокие граждане редко посещают собрания; граждане с ментальными нарушениями без опекунов ограничены в доступе к любым </w:t>
      </w:r>
      <w:r>
        <w:rPr>
          <w:rFonts w:ascii="Times New Roman" w:hAnsi="Times New Roman"/>
          <w:sz w:val="28"/>
        </w:rPr>
        <w:t>каналам; семьи с детьми, не воспользовавшиеся единым пособием, могут просто не знать об изменившихся условиях назначения.</w:t>
      </w:r>
    </w:p>
    <w:p w14:paraId="6B010000">
      <w:pPr>
        <w:spacing w:after="0" w:line="360" w:lineRule="auto"/>
        <w:ind w:firstLine="709" w:left="0"/>
        <w:jc w:val="both"/>
        <w:rPr>
          <w:rFonts w:ascii="Times New Roman" w:hAnsi="Times New Roman"/>
          <w:sz w:val="28"/>
        </w:rPr>
      </w:pPr>
      <w:r>
        <w:rPr>
          <w:rFonts w:ascii="Times New Roman" w:hAnsi="Times New Roman"/>
          <w:sz w:val="28"/>
        </w:rPr>
        <w:t>Систематизация ключевых проблем системы социальной защиты посёлка Красногвардейский с анализом причин и последствий</w:t>
      </w:r>
      <w:r>
        <w:rPr>
          <w:rFonts w:ascii="Times New Roman" w:hAnsi="Times New Roman"/>
          <w:sz w:val="28"/>
        </w:rPr>
        <w:t>, представлена в таблице 2.5.</w:t>
      </w:r>
    </w:p>
    <w:p w14:paraId="6C010000">
      <w:pPr>
        <w:spacing w:after="0" w:line="360" w:lineRule="auto"/>
        <w:ind w:firstLine="709" w:left="0"/>
        <w:jc w:val="right"/>
        <w:rPr>
          <w:rFonts w:ascii="Times New Roman" w:hAnsi="Times New Roman"/>
          <w:sz w:val="28"/>
        </w:rPr>
      </w:pPr>
      <w:r>
        <w:rPr>
          <w:rFonts w:ascii="Times New Roman" w:hAnsi="Times New Roman"/>
          <w:sz w:val="28"/>
        </w:rPr>
        <w:t>Таблица 2.5</w:t>
      </w:r>
    </w:p>
    <w:p w14:paraId="6D010000">
      <w:pPr>
        <w:spacing w:after="0" w:line="360" w:lineRule="auto"/>
        <w:ind/>
        <w:jc w:val="center"/>
        <w:rPr>
          <w:rFonts w:ascii="Times New Roman" w:hAnsi="Times New Roman"/>
          <w:sz w:val="28"/>
        </w:rPr>
      </w:pPr>
      <w:r>
        <w:rPr>
          <w:rFonts w:ascii="Times New Roman" w:hAnsi="Times New Roman"/>
          <w:sz w:val="28"/>
        </w:rPr>
        <w:t>Систематизация ключевых проблем системы социальной защиты посёлка Красногвардейский с анализом причин и последствий</w:t>
      </w:r>
    </w:p>
    <w:tbl>
      <w:tblPr>
        <w:tblStyle w:val="Style_4"/>
        <w:tblLayout w:type="fixed"/>
      </w:tblPr>
      <w:tblGrid>
        <w:gridCol w:w="2154"/>
        <w:gridCol w:w="2226"/>
        <w:gridCol w:w="2385"/>
        <w:gridCol w:w="2590"/>
      </w:tblGrid>
      <w:tr>
        <w:tc>
          <w:tcPr>
            <w:tcW w:type="dxa" w:w="2154"/>
            <w:vAlign w:val="center"/>
          </w:tcPr>
          <w:p w14:paraId="6E010000">
            <w:pPr>
              <w:ind/>
              <w:jc w:val="center"/>
              <w:rPr>
                <w:rFonts w:ascii="Times New Roman" w:hAnsi="Times New Roman"/>
                <w:sz w:val="24"/>
              </w:rPr>
            </w:pPr>
            <w:r>
              <w:rPr>
                <w:rFonts w:ascii="Times New Roman" w:hAnsi="Times New Roman"/>
                <w:sz w:val="24"/>
              </w:rPr>
              <w:t>Проблема</w:t>
            </w:r>
          </w:p>
        </w:tc>
        <w:tc>
          <w:tcPr>
            <w:tcW w:type="dxa" w:w="2226"/>
            <w:vAlign w:val="center"/>
          </w:tcPr>
          <w:p w14:paraId="6F010000">
            <w:pPr>
              <w:ind/>
              <w:jc w:val="center"/>
              <w:rPr>
                <w:rFonts w:ascii="Times New Roman" w:hAnsi="Times New Roman"/>
                <w:sz w:val="24"/>
              </w:rPr>
            </w:pPr>
            <w:r>
              <w:rPr>
                <w:rFonts w:ascii="Times New Roman" w:hAnsi="Times New Roman"/>
                <w:sz w:val="24"/>
              </w:rPr>
              <w:t>Проявление / индикатор</w:t>
            </w:r>
          </w:p>
        </w:tc>
        <w:tc>
          <w:tcPr>
            <w:tcW w:type="dxa" w:w="2385"/>
            <w:vAlign w:val="center"/>
          </w:tcPr>
          <w:p w14:paraId="70010000">
            <w:pPr>
              <w:ind/>
              <w:jc w:val="center"/>
              <w:rPr>
                <w:rFonts w:ascii="Times New Roman" w:hAnsi="Times New Roman"/>
                <w:sz w:val="24"/>
              </w:rPr>
            </w:pPr>
            <w:r>
              <w:rPr>
                <w:rFonts w:ascii="Times New Roman" w:hAnsi="Times New Roman"/>
                <w:sz w:val="24"/>
              </w:rPr>
              <w:t>Причины</w:t>
            </w:r>
          </w:p>
        </w:tc>
        <w:tc>
          <w:tcPr>
            <w:tcW w:type="dxa" w:w="2590"/>
            <w:vAlign w:val="center"/>
          </w:tcPr>
          <w:p w14:paraId="71010000">
            <w:pPr>
              <w:ind/>
              <w:jc w:val="center"/>
              <w:rPr>
                <w:rFonts w:ascii="Times New Roman" w:hAnsi="Times New Roman"/>
                <w:sz w:val="24"/>
              </w:rPr>
            </w:pPr>
            <w:r>
              <w:rPr>
                <w:rFonts w:ascii="Times New Roman" w:hAnsi="Times New Roman"/>
                <w:sz w:val="24"/>
              </w:rPr>
              <w:t>Последствия для населения</w:t>
            </w:r>
          </w:p>
        </w:tc>
      </w:tr>
      <w:tr>
        <w:tc>
          <w:tcPr>
            <w:tcW w:type="dxa" w:w="2154"/>
            <w:vAlign w:val="center"/>
          </w:tcPr>
          <w:p w14:paraId="72010000">
            <w:pPr>
              <w:ind/>
              <w:jc w:val="center"/>
              <w:rPr>
                <w:rFonts w:ascii="Times New Roman" w:hAnsi="Times New Roman"/>
                <w:sz w:val="24"/>
              </w:rPr>
            </w:pPr>
            <w:r>
              <w:rPr>
                <w:rFonts w:ascii="Times New Roman" w:hAnsi="Times New Roman"/>
                <w:sz w:val="24"/>
              </w:rPr>
              <w:t>Кадровый дефицит ТУ</w:t>
            </w:r>
          </w:p>
        </w:tc>
        <w:tc>
          <w:tcPr>
            <w:tcW w:type="dxa" w:w="2226"/>
            <w:vAlign w:val="center"/>
          </w:tcPr>
          <w:p w14:paraId="73010000">
            <w:pPr>
              <w:ind/>
              <w:jc w:val="center"/>
              <w:rPr>
                <w:rFonts w:ascii="Times New Roman" w:hAnsi="Times New Roman"/>
                <w:sz w:val="24"/>
              </w:rPr>
            </w:pPr>
            <w:r>
              <w:rPr>
                <w:rFonts w:ascii="Times New Roman" w:hAnsi="Times New Roman"/>
                <w:sz w:val="24"/>
              </w:rPr>
              <w:t>3 чел. на 3 724 жит. (норматив ≥5)</w:t>
            </w:r>
          </w:p>
        </w:tc>
        <w:tc>
          <w:tcPr>
            <w:tcW w:type="dxa" w:w="2385"/>
            <w:vAlign w:val="center"/>
          </w:tcPr>
          <w:p w14:paraId="74010000">
            <w:pPr>
              <w:ind/>
              <w:jc w:val="center"/>
              <w:rPr>
                <w:rFonts w:ascii="Times New Roman" w:hAnsi="Times New Roman"/>
                <w:sz w:val="24"/>
              </w:rPr>
            </w:pPr>
            <w:r>
              <w:rPr>
                <w:rFonts w:ascii="Times New Roman" w:hAnsi="Times New Roman"/>
                <w:sz w:val="24"/>
              </w:rPr>
              <w:t>Бюджетные ограничения округа; недооценка роли ТУ</w:t>
            </w:r>
          </w:p>
        </w:tc>
        <w:tc>
          <w:tcPr>
            <w:tcW w:type="dxa" w:w="2590"/>
            <w:vAlign w:val="center"/>
          </w:tcPr>
          <w:p w14:paraId="75010000">
            <w:pPr>
              <w:ind/>
              <w:jc w:val="center"/>
              <w:rPr>
                <w:rFonts w:ascii="Times New Roman" w:hAnsi="Times New Roman"/>
                <w:sz w:val="24"/>
              </w:rPr>
            </w:pPr>
            <w:r>
              <w:rPr>
                <w:rFonts w:ascii="Times New Roman" w:hAnsi="Times New Roman"/>
                <w:sz w:val="24"/>
              </w:rPr>
              <w:t>Перегрузка, неполный охват граждан консультациями; потеря части мер поддержки</w:t>
            </w:r>
          </w:p>
        </w:tc>
      </w:tr>
      <w:tr>
        <w:tc>
          <w:tcPr>
            <w:tcW w:type="dxa" w:w="2154"/>
            <w:vAlign w:val="center"/>
          </w:tcPr>
          <w:p w14:paraId="76010000">
            <w:pPr>
              <w:ind/>
              <w:jc w:val="center"/>
              <w:rPr>
                <w:rFonts w:ascii="Times New Roman" w:hAnsi="Times New Roman"/>
                <w:sz w:val="24"/>
              </w:rPr>
            </w:pPr>
            <w:r>
              <w:rPr>
                <w:rFonts w:ascii="Times New Roman" w:hAnsi="Times New Roman"/>
                <w:sz w:val="24"/>
              </w:rPr>
              <w:t>Транспортная изолированность</w:t>
            </w:r>
          </w:p>
        </w:tc>
        <w:tc>
          <w:tcPr>
            <w:tcW w:type="dxa" w:w="2226"/>
            <w:vAlign w:val="center"/>
          </w:tcPr>
          <w:p w14:paraId="77010000">
            <w:pPr>
              <w:ind/>
              <w:jc w:val="center"/>
              <w:rPr>
                <w:rFonts w:ascii="Times New Roman" w:hAnsi="Times New Roman"/>
                <w:sz w:val="24"/>
              </w:rPr>
            </w:pPr>
            <w:r>
              <w:rPr>
                <w:rFonts w:ascii="Times New Roman" w:hAnsi="Times New Roman"/>
                <w:sz w:val="24"/>
              </w:rPr>
              <w:t>30 км до г. Артемовский; нерегулярное сообщение</w:t>
            </w:r>
          </w:p>
        </w:tc>
        <w:tc>
          <w:tcPr>
            <w:tcW w:type="dxa" w:w="2385"/>
            <w:vAlign w:val="center"/>
          </w:tcPr>
          <w:p w14:paraId="78010000">
            <w:pPr>
              <w:ind/>
              <w:jc w:val="center"/>
              <w:rPr>
                <w:rFonts w:ascii="Times New Roman" w:hAnsi="Times New Roman"/>
                <w:sz w:val="24"/>
              </w:rPr>
            </w:pPr>
            <w:r>
              <w:rPr>
                <w:rFonts w:ascii="Times New Roman" w:hAnsi="Times New Roman"/>
                <w:sz w:val="24"/>
              </w:rPr>
              <w:t>Отсутствие инвестиций в транспортную сеть; низкая рентабельность маршрута</w:t>
            </w:r>
          </w:p>
        </w:tc>
        <w:tc>
          <w:tcPr>
            <w:tcW w:type="dxa" w:w="2590"/>
            <w:vAlign w:val="center"/>
          </w:tcPr>
          <w:p w14:paraId="79010000">
            <w:pPr>
              <w:ind/>
              <w:jc w:val="center"/>
              <w:rPr>
                <w:rFonts w:ascii="Times New Roman" w:hAnsi="Times New Roman"/>
                <w:sz w:val="24"/>
              </w:rPr>
            </w:pPr>
            <w:r>
              <w:rPr>
                <w:rFonts w:ascii="Times New Roman" w:hAnsi="Times New Roman"/>
                <w:sz w:val="24"/>
              </w:rPr>
              <w:t>Невозможность физически получить услугу; неоправданные транспортные расходы</w:t>
            </w:r>
          </w:p>
        </w:tc>
      </w:tr>
      <w:tr>
        <w:tc>
          <w:tcPr>
            <w:tcW w:type="dxa" w:w="2154"/>
            <w:vAlign w:val="center"/>
          </w:tcPr>
          <w:p w14:paraId="7A010000">
            <w:pPr>
              <w:ind/>
              <w:jc w:val="center"/>
              <w:rPr>
                <w:rFonts w:ascii="Times New Roman" w:hAnsi="Times New Roman"/>
                <w:sz w:val="24"/>
              </w:rPr>
            </w:pPr>
            <w:r>
              <w:rPr>
                <w:rFonts w:ascii="Times New Roman" w:hAnsi="Times New Roman"/>
                <w:sz w:val="24"/>
              </w:rPr>
              <w:t>Неформальная межведомственная координация</w:t>
            </w:r>
          </w:p>
        </w:tc>
        <w:tc>
          <w:tcPr>
            <w:tcW w:type="dxa" w:w="2226"/>
            <w:vAlign w:val="center"/>
          </w:tcPr>
          <w:p w14:paraId="7B010000">
            <w:pPr>
              <w:ind/>
              <w:jc w:val="center"/>
              <w:rPr>
                <w:rFonts w:ascii="Times New Roman" w:hAnsi="Times New Roman"/>
                <w:sz w:val="24"/>
              </w:rPr>
            </w:pPr>
            <w:r>
              <w:rPr>
                <w:rFonts w:ascii="Times New Roman" w:hAnsi="Times New Roman"/>
                <w:sz w:val="24"/>
              </w:rPr>
              <w:t>Нет официальных регламентов взаимодействия ОВП–КЦСОН–ТУ</w:t>
            </w:r>
          </w:p>
        </w:tc>
        <w:tc>
          <w:tcPr>
            <w:tcW w:type="dxa" w:w="2385"/>
            <w:vAlign w:val="center"/>
          </w:tcPr>
          <w:p w14:paraId="7C010000">
            <w:pPr>
              <w:ind/>
              <w:jc w:val="center"/>
              <w:rPr>
                <w:rFonts w:ascii="Times New Roman" w:hAnsi="Times New Roman"/>
                <w:sz w:val="24"/>
              </w:rPr>
            </w:pPr>
            <w:r>
              <w:rPr>
                <w:rFonts w:ascii="Times New Roman" w:hAnsi="Times New Roman"/>
                <w:sz w:val="24"/>
              </w:rPr>
              <w:t>Административная инерция; отсутствие местной регуляторной инициативы</w:t>
            </w:r>
          </w:p>
        </w:tc>
        <w:tc>
          <w:tcPr>
            <w:tcW w:type="dxa" w:w="2590"/>
            <w:vAlign w:val="center"/>
          </w:tcPr>
          <w:p w14:paraId="7D010000">
            <w:pPr>
              <w:ind/>
              <w:jc w:val="center"/>
              <w:rPr>
                <w:rFonts w:ascii="Times New Roman" w:hAnsi="Times New Roman"/>
                <w:sz w:val="24"/>
              </w:rPr>
            </w:pPr>
            <w:r>
              <w:rPr>
                <w:rFonts w:ascii="Times New Roman" w:hAnsi="Times New Roman"/>
                <w:sz w:val="24"/>
              </w:rPr>
              <w:t>Запоздалое выявление нуждающихся; дублирование/пробелы в помощи</w:t>
            </w:r>
          </w:p>
        </w:tc>
      </w:tr>
      <w:tr>
        <w:tc>
          <w:tcPr>
            <w:tcW w:type="dxa" w:w="2154"/>
            <w:vAlign w:val="center"/>
          </w:tcPr>
          <w:p w14:paraId="7E010000">
            <w:pPr>
              <w:ind/>
              <w:jc w:val="center"/>
              <w:rPr>
                <w:rFonts w:ascii="Times New Roman" w:hAnsi="Times New Roman"/>
                <w:sz w:val="24"/>
              </w:rPr>
            </w:pPr>
            <w:r>
              <w:rPr>
                <w:rFonts w:ascii="Times New Roman" w:hAnsi="Times New Roman"/>
                <w:sz w:val="24"/>
              </w:rPr>
              <w:t>Неадекватный размер ряда выплат</w:t>
            </w:r>
          </w:p>
        </w:tc>
        <w:tc>
          <w:tcPr>
            <w:tcW w:type="dxa" w:w="2226"/>
            <w:vAlign w:val="center"/>
          </w:tcPr>
          <w:p w14:paraId="7F010000">
            <w:pPr>
              <w:ind/>
              <w:jc w:val="center"/>
              <w:rPr>
                <w:rFonts w:ascii="Times New Roman" w:hAnsi="Times New Roman"/>
                <w:sz w:val="24"/>
              </w:rPr>
            </w:pPr>
            <w:r>
              <w:rPr>
                <w:rFonts w:ascii="Times New Roman" w:hAnsi="Times New Roman"/>
                <w:sz w:val="24"/>
              </w:rPr>
              <w:t xml:space="preserve">ЕДВ II гр. = 16,7% ПМ </w:t>
            </w:r>
            <w:r>
              <w:rPr>
                <w:rFonts w:ascii="Times New Roman" w:hAnsi="Times New Roman"/>
                <w:sz w:val="24"/>
              </w:rPr>
              <w:t>трудоспос</w:t>
            </w:r>
            <w:r>
              <w:rPr>
                <w:rFonts w:ascii="Times New Roman" w:hAnsi="Times New Roman"/>
                <w:sz w:val="24"/>
              </w:rPr>
              <w:t>. нас.</w:t>
            </w:r>
          </w:p>
        </w:tc>
        <w:tc>
          <w:tcPr>
            <w:tcW w:type="dxa" w:w="2385"/>
            <w:vAlign w:val="center"/>
          </w:tcPr>
          <w:p w14:paraId="80010000">
            <w:pPr>
              <w:ind/>
              <w:jc w:val="center"/>
              <w:rPr>
                <w:rFonts w:ascii="Times New Roman" w:hAnsi="Times New Roman"/>
                <w:sz w:val="24"/>
              </w:rPr>
            </w:pPr>
            <w:r>
              <w:rPr>
                <w:rFonts w:ascii="Times New Roman" w:hAnsi="Times New Roman"/>
                <w:sz w:val="24"/>
              </w:rPr>
              <w:t>Законодательные ограничения; приоритет охвата над адекватностью</w:t>
            </w:r>
          </w:p>
        </w:tc>
        <w:tc>
          <w:tcPr>
            <w:tcW w:type="dxa" w:w="2590"/>
            <w:vAlign w:val="center"/>
          </w:tcPr>
          <w:p w14:paraId="81010000">
            <w:pPr>
              <w:ind/>
              <w:jc w:val="center"/>
              <w:rPr>
                <w:rFonts w:ascii="Times New Roman" w:hAnsi="Times New Roman"/>
                <w:sz w:val="24"/>
              </w:rPr>
            </w:pPr>
            <w:r>
              <w:rPr>
                <w:rFonts w:ascii="Times New Roman" w:hAnsi="Times New Roman"/>
                <w:sz w:val="24"/>
              </w:rPr>
              <w:t>Недопокрытие</w:t>
            </w:r>
            <w:r>
              <w:rPr>
                <w:rFonts w:ascii="Times New Roman" w:hAnsi="Times New Roman"/>
                <w:sz w:val="24"/>
              </w:rPr>
              <w:t xml:space="preserve"> реальных нужд инвалидов; риск крайней бедности</w:t>
            </w:r>
          </w:p>
        </w:tc>
      </w:tr>
      <w:tr>
        <w:tc>
          <w:tcPr>
            <w:tcW w:type="dxa" w:w="2154"/>
            <w:vAlign w:val="center"/>
          </w:tcPr>
          <w:p w14:paraId="82010000">
            <w:pPr>
              <w:ind/>
              <w:jc w:val="center"/>
              <w:rPr>
                <w:rFonts w:ascii="Times New Roman" w:hAnsi="Times New Roman"/>
                <w:sz w:val="24"/>
              </w:rPr>
            </w:pPr>
            <w:r>
              <w:rPr>
                <w:rFonts w:ascii="Times New Roman" w:hAnsi="Times New Roman"/>
                <w:sz w:val="24"/>
              </w:rPr>
              <w:t>Барьеры назначения единого пособия</w:t>
            </w:r>
          </w:p>
        </w:tc>
        <w:tc>
          <w:tcPr>
            <w:tcW w:type="dxa" w:w="2226"/>
            <w:vAlign w:val="center"/>
          </w:tcPr>
          <w:p w14:paraId="83010000">
            <w:pPr>
              <w:ind/>
              <w:jc w:val="center"/>
              <w:rPr>
                <w:rFonts w:ascii="Times New Roman" w:hAnsi="Times New Roman"/>
                <w:sz w:val="24"/>
              </w:rPr>
            </w:pPr>
            <w:r>
              <w:rPr>
                <w:rFonts w:ascii="Times New Roman" w:hAnsi="Times New Roman"/>
                <w:sz w:val="24"/>
              </w:rPr>
              <w:t>Отказы из-за ЛПХ, нарушения «нулевой занятости» и пр.</w:t>
            </w:r>
          </w:p>
        </w:tc>
        <w:tc>
          <w:tcPr>
            <w:tcW w:type="dxa" w:w="2385"/>
            <w:vAlign w:val="center"/>
          </w:tcPr>
          <w:p w14:paraId="84010000">
            <w:pPr>
              <w:ind/>
              <w:jc w:val="center"/>
              <w:rPr>
                <w:rFonts w:ascii="Times New Roman" w:hAnsi="Times New Roman"/>
                <w:sz w:val="24"/>
              </w:rPr>
            </w:pPr>
            <w:r>
              <w:rPr>
                <w:rFonts w:ascii="Times New Roman" w:hAnsi="Times New Roman"/>
                <w:sz w:val="24"/>
              </w:rPr>
              <w:t>Жёсткий имущественный ценз; методика расчёта не учитывает специфику сельской местности</w:t>
            </w:r>
          </w:p>
        </w:tc>
        <w:tc>
          <w:tcPr>
            <w:tcW w:type="dxa" w:w="2590"/>
            <w:vAlign w:val="center"/>
          </w:tcPr>
          <w:p w14:paraId="85010000">
            <w:pPr>
              <w:ind/>
              <w:jc w:val="center"/>
              <w:rPr>
                <w:rFonts w:ascii="Times New Roman" w:hAnsi="Times New Roman"/>
                <w:sz w:val="24"/>
              </w:rPr>
            </w:pPr>
            <w:r>
              <w:rPr>
                <w:rFonts w:ascii="Times New Roman" w:hAnsi="Times New Roman"/>
                <w:sz w:val="24"/>
              </w:rPr>
              <w:t>Недоохват</w:t>
            </w:r>
            <w:r>
              <w:rPr>
                <w:rFonts w:ascii="Times New Roman" w:hAnsi="Times New Roman"/>
                <w:sz w:val="24"/>
              </w:rPr>
              <w:t xml:space="preserve"> реально нуждающихся семей с детьми</w:t>
            </w:r>
          </w:p>
        </w:tc>
      </w:tr>
      <w:tr>
        <w:tc>
          <w:tcPr>
            <w:tcW w:type="dxa" w:w="2154"/>
            <w:vAlign w:val="center"/>
          </w:tcPr>
          <w:p w14:paraId="86010000">
            <w:pPr>
              <w:ind/>
              <w:jc w:val="center"/>
              <w:rPr>
                <w:rFonts w:ascii="Times New Roman" w:hAnsi="Times New Roman"/>
                <w:sz w:val="24"/>
              </w:rPr>
            </w:pPr>
            <w:r>
              <w:rPr>
                <w:rFonts w:ascii="Times New Roman" w:hAnsi="Times New Roman"/>
                <w:sz w:val="24"/>
              </w:rPr>
              <w:t>Неполная реализация СДУ</w:t>
            </w:r>
          </w:p>
        </w:tc>
        <w:tc>
          <w:tcPr>
            <w:tcW w:type="dxa" w:w="2226"/>
            <w:vAlign w:val="center"/>
          </w:tcPr>
          <w:p w14:paraId="87010000">
            <w:pPr>
              <w:ind/>
              <w:jc w:val="center"/>
              <w:rPr>
                <w:rFonts w:ascii="Times New Roman" w:hAnsi="Times New Roman"/>
                <w:sz w:val="24"/>
              </w:rPr>
            </w:pPr>
            <w:r>
              <w:rPr>
                <w:rFonts w:ascii="Times New Roman" w:hAnsi="Times New Roman"/>
                <w:sz w:val="24"/>
              </w:rPr>
              <w:t>Нет пункта проката ТСР и «школы ухода» в посёлке</w:t>
            </w:r>
          </w:p>
        </w:tc>
        <w:tc>
          <w:tcPr>
            <w:tcW w:type="dxa" w:w="2385"/>
            <w:vAlign w:val="center"/>
          </w:tcPr>
          <w:p w14:paraId="88010000">
            <w:pPr>
              <w:ind/>
              <w:jc w:val="center"/>
              <w:rPr>
                <w:rFonts w:ascii="Times New Roman" w:hAnsi="Times New Roman"/>
                <w:sz w:val="24"/>
              </w:rPr>
            </w:pPr>
            <w:r>
              <w:rPr>
                <w:rFonts w:ascii="Times New Roman" w:hAnsi="Times New Roman"/>
                <w:sz w:val="24"/>
              </w:rPr>
              <w:t>Централизация ресурсов КЦСОН в г. Артемовский</w:t>
            </w:r>
          </w:p>
        </w:tc>
        <w:tc>
          <w:tcPr>
            <w:tcW w:type="dxa" w:w="2590"/>
            <w:vAlign w:val="center"/>
          </w:tcPr>
          <w:p w14:paraId="89010000">
            <w:pPr>
              <w:ind/>
              <w:jc w:val="center"/>
              <w:rPr>
                <w:rFonts w:ascii="Times New Roman" w:hAnsi="Times New Roman"/>
                <w:sz w:val="24"/>
              </w:rPr>
            </w:pPr>
            <w:r>
              <w:rPr>
                <w:rFonts w:ascii="Times New Roman" w:hAnsi="Times New Roman"/>
                <w:sz w:val="24"/>
              </w:rPr>
              <w:t>Нормативный объём ухода (28 ч./</w:t>
            </w:r>
            <w:r>
              <w:rPr>
                <w:rFonts w:ascii="Times New Roman" w:hAnsi="Times New Roman"/>
                <w:sz w:val="24"/>
              </w:rPr>
              <w:t>нед</w:t>
            </w:r>
            <w:r>
              <w:rPr>
                <w:rFonts w:ascii="Times New Roman" w:hAnsi="Times New Roman"/>
                <w:sz w:val="24"/>
              </w:rPr>
              <w:t>.) недостижим для тяжёлых случаев в посёлке</w:t>
            </w:r>
          </w:p>
        </w:tc>
      </w:tr>
      <w:tr>
        <w:tc>
          <w:tcPr>
            <w:tcW w:type="dxa" w:w="2154"/>
            <w:vAlign w:val="center"/>
          </w:tcPr>
          <w:p w14:paraId="8A010000">
            <w:pPr>
              <w:ind/>
              <w:jc w:val="center"/>
              <w:rPr>
                <w:rFonts w:ascii="Times New Roman" w:hAnsi="Times New Roman"/>
                <w:sz w:val="24"/>
              </w:rPr>
            </w:pPr>
            <w:r>
              <w:rPr>
                <w:rFonts w:ascii="Times New Roman" w:hAnsi="Times New Roman"/>
                <w:sz w:val="24"/>
              </w:rPr>
              <w:t xml:space="preserve">Низкий охват </w:t>
            </w:r>
            <w:r>
              <w:rPr>
                <w:rFonts w:ascii="Times New Roman" w:hAnsi="Times New Roman"/>
                <w:sz w:val="24"/>
              </w:rPr>
              <w:t>соцконтрактами</w:t>
            </w:r>
          </w:p>
        </w:tc>
        <w:tc>
          <w:tcPr>
            <w:tcW w:type="dxa" w:w="2226"/>
            <w:vAlign w:val="center"/>
          </w:tcPr>
          <w:p w14:paraId="8B010000">
            <w:pPr>
              <w:ind/>
              <w:jc w:val="center"/>
              <w:rPr>
                <w:rFonts w:ascii="Times New Roman" w:hAnsi="Times New Roman"/>
                <w:sz w:val="24"/>
              </w:rPr>
            </w:pPr>
            <w:r>
              <w:rPr>
                <w:rFonts w:ascii="Times New Roman" w:hAnsi="Times New Roman"/>
                <w:sz w:val="24"/>
              </w:rPr>
              <w:t>Оценочно менее 30–40% потенциальной целевой группы</w:t>
            </w:r>
          </w:p>
        </w:tc>
        <w:tc>
          <w:tcPr>
            <w:tcW w:type="dxa" w:w="2385"/>
            <w:vAlign w:val="center"/>
          </w:tcPr>
          <w:p w14:paraId="8C010000">
            <w:pPr>
              <w:ind/>
              <w:jc w:val="center"/>
              <w:rPr>
                <w:rFonts w:ascii="Times New Roman" w:hAnsi="Times New Roman"/>
                <w:sz w:val="24"/>
              </w:rPr>
            </w:pPr>
            <w:r>
              <w:rPr>
                <w:rFonts w:ascii="Times New Roman" w:hAnsi="Times New Roman"/>
                <w:sz w:val="24"/>
              </w:rPr>
              <w:t>Недостаточное информирование; сложность документооборота</w:t>
            </w:r>
          </w:p>
        </w:tc>
        <w:tc>
          <w:tcPr>
            <w:tcW w:type="dxa" w:w="2590"/>
            <w:vAlign w:val="center"/>
          </w:tcPr>
          <w:p w14:paraId="8D010000">
            <w:pPr>
              <w:ind/>
              <w:jc w:val="center"/>
              <w:rPr>
                <w:rFonts w:ascii="Times New Roman" w:hAnsi="Times New Roman"/>
                <w:sz w:val="24"/>
              </w:rPr>
            </w:pPr>
            <w:r>
              <w:rPr>
                <w:rFonts w:ascii="Times New Roman" w:hAnsi="Times New Roman"/>
                <w:sz w:val="24"/>
              </w:rPr>
              <w:t>Упущенные возможности выхода из бедности для 50–80 семей/год</w:t>
            </w:r>
          </w:p>
        </w:tc>
      </w:tr>
      <w:tr>
        <w:tc>
          <w:tcPr>
            <w:tcW w:type="dxa" w:w="9355"/>
            <w:gridSpan w:val="4"/>
            <w:tcBorders>
              <w:top w:sz="4" w:val="nil"/>
              <w:left w:sz="4" w:val="nil"/>
              <w:right w:sz="4" w:val="nil"/>
            </w:tcBorders>
            <w:vAlign w:val="center"/>
          </w:tcPr>
          <w:p w14:paraId="8E010000">
            <w:pPr>
              <w:spacing w:line="360" w:lineRule="auto"/>
              <w:ind/>
              <w:jc w:val="right"/>
              <w:rPr>
                <w:rFonts w:ascii="Times New Roman" w:hAnsi="Times New Roman"/>
                <w:sz w:val="28"/>
              </w:rPr>
            </w:pPr>
            <w:r>
              <w:rPr>
                <w:rFonts w:ascii="Times New Roman" w:hAnsi="Times New Roman"/>
                <w:sz w:val="28"/>
              </w:rPr>
              <w:t>Продолжение таблицы 2.5</w:t>
            </w:r>
          </w:p>
        </w:tc>
      </w:tr>
      <w:tr>
        <w:tc>
          <w:tcPr>
            <w:tcW w:type="dxa" w:w="2154"/>
            <w:vAlign w:val="center"/>
          </w:tcPr>
          <w:p w14:paraId="8F010000">
            <w:pPr>
              <w:ind/>
              <w:jc w:val="center"/>
              <w:rPr>
                <w:rFonts w:ascii="Times New Roman" w:hAnsi="Times New Roman"/>
                <w:sz w:val="24"/>
              </w:rPr>
            </w:pPr>
            <w:r>
              <w:rPr>
                <w:rFonts w:ascii="Times New Roman" w:hAnsi="Times New Roman"/>
                <w:sz w:val="24"/>
              </w:rPr>
              <w:t>Правозащитный риск в ПНИ</w:t>
            </w:r>
          </w:p>
        </w:tc>
        <w:tc>
          <w:tcPr>
            <w:tcW w:type="dxa" w:w="2226"/>
            <w:vAlign w:val="center"/>
          </w:tcPr>
          <w:p w14:paraId="90010000">
            <w:pPr>
              <w:ind/>
              <w:jc w:val="center"/>
              <w:rPr>
                <w:rFonts w:ascii="Times New Roman" w:hAnsi="Times New Roman"/>
                <w:sz w:val="24"/>
              </w:rPr>
            </w:pPr>
            <w:r>
              <w:rPr>
                <w:rFonts w:ascii="Times New Roman" w:hAnsi="Times New Roman"/>
                <w:sz w:val="24"/>
              </w:rPr>
              <w:t>Нет независимого правозащитного механизма на уровне посёлка</w:t>
            </w:r>
          </w:p>
        </w:tc>
        <w:tc>
          <w:tcPr>
            <w:tcW w:type="dxa" w:w="2385"/>
            <w:vAlign w:val="center"/>
          </w:tcPr>
          <w:p w14:paraId="91010000">
            <w:pPr>
              <w:ind/>
              <w:jc w:val="center"/>
              <w:rPr>
                <w:rFonts w:ascii="Times New Roman" w:hAnsi="Times New Roman"/>
                <w:sz w:val="24"/>
              </w:rPr>
            </w:pPr>
            <w:r>
              <w:rPr>
                <w:rFonts w:ascii="Times New Roman" w:hAnsi="Times New Roman"/>
                <w:sz w:val="24"/>
              </w:rPr>
              <w:t>Изолированность учреждения; ограниченный внешний контроль</w:t>
            </w:r>
          </w:p>
        </w:tc>
        <w:tc>
          <w:tcPr>
            <w:tcW w:type="dxa" w:w="2590"/>
            <w:vAlign w:val="center"/>
          </w:tcPr>
          <w:p w14:paraId="92010000">
            <w:pPr>
              <w:ind/>
              <w:jc w:val="center"/>
              <w:rPr>
                <w:rFonts w:ascii="Times New Roman" w:hAnsi="Times New Roman"/>
                <w:sz w:val="24"/>
              </w:rPr>
            </w:pPr>
            <w:r>
              <w:rPr>
                <w:rFonts w:ascii="Times New Roman" w:hAnsi="Times New Roman"/>
                <w:sz w:val="24"/>
              </w:rPr>
              <w:t>Риск нарушения прав проживающих; ненадлежащее распоряжение пенсиями</w:t>
            </w:r>
          </w:p>
        </w:tc>
      </w:tr>
      <w:tr>
        <w:tc>
          <w:tcPr>
            <w:tcW w:type="dxa" w:w="2154"/>
            <w:vAlign w:val="center"/>
          </w:tcPr>
          <w:p w14:paraId="93010000">
            <w:pPr>
              <w:ind/>
              <w:jc w:val="center"/>
              <w:rPr>
                <w:rFonts w:ascii="Times New Roman" w:hAnsi="Times New Roman"/>
                <w:sz w:val="24"/>
              </w:rPr>
            </w:pPr>
            <w:r>
              <w:rPr>
                <w:rFonts w:ascii="Times New Roman" w:hAnsi="Times New Roman"/>
                <w:sz w:val="24"/>
              </w:rPr>
              <w:t>Цифровое неравенство пожилых</w:t>
            </w:r>
          </w:p>
        </w:tc>
        <w:tc>
          <w:tcPr>
            <w:tcW w:type="dxa" w:w="2226"/>
            <w:vAlign w:val="center"/>
          </w:tcPr>
          <w:p w14:paraId="94010000">
            <w:pPr>
              <w:ind/>
              <w:jc w:val="center"/>
              <w:rPr>
                <w:rFonts w:ascii="Times New Roman" w:hAnsi="Times New Roman"/>
                <w:sz w:val="24"/>
              </w:rPr>
            </w:pPr>
            <w:r>
              <w:rPr>
                <w:rFonts w:ascii="Times New Roman" w:hAnsi="Times New Roman"/>
                <w:sz w:val="24"/>
              </w:rPr>
              <w:t xml:space="preserve">55–60% выплат </w:t>
            </w:r>
            <w:r>
              <w:rPr>
                <w:rFonts w:ascii="Times New Roman" w:hAnsi="Times New Roman"/>
                <w:sz w:val="24"/>
              </w:rPr>
              <w:t>–</w:t>
            </w:r>
            <w:r>
              <w:rPr>
                <w:rFonts w:ascii="Times New Roman" w:hAnsi="Times New Roman"/>
                <w:sz w:val="24"/>
              </w:rPr>
              <w:t xml:space="preserve"> заявительный режим, требующий онлайн-доступа</w:t>
            </w:r>
          </w:p>
        </w:tc>
        <w:tc>
          <w:tcPr>
            <w:tcW w:type="dxa" w:w="2385"/>
            <w:vAlign w:val="center"/>
          </w:tcPr>
          <w:p w14:paraId="95010000">
            <w:pPr>
              <w:ind/>
              <w:jc w:val="center"/>
              <w:rPr>
                <w:rFonts w:ascii="Times New Roman" w:hAnsi="Times New Roman"/>
                <w:sz w:val="24"/>
              </w:rPr>
            </w:pPr>
            <w:r>
              <w:rPr>
                <w:rFonts w:ascii="Times New Roman" w:hAnsi="Times New Roman"/>
                <w:sz w:val="24"/>
              </w:rPr>
              <w:t>Низкая цифровая грамотность 70+; отсутствие технических средств</w:t>
            </w:r>
          </w:p>
        </w:tc>
        <w:tc>
          <w:tcPr>
            <w:tcW w:type="dxa" w:w="2590"/>
            <w:vAlign w:val="center"/>
          </w:tcPr>
          <w:p w14:paraId="96010000">
            <w:pPr>
              <w:ind/>
              <w:jc w:val="center"/>
              <w:rPr>
                <w:rFonts w:ascii="Times New Roman" w:hAnsi="Times New Roman"/>
                <w:sz w:val="24"/>
              </w:rPr>
            </w:pPr>
            <w:r>
              <w:rPr>
                <w:rFonts w:ascii="Times New Roman" w:hAnsi="Times New Roman"/>
                <w:sz w:val="24"/>
              </w:rPr>
              <w:t>Недополучение мер поддержки гражданами старшей возрастной группы</w:t>
            </w:r>
          </w:p>
        </w:tc>
      </w:tr>
      <w:tr>
        <w:tc>
          <w:tcPr>
            <w:tcW w:type="dxa" w:w="2154"/>
            <w:vAlign w:val="center"/>
          </w:tcPr>
          <w:p w14:paraId="97010000">
            <w:pPr>
              <w:ind/>
              <w:jc w:val="center"/>
              <w:rPr>
                <w:rFonts w:ascii="Times New Roman" w:hAnsi="Times New Roman"/>
                <w:sz w:val="24"/>
              </w:rPr>
            </w:pPr>
            <w:r>
              <w:rPr>
                <w:rFonts w:ascii="Times New Roman" w:hAnsi="Times New Roman"/>
                <w:sz w:val="24"/>
              </w:rPr>
              <w:t>Слабая программа реабилитации молодых инвалидов</w:t>
            </w:r>
          </w:p>
        </w:tc>
        <w:tc>
          <w:tcPr>
            <w:tcW w:type="dxa" w:w="2226"/>
            <w:vAlign w:val="center"/>
          </w:tcPr>
          <w:p w14:paraId="98010000">
            <w:pPr>
              <w:ind/>
              <w:jc w:val="center"/>
              <w:rPr>
                <w:rFonts w:ascii="Times New Roman" w:hAnsi="Times New Roman"/>
                <w:sz w:val="24"/>
              </w:rPr>
            </w:pPr>
            <w:r>
              <w:rPr>
                <w:rFonts w:ascii="Times New Roman" w:hAnsi="Times New Roman"/>
                <w:sz w:val="24"/>
              </w:rPr>
              <w:t>Нет реабилитационного центра или дневного стационара в посёлке</w:t>
            </w:r>
          </w:p>
        </w:tc>
        <w:tc>
          <w:tcPr>
            <w:tcW w:type="dxa" w:w="2385"/>
            <w:vAlign w:val="center"/>
          </w:tcPr>
          <w:p w14:paraId="99010000">
            <w:pPr>
              <w:ind/>
              <w:jc w:val="center"/>
              <w:rPr>
                <w:rFonts w:ascii="Times New Roman" w:hAnsi="Times New Roman"/>
                <w:sz w:val="24"/>
              </w:rPr>
            </w:pPr>
            <w:r>
              <w:rPr>
                <w:rFonts w:ascii="Times New Roman" w:hAnsi="Times New Roman"/>
                <w:sz w:val="24"/>
              </w:rPr>
              <w:t>Централизация специализированных услуг; низкая плотность населения</w:t>
            </w:r>
          </w:p>
        </w:tc>
        <w:tc>
          <w:tcPr>
            <w:tcW w:type="dxa" w:w="2590"/>
            <w:vAlign w:val="center"/>
          </w:tcPr>
          <w:p w14:paraId="9A010000">
            <w:pPr>
              <w:ind/>
              <w:jc w:val="center"/>
              <w:rPr>
                <w:rFonts w:ascii="Times New Roman" w:hAnsi="Times New Roman"/>
                <w:sz w:val="24"/>
              </w:rPr>
            </w:pPr>
            <w:r>
              <w:rPr>
                <w:rFonts w:ascii="Times New Roman" w:hAnsi="Times New Roman"/>
                <w:sz w:val="24"/>
              </w:rPr>
              <w:t>Утрата трудового потенциала; высокая зависимость от системы соцобеспечения</w:t>
            </w:r>
          </w:p>
        </w:tc>
      </w:tr>
    </w:tbl>
    <w:p w14:paraId="9B010000">
      <w:pPr>
        <w:spacing w:after="0" w:line="360" w:lineRule="auto"/>
        <w:ind w:firstLine="709" w:left="0"/>
        <w:jc w:val="both"/>
        <w:rPr>
          <w:rFonts w:ascii="Times New Roman" w:hAnsi="Times New Roman"/>
          <w:sz w:val="28"/>
        </w:rPr>
      </w:pPr>
    </w:p>
    <w:p w14:paraId="9C010000">
      <w:pPr>
        <w:spacing w:after="0" w:line="360" w:lineRule="auto"/>
        <w:ind w:firstLine="709" w:left="0"/>
        <w:jc w:val="both"/>
        <w:rPr>
          <w:rFonts w:ascii="Times New Roman" w:hAnsi="Times New Roman"/>
          <w:sz w:val="28"/>
        </w:rPr>
      </w:pPr>
      <w:r>
        <w:rPr>
          <w:rFonts w:ascii="Times New Roman" w:hAnsi="Times New Roman"/>
          <w:sz w:val="28"/>
        </w:rPr>
        <w:t xml:space="preserve">Подводя итог оценке эффективности системы социальной защиты в посёлке Красногвардейский, можно констатировать следующее. Система имеет прочную нормативную и финансовую основу федерального уровня: базовые категории получателей (инвалиды, семьи с детьми, пожилые, малоимущие) охвачены мерами поддержки. Вместе с тем территориальная специфика посёлка </w:t>
      </w:r>
      <w:r>
        <w:rPr>
          <w:rFonts w:ascii="Times New Roman" w:hAnsi="Times New Roman"/>
          <w:sz w:val="28"/>
        </w:rPr>
        <w:t>–</w:t>
      </w:r>
      <w:r>
        <w:rPr>
          <w:rFonts w:ascii="Times New Roman" w:hAnsi="Times New Roman"/>
          <w:sz w:val="28"/>
        </w:rPr>
        <w:t xml:space="preserve"> удалённость, малая численность населения, наличие ПНИ как доминирующего учреждения, ограниченный штат ТУ </w:t>
      </w:r>
      <w:r>
        <w:rPr>
          <w:rFonts w:ascii="Times New Roman" w:hAnsi="Times New Roman"/>
          <w:sz w:val="28"/>
        </w:rPr>
        <w:t>–</w:t>
      </w:r>
      <w:r>
        <w:rPr>
          <w:rFonts w:ascii="Times New Roman" w:hAnsi="Times New Roman"/>
          <w:sz w:val="28"/>
        </w:rPr>
        <w:t xml:space="preserve"> создаёт систематические разрывы между правовым обеспечением мер поддержки и их фактической доступностью для граждан. Наиболее острыми остаются три проблемы: транспортная недоступность услуг, кадровый дефицит ТУ и неформальность межведомственного взаимодействия. Именно на устранение этих трёх системных дефектов должны быть направлены приоритетные мероприятия третьей главы.</w:t>
      </w:r>
    </w:p>
    <w:p w14:paraId="9D010000">
      <w:pPr>
        <w:spacing w:after="0" w:line="360" w:lineRule="auto"/>
        <w:ind w:firstLine="709" w:left="0"/>
        <w:jc w:val="both"/>
        <w:rPr>
          <w:rFonts w:ascii="Times New Roman" w:hAnsi="Times New Roman"/>
          <w:sz w:val="28"/>
        </w:rPr>
      </w:pPr>
      <w:r>
        <w:rPr>
          <w:rFonts w:ascii="Times New Roman" w:hAnsi="Times New Roman"/>
          <w:sz w:val="28"/>
        </w:rPr>
        <w:t xml:space="preserve">Сравнительный анализ с региональными показателями подтверждает, что ситуация в посёлке Красногвардейский не является уникально неблагоприятной: по большинству параметров она воспроизводит типичные проблемы сельской местности Среднего Урала. Тем не менее присутствие ПНИ, особая нагрузка на социальную инфраструктуру посёлка со стороны проживающих учреждения, а также прогрессирующая убыль населения </w:t>
      </w:r>
      <w:r>
        <w:rPr>
          <w:rFonts w:ascii="Times New Roman" w:hAnsi="Times New Roman"/>
          <w:sz w:val="28"/>
        </w:rPr>
        <w:t xml:space="preserve">совокупно формируют несколько более сложную ситуацию, чем в среднем по сельским поселениям округа. Данный вывод подтверждается логикой демографических тенденций: при сохранении текущих темпов убыли населения (–0,6–1,8% в год по округу в целом, для посёлка </w:t>
      </w:r>
      <w:r>
        <w:rPr>
          <w:rFonts w:ascii="Times New Roman" w:hAnsi="Times New Roman"/>
          <w:sz w:val="28"/>
        </w:rPr>
        <w:t>–</w:t>
      </w:r>
      <w:r>
        <w:rPr>
          <w:rFonts w:ascii="Times New Roman" w:hAnsi="Times New Roman"/>
          <w:sz w:val="28"/>
        </w:rPr>
        <w:t xml:space="preserve"> предположительно схожий темп) через 10–15 лет число постоянных жителей посёлка может сократиться до 3 100–3 200 чел., что ещё в большей степени снизит рентабельность социальной инфраструктуры и повысит удельную стоимость обслуживания каждого получателя.</w:t>
      </w:r>
    </w:p>
    <w:sectPr>
      <w:headerReference r:id="rId1" w:type="default"/>
      <w:pgSz w:h="16838" w:orient="portrait" w:w="11906"/>
      <w:pgMar w:bottom="1134" w:footer="708" w:gutter="0" w:header="708" w:left="1701" w:right="850"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rPr>
        <w:rFonts w:ascii="Times New Roman" w:hAnsi="Times New Roman"/>
      </w:rPr>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4"/>
      </w:rPr>
    </w:rPrDefault>
    <w:pPrDefault>
      <w:pPr>
        <w:spacing w:after="16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basedOn w:val="Style_5"/>
    <w:next w:val="Style_5"/>
    <w:link w:val="Style_6_ch"/>
    <w:uiPriority w:val="39"/>
    <w:pPr>
      <w:spacing w:after="100"/>
      <w:ind w:firstLine="0" w:left="240"/>
    </w:pPr>
  </w:style>
  <w:style w:styleId="Style_6_ch" w:type="character">
    <w:name w:val="toc 2"/>
    <w:basedOn w:val="Style_5_ch"/>
    <w:link w:val="Style_6"/>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heading 7"/>
    <w:basedOn w:val="Style_5"/>
    <w:next w:val="Style_5"/>
    <w:link w:val="Style_8_ch"/>
    <w:uiPriority w:val="9"/>
    <w:qFormat/>
    <w:pPr>
      <w:keepNext w:val="1"/>
      <w:keepLines w:val="1"/>
      <w:spacing w:after="0" w:before="40"/>
      <w:ind/>
      <w:outlineLvl w:val="6"/>
    </w:pPr>
    <w:rPr>
      <w:color w:themeColor="text1" w:themeTint="A6" w:val="595959"/>
    </w:rPr>
  </w:style>
  <w:style w:styleId="Style_8_ch" w:type="character">
    <w:name w:val="heading 7"/>
    <w:basedOn w:val="Style_5_ch"/>
    <w:link w:val="Style_8"/>
    <w:rPr>
      <w:color w:themeColor="text1" w:themeTint="A6" w:val="595959"/>
    </w:rPr>
  </w:style>
  <w:style w:styleId="Style_9" w:type="paragraph">
    <w:name w:val="toc 6"/>
    <w:next w:val="Style_5"/>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5"/>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FollowedHyperlink"/>
    <w:basedOn w:val="Style_12"/>
    <w:link w:val="Style_11_ch"/>
    <w:rPr>
      <w:color w:themeColor="followedHyperlink" w:val="96607D"/>
      <w:u w:val="single"/>
    </w:rPr>
  </w:style>
  <w:style w:styleId="Style_11_ch" w:type="character">
    <w:name w:val="FollowedHyperlink"/>
    <w:basedOn w:val="Style_12_ch"/>
    <w:link w:val="Style_11"/>
    <w:rPr>
      <w:color w:themeColor="followedHyperlink" w:val="96607D"/>
      <w:u w:val="single"/>
    </w:rPr>
  </w:style>
  <w:style w:styleId="Style_13" w:type="paragraph">
    <w:name w:val="Intense Quote"/>
    <w:basedOn w:val="Style_5"/>
    <w:next w:val="Style_5"/>
    <w:link w:val="Style_13_ch"/>
    <w:pPr>
      <w:spacing w:after="360" w:before="360"/>
      <w:ind w:firstLine="0" w:left="864" w:right="864"/>
      <w:jc w:val="center"/>
    </w:pPr>
    <w:rPr>
      <w:i w:val="1"/>
      <w:color w:themeColor="accent1" w:themeShade="BF" w:val="104861"/>
    </w:rPr>
  </w:style>
  <w:style w:styleId="Style_13_ch" w:type="character">
    <w:name w:val="Intense Quote"/>
    <w:basedOn w:val="Style_5_ch"/>
    <w:link w:val="Style_13"/>
    <w:rPr>
      <w:i w:val="1"/>
      <w:color w:themeColor="accent1" w:themeShade="BF" w:val="104861"/>
    </w:rPr>
  </w:style>
  <w:style w:styleId="Style_14" w:type="paragraph">
    <w:name w:val="heading 3"/>
    <w:basedOn w:val="Style_5"/>
    <w:next w:val="Style_5"/>
    <w:link w:val="Style_14_ch"/>
    <w:uiPriority w:val="9"/>
    <w:qFormat/>
    <w:pPr>
      <w:keepNext w:val="1"/>
      <w:keepLines w:val="1"/>
      <w:spacing w:after="80" w:before="160"/>
      <w:ind/>
      <w:outlineLvl w:val="2"/>
    </w:pPr>
    <w:rPr>
      <w:color w:themeColor="accent1" w:themeShade="BF" w:val="104861"/>
      <w:sz w:val="28"/>
    </w:rPr>
  </w:style>
  <w:style w:styleId="Style_14_ch" w:type="character">
    <w:name w:val="heading 3"/>
    <w:basedOn w:val="Style_5_ch"/>
    <w:link w:val="Style_14"/>
    <w:rPr>
      <w:color w:themeColor="accent1" w:themeShade="BF" w:val="104861"/>
      <w:sz w:val="28"/>
    </w:rPr>
  </w:style>
  <w:style w:styleId="Style_15" w:type="paragraph">
    <w:name w:val="heading 9"/>
    <w:basedOn w:val="Style_5"/>
    <w:next w:val="Style_5"/>
    <w:link w:val="Style_15_ch"/>
    <w:uiPriority w:val="9"/>
    <w:qFormat/>
    <w:pPr>
      <w:keepNext w:val="1"/>
      <w:keepLines w:val="1"/>
      <w:spacing w:after="0"/>
      <w:ind/>
      <w:outlineLvl w:val="8"/>
    </w:pPr>
    <w:rPr>
      <w:color w:themeColor="text1" w:themeTint="D8" w:val="272727"/>
    </w:rPr>
  </w:style>
  <w:style w:styleId="Style_15_ch" w:type="character">
    <w:name w:val="heading 9"/>
    <w:basedOn w:val="Style_5_ch"/>
    <w:link w:val="Style_15"/>
    <w:rPr>
      <w:color w:themeColor="text1" w:themeTint="D8" w:val="272727"/>
    </w:rPr>
  </w:style>
  <w:style w:styleId="Style_16" w:type="paragraph">
    <w:name w:val="Quote"/>
    <w:basedOn w:val="Style_5"/>
    <w:next w:val="Style_5"/>
    <w:link w:val="Style_16_ch"/>
    <w:pPr>
      <w:spacing w:before="160"/>
      <w:ind/>
      <w:jc w:val="center"/>
    </w:pPr>
    <w:rPr>
      <w:i w:val="1"/>
      <w:color w:themeColor="text1" w:themeTint="BF" w:val="404040"/>
    </w:rPr>
  </w:style>
  <w:style w:styleId="Style_16_ch" w:type="character">
    <w:name w:val="Quote"/>
    <w:basedOn w:val="Style_5_ch"/>
    <w:link w:val="Style_16"/>
    <w:rPr>
      <w:i w:val="1"/>
      <w:color w:themeColor="text1" w:themeTint="BF" w:val="404040"/>
    </w:rPr>
  </w:style>
  <w:style w:styleId="Style_17" w:type="paragraph">
    <w:name w:val="List Paragraph"/>
    <w:basedOn w:val="Style_5"/>
    <w:link w:val="Style_17_ch"/>
    <w:pPr>
      <w:ind w:firstLine="0" w:left="720"/>
      <w:contextualSpacing w:val="1"/>
    </w:pPr>
  </w:style>
  <w:style w:styleId="Style_17_ch" w:type="character">
    <w:name w:val="List Paragraph"/>
    <w:basedOn w:val="Style_5_ch"/>
    <w:link w:val="Style_17"/>
  </w:style>
  <w:style w:styleId="Style_18" w:type="paragraph">
    <w:name w:val="toc 3"/>
    <w:next w:val="Style_5"/>
    <w:link w:val="Style_18_ch"/>
    <w:uiPriority w:val="39"/>
    <w:pPr>
      <w:ind w:firstLine="0" w:left="400"/>
      <w:jc w:val="left"/>
    </w:pPr>
    <w:rPr>
      <w:rFonts w:ascii="XO Thames" w:hAnsi="XO Thames"/>
      <w:sz w:val="28"/>
    </w:rPr>
  </w:style>
  <w:style w:styleId="Style_18_ch" w:type="character">
    <w:name w:val="toc 3"/>
    <w:link w:val="Style_18"/>
    <w:rPr>
      <w:rFonts w:ascii="XO Thames" w:hAnsi="XO Thames"/>
      <w:sz w:val="28"/>
    </w:rPr>
  </w:style>
  <w:style w:styleId="Style_19" w:type="paragraph">
    <w:name w:val="heading 5"/>
    <w:basedOn w:val="Style_5"/>
    <w:next w:val="Style_5"/>
    <w:link w:val="Style_19_ch"/>
    <w:uiPriority w:val="9"/>
    <w:qFormat/>
    <w:pPr>
      <w:keepNext w:val="1"/>
      <w:keepLines w:val="1"/>
      <w:spacing w:after="40" w:before="80"/>
      <w:ind/>
      <w:outlineLvl w:val="4"/>
    </w:pPr>
    <w:rPr>
      <w:color w:themeColor="accent1" w:themeShade="BF" w:val="104861"/>
    </w:rPr>
  </w:style>
  <w:style w:styleId="Style_19_ch" w:type="character">
    <w:name w:val="heading 5"/>
    <w:basedOn w:val="Style_5_ch"/>
    <w:link w:val="Style_19"/>
    <w:rPr>
      <w:color w:themeColor="accent1" w:themeShade="BF" w:val="104861"/>
    </w:rPr>
  </w:style>
  <w:style w:styleId="Style_2" w:type="paragraph">
    <w:name w:val="heading 1"/>
    <w:basedOn w:val="Style_5"/>
    <w:next w:val="Style_5"/>
    <w:link w:val="Style_2_ch"/>
    <w:uiPriority w:val="9"/>
    <w:qFormat/>
    <w:pPr>
      <w:keepNext w:val="1"/>
      <w:keepLines w:val="1"/>
      <w:spacing w:after="0" w:line="360" w:lineRule="auto"/>
      <w:ind/>
      <w:jc w:val="center"/>
      <w:outlineLvl w:val="0"/>
    </w:pPr>
    <w:rPr>
      <w:rFonts w:ascii="Times New Roman Полужирный" w:hAnsi="Times New Roman Полужирный"/>
      <w:b w:val="1"/>
      <w:caps w:val="1"/>
      <w:sz w:val="28"/>
    </w:rPr>
  </w:style>
  <w:style w:styleId="Style_2_ch" w:type="character">
    <w:name w:val="heading 1"/>
    <w:basedOn w:val="Style_5_ch"/>
    <w:link w:val="Style_2"/>
    <w:rPr>
      <w:rFonts w:ascii="Times New Roman Полужирный" w:hAnsi="Times New Roman Полужирный"/>
      <w:b w:val="1"/>
      <w:caps w:val="1"/>
      <w:sz w:val="28"/>
    </w:rPr>
  </w:style>
  <w:style w:styleId="Style_20" w:type="paragraph">
    <w:name w:val="Hyperlink"/>
    <w:basedOn w:val="Style_12"/>
    <w:link w:val="Style_20_ch"/>
    <w:rPr>
      <w:color w:themeColor="hyperlink" w:val="467886"/>
      <w:u w:val="single"/>
    </w:rPr>
  </w:style>
  <w:style w:styleId="Style_20_ch" w:type="character">
    <w:name w:val="Hyperlink"/>
    <w:basedOn w:val="Style_12_ch"/>
    <w:link w:val="Style_20"/>
    <w:rPr>
      <w:color w:themeColor="hyperlink" w:val="467886"/>
      <w:u w:val="single"/>
    </w:rPr>
  </w:style>
  <w:style w:styleId="Style_21" w:type="paragraph">
    <w:name w:val="Footnote"/>
    <w:basedOn w:val="Style_5"/>
    <w:link w:val="Style_21_ch"/>
    <w:pPr>
      <w:widowControl w:val="0"/>
      <w:spacing w:after="0" w:line="240" w:lineRule="auto"/>
      <w:ind/>
    </w:pPr>
    <w:rPr>
      <w:rFonts w:ascii="Times New Roman" w:hAnsi="Times New Roman"/>
      <w:sz w:val="20"/>
    </w:rPr>
  </w:style>
  <w:style w:styleId="Style_21_ch" w:type="character">
    <w:name w:val="Footnote"/>
    <w:basedOn w:val="Style_5_ch"/>
    <w:link w:val="Style_21"/>
    <w:rPr>
      <w:rFonts w:ascii="Times New Roman" w:hAnsi="Times New Roman"/>
      <w:sz w:val="20"/>
    </w:rPr>
  </w:style>
  <w:style w:styleId="Style_22" w:type="paragraph">
    <w:name w:val="heading 8"/>
    <w:basedOn w:val="Style_5"/>
    <w:next w:val="Style_5"/>
    <w:link w:val="Style_22_ch"/>
    <w:uiPriority w:val="9"/>
    <w:qFormat/>
    <w:pPr>
      <w:keepNext w:val="1"/>
      <w:keepLines w:val="1"/>
      <w:spacing w:after="0"/>
      <w:ind/>
      <w:outlineLvl w:val="7"/>
    </w:pPr>
    <w:rPr>
      <w:i w:val="1"/>
      <w:color w:themeColor="text1" w:themeTint="D8" w:val="272727"/>
    </w:rPr>
  </w:style>
  <w:style w:styleId="Style_22_ch" w:type="character">
    <w:name w:val="heading 8"/>
    <w:basedOn w:val="Style_5_ch"/>
    <w:link w:val="Style_22"/>
    <w:rPr>
      <w:i w:val="1"/>
      <w:color w:themeColor="text1" w:themeTint="D8" w:val="272727"/>
    </w:rPr>
  </w:style>
  <w:style w:styleId="Style_23" w:type="paragraph">
    <w:name w:val="toc 1"/>
    <w:basedOn w:val="Style_5"/>
    <w:next w:val="Style_5"/>
    <w:link w:val="Style_23_ch"/>
    <w:uiPriority w:val="39"/>
    <w:pPr>
      <w:tabs>
        <w:tab w:leader="dot" w:pos="9345" w:val="right"/>
      </w:tabs>
      <w:spacing w:after="0" w:line="360" w:lineRule="auto"/>
      <w:ind/>
      <w:jc w:val="both"/>
    </w:pPr>
    <w:rPr>
      <w:rFonts w:ascii="Times New Roman" w:hAnsi="Times New Roman"/>
      <w:caps w:val="1"/>
      <w:sz w:val="28"/>
    </w:rPr>
  </w:style>
  <w:style w:styleId="Style_23_ch" w:type="character">
    <w:name w:val="toc 1"/>
    <w:basedOn w:val="Style_5_ch"/>
    <w:link w:val="Style_23"/>
    <w:rPr>
      <w:rFonts w:ascii="Times New Roman" w:hAnsi="Times New Roman"/>
      <w:caps w:val="1"/>
      <w:sz w:val="28"/>
    </w:rPr>
  </w:style>
  <w:style w:styleId="Style_24" w:type="paragraph">
    <w:name w:val="Header and Footer"/>
    <w:link w:val="Style_24_ch"/>
    <w:pPr>
      <w:spacing w:line="240" w:lineRule="auto"/>
      <w:ind/>
      <w:jc w:val="both"/>
    </w:pPr>
    <w:rPr>
      <w:rFonts w:ascii="XO Thames" w:hAnsi="XO Thames"/>
      <w:sz w:val="20"/>
    </w:rPr>
  </w:style>
  <w:style w:styleId="Style_24_ch" w:type="character">
    <w:name w:val="Header and Footer"/>
    <w:link w:val="Style_24"/>
    <w:rPr>
      <w:rFonts w:ascii="XO Thames" w:hAnsi="XO Thames"/>
      <w:sz w:val="20"/>
    </w:rPr>
  </w:style>
  <w:style w:styleId="Style_25" w:type="paragraph">
    <w:name w:val="Intense Reference"/>
    <w:basedOn w:val="Style_12"/>
    <w:link w:val="Style_25_ch"/>
    <w:rPr>
      <w:b w:val="1"/>
      <w:smallCaps w:val="1"/>
      <w:color w:themeColor="accent1" w:themeShade="BF" w:val="104861"/>
      <w:spacing w:val="5"/>
    </w:rPr>
  </w:style>
  <w:style w:styleId="Style_25_ch" w:type="character">
    <w:name w:val="Intense Reference"/>
    <w:basedOn w:val="Style_12_ch"/>
    <w:link w:val="Style_25"/>
    <w:rPr>
      <w:b w:val="1"/>
      <w:smallCaps w:val="1"/>
      <w:color w:themeColor="accent1" w:themeShade="BF" w:val="104861"/>
      <w:spacing w:val="5"/>
    </w:rPr>
  </w:style>
  <w:style w:styleId="Style_26" w:type="paragraph">
    <w:name w:val="toc 9"/>
    <w:next w:val="Style_5"/>
    <w:link w:val="Style_26_ch"/>
    <w:uiPriority w:val="39"/>
    <w:pPr>
      <w:ind w:firstLine="0" w:left="1600"/>
      <w:jc w:val="left"/>
    </w:pPr>
    <w:rPr>
      <w:rFonts w:ascii="XO Thames" w:hAnsi="XO Thames"/>
      <w:sz w:val="28"/>
    </w:rPr>
  </w:style>
  <w:style w:styleId="Style_26_ch" w:type="character">
    <w:name w:val="toc 9"/>
    <w:link w:val="Style_26"/>
    <w:rPr>
      <w:rFonts w:ascii="XO Thames" w:hAnsi="XO Thames"/>
      <w:sz w:val="28"/>
    </w:rPr>
  </w:style>
  <w:style w:styleId="Style_27" w:type="paragraph">
    <w:name w:val="Strong"/>
    <w:basedOn w:val="Style_12"/>
    <w:link w:val="Style_27_ch"/>
    <w:rPr>
      <w:b w:val="1"/>
    </w:rPr>
  </w:style>
  <w:style w:styleId="Style_27_ch" w:type="character">
    <w:name w:val="Strong"/>
    <w:basedOn w:val="Style_12_ch"/>
    <w:link w:val="Style_27"/>
    <w:rPr>
      <w:b w:val="1"/>
    </w:rPr>
  </w:style>
  <w:style w:styleId="Style_28" w:type="paragraph">
    <w:name w:val="toc 8"/>
    <w:next w:val="Style_5"/>
    <w:link w:val="Style_28_ch"/>
    <w:uiPriority w:val="39"/>
    <w:pPr>
      <w:ind w:firstLine="0" w:left="1400"/>
      <w:jc w:val="left"/>
    </w:pPr>
    <w:rPr>
      <w:rFonts w:ascii="XO Thames" w:hAnsi="XO Thames"/>
      <w:sz w:val="28"/>
    </w:rPr>
  </w:style>
  <w:style w:styleId="Style_28_ch" w:type="character">
    <w:name w:val="toc 8"/>
    <w:link w:val="Style_28"/>
    <w:rPr>
      <w:rFonts w:ascii="XO Thames" w:hAnsi="XO Thames"/>
      <w:sz w:val="28"/>
    </w:rPr>
  </w:style>
  <w:style w:styleId="Style_29" w:type="paragraph">
    <w:name w:val="Intense Emphasis"/>
    <w:basedOn w:val="Style_12"/>
    <w:link w:val="Style_29_ch"/>
    <w:rPr>
      <w:i w:val="1"/>
      <w:color w:themeColor="accent1" w:themeShade="BF" w:val="104861"/>
    </w:rPr>
  </w:style>
  <w:style w:styleId="Style_29_ch" w:type="character">
    <w:name w:val="Intense Emphasis"/>
    <w:basedOn w:val="Style_12_ch"/>
    <w:link w:val="Style_29"/>
    <w:rPr>
      <w:i w:val="1"/>
      <w:color w:themeColor="accent1" w:themeShade="BF" w:val="104861"/>
    </w:rPr>
  </w:style>
  <w:style w:styleId="Style_1" w:type="paragraph">
    <w:name w:val="header"/>
    <w:basedOn w:val="Style_5"/>
    <w:link w:val="Style_1_ch"/>
    <w:pPr>
      <w:tabs>
        <w:tab w:leader="none" w:pos="4677" w:val="center"/>
        <w:tab w:leader="none" w:pos="9355" w:val="right"/>
      </w:tabs>
      <w:spacing w:after="0" w:line="240" w:lineRule="auto"/>
      <w:ind/>
    </w:pPr>
  </w:style>
  <w:style w:styleId="Style_1_ch" w:type="character">
    <w:name w:val="header"/>
    <w:basedOn w:val="Style_5_ch"/>
    <w:link w:val="Style_1"/>
  </w:style>
  <w:style w:styleId="Style_30" w:type="paragraph">
    <w:name w:val="toc 5"/>
    <w:next w:val="Style_5"/>
    <w:link w:val="Style_30_ch"/>
    <w:uiPriority w:val="39"/>
    <w:pPr>
      <w:ind w:firstLine="0" w:left="800"/>
      <w:jc w:val="left"/>
    </w:pPr>
    <w:rPr>
      <w:rFonts w:ascii="XO Thames" w:hAnsi="XO Thames"/>
      <w:sz w:val="28"/>
    </w:rPr>
  </w:style>
  <w:style w:styleId="Style_30_ch" w:type="character">
    <w:name w:val="toc 5"/>
    <w:link w:val="Style_30"/>
    <w:rPr>
      <w:rFonts w:ascii="XO Thames" w:hAnsi="XO Thames"/>
      <w:sz w:val="28"/>
    </w:rPr>
  </w:style>
  <w:style w:styleId="Style_31" w:type="paragraph">
    <w:name w:val="footer"/>
    <w:basedOn w:val="Style_5"/>
    <w:link w:val="Style_31_ch"/>
    <w:pPr>
      <w:tabs>
        <w:tab w:leader="none" w:pos="4677" w:val="center"/>
        <w:tab w:leader="none" w:pos="9355" w:val="right"/>
      </w:tabs>
      <w:spacing w:after="0" w:line="240" w:lineRule="auto"/>
      <w:ind/>
    </w:pPr>
  </w:style>
  <w:style w:styleId="Style_31_ch" w:type="character">
    <w:name w:val="footer"/>
    <w:basedOn w:val="Style_5_ch"/>
    <w:link w:val="Style_31"/>
  </w:style>
  <w:style w:styleId="Style_32" w:type="paragraph">
    <w:name w:val="Unresolved Mention"/>
    <w:basedOn w:val="Style_12"/>
    <w:link w:val="Style_32_ch"/>
    <w:rPr>
      <w:color w:val="605E5C"/>
      <w:shd w:fill="E1DFDD" w:val="clear"/>
    </w:rPr>
  </w:style>
  <w:style w:styleId="Style_32_ch" w:type="character">
    <w:name w:val="Unresolved Mention"/>
    <w:basedOn w:val="Style_12_ch"/>
    <w:link w:val="Style_32"/>
    <w:rPr>
      <w:color w:val="605E5C"/>
      <w:shd w:fill="E1DFDD" w:val="clear"/>
    </w:rPr>
  </w:style>
  <w:style w:styleId="Style_33" w:type="paragraph">
    <w:name w:val="Subtitle"/>
    <w:basedOn w:val="Style_5"/>
    <w:next w:val="Style_5"/>
    <w:link w:val="Style_33_ch"/>
    <w:uiPriority w:val="11"/>
    <w:qFormat/>
    <w:pPr>
      <w:numPr>
        <w:ilvl w:val="1"/>
      </w:numPr>
    </w:pPr>
    <w:rPr>
      <w:color w:themeColor="text1" w:themeTint="A6" w:val="595959"/>
      <w:spacing w:val="15"/>
      <w:sz w:val="28"/>
    </w:rPr>
  </w:style>
  <w:style w:styleId="Style_33_ch" w:type="character">
    <w:name w:val="Subtitle"/>
    <w:basedOn w:val="Style_5_ch"/>
    <w:link w:val="Style_33"/>
    <w:rPr>
      <w:color w:themeColor="text1" w:themeTint="A6" w:val="595959"/>
      <w:spacing w:val="15"/>
      <w:sz w:val="28"/>
    </w:rPr>
  </w:style>
  <w:style w:styleId="Style_12" w:type="paragraph">
    <w:name w:val="Default Paragraph Font"/>
    <w:link w:val="Style_12_ch"/>
  </w:style>
  <w:style w:styleId="Style_12_ch" w:type="character">
    <w:name w:val="Default Paragraph Font"/>
    <w:link w:val="Style_12"/>
  </w:style>
  <w:style w:styleId="Style_34" w:type="paragraph">
    <w:name w:val="Title"/>
    <w:basedOn w:val="Style_5"/>
    <w:next w:val="Style_5"/>
    <w:link w:val="Style_34_ch"/>
    <w:uiPriority w:val="10"/>
    <w:qFormat/>
    <w:pPr>
      <w:spacing w:after="80" w:line="240" w:lineRule="auto"/>
      <w:ind/>
      <w:contextualSpacing w:val="1"/>
    </w:pPr>
    <w:rPr>
      <w:rFonts w:asciiTheme="majorAscii" w:hAnsiTheme="majorHAnsi"/>
      <w:spacing w:val="-10"/>
      <w:sz w:val="56"/>
    </w:rPr>
  </w:style>
  <w:style w:styleId="Style_34_ch" w:type="character">
    <w:name w:val="Title"/>
    <w:basedOn w:val="Style_5_ch"/>
    <w:link w:val="Style_34"/>
    <w:rPr>
      <w:rFonts w:asciiTheme="majorAscii" w:hAnsiTheme="majorHAnsi"/>
      <w:spacing w:val="-10"/>
      <w:sz w:val="56"/>
    </w:rPr>
  </w:style>
  <w:style w:styleId="Style_35" w:type="paragraph">
    <w:name w:val="heading 4"/>
    <w:basedOn w:val="Style_5"/>
    <w:next w:val="Style_5"/>
    <w:link w:val="Style_35_ch"/>
    <w:uiPriority w:val="9"/>
    <w:qFormat/>
    <w:pPr>
      <w:keepNext w:val="1"/>
      <w:keepLines w:val="1"/>
      <w:spacing w:after="40" w:before="80"/>
      <w:ind/>
      <w:outlineLvl w:val="3"/>
    </w:pPr>
    <w:rPr>
      <w:i w:val="1"/>
      <w:color w:themeColor="accent1" w:themeShade="BF" w:val="104861"/>
    </w:rPr>
  </w:style>
  <w:style w:styleId="Style_35_ch" w:type="character">
    <w:name w:val="heading 4"/>
    <w:basedOn w:val="Style_5_ch"/>
    <w:link w:val="Style_35"/>
    <w:rPr>
      <w:i w:val="1"/>
      <w:color w:themeColor="accent1" w:themeShade="BF" w:val="104861"/>
    </w:rPr>
  </w:style>
  <w:style w:styleId="Style_36" w:type="paragraph">
    <w:name w:val="footnote reference"/>
    <w:basedOn w:val="Style_12"/>
    <w:link w:val="Style_36_ch"/>
    <w:rPr>
      <w:vertAlign w:val="superscript"/>
    </w:rPr>
  </w:style>
  <w:style w:styleId="Style_36_ch" w:type="character">
    <w:name w:val="footnote reference"/>
    <w:basedOn w:val="Style_12_ch"/>
    <w:link w:val="Style_36"/>
    <w:rPr>
      <w:vertAlign w:val="superscript"/>
    </w:rPr>
  </w:style>
  <w:style w:styleId="Style_3" w:type="paragraph">
    <w:name w:val="heading 2"/>
    <w:basedOn w:val="Style_5"/>
    <w:next w:val="Style_5"/>
    <w:link w:val="Style_3_ch"/>
    <w:uiPriority w:val="9"/>
    <w:qFormat/>
    <w:pPr>
      <w:keepNext w:val="1"/>
      <w:keepLines w:val="1"/>
      <w:spacing w:after="0" w:line="360" w:lineRule="auto"/>
      <w:ind w:firstLine="709" w:left="0"/>
      <w:jc w:val="both"/>
      <w:outlineLvl w:val="1"/>
    </w:pPr>
    <w:rPr>
      <w:rFonts w:ascii="Times New Roman" w:hAnsi="Times New Roman"/>
      <w:b w:val="1"/>
      <w:sz w:val="28"/>
    </w:rPr>
  </w:style>
  <w:style w:styleId="Style_3_ch" w:type="character">
    <w:name w:val="heading 2"/>
    <w:basedOn w:val="Style_5_ch"/>
    <w:link w:val="Style_3"/>
    <w:rPr>
      <w:rFonts w:ascii="Times New Roman" w:hAnsi="Times New Roman"/>
      <w:b w:val="1"/>
      <w:sz w:val="28"/>
    </w:rPr>
  </w:style>
  <w:style w:styleId="Style_37" w:type="paragraph">
    <w:name w:val="heading 6"/>
    <w:basedOn w:val="Style_5"/>
    <w:next w:val="Style_5"/>
    <w:link w:val="Style_37_ch"/>
    <w:uiPriority w:val="9"/>
    <w:qFormat/>
    <w:pPr>
      <w:keepNext w:val="1"/>
      <w:keepLines w:val="1"/>
      <w:spacing w:after="0" w:before="40"/>
      <w:ind/>
      <w:outlineLvl w:val="5"/>
    </w:pPr>
    <w:rPr>
      <w:i w:val="1"/>
      <w:color w:themeColor="text1" w:themeTint="A6" w:val="595959"/>
    </w:rPr>
  </w:style>
  <w:style w:styleId="Style_37_ch" w:type="character">
    <w:name w:val="heading 6"/>
    <w:basedOn w:val="Style_5_ch"/>
    <w:link w:val="Style_37"/>
    <w:rPr>
      <w:i w:val="1"/>
      <w:color w:themeColor="text1" w:themeTint="A6" w:val="595959"/>
    </w:rPr>
  </w:style>
  <w:style w:styleId="Style_38" w:type="paragraph">
    <w:name w:val="Emphasis"/>
    <w:basedOn w:val="Style_12"/>
    <w:link w:val="Style_38_ch"/>
    <w:rPr>
      <w:i w:val="1"/>
    </w:rPr>
  </w:style>
  <w:style w:styleId="Style_38_ch" w:type="character">
    <w:name w:val="Emphasis"/>
    <w:basedOn w:val="Style_12_ch"/>
    <w:link w:val="Style_38"/>
    <w:rPr>
      <w:i w:val="1"/>
    </w:rPr>
  </w:style>
  <w:style w:styleId="Style_4" w:type="table">
    <w:name w:val="Table Grid"/>
    <w:basedOn w:val="Style_39"/>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9" w:type="table">
    <w:name w:val="Normal Table"/>
    <w:tblPr>
      <w:tblInd w:type="dxa" w:w="0"/>
      <w:tblCellMar>
        <w:top w:type="dxa" w:w="0"/>
        <w:left w:type="dxa" w:w="108"/>
        <w:bottom w:type="dxa" w:w="0"/>
        <w:right w:type="dxa" w:w="108"/>
      </w:tblCellMar>
    </w:tblPr>
  </w:style>
  <w:style w:styleId="Style_40" w:type="table">
    <w:name w:val="Сетка таблицы1"/>
    <w:basedOn w:val="Style_39"/>
    <w:pPr>
      <w:spacing w:after="0" w:line="240" w:lineRule="auto"/>
      <w:ind/>
    </w:pPr>
    <w:rPr>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1" w:type="table">
    <w:name w:val="Normal Grid"/>
    <w:basedOn w:val="Style_39"/>
    <w:pPr>
      <w:spacing w:after="0" w:line="240" w:lineRule="auto"/>
      <w:ind/>
    </w:pPr>
    <w:rPr>
      <w:rFonts w:ascii="Georgia" w:hAnsi="Georgia"/>
      <w:sz w:val="21"/>
    </w:rPr>
    <w:tblPr>
      <w:tblCellMar>
        <w:top w:type="dxa" w:w="80"/>
        <w:left w:type="dxa" w:w="160"/>
        <w:bottom w:type="dxa" w:w="80"/>
        <w:right w:type="dxa" w:w="160"/>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majorFont>
      <a:minorFont>
        <a:latin typeface="Aptos"/>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2026-07-09T09:10:51Z</dcterms:modified>
</cp:coreProperties>
</file>