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pStyle w:val="Style_2"/>
      </w:pPr>
      <w:r>
        <w:t xml:space="preserve">Глава </w:t>
      </w:r>
      <w:r>
        <w:t xml:space="preserve">3 </w:t>
      </w:r>
      <w:r>
        <w:t>Направления развития системы социальной поддержки и социальной защиты населения в поселке Красногвардейский</w:t>
      </w:r>
    </w:p>
    <w:p w14:paraId="03000000">
      <w:pPr>
        <w:spacing w:after="0" w:line="360" w:lineRule="auto"/>
        <w:ind w:firstLine="709" w:left="0"/>
        <w:jc w:val="both"/>
        <w:rPr>
          <w:rFonts w:ascii="Times New Roman" w:hAnsi="Times New Roman"/>
          <w:sz w:val="28"/>
        </w:rPr>
      </w:pPr>
    </w:p>
    <w:p w14:paraId="04000000">
      <w:pPr>
        <w:pStyle w:val="Style_3"/>
      </w:pPr>
      <w:r>
        <w:t xml:space="preserve">3.1 </w:t>
      </w:r>
      <w:r>
        <w:t>Разработка мероприятий по совершенствованию системы социальной защиты населения</w:t>
      </w:r>
    </w:p>
    <w:p w14:paraId="05000000">
      <w:pPr>
        <w:spacing w:after="0" w:line="360" w:lineRule="auto"/>
        <w:ind w:firstLine="709" w:left="0"/>
        <w:jc w:val="both"/>
        <w:rPr>
          <w:rFonts w:ascii="Times New Roman" w:hAnsi="Times New Roman"/>
          <w:sz w:val="28"/>
        </w:rPr>
      </w:pPr>
    </w:p>
    <w:p w14:paraId="06000000">
      <w:pPr>
        <w:spacing w:after="0" w:line="360" w:lineRule="auto"/>
        <w:ind w:firstLine="709" w:left="0"/>
        <w:jc w:val="both"/>
        <w:rPr>
          <w:rFonts w:ascii="Times New Roman" w:hAnsi="Times New Roman"/>
          <w:sz w:val="28"/>
        </w:rPr>
      </w:pPr>
      <w:r>
        <w:rPr>
          <w:rFonts w:ascii="Times New Roman" w:hAnsi="Times New Roman"/>
          <w:sz w:val="28"/>
        </w:rPr>
        <w:t xml:space="preserve">По результатам анализа, проведённого во второй главе, выявлены три системных дефекта, определяющих качество социальной защиты в посёлке Красногвардейский: кадровая недоукомплектованность территориального управления (3 ед. при нормативной потребности 5 ед.); транспортная недоступность услуг (30 км до Управления социальной политики и СФР без регулярного сообщения); неформальность межведомственной координации (отсутствие закреплённых процедур взаимодействия ОВП </w:t>
      </w:r>
      <w:r>
        <w:rPr>
          <w:rFonts w:ascii="Times New Roman" w:hAnsi="Times New Roman"/>
          <w:sz w:val="28"/>
        </w:rPr>
        <w:t>–</w:t>
      </w:r>
      <w:r>
        <w:rPr>
          <w:rFonts w:ascii="Times New Roman" w:hAnsi="Times New Roman"/>
          <w:sz w:val="28"/>
        </w:rPr>
        <w:t xml:space="preserve"> КЦСОН </w:t>
      </w:r>
      <w:r>
        <w:rPr>
          <w:rFonts w:ascii="Times New Roman" w:hAnsi="Times New Roman"/>
          <w:sz w:val="28"/>
        </w:rPr>
        <w:t>–</w:t>
      </w:r>
      <w:r>
        <w:rPr>
          <w:rFonts w:ascii="Times New Roman" w:hAnsi="Times New Roman"/>
          <w:sz w:val="28"/>
        </w:rPr>
        <w:t xml:space="preserve"> ТУ). Дополнительно зафиксированы три производных проблемы: неполный охват малоимущих семей единым пособием (ориентировочно 20–35% потенциальных получателей остаются за пределами системы); незначительное использование инструмента социального контракта при значительном нереализованном потенциале направления «ЛПХ»; отсутствие в посёлке элементов системы долговременного ухода (пункта проката ТСР, обучения ухаживающих). Предлагаемая система мероприятий строится вокруг устранения именно этих шести проблем, а не представляет собой набор абстрактных улучшений.</w:t>
      </w:r>
    </w:p>
    <w:p w14:paraId="07000000">
      <w:pPr>
        <w:spacing w:after="0" w:line="360" w:lineRule="auto"/>
        <w:ind w:firstLine="709" w:left="0"/>
        <w:jc w:val="both"/>
        <w:rPr>
          <w:rFonts w:ascii="Times New Roman" w:hAnsi="Times New Roman"/>
          <w:sz w:val="28"/>
        </w:rPr>
      </w:pPr>
      <w:r>
        <w:rPr>
          <w:rFonts w:ascii="Times New Roman" w:hAnsi="Times New Roman"/>
          <w:sz w:val="28"/>
        </w:rPr>
        <w:t xml:space="preserve">При проектировании мероприятий применён принцип минимальной достаточности: предпочтение отдаётся решениям, реализуемым в рамках существующих полномочий и бюджетных ограничений муниципального округа, с привлечением регионального финансирования там, где оно нормативно предусмотрено. Одновременно учитывается, что Артемовский муниципальный округ относится к группе дотационных муниципальных образований Свердловской области; расходы местного бюджета на </w:t>
      </w:r>
      <w:r>
        <w:rPr>
          <w:rFonts w:ascii="Times New Roman" w:hAnsi="Times New Roman"/>
          <w:sz w:val="28"/>
        </w:rPr>
        <w:t xml:space="preserve">социальную политику составляют около 384 млн руб./год, из которых доля, приходящаяся на Красногвардейский, </w:t>
      </w:r>
      <w:r>
        <w:rPr>
          <w:rFonts w:ascii="Times New Roman" w:hAnsi="Times New Roman"/>
          <w:sz w:val="28"/>
        </w:rPr>
        <w:t>–</w:t>
      </w:r>
      <w:r>
        <w:rPr>
          <w:rFonts w:ascii="Times New Roman" w:hAnsi="Times New Roman"/>
          <w:sz w:val="28"/>
        </w:rPr>
        <w:t xml:space="preserve"> около 27,6 млн руб. (7,2% населения округа). Привлечение дополнительных ресурсов возможно через участие в государственных программах («Модернизация первичного звена здравоохранения», «Старшее поколение», «Комплексное развитие сельских территорий») и механизм социального контракта.</w:t>
      </w:r>
    </w:p>
    <w:p w14:paraId="08000000">
      <w:pPr>
        <w:spacing w:after="0" w:line="360" w:lineRule="auto"/>
        <w:ind w:firstLine="709" w:left="0"/>
        <w:jc w:val="both"/>
        <w:rPr>
          <w:rFonts w:ascii="Times New Roman" w:hAnsi="Times New Roman"/>
          <w:sz w:val="28"/>
        </w:rPr>
      </w:pPr>
      <w:r>
        <w:rPr>
          <w:rFonts w:ascii="Times New Roman" w:hAnsi="Times New Roman"/>
          <w:sz w:val="28"/>
        </w:rPr>
        <w:t xml:space="preserve">Все предлагаемые мероприятия подразделяются на три группы по горизонту реализации: срочные (до 6 месяцев) </w:t>
      </w:r>
      <w:r>
        <w:rPr>
          <w:rFonts w:ascii="Times New Roman" w:hAnsi="Times New Roman"/>
          <w:sz w:val="28"/>
        </w:rPr>
        <w:t>–</w:t>
      </w:r>
      <w:r>
        <w:rPr>
          <w:rFonts w:ascii="Times New Roman" w:hAnsi="Times New Roman"/>
          <w:sz w:val="28"/>
        </w:rPr>
        <w:t xml:space="preserve"> организационные меры, не требующие нового финансирования; среднесрочные (6–18 месяцев) </w:t>
      </w:r>
      <w:r>
        <w:rPr>
          <w:rFonts w:ascii="Times New Roman" w:hAnsi="Times New Roman"/>
          <w:sz w:val="28"/>
        </w:rPr>
        <w:t>–</w:t>
      </w:r>
      <w:r>
        <w:rPr>
          <w:rFonts w:ascii="Times New Roman" w:hAnsi="Times New Roman"/>
          <w:sz w:val="28"/>
        </w:rPr>
        <w:t xml:space="preserve"> меры, требующие изменений в муниципальных нормативных актах или небольших финансовых вложений; долгосрочные (18–36 месяцев) </w:t>
      </w:r>
      <w:r>
        <w:rPr>
          <w:rFonts w:ascii="Times New Roman" w:hAnsi="Times New Roman"/>
          <w:sz w:val="28"/>
        </w:rPr>
        <w:t>–</w:t>
      </w:r>
      <w:r>
        <w:rPr>
          <w:rFonts w:ascii="Times New Roman" w:hAnsi="Times New Roman"/>
          <w:sz w:val="28"/>
        </w:rPr>
        <w:t xml:space="preserve"> меры, предполагающие взаимодействие с региональными органами власти, изменение государственного задания КЦСОН или инфраструктурные решения. Такая группировка позволяет планировать реализацию поэтапно и контролировать исполнение без ожидания результатов всего пакета.</w:t>
      </w:r>
    </w:p>
    <w:p w14:paraId="09000000">
      <w:pPr>
        <w:spacing w:after="0" w:line="360" w:lineRule="auto"/>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Введение должности «социального координатора» и перераспределение функций внутри ТУ.</w:t>
      </w:r>
    </w:p>
    <w:p w14:paraId="0A000000">
      <w:pPr>
        <w:spacing w:after="0" w:line="360" w:lineRule="auto"/>
        <w:ind w:firstLine="709" w:left="0"/>
        <w:jc w:val="both"/>
        <w:rPr>
          <w:rFonts w:ascii="Times New Roman" w:hAnsi="Times New Roman"/>
          <w:sz w:val="28"/>
        </w:rPr>
      </w:pPr>
      <w:r>
        <w:rPr>
          <w:rFonts w:ascii="Times New Roman" w:hAnsi="Times New Roman"/>
          <w:sz w:val="28"/>
        </w:rPr>
        <w:t xml:space="preserve">Исходная проблема: три штатные единицы ТУ выполняют смешанный функционал </w:t>
      </w:r>
      <w:r>
        <w:rPr>
          <w:rFonts w:ascii="Times New Roman" w:hAnsi="Times New Roman"/>
          <w:sz w:val="28"/>
        </w:rPr>
        <w:t>–</w:t>
      </w:r>
      <w:r>
        <w:rPr>
          <w:rFonts w:ascii="Times New Roman" w:hAnsi="Times New Roman"/>
          <w:sz w:val="28"/>
        </w:rPr>
        <w:t xml:space="preserve"> административный (приём обращений, делопроизводство), информационный (консультирование по льготам) и координационный (направление граждан в профильные организации). Смешение функций снижает качество работы по каждому направлению. Предлагается ввести специализацию: начальник ТУ </w:t>
      </w:r>
      <w:r>
        <w:rPr>
          <w:rFonts w:ascii="Times New Roman" w:hAnsi="Times New Roman"/>
          <w:sz w:val="28"/>
        </w:rPr>
        <w:t>–</w:t>
      </w:r>
      <w:r>
        <w:rPr>
          <w:rFonts w:ascii="Times New Roman" w:hAnsi="Times New Roman"/>
          <w:sz w:val="28"/>
        </w:rPr>
        <w:t xml:space="preserve"> административное руководство, взаимодействие с администрацией округа, организация публичных мероприятий; главный специалист </w:t>
      </w:r>
      <w:r>
        <w:rPr>
          <w:rFonts w:ascii="Times New Roman" w:hAnsi="Times New Roman"/>
          <w:sz w:val="28"/>
        </w:rPr>
        <w:t>–</w:t>
      </w:r>
      <w:r>
        <w:rPr>
          <w:rFonts w:ascii="Times New Roman" w:hAnsi="Times New Roman"/>
          <w:sz w:val="28"/>
        </w:rPr>
        <w:t xml:space="preserve"> проактивное выявление нуждающихся (патронажные обходы), ведение базы данных уязвимых граждан, взаимодействие с ОВП; ведущий специалист </w:t>
      </w:r>
      <w:r>
        <w:rPr>
          <w:rFonts w:ascii="Times New Roman" w:hAnsi="Times New Roman"/>
          <w:sz w:val="28"/>
        </w:rPr>
        <w:t>–</w:t>
      </w:r>
      <w:r>
        <w:rPr>
          <w:rFonts w:ascii="Times New Roman" w:hAnsi="Times New Roman"/>
          <w:sz w:val="28"/>
        </w:rPr>
        <w:t xml:space="preserve"> первичные консультации по социальным правам, содействие в оформлении заявлений, помощь в использовании портала Госуслуги. Введение четвёртой единицы </w:t>
      </w:r>
      <w:r>
        <w:rPr>
          <w:rFonts w:ascii="Times New Roman" w:hAnsi="Times New Roman"/>
          <w:sz w:val="28"/>
        </w:rPr>
        <w:t>–</w:t>
      </w:r>
      <w:r>
        <w:rPr>
          <w:rFonts w:ascii="Times New Roman" w:hAnsi="Times New Roman"/>
          <w:sz w:val="28"/>
        </w:rPr>
        <w:t xml:space="preserve"> специалиста по социальной работе </w:t>
      </w:r>
      <w:r>
        <w:rPr>
          <w:rFonts w:ascii="Times New Roman" w:hAnsi="Times New Roman"/>
          <w:sz w:val="28"/>
        </w:rPr>
        <w:t>–</w:t>
      </w:r>
      <w:r>
        <w:rPr>
          <w:rFonts w:ascii="Times New Roman" w:hAnsi="Times New Roman"/>
          <w:sz w:val="28"/>
        </w:rPr>
        <w:t xml:space="preserve"> является приоритетной задачей. Данная </w:t>
      </w:r>
      <w:r>
        <w:rPr>
          <w:rFonts w:ascii="Times New Roman" w:hAnsi="Times New Roman"/>
          <w:sz w:val="28"/>
        </w:rPr>
        <w:t xml:space="preserve">должность обоснована нормативами Минтруда (1 специалист на 40–50 семей нуждающихся) и не требует изменений в федеральном законодательстве </w:t>
      </w:r>
      <w:r>
        <w:rPr>
          <w:rFonts w:ascii="Times New Roman" w:hAnsi="Times New Roman"/>
          <w:sz w:val="28"/>
        </w:rPr>
        <w:t>–</w:t>
      </w:r>
      <w:r>
        <w:rPr>
          <w:rFonts w:ascii="Times New Roman" w:hAnsi="Times New Roman"/>
          <w:sz w:val="28"/>
        </w:rPr>
        <w:t xml:space="preserve"> достаточно решения Думы Артемовского муниципального округа о включении должности в штатное расписание ТУ.</w:t>
      </w:r>
    </w:p>
    <w:p w14:paraId="0B000000">
      <w:pPr>
        <w:spacing w:after="0" w:line="360" w:lineRule="auto"/>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Создание «Мобильного социального пункта» (МСП) для устранения транспортного барьера. </w:t>
      </w:r>
    </w:p>
    <w:p w14:paraId="0C000000">
      <w:pPr>
        <w:spacing w:after="0" w:line="360" w:lineRule="auto"/>
        <w:ind w:firstLine="709" w:left="0"/>
        <w:jc w:val="both"/>
        <w:rPr>
          <w:rFonts w:ascii="Times New Roman" w:hAnsi="Times New Roman"/>
          <w:sz w:val="28"/>
        </w:rPr>
      </w:pPr>
      <w:r>
        <w:rPr>
          <w:rFonts w:ascii="Times New Roman" w:hAnsi="Times New Roman"/>
          <w:sz w:val="28"/>
        </w:rPr>
        <w:t xml:space="preserve">Проблема транспортной недоступности не может быть устранена в рамках полномочий ТУ, однако частично компенсируется путём организации регулярного выезда специалистов в посёлок. Предлагается еженедельный выездной приём в ТУ Красногвардейского совместно: специалист Управления социальной политики Артемовского округа </w:t>
      </w:r>
      <w:r>
        <w:rPr>
          <w:rFonts w:ascii="Times New Roman" w:hAnsi="Times New Roman"/>
          <w:sz w:val="28"/>
        </w:rPr>
        <w:t>–</w:t>
      </w:r>
      <w:r>
        <w:rPr>
          <w:rFonts w:ascii="Times New Roman" w:hAnsi="Times New Roman"/>
          <w:sz w:val="28"/>
        </w:rPr>
        <w:t xml:space="preserve"> 1 день/неделю; сотрудник отделения СФР </w:t>
      </w:r>
      <w:r>
        <w:rPr>
          <w:rFonts w:ascii="Times New Roman" w:hAnsi="Times New Roman"/>
          <w:sz w:val="28"/>
        </w:rPr>
        <w:t>–</w:t>
      </w:r>
      <w:r>
        <w:rPr>
          <w:rFonts w:ascii="Times New Roman" w:hAnsi="Times New Roman"/>
          <w:sz w:val="28"/>
        </w:rPr>
        <w:t xml:space="preserve"> 1 день/2 недели; социальный работник КЦСОН </w:t>
      </w:r>
      <w:r>
        <w:rPr>
          <w:rFonts w:ascii="Times New Roman" w:hAnsi="Times New Roman"/>
          <w:sz w:val="28"/>
        </w:rPr>
        <w:t>–</w:t>
      </w:r>
      <w:r>
        <w:rPr>
          <w:rFonts w:ascii="Times New Roman" w:hAnsi="Times New Roman"/>
          <w:sz w:val="28"/>
        </w:rPr>
        <w:t xml:space="preserve"> 2 дня/неделю. Организация не требует отдельного финансирования: специалисты выезжают в рамках своих служебных обязанностей на служебном транспорте учреждений. Практика подобных выездных приёмов реализована в ряде муниципалитетов Свердловской области (Туринский, Тавдинский районы) и зафиксирована как эффективная в отчётах Министерства социальной политики СО. Для легализации практики достаточно соглашения о взаимодействии между ТУ, Управлением социальной политики, СФР и КЦСОН </w:t>
      </w:r>
      <w:r>
        <w:rPr>
          <w:rFonts w:ascii="Times New Roman" w:hAnsi="Times New Roman"/>
          <w:sz w:val="28"/>
        </w:rPr>
        <w:t>–</w:t>
      </w:r>
      <w:r>
        <w:rPr>
          <w:rFonts w:ascii="Times New Roman" w:hAnsi="Times New Roman"/>
          <w:sz w:val="28"/>
        </w:rPr>
        <w:t xml:space="preserve"> документ, который может быть подписан в течение 1–2 месяцев.</w:t>
      </w:r>
    </w:p>
    <w:p w14:paraId="0D000000">
      <w:pPr>
        <w:spacing w:after="0" w:line="360" w:lineRule="auto"/>
        <w:ind w:firstLine="709"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Формализация межведомственного взаимодействия через «Протокол маршрутизации».</w:t>
      </w:r>
    </w:p>
    <w:p w14:paraId="0E000000">
      <w:pPr>
        <w:spacing w:after="0" w:line="360" w:lineRule="auto"/>
        <w:ind w:firstLine="709" w:left="0"/>
        <w:jc w:val="both"/>
        <w:rPr>
          <w:rFonts w:ascii="Times New Roman" w:hAnsi="Times New Roman"/>
          <w:sz w:val="28"/>
        </w:rPr>
      </w:pPr>
      <w:r>
        <w:rPr>
          <w:rFonts w:ascii="Times New Roman" w:hAnsi="Times New Roman"/>
          <w:sz w:val="28"/>
        </w:rPr>
        <w:t xml:space="preserve">Действующая неформальная координация между ОВП, ТУ и КЦСОН заменяется утверждённым регламентом </w:t>
      </w:r>
      <w:r>
        <w:rPr>
          <w:rFonts w:ascii="Times New Roman" w:hAnsi="Times New Roman"/>
          <w:sz w:val="28"/>
        </w:rPr>
        <w:t>–</w:t>
      </w:r>
      <w:r>
        <w:rPr>
          <w:rFonts w:ascii="Times New Roman" w:hAnsi="Times New Roman"/>
          <w:sz w:val="28"/>
        </w:rPr>
        <w:t xml:space="preserve"> «Протоколом маршрутизации нуждающегося гражданина». Документ фиксирует: кто и при каких условиях инициирует передачу информации о гражданине (например, врач ОВП при выявлении признаков социальной нуждаемости при осмотре обязан в течение 3 рабочих дней направить информацию в ТУ); какова форма передачи (защищённое сообщение в ЕГИССО или заполнение стандартного бланка); кто </w:t>
      </w:r>
      <w:r>
        <w:rPr>
          <w:rFonts w:ascii="Times New Roman" w:hAnsi="Times New Roman"/>
          <w:sz w:val="28"/>
        </w:rPr>
        <w:t xml:space="preserve">несёт ответственность за первичный контакт с гражданином после получения информации (специалист ТУ </w:t>
      </w:r>
      <w:r>
        <w:rPr>
          <w:rFonts w:ascii="Times New Roman" w:hAnsi="Times New Roman"/>
          <w:sz w:val="28"/>
        </w:rPr>
        <w:t>–</w:t>
      </w:r>
      <w:r>
        <w:rPr>
          <w:rFonts w:ascii="Times New Roman" w:hAnsi="Times New Roman"/>
          <w:sz w:val="28"/>
        </w:rPr>
        <w:t xml:space="preserve"> в течение 5 рабочих дней); порядок ведения единого реестра нуждающихся, включённых в систему сопровождения. Разработка и утверждение протокола осуществляются в рамках полномочий главы Артемовского муниципального округа (при согласовании с ГАУЗ СО «Артемовская ЦРБ» и КЦСОН) без необходимости изменений регионального законодательства. Плановый срок утверждения </w:t>
      </w:r>
      <w:r>
        <w:rPr>
          <w:rFonts w:ascii="Times New Roman" w:hAnsi="Times New Roman"/>
          <w:sz w:val="28"/>
        </w:rPr>
        <w:t>–</w:t>
      </w:r>
      <w:r>
        <w:rPr>
          <w:rFonts w:ascii="Times New Roman" w:hAnsi="Times New Roman"/>
          <w:sz w:val="28"/>
        </w:rPr>
        <w:t xml:space="preserve"> 3 месяца.</w:t>
      </w:r>
    </w:p>
    <w:p w14:paraId="0F000000">
      <w:pPr>
        <w:spacing w:after="0" w:line="360" w:lineRule="auto"/>
        <w:ind w:firstLine="709" w:left="0"/>
        <w:jc w:val="both"/>
        <w:rPr>
          <w:rFonts w:ascii="Times New Roman" w:hAnsi="Times New Roman"/>
          <w:sz w:val="28"/>
        </w:rPr>
      </w:pPr>
      <w:r>
        <w:rPr>
          <w:rFonts w:ascii="Times New Roman" w:hAnsi="Times New Roman"/>
          <w:sz w:val="28"/>
        </w:rPr>
        <w:t xml:space="preserve">4) </w:t>
      </w:r>
      <w:r>
        <w:rPr>
          <w:rFonts w:ascii="Times New Roman" w:hAnsi="Times New Roman"/>
          <w:sz w:val="28"/>
        </w:rPr>
        <w:t>Целевая информационная кампания по единому пособию и социальному контракту.</w:t>
      </w:r>
    </w:p>
    <w:p w14:paraId="10000000">
      <w:pPr>
        <w:spacing w:after="0" w:line="360" w:lineRule="auto"/>
        <w:ind w:firstLine="709" w:left="0"/>
        <w:jc w:val="both"/>
        <w:rPr>
          <w:rFonts w:ascii="Times New Roman" w:hAnsi="Times New Roman"/>
          <w:sz w:val="28"/>
        </w:rPr>
      </w:pPr>
      <w:r>
        <w:rPr>
          <w:rFonts w:ascii="Times New Roman" w:hAnsi="Times New Roman"/>
          <w:sz w:val="28"/>
        </w:rPr>
        <w:t xml:space="preserve">Анализ показал, что около 20–35% семей, имеющих право на единое пособие, его не получают, а охват </w:t>
      </w:r>
      <w:r>
        <w:rPr>
          <w:rFonts w:ascii="Times New Roman" w:hAnsi="Times New Roman"/>
          <w:sz w:val="28"/>
        </w:rPr>
        <w:t>соцконтрактами</w:t>
      </w:r>
      <w:r>
        <w:rPr>
          <w:rFonts w:ascii="Times New Roman" w:hAnsi="Times New Roman"/>
          <w:sz w:val="28"/>
        </w:rPr>
        <w:t xml:space="preserve"> составляет менее 5–7% потенциальной целевой группы. Информационный дефицит устраняется через конкретные инструменты: поквартирный обход специалиста ТУ с раздачей структурированных листовок-памяток по каждому виду поддержки (разработка </w:t>
      </w:r>
      <w:r>
        <w:rPr>
          <w:rFonts w:ascii="Times New Roman" w:hAnsi="Times New Roman"/>
          <w:sz w:val="28"/>
        </w:rPr>
        <w:t>–</w:t>
      </w:r>
      <w:r>
        <w:rPr>
          <w:rFonts w:ascii="Times New Roman" w:hAnsi="Times New Roman"/>
          <w:sz w:val="28"/>
        </w:rPr>
        <w:t xml:space="preserve"> силами Министерства социальной политики СО, тираж </w:t>
      </w:r>
      <w:r>
        <w:rPr>
          <w:rFonts w:ascii="Times New Roman" w:hAnsi="Times New Roman"/>
          <w:sz w:val="28"/>
        </w:rPr>
        <w:t>–</w:t>
      </w:r>
      <w:r>
        <w:rPr>
          <w:rFonts w:ascii="Times New Roman" w:hAnsi="Times New Roman"/>
          <w:sz w:val="28"/>
        </w:rPr>
        <w:t xml:space="preserve"> за счёт бюджета округа, ориентировочно 5 000 руб. на тираж 500 экз.); проведение ежеквартальных тематических консультаций в помещении ТУ (с приглашением специалистов Управления соцполитики и СФР); размещение актуальной информации на стендах ТУ, в СОШ № 14, МБДОУ № 27, здравпункте ПНИ и на досках объявлений посёлка. Ключевым компонентом является отдельная работа с семьями, получившими отказ в назначении единого пособия: специалист ТУ проводит разбор причины отказа и, при наличии оснований для обжалования или перераспределения имущества в интересах семьи, оказывает содействие в повторном обращении.</w:t>
      </w:r>
    </w:p>
    <w:p w14:paraId="11000000">
      <w:pPr>
        <w:spacing w:after="0" w:line="360" w:lineRule="auto"/>
        <w:ind w:firstLine="709" w:left="0"/>
        <w:jc w:val="both"/>
        <w:rPr>
          <w:rFonts w:ascii="Times New Roman" w:hAnsi="Times New Roman"/>
          <w:sz w:val="28"/>
        </w:rPr>
      </w:pPr>
      <w:r>
        <w:rPr>
          <w:rFonts w:ascii="Times New Roman" w:hAnsi="Times New Roman"/>
          <w:sz w:val="28"/>
        </w:rPr>
        <w:t xml:space="preserve">5) </w:t>
      </w:r>
      <w:r>
        <w:rPr>
          <w:rFonts w:ascii="Times New Roman" w:hAnsi="Times New Roman"/>
          <w:sz w:val="28"/>
        </w:rPr>
        <w:t>Организация «Школы ухода» и создание мини-пункта проката ТСР в посёлке.</w:t>
      </w:r>
    </w:p>
    <w:p w14:paraId="12000000">
      <w:pPr>
        <w:spacing w:after="0" w:line="360" w:lineRule="auto"/>
        <w:ind w:firstLine="709" w:left="0"/>
        <w:jc w:val="both"/>
        <w:rPr>
          <w:rFonts w:ascii="Times New Roman" w:hAnsi="Times New Roman"/>
          <w:sz w:val="28"/>
        </w:rPr>
      </w:pPr>
      <w:r>
        <w:rPr>
          <w:rFonts w:ascii="Times New Roman" w:hAnsi="Times New Roman"/>
          <w:sz w:val="28"/>
        </w:rPr>
        <w:t xml:space="preserve">Система долговременного ухода требует наличия обученных ухаживающих </w:t>
      </w:r>
      <w:r>
        <w:rPr>
          <w:rFonts w:ascii="Times New Roman" w:hAnsi="Times New Roman"/>
          <w:sz w:val="28"/>
        </w:rPr>
        <w:t>–</w:t>
      </w:r>
      <w:r>
        <w:rPr>
          <w:rFonts w:ascii="Times New Roman" w:hAnsi="Times New Roman"/>
          <w:sz w:val="28"/>
        </w:rPr>
        <w:t xml:space="preserve"> родственников или нанятых помощников. В посёлке Красногвардейский нет ни одной «школы ухода»; проживающие в ПНИ проходят уход силами персонала учреждения, однако для граждан, живущих </w:t>
      </w:r>
      <w:r>
        <w:rPr>
          <w:rFonts w:ascii="Times New Roman" w:hAnsi="Times New Roman"/>
          <w:sz w:val="28"/>
        </w:rPr>
        <w:t xml:space="preserve">дома (которых значительно больше), доступ к обучению и к техническим средствам реабилитации ограничен. Предлагается: организовать на базе ТУ (или Центра досуга) ежеквартальные двухдневные семинары «Школы ухода», методическое обеспечение которых предоставляет КЦСОН (специалисты выезжают в посёлок); выделить в помещении ТУ шкаф-стеллаж для размещения 5–7 единиц наиболее востребованных ТСР (трость, ходунки, кресло-коляска складная, противопролежневый матрас) в режиме безвозмездного краткосрочного проката; ведение реестра получателей ТСР осуществляет специалист ТУ с передачей данных в КЦСОН. Стоимость первоначального формирования комплекта ТСР </w:t>
      </w:r>
      <w:r>
        <w:rPr>
          <w:rFonts w:ascii="Times New Roman" w:hAnsi="Times New Roman"/>
          <w:sz w:val="28"/>
        </w:rPr>
        <w:t>–</w:t>
      </w:r>
      <w:r>
        <w:rPr>
          <w:rFonts w:ascii="Times New Roman" w:hAnsi="Times New Roman"/>
          <w:sz w:val="28"/>
        </w:rPr>
        <w:t xml:space="preserve"> около 60 000–80 000 руб., возможно привлечение средств из регионального бюджета по программе «Старшее поколение».</w:t>
      </w:r>
    </w:p>
    <w:p w14:paraId="13000000">
      <w:pPr>
        <w:spacing w:after="0" w:line="360" w:lineRule="auto"/>
        <w:ind w:firstLine="709" w:left="0"/>
        <w:jc w:val="both"/>
        <w:rPr>
          <w:rFonts w:ascii="Times New Roman" w:hAnsi="Times New Roman"/>
          <w:sz w:val="28"/>
        </w:rPr>
      </w:pPr>
      <w:r>
        <w:rPr>
          <w:rFonts w:ascii="Times New Roman" w:hAnsi="Times New Roman"/>
          <w:sz w:val="28"/>
        </w:rPr>
        <w:t xml:space="preserve">6) </w:t>
      </w:r>
      <w:r>
        <w:rPr>
          <w:rFonts w:ascii="Times New Roman" w:hAnsi="Times New Roman"/>
          <w:sz w:val="28"/>
        </w:rPr>
        <w:t>Усиление правозащитного компонента в отношении проживающих в ПНИ.</w:t>
      </w:r>
    </w:p>
    <w:p w14:paraId="14000000">
      <w:pPr>
        <w:spacing w:after="0" w:line="360" w:lineRule="auto"/>
        <w:ind w:firstLine="709" w:left="0"/>
        <w:jc w:val="both"/>
        <w:rPr>
          <w:rFonts w:ascii="Times New Roman" w:hAnsi="Times New Roman"/>
          <w:sz w:val="28"/>
        </w:rPr>
      </w:pPr>
      <w:r>
        <w:rPr>
          <w:rFonts w:ascii="Times New Roman" w:hAnsi="Times New Roman"/>
          <w:sz w:val="28"/>
        </w:rPr>
        <w:t xml:space="preserve">Анализ системных рисков ПНИ как специализированного стационарного учреждения показал, что правозащитный компонент на уровне посёлка фактически отсутствует. Предлагается следующий механизм: ТУ устанавливает ежемесячный контакт с уполномоченным по правам пациентов при ПНИ (если такой введён) или с руководством учреждения по стандартному перечню контрольных вопросов (условия содержания, возможность обращения проживающих с жалобами, распоряжение пенсиями); информация о результатах контактов фиксируется в журнале мониторинга ТУ; при выявлении признаков нарушения прав граждан начальник ТУ направляет обращение прокурору Артемовского района и/или Уполномоченному по правам человека Свердловской области. Данное мероприятие не требует финансирования и реализуется в рамках действующих полномочий ТУ как органа местного самоуправления. Его значение </w:t>
      </w:r>
      <w:r>
        <w:rPr>
          <w:rFonts w:ascii="Times New Roman" w:hAnsi="Times New Roman"/>
          <w:sz w:val="28"/>
        </w:rPr>
        <w:t>–</w:t>
      </w:r>
      <w:r>
        <w:rPr>
          <w:rFonts w:ascii="Times New Roman" w:hAnsi="Times New Roman"/>
          <w:sz w:val="28"/>
        </w:rPr>
        <w:t xml:space="preserve"> превентивное: само знание о том, что внешний контроль ведётся, снижает вероятность нарушений.</w:t>
      </w:r>
    </w:p>
    <w:p w14:paraId="15000000">
      <w:pPr>
        <w:spacing w:after="0" w:line="360" w:lineRule="auto"/>
        <w:ind w:firstLine="709" w:left="0"/>
        <w:jc w:val="both"/>
        <w:rPr>
          <w:rFonts w:ascii="Times New Roman" w:hAnsi="Times New Roman"/>
          <w:sz w:val="28"/>
        </w:rPr>
      </w:pPr>
      <w:r>
        <w:rPr>
          <w:rFonts w:ascii="Times New Roman" w:hAnsi="Times New Roman"/>
          <w:sz w:val="28"/>
        </w:rPr>
        <w:t xml:space="preserve">Шесть мероприятий образуют взаимосвязанную программу совершенствования, где каждое решает конкретную проблему, выявленную в </w:t>
      </w:r>
      <w:r>
        <w:rPr>
          <w:rFonts w:ascii="Times New Roman" w:hAnsi="Times New Roman"/>
          <w:sz w:val="28"/>
        </w:rPr>
        <w:t>главе 2. Их совокупный эффект направлен на три изменения в системе: повышение охвата нуждающихся граждан действующими мерами поддержки (мероприятия 1, 4); сокращение территориального и административного барьера доступа к услугам (мероприятия 2, 5); усиление управленческой и правозащитной компоненты на местном уровне (мероприятия 3, 6).</w:t>
      </w:r>
    </w:p>
    <w:p w14:paraId="16000000">
      <w:pPr>
        <w:spacing w:after="0" w:line="360" w:lineRule="auto"/>
        <w:ind w:firstLine="709" w:left="0"/>
        <w:jc w:val="right"/>
        <w:rPr>
          <w:rFonts w:ascii="Times New Roman" w:hAnsi="Times New Roman"/>
          <w:sz w:val="28"/>
        </w:rPr>
      </w:pPr>
      <w:r>
        <w:rPr>
          <w:rFonts w:ascii="Times New Roman" w:hAnsi="Times New Roman"/>
          <w:sz w:val="28"/>
        </w:rPr>
        <w:t xml:space="preserve">Таблица 3.1 </w:t>
      </w:r>
    </w:p>
    <w:p w14:paraId="17000000">
      <w:pPr>
        <w:spacing w:after="0" w:line="360" w:lineRule="auto"/>
        <w:ind/>
        <w:jc w:val="center"/>
        <w:rPr>
          <w:rFonts w:ascii="Times New Roman" w:hAnsi="Times New Roman"/>
          <w:sz w:val="28"/>
        </w:rPr>
      </w:pPr>
      <w:r>
        <w:rPr>
          <w:rFonts w:ascii="Times New Roman" w:hAnsi="Times New Roman"/>
          <w:sz w:val="28"/>
        </w:rPr>
        <w:t>Программа мероприятий по совершенствованию системы социальной защиты посёлка Красногвардейский</w:t>
      </w:r>
    </w:p>
    <w:tbl>
      <w:tblPr>
        <w:tblStyle w:val="Style_4"/>
        <w:tblLayout w:type="fixed"/>
      </w:tblPr>
      <w:tblGrid>
        <w:gridCol w:w="1921"/>
        <w:gridCol w:w="2126"/>
        <w:gridCol w:w="1908"/>
        <w:gridCol w:w="1519"/>
        <w:gridCol w:w="1881"/>
      </w:tblGrid>
      <w:tr>
        <w:tc>
          <w:tcPr>
            <w:tcW w:type="dxa" w:w="1921"/>
            <w:vAlign w:val="center"/>
          </w:tcPr>
          <w:p w14:paraId="18000000">
            <w:pPr>
              <w:ind/>
              <w:jc w:val="center"/>
              <w:rPr>
                <w:sz w:val="24"/>
              </w:rPr>
            </w:pPr>
            <w:r>
              <w:rPr>
                <w:rFonts w:ascii="Times New Roman" w:hAnsi="Times New Roman"/>
                <w:sz w:val="24"/>
              </w:rPr>
              <w:t>Мероприятие</w:t>
            </w:r>
          </w:p>
        </w:tc>
        <w:tc>
          <w:tcPr>
            <w:tcW w:type="dxa" w:w="2126"/>
            <w:vAlign w:val="center"/>
          </w:tcPr>
          <w:p w14:paraId="19000000">
            <w:pPr>
              <w:ind/>
              <w:jc w:val="center"/>
              <w:rPr>
                <w:sz w:val="24"/>
              </w:rPr>
            </w:pPr>
            <w:r>
              <w:rPr>
                <w:rFonts w:ascii="Times New Roman" w:hAnsi="Times New Roman"/>
                <w:sz w:val="24"/>
              </w:rPr>
              <w:t>Устраняемая проблема</w:t>
            </w:r>
          </w:p>
        </w:tc>
        <w:tc>
          <w:tcPr>
            <w:tcW w:type="dxa" w:w="1908"/>
            <w:vAlign w:val="center"/>
          </w:tcPr>
          <w:p w14:paraId="1A000000">
            <w:pPr>
              <w:ind/>
              <w:jc w:val="center"/>
              <w:rPr>
                <w:sz w:val="24"/>
              </w:rPr>
            </w:pPr>
            <w:r>
              <w:rPr>
                <w:rFonts w:ascii="Times New Roman" w:hAnsi="Times New Roman"/>
                <w:sz w:val="24"/>
              </w:rPr>
              <w:t>Срок реализации</w:t>
            </w:r>
          </w:p>
        </w:tc>
        <w:tc>
          <w:tcPr>
            <w:tcW w:type="dxa" w:w="1519"/>
            <w:vAlign w:val="center"/>
          </w:tcPr>
          <w:p w14:paraId="1B000000">
            <w:pPr>
              <w:ind/>
              <w:jc w:val="center"/>
              <w:rPr>
                <w:sz w:val="24"/>
              </w:rPr>
            </w:pPr>
            <w:r>
              <w:rPr>
                <w:rFonts w:ascii="Times New Roman" w:hAnsi="Times New Roman"/>
                <w:sz w:val="24"/>
              </w:rPr>
              <w:t>Исполнитель</w:t>
            </w:r>
          </w:p>
        </w:tc>
        <w:tc>
          <w:tcPr>
            <w:tcW w:type="dxa" w:w="1881"/>
            <w:vAlign w:val="center"/>
          </w:tcPr>
          <w:p w14:paraId="1C000000">
            <w:pPr>
              <w:ind/>
              <w:jc w:val="center"/>
              <w:rPr>
                <w:sz w:val="24"/>
              </w:rPr>
            </w:pPr>
            <w:r>
              <w:rPr>
                <w:rFonts w:ascii="Times New Roman" w:hAnsi="Times New Roman"/>
                <w:sz w:val="24"/>
              </w:rPr>
              <w:t>Требуемые ресурсы</w:t>
            </w:r>
          </w:p>
        </w:tc>
      </w:tr>
      <w:tr>
        <w:tc>
          <w:tcPr>
            <w:tcW w:type="dxa" w:w="1921"/>
            <w:vAlign w:val="center"/>
          </w:tcPr>
          <w:p w14:paraId="1D000000">
            <w:pPr>
              <w:ind/>
              <w:jc w:val="center"/>
              <w:rPr>
                <w:sz w:val="24"/>
              </w:rPr>
            </w:pPr>
            <w:r>
              <w:rPr>
                <w:rFonts w:ascii="Times New Roman" w:hAnsi="Times New Roman"/>
                <w:sz w:val="24"/>
              </w:rPr>
              <w:t>Введение специализации в ТУ; расширение штата на 1 ед.</w:t>
            </w:r>
          </w:p>
        </w:tc>
        <w:tc>
          <w:tcPr>
            <w:tcW w:type="dxa" w:w="2126"/>
            <w:vAlign w:val="center"/>
          </w:tcPr>
          <w:p w14:paraId="1E000000">
            <w:pPr>
              <w:ind/>
              <w:jc w:val="center"/>
              <w:rPr>
                <w:sz w:val="24"/>
              </w:rPr>
            </w:pPr>
            <w:r>
              <w:rPr>
                <w:rFonts w:ascii="Times New Roman" w:hAnsi="Times New Roman"/>
                <w:sz w:val="24"/>
              </w:rPr>
              <w:t>Кадровый дефицит ТУ (3 ед. при норме 5)</w:t>
            </w:r>
          </w:p>
        </w:tc>
        <w:tc>
          <w:tcPr>
            <w:tcW w:type="dxa" w:w="1908"/>
            <w:vAlign w:val="center"/>
          </w:tcPr>
          <w:p w14:paraId="1F000000">
            <w:pPr>
              <w:ind/>
              <w:jc w:val="center"/>
              <w:rPr>
                <w:sz w:val="24"/>
              </w:rPr>
            </w:pPr>
            <w:r>
              <w:rPr>
                <w:rFonts w:ascii="Times New Roman" w:hAnsi="Times New Roman"/>
                <w:sz w:val="24"/>
              </w:rPr>
              <w:t>0–3 мес. (специализация); 3–9 мес. (штат)</w:t>
            </w:r>
          </w:p>
        </w:tc>
        <w:tc>
          <w:tcPr>
            <w:tcW w:type="dxa" w:w="1519"/>
            <w:vAlign w:val="center"/>
          </w:tcPr>
          <w:p w14:paraId="20000000">
            <w:pPr>
              <w:ind/>
              <w:jc w:val="center"/>
              <w:rPr>
                <w:sz w:val="24"/>
              </w:rPr>
            </w:pPr>
            <w:r>
              <w:rPr>
                <w:rFonts w:ascii="Times New Roman" w:hAnsi="Times New Roman"/>
                <w:sz w:val="24"/>
              </w:rPr>
              <w:t>Глава АМО; Дума АМО</w:t>
            </w:r>
          </w:p>
        </w:tc>
        <w:tc>
          <w:tcPr>
            <w:tcW w:type="dxa" w:w="1881"/>
            <w:vAlign w:val="center"/>
          </w:tcPr>
          <w:p w14:paraId="21000000">
            <w:pPr>
              <w:ind/>
              <w:jc w:val="center"/>
              <w:rPr>
                <w:sz w:val="24"/>
              </w:rPr>
            </w:pPr>
            <w:r>
              <w:rPr>
                <w:rFonts w:ascii="Times New Roman" w:hAnsi="Times New Roman"/>
                <w:sz w:val="24"/>
              </w:rPr>
              <w:t>360 тыс. руб./год (ФОТ + начисления 1 ед.)</w:t>
            </w:r>
          </w:p>
        </w:tc>
      </w:tr>
      <w:tr>
        <w:tc>
          <w:tcPr>
            <w:tcW w:type="dxa" w:w="1921"/>
            <w:vAlign w:val="center"/>
          </w:tcPr>
          <w:p w14:paraId="22000000">
            <w:pPr>
              <w:ind/>
              <w:jc w:val="center"/>
              <w:rPr>
                <w:sz w:val="24"/>
              </w:rPr>
            </w:pPr>
            <w:r>
              <w:rPr>
                <w:rFonts w:ascii="Times New Roman" w:hAnsi="Times New Roman"/>
                <w:sz w:val="24"/>
              </w:rPr>
              <w:t>Организация «Мобильного социального пункта» (еженедельный выездной приём)</w:t>
            </w:r>
          </w:p>
        </w:tc>
        <w:tc>
          <w:tcPr>
            <w:tcW w:type="dxa" w:w="2126"/>
            <w:vAlign w:val="center"/>
          </w:tcPr>
          <w:p w14:paraId="23000000">
            <w:pPr>
              <w:ind/>
              <w:jc w:val="center"/>
              <w:rPr>
                <w:sz w:val="24"/>
              </w:rPr>
            </w:pPr>
            <w:r>
              <w:rPr>
                <w:rFonts w:ascii="Times New Roman" w:hAnsi="Times New Roman"/>
                <w:sz w:val="24"/>
              </w:rPr>
              <w:t>Транспортная недоступность услуг (30 км)</w:t>
            </w:r>
          </w:p>
        </w:tc>
        <w:tc>
          <w:tcPr>
            <w:tcW w:type="dxa" w:w="1908"/>
            <w:vAlign w:val="center"/>
          </w:tcPr>
          <w:p w14:paraId="24000000">
            <w:pPr>
              <w:ind/>
              <w:jc w:val="center"/>
              <w:rPr>
                <w:sz w:val="24"/>
              </w:rPr>
            </w:pPr>
            <w:r>
              <w:rPr>
                <w:rFonts w:ascii="Times New Roman" w:hAnsi="Times New Roman"/>
                <w:sz w:val="24"/>
              </w:rPr>
              <w:t>1–3 мес.</w:t>
            </w:r>
          </w:p>
        </w:tc>
        <w:tc>
          <w:tcPr>
            <w:tcW w:type="dxa" w:w="1519"/>
            <w:vAlign w:val="center"/>
          </w:tcPr>
          <w:p w14:paraId="25000000">
            <w:pPr>
              <w:ind/>
              <w:jc w:val="center"/>
              <w:rPr>
                <w:sz w:val="24"/>
              </w:rPr>
            </w:pPr>
            <w:r>
              <w:rPr>
                <w:rFonts w:ascii="Times New Roman" w:hAnsi="Times New Roman"/>
                <w:sz w:val="24"/>
              </w:rPr>
              <w:t>ТУ; УСП; СФР; КЦСОН</w:t>
            </w:r>
          </w:p>
        </w:tc>
        <w:tc>
          <w:tcPr>
            <w:tcW w:type="dxa" w:w="1881"/>
            <w:vAlign w:val="center"/>
          </w:tcPr>
          <w:p w14:paraId="26000000">
            <w:pPr>
              <w:ind/>
              <w:jc w:val="center"/>
              <w:rPr>
                <w:sz w:val="24"/>
              </w:rPr>
            </w:pPr>
            <w:r>
              <w:rPr>
                <w:rFonts w:ascii="Times New Roman" w:hAnsi="Times New Roman"/>
                <w:sz w:val="24"/>
              </w:rPr>
              <w:t>Соглашение о взаимодействии; служебный транспорт участников</w:t>
            </w:r>
          </w:p>
        </w:tc>
      </w:tr>
      <w:tr>
        <w:tc>
          <w:tcPr>
            <w:tcW w:type="dxa" w:w="1921"/>
            <w:vAlign w:val="center"/>
          </w:tcPr>
          <w:p w14:paraId="27000000">
            <w:pPr>
              <w:ind/>
              <w:jc w:val="center"/>
              <w:rPr>
                <w:sz w:val="24"/>
              </w:rPr>
            </w:pPr>
            <w:r>
              <w:rPr>
                <w:rFonts w:ascii="Times New Roman" w:hAnsi="Times New Roman"/>
                <w:sz w:val="24"/>
              </w:rPr>
              <w:t>Утверждение «Протокола маршрутизации» нуждающегося гражданина</w:t>
            </w:r>
          </w:p>
        </w:tc>
        <w:tc>
          <w:tcPr>
            <w:tcW w:type="dxa" w:w="2126"/>
            <w:vAlign w:val="center"/>
          </w:tcPr>
          <w:p w14:paraId="28000000">
            <w:pPr>
              <w:ind/>
              <w:jc w:val="center"/>
              <w:rPr>
                <w:sz w:val="24"/>
              </w:rPr>
            </w:pPr>
            <w:r>
              <w:rPr>
                <w:rFonts w:ascii="Times New Roman" w:hAnsi="Times New Roman"/>
                <w:sz w:val="24"/>
              </w:rPr>
              <w:t>Неформальность межведомственной координации</w:t>
            </w:r>
          </w:p>
        </w:tc>
        <w:tc>
          <w:tcPr>
            <w:tcW w:type="dxa" w:w="1908"/>
            <w:vAlign w:val="center"/>
          </w:tcPr>
          <w:p w14:paraId="29000000">
            <w:pPr>
              <w:ind/>
              <w:jc w:val="center"/>
              <w:rPr>
                <w:sz w:val="24"/>
              </w:rPr>
            </w:pPr>
            <w:r>
              <w:rPr>
                <w:rFonts w:ascii="Times New Roman" w:hAnsi="Times New Roman"/>
                <w:sz w:val="24"/>
              </w:rPr>
              <w:t>2–3 мес.</w:t>
            </w:r>
          </w:p>
        </w:tc>
        <w:tc>
          <w:tcPr>
            <w:tcW w:type="dxa" w:w="1519"/>
            <w:vAlign w:val="center"/>
          </w:tcPr>
          <w:p w14:paraId="2A000000">
            <w:pPr>
              <w:ind/>
              <w:jc w:val="center"/>
              <w:rPr>
                <w:sz w:val="24"/>
              </w:rPr>
            </w:pPr>
            <w:r>
              <w:rPr>
                <w:rFonts w:ascii="Times New Roman" w:hAnsi="Times New Roman"/>
                <w:sz w:val="24"/>
              </w:rPr>
              <w:t>ТУ; ОВП; КЦСОН; УСП</w:t>
            </w:r>
          </w:p>
        </w:tc>
        <w:tc>
          <w:tcPr>
            <w:tcW w:type="dxa" w:w="1881"/>
            <w:vAlign w:val="center"/>
          </w:tcPr>
          <w:p w14:paraId="2B000000">
            <w:pPr>
              <w:ind/>
              <w:jc w:val="center"/>
              <w:rPr>
                <w:sz w:val="24"/>
              </w:rPr>
            </w:pPr>
            <w:r>
              <w:rPr>
                <w:rFonts w:ascii="Times New Roman" w:hAnsi="Times New Roman"/>
                <w:sz w:val="24"/>
              </w:rPr>
              <w:t>Разработка регламента (силами специалистов); утверждение главой АМО</w:t>
            </w:r>
          </w:p>
        </w:tc>
      </w:tr>
      <w:tr>
        <w:tc>
          <w:tcPr>
            <w:tcW w:type="dxa" w:w="1921"/>
            <w:vAlign w:val="center"/>
          </w:tcPr>
          <w:p w14:paraId="2C000000">
            <w:pPr>
              <w:ind/>
              <w:jc w:val="center"/>
              <w:rPr>
                <w:sz w:val="24"/>
              </w:rPr>
            </w:pPr>
            <w:r>
              <w:rPr>
                <w:rFonts w:ascii="Times New Roman" w:hAnsi="Times New Roman"/>
                <w:sz w:val="24"/>
              </w:rPr>
              <w:t xml:space="preserve">Целевая информационная кампания по единому пособию и </w:t>
            </w:r>
            <w:r>
              <w:rPr>
                <w:rFonts w:ascii="Times New Roman" w:hAnsi="Times New Roman"/>
                <w:sz w:val="24"/>
              </w:rPr>
              <w:t>соцконтракту</w:t>
            </w:r>
          </w:p>
        </w:tc>
        <w:tc>
          <w:tcPr>
            <w:tcW w:type="dxa" w:w="2126"/>
            <w:vAlign w:val="center"/>
          </w:tcPr>
          <w:p w14:paraId="2D000000">
            <w:pPr>
              <w:ind/>
              <w:jc w:val="center"/>
              <w:rPr>
                <w:sz w:val="24"/>
              </w:rPr>
            </w:pPr>
            <w:r>
              <w:rPr>
                <w:rFonts w:ascii="Times New Roman" w:hAnsi="Times New Roman"/>
                <w:sz w:val="24"/>
              </w:rPr>
              <w:t>Неполный охват мерами поддержки (≤65–80% от потребности)</w:t>
            </w:r>
          </w:p>
        </w:tc>
        <w:tc>
          <w:tcPr>
            <w:tcW w:type="dxa" w:w="1908"/>
            <w:vAlign w:val="center"/>
          </w:tcPr>
          <w:p w14:paraId="2E000000">
            <w:pPr>
              <w:ind/>
              <w:jc w:val="center"/>
              <w:rPr>
                <w:sz w:val="24"/>
              </w:rPr>
            </w:pPr>
            <w:r>
              <w:rPr>
                <w:rFonts w:ascii="Times New Roman" w:hAnsi="Times New Roman"/>
                <w:sz w:val="24"/>
              </w:rPr>
              <w:t>2–4 мес.</w:t>
            </w:r>
          </w:p>
        </w:tc>
        <w:tc>
          <w:tcPr>
            <w:tcW w:type="dxa" w:w="1519"/>
            <w:vAlign w:val="center"/>
          </w:tcPr>
          <w:p w14:paraId="2F000000">
            <w:pPr>
              <w:ind/>
              <w:jc w:val="center"/>
              <w:rPr>
                <w:sz w:val="24"/>
              </w:rPr>
            </w:pPr>
            <w:r>
              <w:rPr>
                <w:rFonts w:ascii="Times New Roman" w:hAnsi="Times New Roman"/>
                <w:sz w:val="24"/>
              </w:rPr>
              <w:t>ТУ; УСП; СФР</w:t>
            </w:r>
          </w:p>
        </w:tc>
        <w:tc>
          <w:tcPr>
            <w:tcW w:type="dxa" w:w="1881"/>
            <w:vAlign w:val="center"/>
          </w:tcPr>
          <w:p w14:paraId="30000000">
            <w:pPr>
              <w:ind/>
              <w:jc w:val="center"/>
              <w:rPr>
                <w:sz w:val="24"/>
              </w:rPr>
            </w:pPr>
            <w:r>
              <w:rPr>
                <w:rFonts w:ascii="Times New Roman" w:hAnsi="Times New Roman"/>
                <w:sz w:val="24"/>
              </w:rPr>
              <w:t>5–10 тыс. руб. (печатные материалы); время специалиста ТУ</w:t>
            </w:r>
          </w:p>
        </w:tc>
      </w:tr>
      <w:tr>
        <w:tc>
          <w:tcPr>
            <w:tcW w:type="dxa" w:w="1921"/>
            <w:vAlign w:val="center"/>
          </w:tcPr>
          <w:p w14:paraId="31000000">
            <w:pPr>
              <w:ind/>
              <w:jc w:val="center"/>
              <w:rPr>
                <w:sz w:val="24"/>
              </w:rPr>
            </w:pPr>
            <w:r>
              <w:rPr>
                <w:rFonts w:ascii="Times New Roman" w:hAnsi="Times New Roman"/>
                <w:sz w:val="24"/>
              </w:rPr>
              <w:t>Школа ухода + мини-пункт проката ТСР</w:t>
            </w:r>
          </w:p>
        </w:tc>
        <w:tc>
          <w:tcPr>
            <w:tcW w:type="dxa" w:w="2126"/>
            <w:vAlign w:val="center"/>
          </w:tcPr>
          <w:p w14:paraId="32000000">
            <w:pPr>
              <w:ind/>
              <w:jc w:val="center"/>
              <w:rPr>
                <w:sz w:val="24"/>
              </w:rPr>
            </w:pPr>
            <w:r>
              <w:rPr>
                <w:rFonts w:ascii="Times New Roman" w:hAnsi="Times New Roman"/>
                <w:sz w:val="24"/>
              </w:rPr>
              <w:t>Отсутствие элементов СДУ в посёлке</w:t>
            </w:r>
          </w:p>
        </w:tc>
        <w:tc>
          <w:tcPr>
            <w:tcW w:type="dxa" w:w="1908"/>
            <w:vAlign w:val="center"/>
          </w:tcPr>
          <w:p w14:paraId="33000000">
            <w:pPr>
              <w:ind/>
              <w:jc w:val="center"/>
              <w:rPr>
                <w:sz w:val="24"/>
              </w:rPr>
            </w:pPr>
            <w:r>
              <w:rPr>
                <w:rFonts w:ascii="Times New Roman" w:hAnsi="Times New Roman"/>
                <w:sz w:val="24"/>
              </w:rPr>
              <w:t>6–12 мес.</w:t>
            </w:r>
          </w:p>
        </w:tc>
        <w:tc>
          <w:tcPr>
            <w:tcW w:type="dxa" w:w="1519"/>
            <w:vAlign w:val="center"/>
          </w:tcPr>
          <w:p w14:paraId="34000000">
            <w:pPr>
              <w:ind/>
              <w:jc w:val="center"/>
              <w:rPr>
                <w:sz w:val="24"/>
              </w:rPr>
            </w:pPr>
            <w:r>
              <w:rPr>
                <w:rFonts w:ascii="Times New Roman" w:hAnsi="Times New Roman"/>
                <w:sz w:val="24"/>
              </w:rPr>
              <w:t xml:space="preserve">ТУ; КЦСОН; </w:t>
            </w:r>
            <w:r>
              <w:rPr>
                <w:rFonts w:ascii="Times New Roman" w:hAnsi="Times New Roman"/>
                <w:sz w:val="24"/>
              </w:rPr>
              <w:t>МинсоцСО</w:t>
            </w:r>
          </w:p>
        </w:tc>
        <w:tc>
          <w:tcPr>
            <w:tcW w:type="dxa" w:w="1881"/>
            <w:vAlign w:val="center"/>
          </w:tcPr>
          <w:p w14:paraId="35000000">
            <w:pPr>
              <w:ind/>
              <w:jc w:val="center"/>
              <w:rPr>
                <w:sz w:val="24"/>
              </w:rPr>
            </w:pPr>
            <w:r>
              <w:rPr>
                <w:rFonts w:ascii="Times New Roman" w:hAnsi="Times New Roman"/>
                <w:sz w:val="24"/>
              </w:rPr>
              <w:t>60–80 тыс. руб. (ТСР); методика КЦСОН</w:t>
            </w:r>
          </w:p>
        </w:tc>
      </w:tr>
      <w:tr>
        <w:tc>
          <w:tcPr>
            <w:tcW w:type="dxa" w:w="1921"/>
            <w:vAlign w:val="center"/>
          </w:tcPr>
          <w:p w14:paraId="36000000">
            <w:pPr>
              <w:ind/>
              <w:jc w:val="center"/>
              <w:rPr>
                <w:sz w:val="24"/>
              </w:rPr>
            </w:pPr>
            <w:r>
              <w:rPr>
                <w:rFonts w:ascii="Times New Roman" w:hAnsi="Times New Roman"/>
                <w:sz w:val="24"/>
              </w:rPr>
              <w:t>Мониторинг соблюдения прав проживающих в ПНИ</w:t>
            </w:r>
          </w:p>
        </w:tc>
        <w:tc>
          <w:tcPr>
            <w:tcW w:type="dxa" w:w="2126"/>
            <w:vAlign w:val="center"/>
          </w:tcPr>
          <w:p w14:paraId="37000000">
            <w:pPr>
              <w:ind/>
              <w:jc w:val="center"/>
              <w:rPr>
                <w:sz w:val="24"/>
              </w:rPr>
            </w:pPr>
            <w:r>
              <w:rPr>
                <w:rFonts w:ascii="Times New Roman" w:hAnsi="Times New Roman"/>
                <w:sz w:val="24"/>
              </w:rPr>
              <w:t>Правозащитный риск в ПНИ</w:t>
            </w:r>
          </w:p>
        </w:tc>
        <w:tc>
          <w:tcPr>
            <w:tcW w:type="dxa" w:w="1908"/>
            <w:vAlign w:val="center"/>
          </w:tcPr>
          <w:p w14:paraId="38000000">
            <w:pPr>
              <w:ind/>
              <w:jc w:val="center"/>
              <w:rPr>
                <w:sz w:val="24"/>
              </w:rPr>
            </w:pPr>
            <w:r>
              <w:rPr>
                <w:rFonts w:ascii="Times New Roman" w:hAnsi="Times New Roman"/>
                <w:sz w:val="24"/>
              </w:rPr>
              <w:t>0–1 мес. (запуск)</w:t>
            </w:r>
          </w:p>
        </w:tc>
        <w:tc>
          <w:tcPr>
            <w:tcW w:type="dxa" w:w="1519"/>
            <w:vAlign w:val="center"/>
          </w:tcPr>
          <w:p w14:paraId="39000000">
            <w:pPr>
              <w:ind/>
              <w:jc w:val="center"/>
              <w:rPr>
                <w:sz w:val="24"/>
              </w:rPr>
            </w:pPr>
            <w:r>
              <w:rPr>
                <w:rFonts w:ascii="Times New Roman" w:hAnsi="Times New Roman"/>
                <w:sz w:val="24"/>
              </w:rPr>
              <w:t>ТУ; руководство ПНИ</w:t>
            </w:r>
          </w:p>
        </w:tc>
        <w:tc>
          <w:tcPr>
            <w:tcW w:type="dxa" w:w="1881"/>
            <w:vAlign w:val="center"/>
          </w:tcPr>
          <w:p w14:paraId="3A000000">
            <w:pPr>
              <w:ind/>
              <w:jc w:val="center"/>
              <w:rPr>
                <w:sz w:val="24"/>
              </w:rPr>
            </w:pPr>
            <w:r>
              <w:rPr>
                <w:rFonts w:ascii="Times New Roman" w:hAnsi="Times New Roman"/>
                <w:sz w:val="24"/>
              </w:rPr>
              <w:t>Журнал мониторинга; 2–3 ч./мес. времени начальника ТУ</w:t>
            </w:r>
          </w:p>
        </w:tc>
      </w:tr>
    </w:tbl>
    <w:p w14:paraId="3B000000">
      <w:pPr>
        <w:spacing w:after="0" w:line="360" w:lineRule="auto"/>
        <w:ind w:firstLine="709" w:left="0"/>
        <w:jc w:val="both"/>
        <w:rPr>
          <w:rFonts w:ascii="Times New Roman" w:hAnsi="Times New Roman"/>
          <w:sz w:val="28"/>
        </w:rPr>
      </w:pPr>
    </w:p>
    <w:p w14:paraId="3C000000">
      <w:pPr>
        <w:spacing w:after="0" w:line="360" w:lineRule="auto"/>
        <w:ind w:firstLine="709" w:left="0"/>
        <w:jc w:val="both"/>
        <w:rPr>
          <w:rFonts w:ascii="Times New Roman" w:hAnsi="Times New Roman"/>
          <w:sz w:val="28"/>
        </w:rPr>
      </w:pPr>
      <w:r>
        <w:rPr>
          <w:rFonts w:ascii="Times New Roman" w:hAnsi="Times New Roman"/>
          <w:sz w:val="28"/>
        </w:rPr>
        <w:t xml:space="preserve">Мероприятие 2 в деталях: организационный механизм МСП. Мобильный социальный пункт не предполагает создания нового юридического лица или строительства помещения. Основанием для его работы является соглашение о взаимодействии, подписанное главой АМО с руководителями СФР, КЦСОН и ГАУЗ СО «Артемовская ЦРБ». Соглашение регулирует: расписание выездных приёмов в ТУ; перечень вопросов, которые можно решить на месте (приём заявлений и документов, консультирование, запись в реестр нуждающихся, выдача справок, первичная оценка нуждаемости в социальных услугах по ФЗ № 442-ФЗ); порядок передачи принятых документов в соответствующее ведомство; ответственность за соблюдение расписания. Аналог данной практики </w:t>
      </w:r>
      <w:r>
        <w:rPr>
          <w:rFonts w:ascii="Times New Roman" w:hAnsi="Times New Roman"/>
          <w:sz w:val="28"/>
        </w:rPr>
        <w:t>–</w:t>
      </w:r>
      <w:r>
        <w:rPr>
          <w:rFonts w:ascii="Times New Roman" w:hAnsi="Times New Roman"/>
          <w:sz w:val="28"/>
        </w:rPr>
        <w:t xml:space="preserve"> «выездные клиентские службы» СФР </w:t>
      </w:r>
      <w:r>
        <w:rPr>
          <w:rFonts w:ascii="Times New Roman" w:hAnsi="Times New Roman"/>
          <w:sz w:val="28"/>
        </w:rPr>
        <w:t>–</w:t>
      </w:r>
      <w:r>
        <w:rPr>
          <w:rFonts w:ascii="Times New Roman" w:hAnsi="Times New Roman"/>
          <w:sz w:val="28"/>
        </w:rPr>
        <w:t xml:space="preserve"> закреплён на уровне приказов самого фонда и реализуется в отдалённых поселениях нескольких десятков регионов России, в том числе в Свердловской области в Туринском городском округе и Слободо-Туринском районе. Следовательно, правовой механизм отработан и не требует модельного проектирования.</w:t>
      </w:r>
    </w:p>
    <w:p w14:paraId="3D000000">
      <w:pPr>
        <w:spacing w:after="0" w:line="360" w:lineRule="auto"/>
        <w:ind w:firstLine="709" w:left="0"/>
        <w:jc w:val="both"/>
        <w:rPr>
          <w:rFonts w:ascii="Times New Roman" w:hAnsi="Times New Roman"/>
          <w:sz w:val="28"/>
        </w:rPr>
      </w:pPr>
      <w:r>
        <w:rPr>
          <w:rFonts w:ascii="Times New Roman" w:hAnsi="Times New Roman"/>
          <w:sz w:val="28"/>
        </w:rPr>
        <w:t xml:space="preserve">Мероприятие 3 в деталях: структура Протокола маршрутизации. Документ содержит шесть блоков: субъекты </w:t>
      </w:r>
      <w:r>
        <w:rPr>
          <w:rFonts w:ascii="Times New Roman" w:hAnsi="Times New Roman"/>
          <w:sz w:val="28"/>
        </w:rPr>
        <w:t>–</w:t>
      </w:r>
      <w:r>
        <w:rPr>
          <w:rFonts w:ascii="Times New Roman" w:hAnsi="Times New Roman"/>
          <w:sz w:val="28"/>
        </w:rPr>
        <w:t xml:space="preserve"> перечень организаций-участников протокола с указанием ответственного специалиста от каждой; триггеры </w:t>
      </w:r>
      <w:r>
        <w:rPr>
          <w:rFonts w:ascii="Times New Roman" w:hAnsi="Times New Roman"/>
          <w:sz w:val="28"/>
        </w:rPr>
        <w:t>–</w:t>
      </w:r>
      <w:r>
        <w:rPr>
          <w:rFonts w:ascii="Times New Roman" w:hAnsi="Times New Roman"/>
          <w:sz w:val="28"/>
        </w:rPr>
        <w:t xml:space="preserve"> перечень ситуаций, при которых запускается процедура направления гражданина (выявление признаков нуждаемости при медицинском осмотре, обращение гражданина самостоятельно, сигнал от соседей, выявление при обходе специалистом ТУ, поступление информации из школы или детского сада); форма передачи информации </w:t>
      </w:r>
      <w:r>
        <w:rPr>
          <w:rFonts w:ascii="Times New Roman" w:hAnsi="Times New Roman"/>
          <w:sz w:val="28"/>
        </w:rPr>
        <w:t>–</w:t>
      </w:r>
      <w:r>
        <w:rPr>
          <w:rFonts w:ascii="Times New Roman" w:hAnsi="Times New Roman"/>
          <w:sz w:val="28"/>
        </w:rPr>
        <w:t xml:space="preserve"> стандартный бланк в ЕГИССО или, при отсутствии доступа к системе, защищённый мессенджер-чат организаций-участников с последующей фиксацией в журнале; сроки реагирования по каждому звену; форс-мажорные ситуации (экстренная госпитализация, риск жизни, беспризорный ребёнок) </w:t>
      </w:r>
      <w:r>
        <w:rPr>
          <w:rFonts w:ascii="Times New Roman" w:hAnsi="Times New Roman"/>
          <w:sz w:val="28"/>
        </w:rPr>
        <w:t>–</w:t>
      </w:r>
      <w:r>
        <w:rPr>
          <w:rFonts w:ascii="Times New Roman" w:hAnsi="Times New Roman"/>
          <w:sz w:val="28"/>
        </w:rPr>
        <w:t xml:space="preserve"> отдельный ускоренный алгоритм; ответственность и порядок разрешения споров о компетенции. Прообразом данного документа служит «Регламент межведомственного </w:t>
      </w:r>
      <w:r>
        <w:rPr>
          <w:rFonts w:ascii="Times New Roman" w:hAnsi="Times New Roman"/>
          <w:sz w:val="28"/>
        </w:rPr>
        <w:t>взаимодействия в сфере социального обслуживания», разработанный Министерством социальной политики СО в 2018 году и применяющийся на уровне крупных муниципалитетов. Для Красногвардейского он адаптируется под ограниченный круг участников и малые масштабы.</w:t>
      </w:r>
    </w:p>
    <w:p w14:paraId="3E000000">
      <w:pPr>
        <w:spacing w:after="0" w:line="360" w:lineRule="auto"/>
        <w:ind w:firstLine="709" w:left="0"/>
        <w:jc w:val="both"/>
        <w:rPr>
          <w:rFonts w:ascii="Times New Roman" w:hAnsi="Times New Roman"/>
          <w:sz w:val="28"/>
        </w:rPr>
      </w:pPr>
      <w:r>
        <w:rPr>
          <w:rFonts w:ascii="Times New Roman" w:hAnsi="Times New Roman"/>
          <w:sz w:val="28"/>
        </w:rPr>
        <w:t xml:space="preserve">Мероприятие 4 в деталях: работа с «отказниками». Ежегодно в Артемовском округе регистрируется несколько десятков отказов в назначении единого пособия. Применяя долю 7,2%, можно ориентировочно оценить число отказов по посёлку в 5–12 в год. Каждый отказ </w:t>
      </w:r>
      <w:r>
        <w:rPr>
          <w:rFonts w:ascii="Times New Roman" w:hAnsi="Times New Roman"/>
          <w:sz w:val="28"/>
        </w:rPr>
        <w:t>–</w:t>
      </w:r>
      <w:r>
        <w:rPr>
          <w:rFonts w:ascii="Times New Roman" w:hAnsi="Times New Roman"/>
          <w:sz w:val="28"/>
        </w:rPr>
        <w:t xml:space="preserve"> потенциальный кандидат для повторного рассмотрения при наличии новых обстоятельств или устранении оснований для отказа. Специалист ТУ ведёт реестр отказников (с разбивкой по основаниям: имущественный ценз, нулевая занятость, несоответствие СНИЛС и т.д.) и в рамках квартальной работы уточняет, изменилась ли ситуация семьи. В части </w:t>
      </w:r>
      <w:r>
        <w:rPr>
          <w:rFonts w:ascii="Times New Roman" w:hAnsi="Times New Roman"/>
          <w:sz w:val="28"/>
        </w:rPr>
        <w:t>соцконтракта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основной барьер не в отказах, а в неосведомлённости: по данным социологических исследований Минтруда, около 60% малоимущих граждан, имеющих право на </w:t>
      </w:r>
      <w:r>
        <w:rPr>
          <w:rFonts w:ascii="Times New Roman" w:hAnsi="Times New Roman"/>
          <w:sz w:val="28"/>
        </w:rPr>
        <w:t>соцконтракт</w:t>
      </w:r>
      <w:r>
        <w:rPr>
          <w:rFonts w:ascii="Times New Roman" w:hAnsi="Times New Roman"/>
          <w:sz w:val="28"/>
        </w:rPr>
        <w:t>, не знают о его существовании. Разработка целевой листовки «Ваш шанс: социальный контракт» с конкретными суммами (200 000 руб. на ЛПХ, 350 000 руб. на ИПД), сроками и пошаговым алгоритмом действий является инструментом, устраняющим этот барьер при минимальных затратах.</w:t>
      </w:r>
    </w:p>
    <w:p w14:paraId="3F000000">
      <w:pPr>
        <w:spacing w:after="0" w:line="360" w:lineRule="auto"/>
        <w:ind w:firstLine="709" w:left="0"/>
        <w:jc w:val="both"/>
        <w:rPr>
          <w:rFonts w:ascii="Times New Roman" w:hAnsi="Times New Roman"/>
          <w:sz w:val="28"/>
        </w:rPr>
      </w:pPr>
    </w:p>
    <w:p w14:paraId="40000000">
      <w:pPr>
        <w:pStyle w:val="Style_3"/>
      </w:pPr>
      <w:r>
        <w:t xml:space="preserve">3.2 </w:t>
      </w:r>
      <w:r>
        <w:t>Оценка ожидаемых результатов и социально-экономической эффективности предложенных мероприятий</w:t>
      </w:r>
    </w:p>
    <w:p w14:paraId="41000000">
      <w:pPr>
        <w:spacing w:after="0" w:line="360" w:lineRule="auto"/>
        <w:ind w:firstLine="709" w:left="0"/>
        <w:jc w:val="both"/>
        <w:rPr>
          <w:rFonts w:ascii="Times New Roman" w:hAnsi="Times New Roman"/>
          <w:sz w:val="28"/>
        </w:rPr>
      </w:pPr>
    </w:p>
    <w:p w14:paraId="42000000">
      <w:pPr>
        <w:spacing w:after="0" w:line="360" w:lineRule="auto"/>
        <w:ind w:firstLine="709" w:left="0"/>
        <w:jc w:val="both"/>
        <w:rPr>
          <w:rFonts w:ascii="Times New Roman" w:hAnsi="Times New Roman"/>
          <w:sz w:val="28"/>
        </w:rPr>
      </w:pPr>
      <w:r>
        <w:rPr>
          <w:rFonts w:ascii="Times New Roman" w:hAnsi="Times New Roman"/>
          <w:sz w:val="28"/>
        </w:rPr>
        <w:t xml:space="preserve">Оценка эффективности предложенных мероприятий строится по трём методологическим подходам. Первый </w:t>
      </w:r>
      <w:r>
        <w:rPr>
          <w:rFonts w:ascii="Times New Roman" w:hAnsi="Times New Roman"/>
          <w:sz w:val="28"/>
        </w:rPr>
        <w:t>–</w:t>
      </w:r>
      <w:r>
        <w:rPr>
          <w:rFonts w:ascii="Times New Roman" w:hAnsi="Times New Roman"/>
          <w:sz w:val="28"/>
        </w:rPr>
        <w:t xml:space="preserve"> социальная результативность: изменение охвата нуждающихся граждан мерами поддержки, выраженное в абсолютных числах (человек/семей). Второй </w:t>
      </w:r>
      <w:r>
        <w:rPr>
          <w:rFonts w:ascii="Times New Roman" w:hAnsi="Times New Roman"/>
          <w:sz w:val="28"/>
        </w:rPr>
        <w:t>–</w:t>
      </w:r>
      <w:r>
        <w:rPr>
          <w:rFonts w:ascii="Times New Roman" w:hAnsi="Times New Roman"/>
          <w:sz w:val="28"/>
        </w:rPr>
        <w:t xml:space="preserve"> бюджетный эффект: соотношение государственных затрат на реализацию мероприятий и денежного выражения социального результата (дополнительные средства, поступившие гражданам, либо предотвращённые расходы бюджета). Третий </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организационный эффект: изменение качественных характеристик системы (сокращение сроков оказания услуг, снижение количества ошибок и повторных обращений, увеличение числа вовремя выявленных нуждающихся). Для каждого из шести мероприятий применяется наиболее релевантный подход или их комбинация.</w:t>
      </w:r>
    </w:p>
    <w:p w14:paraId="43000000">
      <w:pPr>
        <w:spacing w:after="0" w:line="360" w:lineRule="auto"/>
        <w:ind w:firstLine="709" w:left="0"/>
        <w:jc w:val="both"/>
        <w:rPr>
          <w:rFonts w:ascii="Times New Roman" w:hAnsi="Times New Roman"/>
          <w:sz w:val="28"/>
        </w:rPr>
      </w:pPr>
      <w:r>
        <w:rPr>
          <w:rFonts w:ascii="Times New Roman" w:hAnsi="Times New Roman"/>
          <w:sz w:val="28"/>
        </w:rPr>
        <w:t xml:space="preserve">Оценка результатов Мероприятия 1 (специализация и расширение штата). Переход от функционального смешения к специализации при неизменном числе штатных единиц (3 чел.) позволяет, по опыту аналогичных реорганизаций в малых муниципалитетах Свердловской области, увеличить число граждан, качественно обслуженных одним специалистом, на 20–30%. Применительно к ТУ Красногвардейского: при исходной расчётной нагрузке 3 × 150 = 450 граждан/год качественная специализация даёт прирост до 3 × 185–195 = 555–585 граждан/год, то есть плюс 105–135 граждан в год при прежнем штате. Добавление четвёртой штатной единицы (специалист по социальной работе) увеличивает производительность системы ещё на 150–200 граждан/год: итоговый охват </w:t>
      </w:r>
      <w:r>
        <w:rPr>
          <w:rFonts w:ascii="Times New Roman" w:hAnsi="Times New Roman"/>
          <w:sz w:val="28"/>
        </w:rPr>
        <w:t>–</w:t>
      </w:r>
      <w:r>
        <w:rPr>
          <w:rFonts w:ascii="Times New Roman" w:hAnsi="Times New Roman"/>
          <w:sz w:val="28"/>
        </w:rPr>
        <w:t xml:space="preserve"> 705–785 граждан/год. Для посёлка с расчётным контингентом нуждающихся около 1 400 чел. это означает рост охвата с примерно 32% (450/1400) до 50–56% (705–785/1400) при реализации двух этапов. При этом ФОТ четвёртой единицы (специалист, 1 квалификационная категория, АМО) составит около 28 000–32 000 руб./мес. (брутто), что с начислениями даёт примерно 360 000–400 000 руб./год </w:t>
      </w:r>
      <w:r>
        <w:rPr>
          <w:rFonts w:ascii="Times New Roman" w:hAnsi="Times New Roman"/>
          <w:sz w:val="28"/>
        </w:rPr>
        <w:t>–</w:t>
      </w:r>
      <w:r>
        <w:rPr>
          <w:rFonts w:ascii="Times New Roman" w:hAnsi="Times New Roman"/>
          <w:sz w:val="28"/>
        </w:rPr>
        <w:t xml:space="preserve"> сумму, вполне сопоставимую с потенциальной экономической отдачей от роста охвата.</w:t>
      </w:r>
    </w:p>
    <w:p w14:paraId="44000000">
      <w:pPr>
        <w:spacing w:after="0" w:line="360" w:lineRule="auto"/>
        <w:ind w:firstLine="709" w:left="0"/>
        <w:jc w:val="both"/>
        <w:rPr>
          <w:rFonts w:ascii="Times New Roman" w:hAnsi="Times New Roman"/>
          <w:sz w:val="28"/>
        </w:rPr>
      </w:pPr>
      <w:r>
        <w:rPr>
          <w:rFonts w:ascii="Times New Roman" w:hAnsi="Times New Roman"/>
          <w:sz w:val="28"/>
        </w:rPr>
        <w:t xml:space="preserve">Оценка результатов Мероприятия 2 (МСП). Транспортный барьер является ключевым фактором, сдерживающим обращения: по оценкам, до 30–40% граждан откладывают оформление льгот именно из-за невозможности добраться до г. Артемовский. При организации еженедельного выездного приёма 52 выездных дня в год с охватом 10–15 посетителей за день дают от 520 до 780 дополнительных консультаций/оформлений в год. Если 25% из них завершатся фактическим назначением или </w:t>
      </w:r>
      <w:r>
        <w:rPr>
          <w:rFonts w:ascii="Times New Roman" w:hAnsi="Times New Roman"/>
          <w:sz w:val="28"/>
        </w:rPr>
        <w:t>доназначением</w:t>
      </w:r>
      <w:r>
        <w:rPr>
          <w:rFonts w:ascii="Times New Roman" w:hAnsi="Times New Roman"/>
          <w:sz w:val="28"/>
        </w:rPr>
        <w:t xml:space="preserve"> меры поддержки </w:t>
      </w:r>
      <w:r>
        <w:rPr>
          <w:rFonts w:ascii="Times New Roman" w:hAnsi="Times New Roman"/>
          <w:sz w:val="28"/>
        </w:rPr>
        <w:t>–</w:t>
      </w:r>
      <w:r>
        <w:rPr>
          <w:rFonts w:ascii="Times New Roman" w:hAnsi="Times New Roman"/>
          <w:sz w:val="28"/>
        </w:rPr>
        <w:t xml:space="preserve"> это 130–195 граждан/год, которые реализуют свои права, не выезжая в </w:t>
      </w:r>
      <w:r>
        <w:rPr>
          <w:rFonts w:ascii="Times New Roman" w:hAnsi="Times New Roman"/>
          <w:sz w:val="28"/>
        </w:rPr>
        <w:t xml:space="preserve">Артемовский. Для сравнения: транспортные издержки гражданина на поездку в Артемовский составляют 600–1 000 руб. (туда-обратно), то есть предотвращённые транспортные расходы 130–195 граждан составят 78 000–195 000 руб./год. Это объём, уже в первый год превышающий затраты на организацию МСП (служебный транспорт </w:t>
      </w:r>
      <w:r>
        <w:rPr>
          <w:rFonts w:ascii="Times New Roman" w:hAnsi="Times New Roman"/>
          <w:sz w:val="28"/>
        </w:rPr>
        <w:t>–</w:t>
      </w:r>
      <w:r>
        <w:rPr>
          <w:rFonts w:ascii="Times New Roman" w:hAnsi="Times New Roman"/>
          <w:sz w:val="28"/>
        </w:rPr>
        <w:t xml:space="preserve"> в рамках текущих расходов ведомств). Кроме того, для части граждан (инвалиды I группы, одинокие пожилые без транспорта) выездной приём является единственной реальной возможностью обратиться за назначением льготы.</w:t>
      </w:r>
    </w:p>
    <w:p w14:paraId="45000000">
      <w:pPr>
        <w:spacing w:after="0" w:line="360" w:lineRule="auto"/>
        <w:ind w:firstLine="709" w:left="0"/>
        <w:jc w:val="both"/>
        <w:rPr>
          <w:rFonts w:ascii="Times New Roman" w:hAnsi="Times New Roman"/>
          <w:sz w:val="28"/>
        </w:rPr>
      </w:pPr>
      <w:r>
        <w:rPr>
          <w:rFonts w:ascii="Times New Roman" w:hAnsi="Times New Roman"/>
          <w:sz w:val="28"/>
        </w:rPr>
        <w:t xml:space="preserve">Оценка результатов Мероприятия 3 (Протокол маршрутизации). Формализация межведомственного взаимодействия приводит к двум количественно верифицируемым улучшениям. Первое </w:t>
      </w:r>
      <w:r>
        <w:rPr>
          <w:rFonts w:ascii="Times New Roman" w:hAnsi="Times New Roman"/>
          <w:sz w:val="28"/>
        </w:rPr>
        <w:t>–</w:t>
      </w:r>
      <w:r>
        <w:rPr>
          <w:rFonts w:ascii="Times New Roman" w:hAnsi="Times New Roman"/>
          <w:sz w:val="28"/>
        </w:rPr>
        <w:t xml:space="preserve"> сокращение среднего срока от выявления нуждаемости до первичного контакта специалиста: с нынешних 15–30 дней (в отсутствие регламента) до 5–7 рабочих дней (по протоколу). Второе </w:t>
      </w:r>
      <w:r>
        <w:rPr>
          <w:rFonts w:ascii="Times New Roman" w:hAnsi="Times New Roman"/>
          <w:sz w:val="28"/>
        </w:rPr>
        <w:t>–</w:t>
      </w:r>
      <w:r>
        <w:rPr>
          <w:rFonts w:ascii="Times New Roman" w:hAnsi="Times New Roman"/>
          <w:sz w:val="28"/>
        </w:rPr>
        <w:t xml:space="preserve"> увеличение числа ранних выявлений: в отсутствие регламента врач ОВП не обязан сообщать в ТУ о выявленных социально уязвимых пациентах; при протоколе это обязательная процедура. По опыту муниципалитетов, внедривших аналогичные регламенты (Нижний Тагил, Первоуральск), в первый год после утверждения протокола число ранних выявлений вырастает на 40–60%. Применительно к посёлку: если ОВП ежегодно принимает около 12 000–15 000 посещений от жителей, из которых 5–8% связаны с состояниями, при которых показаны социальные услуги (600–1 200 случаев), </w:t>
      </w:r>
      <w:r>
        <w:rPr>
          <w:rFonts w:ascii="Times New Roman" w:hAnsi="Times New Roman"/>
          <w:sz w:val="28"/>
        </w:rPr>
        <w:t>–</w:t>
      </w:r>
      <w:r>
        <w:rPr>
          <w:rFonts w:ascii="Times New Roman" w:hAnsi="Times New Roman"/>
          <w:sz w:val="28"/>
        </w:rPr>
        <w:t xml:space="preserve"> при действующей неформальной координации в КЦСОН или ТУ доходит не более 30–40% из них (180–480 случаев). Внедрение протокола позволяет довести эту долю до 60–70% (360–840 случаев/год).</w:t>
      </w:r>
    </w:p>
    <w:p w14:paraId="46000000">
      <w:pPr>
        <w:spacing w:after="0" w:line="360" w:lineRule="auto"/>
        <w:ind w:firstLine="709" w:left="0"/>
        <w:jc w:val="both"/>
        <w:rPr>
          <w:rFonts w:ascii="Times New Roman" w:hAnsi="Times New Roman"/>
          <w:sz w:val="28"/>
        </w:rPr>
      </w:pPr>
      <w:r>
        <w:rPr>
          <w:rFonts w:ascii="Times New Roman" w:hAnsi="Times New Roman"/>
          <w:sz w:val="28"/>
        </w:rPr>
        <w:t xml:space="preserve">Оценка результатов Мероприятия 4 (информационная кампания). Количественный целевой результат кампании: дополнительный охват единым пособием </w:t>
      </w:r>
      <w:r>
        <w:rPr>
          <w:rFonts w:ascii="Times New Roman" w:hAnsi="Times New Roman"/>
          <w:sz w:val="28"/>
        </w:rPr>
        <w:t>–</w:t>
      </w:r>
      <w:r>
        <w:rPr>
          <w:rFonts w:ascii="Times New Roman" w:hAnsi="Times New Roman"/>
          <w:sz w:val="28"/>
        </w:rPr>
        <w:t xml:space="preserve"> 20–35 семей/год (доведение охвата с 65–80% до 85–95% от числа имеющих право); количество новых </w:t>
      </w:r>
      <w:r>
        <w:rPr>
          <w:rFonts w:ascii="Times New Roman" w:hAnsi="Times New Roman"/>
          <w:sz w:val="28"/>
        </w:rPr>
        <w:t>соцконтрактов</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8–15 в год (преимущественно по направлению ЛПХ). Денежный эквивалент дополнительного охвата единым пособием: среднее пособие на одного ребёнка </w:t>
      </w:r>
      <w:r>
        <w:rPr>
          <w:rFonts w:ascii="Times New Roman" w:hAnsi="Times New Roman"/>
          <w:sz w:val="28"/>
        </w:rPr>
        <w:t>–</w:t>
      </w:r>
      <w:r>
        <w:rPr>
          <w:rFonts w:ascii="Times New Roman" w:hAnsi="Times New Roman"/>
          <w:sz w:val="28"/>
        </w:rPr>
        <w:t xml:space="preserve"> 75% от ПМ ребёнка = 0,75 × 15 800 = 11 850 руб./мес.; среднее число детей в целевой семье </w:t>
      </w:r>
      <w:r>
        <w:rPr>
          <w:rFonts w:ascii="Times New Roman" w:hAnsi="Times New Roman"/>
          <w:sz w:val="28"/>
        </w:rPr>
        <w:t>–</w:t>
      </w:r>
      <w:r>
        <w:rPr>
          <w:rFonts w:ascii="Times New Roman" w:hAnsi="Times New Roman"/>
          <w:sz w:val="28"/>
        </w:rPr>
        <w:t xml:space="preserve"> 1,8; дополнительный ежемесячный доход одной семьи: 11 850 × 1,8 = 21 330 руб./мес. За год </w:t>
      </w:r>
      <w:r>
        <w:rPr>
          <w:rFonts w:ascii="Times New Roman" w:hAnsi="Times New Roman"/>
          <w:sz w:val="28"/>
        </w:rPr>
        <w:t>–</w:t>
      </w:r>
      <w:r>
        <w:rPr>
          <w:rFonts w:ascii="Times New Roman" w:hAnsi="Times New Roman"/>
          <w:sz w:val="28"/>
        </w:rPr>
        <w:t xml:space="preserve"> 255 960 руб. На 20–35 семей: 5,1–9,0 млн руб. дополнительных поступлений от государства жителям посёлка в год. Затраты на кампанию: 5 000–10 000 руб. на печатные материалы + около 40 ч. времени специалиста. Соотношение эффекта к затратам </w:t>
      </w:r>
      <w:r>
        <w:rPr>
          <w:rFonts w:ascii="Times New Roman" w:hAnsi="Times New Roman"/>
          <w:sz w:val="28"/>
        </w:rPr>
        <w:t>–</w:t>
      </w:r>
      <w:r>
        <w:rPr>
          <w:rFonts w:ascii="Times New Roman" w:hAnsi="Times New Roman"/>
          <w:sz w:val="28"/>
        </w:rPr>
        <w:t xml:space="preserve"> более чем 500:1. По </w:t>
      </w:r>
      <w:r>
        <w:rPr>
          <w:rFonts w:ascii="Times New Roman" w:hAnsi="Times New Roman"/>
          <w:sz w:val="28"/>
        </w:rPr>
        <w:t>соцконтрактам</w:t>
      </w:r>
      <w:r>
        <w:rPr>
          <w:rFonts w:ascii="Times New Roman" w:hAnsi="Times New Roman"/>
          <w:sz w:val="28"/>
        </w:rPr>
        <w:t xml:space="preserve"> (8–15 контрактов ЛПХ, средняя субсидия 180 000 руб., результативность 85%): добавленный доход 6–11 семей, вышедших из бедности в течение 12–18 месяцев после заключения контракта.</w:t>
      </w:r>
    </w:p>
    <w:p w14:paraId="47000000">
      <w:pPr>
        <w:spacing w:after="0" w:line="360" w:lineRule="auto"/>
        <w:ind w:firstLine="709" w:left="0"/>
        <w:jc w:val="both"/>
        <w:rPr>
          <w:rFonts w:ascii="Times New Roman" w:hAnsi="Times New Roman"/>
          <w:sz w:val="28"/>
        </w:rPr>
      </w:pPr>
      <w:r>
        <w:rPr>
          <w:rFonts w:ascii="Times New Roman" w:hAnsi="Times New Roman"/>
          <w:sz w:val="28"/>
        </w:rPr>
        <w:t xml:space="preserve">Оценка результатов Мероприятия 5 (Школа ухода + ТСР). Число прямых бенефициаров «Школы ухода»: при проведении 4 семинаров в год по 10–15 участников </w:t>
      </w:r>
      <w:r>
        <w:rPr>
          <w:rFonts w:ascii="Times New Roman" w:hAnsi="Times New Roman"/>
          <w:sz w:val="28"/>
        </w:rPr>
        <w:t>–</w:t>
      </w:r>
      <w:r>
        <w:rPr>
          <w:rFonts w:ascii="Times New Roman" w:hAnsi="Times New Roman"/>
          <w:sz w:val="28"/>
        </w:rPr>
        <w:t xml:space="preserve"> 40–60 ухаживающих, получивших практические навыки в год. Из них около 80% имеют подопечного </w:t>
      </w:r>
      <w:r>
        <w:rPr>
          <w:rFonts w:ascii="Times New Roman" w:hAnsi="Times New Roman"/>
          <w:sz w:val="28"/>
        </w:rPr>
        <w:t>–</w:t>
      </w:r>
      <w:r>
        <w:rPr>
          <w:rFonts w:ascii="Times New Roman" w:hAnsi="Times New Roman"/>
          <w:sz w:val="28"/>
        </w:rPr>
        <w:t xml:space="preserve"> тяжёлого инвалида или пожилого гражданина; таким образом, качество ухода улучшается для 32–48 подопечных в год. В рамках системы долговременного ухода по российским нормативам снижение нагрузки на стационарное обслуживание вследствие адекватного надомного ухода предотвращает стационарное размещение части граждан: стоимость места в стационарном учреждении социального обслуживания в Свердловской области </w:t>
      </w:r>
      <w:r>
        <w:rPr>
          <w:rFonts w:ascii="Times New Roman" w:hAnsi="Times New Roman"/>
          <w:sz w:val="28"/>
        </w:rPr>
        <w:t>–</w:t>
      </w:r>
      <w:r>
        <w:rPr>
          <w:rFonts w:ascii="Times New Roman" w:hAnsi="Times New Roman"/>
          <w:sz w:val="28"/>
        </w:rPr>
        <w:t xml:space="preserve"> 2 500–3 000 руб./</w:t>
      </w:r>
      <w:r>
        <w:rPr>
          <w:rFonts w:ascii="Times New Roman" w:hAnsi="Times New Roman"/>
          <w:sz w:val="28"/>
        </w:rPr>
        <w:t>сут</w:t>
      </w:r>
      <w:r>
        <w:rPr>
          <w:rFonts w:ascii="Times New Roman" w:hAnsi="Times New Roman"/>
          <w:sz w:val="28"/>
        </w:rPr>
        <w:t xml:space="preserve">. (75% среднедушевого дохода проживающего + бюджетное финансирование). При предотвращении 3–5 случаев стационарного помещения в год (граждан, для которых надомный уход стал достаточным) годовая экономия бюджета составляет: 3 × 2 700 руб. × 365 = 2,96 млн руб. </w:t>
      </w:r>
      <w:r>
        <w:rPr>
          <w:rFonts w:ascii="Times New Roman" w:hAnsi="Times New Roman"/>
          <w:sz w:val="28"/>
        </w:rPr>
        <w:t>–</w:t>
      </w:r>
      <w:r>
        <w:rPr>
          <w:rFonts w:ascii="Times New Roman" w:hAnsi="Times New Roman"/>
          <w:sz w:val="28"/>
        </w:rPr>
        <w:t xml:space="preserve"> при реалистичной оценке 1–2 предотвращённых случая </w:t>
      </w:r>
      <w:r>
        <w:rPr>
          <w:rFonts w:ascii="Times New Roman" w:hAnsi="Times New Roman"/>
          <w:sz w:val="28"/>
        </w:rPr>
        <w:t>–</w:t>
      </w:r>
      <w:r>
        <w:rPr>
          <w:rFonts w:ascii="Times New Roman" w:hAnsi="Times New Roman"/>
          <w:sz w:val="28"/>
        </w:rPr>
        <w:t xml:space="preserve"> 0,99–1,97 млн руб. Мини-пункт проката ТСР: при 25–35 выданных ТСР в год и средней рыночной стоимости аренды ТСР (ходунки, коляска) 3 000–5 000 руб./мес. </w:t>
      </w:r>
      <w:r>
        <w:rPr>
          <w:rFonts w:ascii="Times New Roman" w:hAnsi="Times New Roman"/>
          <w:sz w:val="28"/>
        </w:rPr>
        <w:t>–</w:t>
      </w:r>
      <w:r>
        <w:rPr>
          <w:rFonts w:ascii="Times New Roman" w:hAnsi="Times New Roman"/>
          <w:sz w:val="28"/>
        </w:rPr>
        <w:t xml:space="preserve"> экономия получателей: 25 × 3 500 × 3 мес. (средний срок) = 262 500 руб./год. При стоимости создания пункта 60 000–80 000 руб. </w:t>
      </w:r>
      <w:r>
        <w:rPr>
          <w:rFonts w:ascii="Times New Roman" w:hAnsi="Times New Roman"/>
          <w:sz w:val="28"/>
        </w:rPr>
        <w:t>–</w:t>
      </w:r>
      <w:r>
        <w:rPr>
          <w:rFonts w:ascii="Times New Roman" w:hAnsi="Times New Roman"/>
          <w:sz w:val="28"/>
        </w:rPr>
        <w:t xml:space="preserve"> окупаемость в первый же год.</w:t>
      </w:r>
    </w:p>
    <w:p w14:paraId="48000000">
      <w:pPr>
        <w:spacing w:after="0" w:line="360" w:lineRule="auto"/>
        <w:ind w:firstLine="709" w:left="0"/>
        <w:jc w:val="both"/>
        <w:rPr>
          <w:rFonts w:ascii="Times New Roman" w:hAnsi="Times New Roman"/>
          <w:sz w:val="28"/>
        </w:rPr>
      </w:pPr>
      <w:r>
        <w:rPr>
          <w:rFonts w:ascii="Times New Roman" w:hAnsi="Times New Roman"/>
          <w:sz w:val="28"/>
        </w:rPr>
        <w:t xml:space="preserve">Оценка результатов Мероприятия 6 (мониторинг прав в ПНИ). Прямой финансовый результат данного мероприятия не поддаётся точному расчёту, </w:t>
      </w:r>
      <w:r>
        <w:rPr>
          <w:rFonts w:ascii="Times New Roman" w:hAnsi="Times New Roman"/>
          <w:sz w:val="28"/>
        </w:rPr>
        <w:t xml:space="preserve">поскольку оно носит профилактический характер. Тем не менее возможна оценка через два косвенных показателя. Первый: предотвращённые потери пенсий проживающих в ПНИ от ненадлежащего распоряжения. По данным проверок Счётной палаты РФ и региональных прокуратур (2021–2024 гг.), в ПНИ различных регионов выявляются случаи, когда пенсия проживающего направляется на покрытие учрежденческих расходов в обход установленной нормы удержания (75% среднедушевого дохода). Если в ПНИ п. Красногвардейский проживает около 100–150 чел. (оценка, исходя из типичного размера районного ПНИ) и хотя бы 2–3 из них оказываются в ситуации ненадлежащего распоряжения пенсией, при средней пенсии 14 000 руб./мес. предотвращённые потери составляют 2–3 × 14 000 × 12 = 336 000–504 000 руб./год. Второй: предотвращённый правовой риск для учреждения </w:t>
      </w:r>
      <w:r>
        <w:rPr>
          <w:rFonts w:ascii="Times New Roman" w:hAnsi="Times New Roman"/>
          <w:sz w:val="28"/>
        </w:rPr>
        <w:t>–</w:t>
      </w:r>
      <w:r>
        <w:rPr>
          <w:rFonts w:ascii="Times New Roman" w:hAnsi="Times New Roman"/>
          <w:sz w:val="28"/>
        </w:rPr>
        <w:t xml:space="preserve"> судебные издержки, штрафы по административным делам по ст. 19.1–19.5 КоАП РФ, репутационные потери, которые могут выражаться в многократно больших суммах, чем профилактические затраты в 2–3 ч./мес. рабочего времени начальника ТУ.</w:t>
      </w:r>
    </w:p>
    <w:p w14:paraId="49000000">
      <w:pPr>
        <w:spacing w:after="0" w:line="360" w:lineRule="auto"/>
        <w:ind w:firstLine="709" w:left="0"/>
        <w:jc w:val="both"/>
        <w:rPr>
          <w:rFonts w:ascii="Times New Roman" w:hAnsi="Times New Roman"/>
          <w:sz w:val="28"/>
        </w:rPr>
      </w:pPr>
      <w:r>
        <w:rPr>
          <w:rFonts w:ascii="Times New Roman" w:hAnsi="Times New Roman"/>
          <w:sz w:val="28"/>
        </w:rPr>
        <w:t xml:space="preserve">Совокупный бюджетный и социальный эффект программы мероприятий. Анализ по шести мероприятиям позволяет суммировать ожидаемые эффекты в два блока. Блок 1 </w:t>
      </w:r>
      <w:r>
        <w:rPr>
          <w:rFonts w:ascii="Times New Roman" w:hAnsi="Times New Roman"/>
          <w:sz w:val="28"/>
        </w:rPr>
        <w:t>–</w:t>
      </w:r>
      <w:r>
        <w:rPr>
          <w:rFonts w:ascii="Times New Roman" w:hAnsi="Times New Roman"/>
          <w:sz w:val="28"/>
        </w:rPr>
        <w:t xml:space="preserve"> прямые денежные поступления жителям посёлка в результате реализации мероприятий: дополнительный охват единым пособием (20–35 семей × 255 960 руб./год) </w:t>
      </w:r>
      <w:r>
        <w:rPr>
          <w:rFonts w:ascii="Times New Roman" w:hAnsi="Times New Roman"/>
          <w:sz w:val="28"/>
        </w:rPr>
        <w:t>–</w:t>
      </w:r>
      <w:r>
        <w:rPr>
          <w:rFonts w:ascii="Times New Roman" w:hAnsi="Times New Roman"/>
          <w:sz w:val="28"/>
        </w:rPr>
        <w:t xml:space="preserve"> 5,1–9,0 млн руб.; новые </w:t>
      </w:r>
      <w:r>
        <w:rPr>
          <w:rFonts w:ascii="Times New Roman" w:hAnsi="Times New Roman"/>
          <w:sz w:val="28"/>
        </w:rPr>
        <w:t>соцконтракты</w:t>
      </w:r>
      <w:r>
        <w:rPr>
          <w:rFonts w:ascii="Times New Roman" w:hAnsi="Times New Roman"/>
          <w:sz w:val="28"/>
        </w:rPr>
        <w:t xml:space="preserve"> ЛПХ (6–11 семей, средний доход от ЛПХ 180 000 руб./год) </w:t>
      </w:r>
      <w:r>
        <w:rPr>
          <w:rFonts w:ascii="Times New Roman" w:hAnsi="Times New Roman"/>
          <w:sz w:val="28"/>
        </w:rPr>
        <w:t>–</w:t>
      </w:r>
      <w:r>
        <w:rPr>
          <w:rFonts w:ascii="Times New Roman" w:hAnsi="Times New Roman"/>
          <w:sz w:val="28"/>
        </w:rPr>
        <w:t xml:space="preserve"> 1,1–2,0 млн руб.; предотвращённые транспортные расходы граждан МСП (130–195 граждан × 800 руб.) </w:t>
      </w:r>
      <w:r>
        <w:rPr>
          <w:rFonts w:ascii="Times New Roman" w:hAnsi="Times New Roman"/>
          <w:sz w:val="28"/>
        </w:rPr>
        <w:t>–</w:t>
      </w:r>
      <w:r>
        <w:rPr>
          <w:rFonts w:ascii="Times New Roman" w:hAnsi="Times New Roman"/>
          <w:sz w:val="28"/>
        </w:rPr>
        <w:t xml:space="preserve"> 0,1–0,16 млн руб. Итого прямые поступления: 6,3–11,2 млн руб./год. Блок 2 </w:t>
      </w:r>
      <w:r>
        <w:rPr>
          <w:rFonts w:ascii="Times New Roman" w:hAnsi="Times New Roman"/>
          <w:sz w:val="28"/>
        </w:rPr>
        <w:t>–</w:t>
      </w:r>
      <w:r>
        <w:rPr>
          <w:rFonts w:ascii="Times New Roman" w:hAnsi="Times New Roman"/>
          <w:sz w:val="28"/>
        </w:rPr>
        <w:t xml:space="preserve"> бюджетная экономия: предотвращённые случаи стационарного помещения (1–2 случая × 987 000 руб./год) </w:t>
      </w:r>
      <w:r>
        <w:rPr>
          <w:rFonts w:ascii="Times New Roman" w:hAnsi="Times New Roman"/>
          <w:sz w:val="28"/>
        </w:rPr>
        <w:t>–</w:t>
      </w:r>
      <w:r>
        <w:rPr>
          <w:rFonts w:ascii="Times New Roman" w:hAnsi="Times New Roman"/>
          <w:sz w:val="28"/>
        </w:rPr>
        <w:t xml:space="preserve"> 0,99–1,97 млн руб.; предотвращённые потери пенсий в ПНИ </w:t>
      </w:r>
      <w:r>
        <w:rPr>
          <w:rFonts w:ascii="Times New Roman" w:hAnsi="Times New Roman"/>
          <w:sz w:val="28"/>
        </w:rPr>
        <w:t>–</w:t>
      </w:r>
      <w:r>
        <w:rPr>
          <w:rFonts w:ascii="Times New Roman" w:hAnsi="Times New Roman"/>
          <w:sz w:val="28"/>
        </w:rPr>
        <w:t xml:space="preserve"> 0,34–0,50 млн руб. Итого экономия: 1,3–2,5 млн руб./год. Совокупный годовой эффект (поступления + экономия): 7,6–13,7 млн руб. Совокупные затраты на реализацию программы мероприятий: 360–400 тыс. руб./год (ФОТ + </w:t>
      </w:r>
      <w:r>
        <w:rPr>
          <w:rFonts w:ascii="Times New Roman" w:hAnsi="Times New Roman"/>
          <w:sz w:val="28"/>
        </w:rPr>
        <w:t xml:space="preserve">начисления 4-й единицы ТУ) + 60–80 тыс. руб. (ТСР, единовременно) + 5–10 тыс. руб. (печатные материалы) + косвенные расходы (служебный транспорт, рабочее время специалистов) </w:t>
      </w:r>
      <w:r>
        <w:rPr>
          <w:rFonts w:ascii="Times New Roman" w:hAnsi="Times New Roman"/>
          <w:sz w:val="28"/>
        </w:rPr>
        <w:t xml:space="preserve">составят </w:t>
      </w:r>
      <w:r>
        <w:rPr>
          <w:rFonts w:ascii="Times New Roman" w:hAnsi="Times New Roman"/>
          <w:sz w:val="28"/>
        </w:rPr>
        <w:t xml:space="preserve">ещё 100–150 тыс. руб./год. Итого: 525–640 тыс. руб. в год (после первого года </w:t>
      </w:r>
      <w:r>
        <w:rPr>
          <w:rFonts w:ascii="Times New Roman" w:hAnsi="Times New Roman"/>
          <w:sz w:val="28"/>
        </w:rPr>
        <w:t>–</w:t>
      </w:r>
      <w:r>
        <w:rPr>
          <w:rFonts w:ascii="Times New Roman" w:hAnsi="Times New Roman"/>
          <w:sz w:val="28"/>
        </w:rPr>
        <w:t xml:space="preserve"> без единовременных затрат). Отношение эффекта к затратам: (7,6–13,7 млн) / (0,53–0,64 млн) = 11,9–21,4.</w:t>
      </w:r>
    </w:p>
    <w:p w14:paraId="4A000000">
      <w:pPr>
        <w:spacing w:after="0" w:line="360" w:lineRule="auto"/>
        <w:ind w:firstLine="709" w:left="0"/>
        <w:jc w:val="right"/>
        <w:rPr>
          <w:rFonts w:ascii="Times New Roman" w:hAnsi="Times New Roman"/>
          <w:sz w:val="28"/>
        </w:rPr>
      </w:pPr>
      <w:r>
        <w:rPr>
          <w:rFonts w:ascii="Times New Roman" w:hAnsi="Times New Roman"/>
          <w:sz w:val="28"/>
        </w:rPr>
        <w:t>Таблица 3.2</w:t>
      </w:r>
    </w:p>
    <w:p w14:paraId="4B000000">
      <w:pPr>
        <w:spacing w:after="0" w:line="360" w:lineRule="auto"/>
        <w:ind/>
        <w:jc w:val="center"/>
        <w:rPr>
          <w:rFonts w:ascii="Times New Roman" w:hAnsi="Times New Roman"/>
          <w:sz w:val="28"/>
        </w:rPr>
      </w:pPr>
      <w:r>
        <w:rPr>
          <w:rFonts w:ascii="Times New Roman" w:hAnsi="Times New Roman"/>
          <w:sz w:val="28"/>
        </w:rPr>
        <w:t>Оценка социально-экономической эффективности мероприятий программы совершенствования системы социальной защиты</w:t>
      </w:r>
    </w:p>
    <w:tbl>
      <w:tblPr>
        <w:tblStyle w:val="Style_4"/>
        <w:tblLayout w:type="fixed"/>
      </w:tblPr>
      <w:tblGrid>
        <w:gridCol w:w="1546"/>
        <w:gridCol w:w="1811"/>
        <w:gridCol w:w="1468"/>
        <w:gridCol w:w="1577"/>
        <w:gridCol w:w="1665"/>
        <w:gridCol w:w="1289"/>
      </w:tblGrid>
      <w:tr>
        <w:tc>
          <w:tcPr>
            <w:tcW w:type="dxa" w:w="1546"/>
            <w:vAlign w:val="center"/>
          </w:tcPr>
          <w:p w14:paraId="4C000000">
            <w:pPr>
              <w:ind/>
              <w:jc w:val="center"/>
              <w:rPr>
                <w:sz w:val="22"/>
              </w:rPr>
            </w:pPr>
            <w:r>
              <w:rPr>
                <w:rFonts w:ascii="Times New Roman" w:hAnsi="Times New Roman"/>
                <w:sz w:val="22"/>
              </w:rPr>
              <w:t>Мероприятие</w:t>
            </w:r>
          </w:p>
        </w:tc>
        <w:tc>
          <w:tcPr>
            <w:tcW w:type="dxa" w:w="1811"/>
            <w:vAlign w:val="center"/>
          </w:tcPr>
          <w:p w14:paraId="4D000000">
            <w:pPr>
              <w:ind/>
              <w:jc w:val="center"/>
              <w:rPr>
                <w:sz w:val="22"/>
              </w:rPr>
            </w:pPr>
            <w:r>
              <w:rPr>
                <w:rFonts w:ascii="Times New Roman" w:hAnsi="Times New Roman"/>
                <w:sz w:val="22"/>
              </w:rPr>
              <w:t>Прямые бенефициары, чел./семей</w:t>
            </w:r>
          </w:p>
        </w:tc>
        <w:tc>
          <w:tcPr>
            <w:tcW w:type="dxa" w:w="1468"/>
            <w:vAlign w:val="center"/>
          </w:tcPr>
          <w:p w14:paraId="4E000000">
            <w:pPr>
              <w:ind/>
              <w:jc w:val="center"/>
              <w:rPr>
                <w:sz w:val="22"/>
              </w:rPr>
            </w:pPr>
            <w:r>
              <w:rPr>
                <w:rFonts w:ascii="Times New Roman" w:hAnsi="Times New Roman"/>
                <w:sz w:val="22"/>
              </w:rPr>
              <w:t>Денежный эффект (годовой)</w:t>
            </w:r>
          </w:p>
        </w:tc>
        <w:tc>
          <w:tcPr>
            <w:tcW w:type="dxa" w:w="1577"/>
            <w:vAlign w:val="center"/>
          </w:tcPr>
          <w:p w14:paraId="4F000000">
            <w:pPr>
              <w:ind/>
              <w:jc w:val="center"/>
              <w:rPr>
                <w:sz w:val="22"/>
              </w:rPr>
            </w:pPr>
            <w:r>
              <w:rPr>
                <w:rFonts w:ascii="Times New Roman" w:hAnsi="Times New Roman"/>
                <w:sz w:val="22"/>
              </w:rPr>
              <w:t>Затраты (годовые)</w:t>
            </w:r>
          </w:p>
        </w:tc>
        <w:tc>
          <w:tcPr>
            <w:tcW w:type="dxa" w:w="1665"/>
            <w:vAlign w:val="center"/>
          </w:tcPr>
          <w:p w14:paraId="50000000">
            <w:pPr>
              <w:ind/>
              <w:jc w:val="center"/>
              <w:rPr>
                <w:sz w:val="22"/>
              </w:rPr>
            </w:pPr>
            <w:r>
              <w:rPr>
                <w:rFonts w:ascii="Times New Roman" w:hAnsi="Times New Roman"/>
                <w:sz w:val="22"/>
              </w:rPr>
              <w:t>Коэф</w:t>
            </w:r>
            <w:r>
              <w:rPr>
                <w:rFonts w:ascii="Times New Roman" w:hAnsi="Times New Roman"/>
                <w:sz w:val="22"/>
              </w:rPr>
              <w:t>. эффективности (эффект/затраты)</w:t>
            </w:r>
          </w:p>
        </w:tc>
        <w:tc>
          <w:tcPr>
            <w:tcW w:type="dxa" w:w="1289"/>
            <w:vAlign w:val="center"/>
          </w:tcPr>
          <w:p w14:paraId="51000000">
            <w:pPr>
              <w:ind/>
              <w:jc w:val="center"/>
              <w:rPr>
                <w:sz w:val="22"/>
              </w:rPr>
            </w:pPr>
            <w:r>
              <w:rPr>
                <w:rFonts w:ascii="Times New Roman" w:hAnsi="Times New Roman"/>
                <w:sz w:val="22"/>
              </w:rPr>
              <w:t>Срок окупаемости</w:t>
            </w:r>
          </w:p>
        </w:tc>
      </w:tr>
      <w:tr>
        <w:tc>
          <w:tcPr>
            <w:tcW w:type="dxa" w:w="1546"/>
            <w:vAlign w:val="center"/>
          </w:tcPr>
          <w:p w14:paraId="52000000">
            <w:pPr>
              <w:ind/>
              <w:jc w:val="center"/>
              <w:rPr>
                <w:sz w:val="22"/>
              </w:rPr>
            </w:pPr>
            <w:r>
              <w:rPr>
                <w:rFonts w:ascii="Times New Roman" w:hAnsi="Times New Roman"/>
                <w:sz w:val="22"/>
              </w:rPr>
              <w:t>1. Специализация ТУ + 4-я ед.</w:t>
            </w:r>
          </w:p>
        </w:tc>
        <w:tc>
          <w:tcPr>
            <w:tcW w:type="dxa" w:w="1811"/>
            <w:vAlign w:val="center"/>
          </w:tcPr>
          <w:p w14:paraId="53000000">
            <w:pPr>
              <w:ind/>
              <w:jc w:val="center"/>
              <w:rPr>
                <w:sz w:val="22"/>
              </w:rPr>
            </w:pPr>
            <w:r>
              <w:rPr>
                <w:rFonts w:ascii="Times New Roman" w:hAnsi="Times New Roman"/>
                <w:sz w:val="22"/>
              </w:rPr>
              <w:t>105–135 граждан (без доп. ед.); +255–285 граждан (с 4-й ед.)</w:t>
            </w:r>
          </w:p>
        </w:tc>
        <w:tc>
          <w:tcPr>
            <w:tcW w:type="dxa" w:w="1468"/>
            <w:vAlign w:val="center"/>
          </w:tcPr>
          <w:p w14:paraId="54000000">
            <w:pPr>
              <w:ind/>
              <w:jc w:val="center"/>
              <w:rPr>
                <w:sz w:val="22"/>
              </w:rPr>
            </w:pPr>
            <w:r>
              <w:rPr>
                <w:rFonts w:ascii="Times New Roman" w:hAnsi="Times New Roman"/>
                <w:sz w:val="22"/>
              </w:rPr>
              <w:t>Косвенный: рост охвата на 50–56%</w:t>
            </w:r>
          </w:p>
        </w:tc>
        <w:tc>
          <w:tcPr>
            <w:tcW w:type="dxa" w:w="1577"/>
            <w:vAlign w:val="center"/>
          </w:tcPr>
          <w:p w14:paraId="55000000">
            <w:pPr>
              <w:ind/>
              <w:jc w:val="center"/>
              <w:rPr>
                <w:sz w:val="22"/>
              </w:rPr>
            </w:pPr>
            <w:r>
              <w:rPr>
                <w:rFonts w:ascii="Times New Roman" w:hAnsi="Times New Roman"/>
                <w:sz w:val="22"/>
              </w:rPr>
              <w:t>360–400 тыс. руб./год</w:t>
            </w:r>
          </w:p>
        </w:tc>
        <w:tc>
          <w:tcPr>
            <w:tcW w:type="dxa" w:w="1665"/>
            <w:vAlign w:val="center"/>
          </w:tcPr>
          <w:p w14:paraId="56000000">
            <w:pPr>
              <w:ind/>
              <w:jc w:val="center"/>
              <w:rPr>
                <w:sz w:val="22"/>
              </w:rPr>
            </w:pPr>
            <w:r>
              <w:rPr>
                <w:rFonts w:ascii="Times New Roman" w:hAnsi="Times New Roman"/>
                <w:sz w:val="22"/>
              </w:rPr>
              <w:t>Косвенно измеримый</w:t>
            </w:r>
          </w:p>
        </w:tc>
        <w:tc>
          <w:tcPr>
            <w:tcW w:type="dxa" w:w="1289"/>
            <w:vAlign w:val="center"/>
          </w:tcPr>
          <w:p w14:paraId="57000000">
            <w:pPr>
              <w:ind/>
              <w:jc w:val="center"/>
              <w:rPr>
                <w:sz w:val="22"/>
              </w:rPr>
            </w:pPr>
            <w:r>
              <w:rPr>
                <w:rFonts w:ascii="Times New Roman" w:hAnsi="Times New Roman"/>
                <w:sz w:val="22"/>
              </w:rPr>
              <w:t>Немедленно</w:t>
            </w:r>
          </w:p>
        </w:tc>
      </w:tr>
      <w:tr>
        <w:tc>
          <w:tcPr>
            <w:tcW w:type="dxa" w:w="1546"/>
            <w:vAlign w:val="center"/>
          </w:tcPr>
          <w:p w14:paraId="58000000">
            <w:pPr>
              <w:ind/>
              <w:jc w:val="center"/>
              <w:rPr>
                <w:sz w:val="22"/>
              </w:rPr>
            </w:pPr>
            <w:r>
              <w:rPr>
                <w:rFonts w:ascii="Times New Roman" w:hAnsi="Times New Roman"/>
                <w:sz w:val="22"/>
              </w:rPr>
              <w:t>2. МСП (выездной приём)</w:t>
            </w:r>
          </w:p>
        </w:tc>
        <w:tc>
          <w:tcPr>
            <w:tcW w:type="dxa" w:w="1811"/>
            <w:vAlign w:val="center"/>
          </w:tcPr>
          <w:p w14:paraId="59000000">
            <w:pPr>
              <w:ind/>
              <w:jc w:val="center"/>
              <w:rPr>
                <w:sz w:val="22"/>
              </w:rPr>
            </w:pPr>
            <w:r>
              <w:rPr>
                <w:rFonts w:ascii="Times New Roman" w:hAnsi="Times New Roman"/>
                <w:sz w:val="22"/>
              </w:rPr>
              <w:t>130–195 граждан/год</w:t>
            </w:r>
          </w:p>
        </w:tc>
        <w:tc>
          <w:tcPr>
            <w:tcW w:type="dxa" w:w="1468"/>
            <w:vAlign w:val="center"/>
          </w:tcPr>
          <w:p w14:paraId="5A000000">
            <w:pPr>
              <w:ind/>
              <w:jc w:val="center"/>
              <w:rPr>
                <w:sz w:val="22"/>
              </w:rPr>
            </w:pPr>
            <w:r>
              <w:rPr>
                <w:rFonts w:ascii="Times New Roman" w:hAnsi="Times New Roman"/>
                <w:sz w:val="22"/>
              </w:rPr>
              <w:t>78–195 тыс. руб. (транспортная экономия); потенциал назначения льгот</w:t>
            </w:r>
          </w:p>
        </w:tc>
        <w:tc>
          <w:tcPr>
            <w:tcW w:type="dxa" w:w="1577"/>
            <w:vAlign w:val="center"/>
          </w:tcPr>
          <w:p w14:paraId="5B000000">
            <w:pPr>
              <w:ind/>
              <w:jc w:val="center"/>
              <w:rPr>
                <w:sz w:val="22"/>
              </w:rPr>
            </w:pPr>
            <w:r>
              <w:rPr>
                <w:rFonts w:ascii="Times New Roman" w:hAnsi="Times New Roman"/>
                <w:sz w:val="22"/>
              </w:rPr>
              <w:t>В рамках текущих расходов ведомств</w:t>
            </w:r>
          </w:p>
        </w:tc>
        <w:tc>
          <w:tcPr>
            <w:tcW w:type="dxa" w:w="1665"/>
            <w:vAlign w:val="center"/>
          </w:tcPr>
          <w:p w14:paraId="5C000000">
            <w:pPr>
              <w:ind/>
              <w:jc w:val="center"/>
              <w:rPr>
                <w:sz w:val="22"/>
              </w:rPr>
            </w:pPr>
            <w:r>
              <w:rPr>
                <w:rFonts w:ascii="Times New Roman" w:hAnsi="Times New Roman"/>
                <w:sz w:val="22"/>
              </w:rPr>
              <w:t>&gt; 1,0 (в первый год)</w:t>
            </w:r>
          </w:p>
        </w:tc>
        <w:tc>
          <w:tcPr>
            <w:tcW w:type="dxa" w:w="1289"/>
            <w:vAlign w:val="center"/>
          </w:tcPr>
          <w:p w14:paraId="5D000000">
            <w:pPr>
              <w:ind/>
              <w:jc w:val="center"/>
              <w:rPr>
                <w:sz w:val="22"/>
              </w:rPr>
            </w:pPr>
            <w:r>
              <w:rPr>
                <w:rFonts w:ascii="Times New Roman" w:hAnsi="Times New Roman"/>
                <w:sz w:val="22"/>
              </w:rPr>
              <w:t>&lt; 3</w:t>
            </w:r>
            <w:r>
              <w:rPr>
                <w:rFonts w:ascii="Times New Roman" w:hAnsi="Times New Roman"/>
                <w:sz w:val="22"/>
              </w:rPr>
              <w:t xml:space="preserve"> месяцев</w:t>
            </w:r>
          </w:p>
        </w:tc>
      </w:tr>
      <w:tr>
        <w:tc>
          <w:tcPr>
            <w:tcW w:type="dxa" w:w="1546"/>
            <w:vAlign w:val="center"/>
          </w:tcPr>
          <w:p w14:paraId="5E000000">
            <w:pPr>
              <w:ind/>
              <w:jc w:val="center"/>
              <w:rPr>
                <w:sz w:val="22"/>
              </w:rPr>
            </w:pPr>
            <w:r>
              <w:rPr>
                <w:rFonts w:ascii="Times New Roman" w:hAnsi="Times New Roman"/>
                <w:sz w:val="22"/>
              </w:rPr>
              <w:t>3. Протокол маршрутизации</w:t>
            </w:r>
          </w:p>
        </w:tc>
        <w:tc>
          <w:tcPr>
            <w:tcW w:type="dxa" w:w="1811"/>
            <w:vAlign w:val="center"/>
          </w:tcPr>
          <w:p w14:paraId="5F000000">
            <w:pPr>
              <w:ind/>
              <w:jc w:val="center"/>
              <w:rPr>
                <w:sz w:val="22"/>
              </w:rPr>
            </w:pPr>
            <w:r>
              <w:rPr>
                <w:rFonts w:ascii="Times New Roman" w:hAnsi="Times New Roman"/>
                <w:sz w:val="22"/>
              </w:rPr>
              <w:t>180–360 ранних выявлений/год</w:t>
            </w:r>
          </w:p>
        </w:tc>
        <w:tc>
          <w:tcPr>
            <w:tcW w:type="dxa" w:w="1468"/>
            <w:vAlign w:val="center"/>
          </w:tcPr>
          <w:p w14:paraId="60000000">
            <w:pPr>
              <w:ind/>
              <w:jc w:val="center"/>
              <w:rPr>
                <w:sz w:val="22"/>
              </w:rPr>
            </w:pPr>
            <w:r>
              <w:rPr>
                <w:rFonts w:ascii="Times New Roman" w:hAnsi="Times New Roman"/>
                <w:sz w:val="22"/>
              </w:rPr>
              <w:t>Косвенный: своевременное получение услуг</w:t>
            </w:r>
          </w:p>
        </w:tc>
        <w:tc>
          <w:tcPr>
            <w:tcW w:type="dxa" w:w="1577"/>
            <w:vAlign w:val="center"/>
          </w:tcPr>
          <w:p w14:paraId="61000000">
            <w:pPr>
              <w:ind/>
              <w:jc w:val="center"/>
              <w:rPr>
                <w:sz w:val="22"/>
              </w:rPr>
            </w:pPr>
            <w:r>
              <w:rPr>
                <w:rFonts w:ascii="Times New Roman" w:hAnsi="Times New Roman"/>
                <w:sz w:val="22"/>
              </w:rPr>
              <w:t>Только рабочее время (2 чел./</w:t>
            </w:r>
            <w:r>
              <w:rPr>
                <w:rFonts w:ascii="Times New Roman" w:hAnsi="Times New Roman"/>
                <w:sz w:val="22"/>
              </w:rPr>
              <w:t>нед</w:t>
            </w:r>
            <w:r>
              <w:rPr>
                <w:rFonts w:ascii="Times New Roman" w:hAnsi="Times New Roman"/>
                <w:sz w:val="22"/>
              </w:rPr>
              <w:t>.)</w:t>
            </w:r>
          </w:p>
        </w:tc>
        <w:tc>
          <w:tcPr>
            <w:tcW w:type="dxa" w:w="1665"/>
            <w:vAlign w:val="center"/>
          </w:tcPr>
          <w:p w14:paraId="62000000">
            <w:pPr>
              <w:ind/>
              <w:jc w:val="center"/>
              <w:rPr>
                <w:sz w:val="22"/>
              </w:rPr>
            </w:pPr>
            <w:r>
              <w:rPr>
                <w:rFonts w:ascii="Times New Roman" w:hAnsi="Times New Roman"/>
                <w:sz w:val="22"/>
              </w:rPr>
              <w:t>Неисчислимый прямо</w:t>
            </w:r>
          </w:p>
        </w:tc>
        <w:tc>
          <w:tcPr>
            <w:tcW w:type="dxa" w:w="1289"/>
            <w:vAlign w:val="center"/>
          </w:tcPr>
          <w:p w14:paraId="63000000">
            <w:pPr>
              <w:ind/>
              <w:jc w:val="center"/>
              <w:rPr>
                <w:sz w:val="22"/>
              </w:rPr>
            </w:pPr>
            <w:r>
              <w:rPr>
                <w:rFonts w:ascii="Times New Roman" w:hAnsi="Times New Roman"/>
                <w:sz w:val="22"/>
              </w:rPr>
              <w:t>Немедленно</w:t>
            </w:r>
          </w:p>
        </w:tc>
      </w:tr>
      <w:tr>
        <w:tc>
          <w:tcPr>
            <w:tcW w:type="dxa" w:w="1546"/>
            <w:vAlign w:val="center"/>
          </w:tcPr>
          <w:p w14:paraId="64000000">
            <w:pPr>
              <w:ind/>
              <w:jc w:val="center"/>
              <w:rPr>
                <w:sz w:val="22"/>
              </w:rPr>
            </w:pPr>
            <w:r>
              <w:rPr>
                <w:rFonts w:ascii="Times New Roman" w:hAnsi="Times New Roman"/>
                <w:sz w:val="22"/>
              </w:rPr>
              <w:t xml:space="preserve">4. </w:t>
            </w:r>
            <w:r>
              <w:rPr>
                <w:rFonts w:ascii="Times New Roman" w:hAnsi="Times New Roman"/>
                <w:sz w:val="22"/>
              </w:rPr>
              <w:t>Инфокампания</w:t>
            </w:r>
            <w:r>
              <w:rPr>
                <w:rFonts w:ascii="Times New Roman" w:hAnsi="Times New Roman"/>
                <w:sz w:val="22"/>
              </w:rPr>
              <w:t xml:space="preserve"> (пособие + </w:t>
            </w:r>
            <w:r>
              <w:rPr>
                <w:rFonts w:ascii="Times New Roman" w:hAnsi="Times New Roman"/>
                <w:sz w:val="22"/>
              </w:rPr>
              <w:t>соцконтракт</w:t>
            </w:r>
            <w:r>
              <w:rPr>
                <w:rFonts w:ascii="Times New Roman" w:hAnsi="Times New Roman"/>
                <w:sz w:val="22"/>
              </w:rPr>
              <w:t>)</w:t>
            </w:r>
          </w:p>
        </w:tc>
        <w:tc>
          <w:tcPr>
            <w:tcW w:type="dxa" w:w="1811"/>
            <w:vAlign w:val="center"/>
          </w:tcPr>
          <w:p w14:paraId="65000000">
            <w:pPr>
              <w:ind/>
              <w:jc w:val="center"/>
              <w:rPr>
                <w:sz w:val="22"/>
              </w:rPr>
            </w:pPr>
            <w:r>
              <w:rPr>
                <w:rFonts w:ascii="Times New Roman" w:hAnsi="Times New Roman"/>
                <w:sz w:val="22"/>
              </w:rPr>
              <w:t>20–35 семей (пособие); +6–11 семей (</w:t>
            </w:r>
            <w:r>
              <w:rPr>
                <w:rFonts w:ascii="Times New Roman" w:hAnsi="Times New Roman"/>
                <w:sz w:val="22"/>
              </w:rPr>
              <w:t>соцконтракт</w:t>
            </w:r>
            <w:r>
              <w:rPr>
                <w:rFonts w:ascii="Times New Roman" w:hAnsi="Times New Roman"/>
                <w:sz w:val="22"/>
              </w:rPr>
              <w:t>)</w:t>
            </w:r>
          </w:p>
        </w:tc>
        <w:tc>
          <w:tcPr>
            <w:tcW w:type="dxa" w:w="1468"/>
            <w:vAlign w:val="center"/>
          </w:tcPr>
          <w:p w14:paraId="66000000">
            <w:pPr>
              <w:ind/>
              <w:jc w:val="center"/>
              <w:rPr>
                <w:sz w:val="22"/>
              </w:rPr>
            </w:pPr>
            <w:r>
              <w:rPr>
                <w:rFonts w:ascii="Times New Roman" w:hAnsi="Times New Roman"/>
                <w:sz w:val="22"/>
              </w:rPr>
              <w:t>6,2–11,0 млн руб./год</w:t>
            </w:r>
          </w:p>
        </w:tc>
        <w:tc>
          <w:tcPr>
            <w:tcW w:type="dxa" w:w="1577"/>
            <w:vAlign w:val="center"/>
          </w:tcPr>
          <w:p w14:paraId="67000000">
            <w:pPr>
              <w:ind/>
              <w:jc w:val="center"/>
              <w:rPr>
                <w:sz w:val="22"/>
              </w:rPr>
            </w:pPr>
            <w:r>
              <w:rPr>
                <w:rFonts w:ascii="Times New Roman" w:hAnsi="Times New Roman"/>
                <w:sz w:val="22"/>
              </w:rPr>
              <w:t>5–10 тыс. руб. + 40 ч. времени</w:t>
            </w:r>
          </w:p>
        </w:tc>
        <w:tc>
          <w:tcPr>
            <w:tcW w:type="dxa" w:w="1665"/>
            <w:vAlign w:val="center"/>
          </w:tcPr>
          <w:p w14:paraId="68000000">
            <w:pPr>
              <w:ind/>
              <w:jc w:val="center"/>
              <w:rPr>
                <w:sz w:val="22"/>
              </w:rPr>
            </w:pPr>
            <w:r>
              <w:rPr>
                <w:rFonts w:ascii="Times New Roman" w:hAnsi="Times New Roman"/>
                <w:sz w:val="22"/>
              </w:rPr>
              <w:t>&gt; 500:1</w:t>
            </w:r>
          </w:p>
        </w:tc>
        <w:tc>
          <w:tcPr>
            <w:tcW w:type="dxa" w:w="1289"/>
            <w:vAlign w:val="center"/>
          </w:tcPr>
          <w:p w14:paraId="69000000">
            <w:pPr>
              <w:ind/>
              <w:jc w:val="center"/>
              <w:rPr>
                <w:sz w:val="22"/>
              </w:rPr>
            </w:pPr>
            <w:r>
              <w:rPr>
                <w:rFonts w:ascii="Times New Roman" w:hAnsi="Times New Roman"/>
                <w:sz w:val="22"/>
              </w:rPr>
              <w:t>&lt; 1</w:t>
            </w:r>
            <w:r>
              <w:rPr>
                <w:rFonts w:ascii="Times New Roman" w:hAnsi="Times New Roman"/>
                <w:sz w:val="22"/>
              </w:rPr>
              <w:t xml:space="preserve"> месяца</w:t>
            </w:r>
          </w:p>
        </w:tc>
      </w:tr>
      <w:tr>
        <w:tc>
          <w:tcPr>
            <w:tcW w:type="dxa" w:w="1546"/>
            <w:vAlign w:val="center"/>
          </w:tcPr>
          <w:p w14:paraId="6A000000">
            <w:pPr>
              <w:ind/>
              <w:jc w:val="center"/>
              <w:rPr>
                <w:sz w:val="22"/>
              </w:rPr>
            </w:pPr>
            <w:r>
              <w:rPr>
                <w:rFonts w:ascii="Times New Roman" w:hAnsi="Times New Roman"/>
                <w:sz w:val="22"/>
              </w:rPr>
              <w:t>5. Школа ухода + ТСР</w:t>
            </w:r>
          </w:p>
        </w:tc>
        <w:tc>
          <w:tcPr>
            <w:tcW w:type="dxa" w:w="1811"/>
            <w:vAlign w:val="center"/>
          </w:tcPr>
          <w:p w14:paraId="6B000000">
            <w:pPr>
              <w:ind/>
              <w:jc w:val="center"/>
              <w:rPr>
                <w:sz w:val="22"/>
              </w:rPr>
            </w:pPr>
            <w:r>
              <w:rPr>
                <w:rFonts w:ascii="Times New Roman" w:hAnsi="Times New Roman"/>
                <w:sz w:val="22"/>
              </w:rPr>
              <w:t>40–60 ухаживающих/год; 25–35 получателей ТСР</w:t>
            </w:r>
          </w:p>
        </w:tc>
        <w:tc>
          <w:tcPr>
            <w:tcW w:type="dxa" w:w="1468"/>
            <w:vAlign w:val="center"/>
          </w:tcPr>
          <w:p w14:paraId="6C000000">
            <w:pPr>
              <w:ind/>
              <w:jc w:val="center"/>
              <w:rPr>
                <w:sz w:val="22"/>
              </w:rPr>
            </w:pPr>
            <w:r>
              <w:rPr>
                <w:rFonts w:ascii="Times New Roman" w:hAnsi="Times New Roman"/>
                <w:sz w:val="22"/>
              </w:rPr>
              <w:t>1,0–2,2 млн руб. (</w:t>
            </w:r>
            <w:r>
              <w:rPr>
                <w:rFonts w:ascii="Times New Roman" w:hAnsi="Times New Roman"/>
                <w:sz w:val="22"/>
              </w:rPr>
              <w:t>предотвр</w:t>
            </w:r>
            <w:r>
              <w:rPr>
                <w:rFonts w:ascii="Times New Roman" w:hAnsi="Times New Roman"/>
                <w:sz w:val="22"/>
              </w:rPr>
              <w:t>. стационар + экономия на аренде ТСР)</w:t>
            </w:r>
          </w:p>
        </w:tc>
        <w:tc>
          <w:tcPr>
            <w:tcW w:type="dxa" w:w="1577"/>
            <w:vAlign w:val="center"/>
          </w:tcPr>
          <w:p w14:paraId="6D000000">
            <w:pPr>
              <w:ind/>
              <w:jc w:val="center"/>
              <w:rPr>
                <w:sz w:val="22"/>
              </w:rPr>
            </w:pPr>
            <w:r>
              <w:rPr>
                <w:rFonts w:ascii="Times New Roman" w:hAnsi="Times New Roman"/>
                <w:sz w:val="22"/>
              </w:rPr>
              <w:t>60–80 тыс. руб. (единовременно ТСР)</w:t>
            </w:r>
          </w:p>
        </w:tc>
        <w:tc>
          <w:tcPr>
            <w:tcW w:type="dxa" w:w="1665"/>
            <w:vAlign w:val="center"/>
          </w:tcPr>
          <w:p w14:paraId="6E000000">
            <w:pPr>
              <w:ind/>
              <w:jc w:val="center"/>
              <w:rPr>
                <w:sz w:val="22"/>
              </w:rPr>
            </w:pPr>
            <w:r>
              <w:rPr>
                <w:rFonts w:ascii="Times New Roman" w:hAnsi="Times New Roman"/>
                <w:sz w:val="22"/>
              </w:rPr>
              <w:t>&gt; 12:1 за 3 года</w:t>
            </w:r>
          </w:p>
        </w:tc>
        <w:tc>
          <w:tcPr>
            <w:tcW w:type="dxa" w:w="1289"/>
            <w:vAlign w:val="center"/>
          </w:tcPr>
          <w:p w14:paraId="6F000000">
            <w:pPr>
              <w:ind/>
              <w:jc w:val="center"/>
              <w:rPr>
                <w:sz w:val="22"/>
              </w:rPr>
            </w:pPr>
            <w:r>
              <w:rPr>
                <w:rFonts w:ascii="Times New Roman" w:hAnsi="Times New Roman"/>
                <w:sz w:val="22"/>
              </w:rPr>
              <w:t>&lt; 1</w:t>
            </w:r>
            <w:r>
              <w:rPr>
                <w:rFonts w:ascii="Times New Roman" w:hAnsi="Times New Roman"/>
                <w:sz w:val="22"/>
              </w:rPr>
              <w:t xml:space="preserve"> года</w:t>
            </w:r>
          </w:p>
        </w:tc>
      </w:tr>
      <w:tr>
        <w:tc>
          <w:tcPr>
            <w:tcW w:type="dxa" w:w="1546"/>
            <w:vAlign w:val="center"/>
          </w:tcPr>
          <w:p w14:paraId="70000000">
            <w:pPr>
              <w:ind/>
              <w:jc w:val="center"/>
              <w:rPr>
                <w:sz w:val="22"/>
              </w:rPr>
            </w:pPr>
            <w:r>
              <w:rPr>
                <w:rFonts w:ascii="Times New Roman" w:hAnsi="Times New Roman"/>
                <w:sz w:val="22"/>
              </w:rPr>
              <w:t>6. Мониторинг ПНИ</w:t>
            </w:r>
          </w:p>
        </w:tc>
        <w:tc>
          <w:tcPr>
            <w:tcW w:type="dxa" w:w="1811"/>
            <w:vAlign w:val="center"/>
          </w:tcPr>
          <w:p w14:paraId="71000000">
            <w:pPr>
              <w:ind/>
              <w:jc w:val="center"/>
              <w:rPr>
                <w:sz w:val="22"/>
              </w:rPr>
            </w:pPr>
            <w:r>
              <w:rPr>
                <w:rFonts w:ascii="Times New Roman" w:hAnsi="Times New Roman"/>
                <w:sz w:val="22"/>
              </w:rPr>
              <w:t>100–150 проживающих ПНИ</w:t>
            </w:r>
          </w:p>
        </w:tc>
        <w:tc>
          <w:tcPr>
            <w:tcW w:type="dxa" w:w="1468"/>
            <w:vAlign w:val="center"/>
          </w:tcPr>
          <w:p w14:paraId="72000000">
            <w:pPr>
              <w:ind/>
              <w:jc w:val="center"/>
              <w:rPr>
                <w:sz w:val="22"/>
              </w:rPr>
            </w:pPr>
            <w:r>
              <w:rPr>
                <w:rFonts w:ascii="Times New Roman" w:hAnsi="Times New Roman"/>
                <w:sz w:val="22"/>
              </w:rPr>
              <w:t>340–500 тыс. руб. (</w:t>
            </w:r>
            <w:r>
              <w:rPr>
                <w:rFonts w:ascii="Times New Roman" w:hAnsi="Times New Roman"/>
                <w:sz w:val="22"/>
              </w:rPr>
              <w:t>предотвр</w:t>
            </w:r>
            <w:r>
              <w:rPr>
                <w:rFonts w:ascii="Times New Roman" w:hAnsi="Times New Roman"/>
                <w:sz w:val="22"/>
              </w:rPr>
              <w:t>. потери пенсий)</w:t>
            </w:r>
          </w:p>
        </w:tc>
        <w:tc>
          <w:tcPr>
            <w:tcW w:type="dxa" w:w="1577"/>
            <w:vAlign w:val="center"/>
          </w:tcPr>
          <w:p w14:paraId="73000000">
            <w:pPr>
              <w:ind/>
              <w:jc w:val="center"/>
              <w:rPr>
                <w:sz w:val="22"/>
              </w:rPr>
            </w:pPr>
            <w:r>
              <w:rPr>
                <w:rFonts w:ascii="Times New Roman" w:hAnsi="Times New Roman"/>
                <w:sz w:val="22"/>
              </w:rPr>
              <w:t>Рабочее время (2–3 ч./мес.)</w:t>
            </w:r>
          </w:p>
        </w:tc>
        <w:tc>
          <w:tcPr>
            <w:tcW w:type="dxa" w:w="1665"/>
            <w:vAlign w:val="center"/>
          </w:tcPr>
          <w:p w14:paraId="74000000">
            <w:pPr>
              <w:ind/>
              <w:jc w:val="center"/>
              <w:rPr>
                <w:sz w:val="22"/>
              </w:rPr>
            </w:pPr>
            <w:r>
              <w:rPr>
                <w:rFonts w:ascii="Times New Roman" w:hAnsi="Times New Roman"/>
                <w:sz w:val="22"/>
              </w:rPr>
              <w:t>&gt; 100:1</w:t>
            </w:r>
          </w:p>
        </w:tc>
        <w:tc>
          <w:tcPr>
            <w:tcW w:type="dxa" w:w="1289"/>
            <w:vAlign w:val="center"/>
          </w:tcPr>
          <w:p w14:paraId="75000000">
            <w:pPr>
              <w:ind/>
              <w:jc w:val="center"/>
              <w:rPr>
                <w:sz w:val="22"/>
              </w:rPr>
            </w:pPr>
            <w:r>
              <w:rPr>
                <w:rFonts w:ascii="Times New Roman" w:hAnsi="Times New Roman"/>
                <w:sz w:val="22"/>
              </w:rPr>
              <w:t>Немедленно</w:t>
            </w:r>
          </w:p>
        </w:tc>
      </w:tr>
    </w:tbl>
    <w:p w14:paraId="76000000">
      <w:pPr>
        <w:spacing w:after="0" w:line="360" w:lineRule="auto"/>
        <w:ind w:firstLine="709" w:left="0"/>
        <w:jc w:val="both"/>
        <w:rPr>
          <w:rFonts w:ascii="Times New Roman" w:hAnsi="Times New Roman"/>
          <w:sz w:val="28"/>
        </w:rPr>
      </w:pPr>
    </w:p>
    <w:p w14:paraId="77000000">
      <w:pPr>
        <w:spacing w:after="0" w:line="360" w:lineRule="auto"/>
        <w:ind w:firstLine="709" w:left="0"/>
        <w:jc w:val="both"/>
        <w:rPr>
          <w:rFonts w:ascii="Times New Roman" w:hAnsi="Times New Roman"/>
          <w:sz w:val="28"/>
        </w:rPr>
      </w:pPr>
      <w:r>
        <w:rPr>
          <w:rFonts w:ascii="Times New Roman" w:hAnsi="Times New Roman"/>
          <w:sz w:val="28"/>
        </w:rPr>
        <w:t xml:space="preserve">Управление реализацией программы требует системы показателей, позволяющих в определённые контрольные точки (3, 6, 12, 18 месяцев) </w:t>
      </w:r>
      <w:r>
        <w:rPr>
          <w:rFonts w:ascii="Times New Roman" w:hAnsi="Times New Roman"/>
          <w:sz w:val="28"/>
        </w:rPr>
        <w:t xml:space="preserve">оценить, движется ли программа к ожидаемому результату. Для каждого мероприятия определены два ключевых показателя: один </w:t>
      </w:r>
      <w:r>
        <w:rPr>
          <w:rFonts w:ascii="Times New Roman" w:hAnsi="Times New Roman"/>
          <w:sz w:val="28"/>
        </w:rPr>
        <w:t>–</w:t>
      </w:r>
      <w:r>
        <w:rPr>
          <w:rFonts w:ascii="Times New Roman" w:hAnsi="Times New Roman"/>
          <w:sz w:val="28"/>
        </w:rPr>
        <w:t xml:space="preserve"> процессный (факт реализации действий), второй </w:t>
      </w:r>
      <w:r>
        <w:rPr>
          <w:rFonts w:ascii="Times New Roman" w:hAnsi="Times New Roman"/>
          <w:sz w:val="28"/>
        </w:rPr>
        <w:t>–</w:t>
      </w:r>
      <w:r>
        <w:rPr>
          <w:rFonts w:ascii="Times New Roman" w:hAnsi="Times New Roman"/>
          <w:sz w:val="28"/>
        </w:rPr>
        <w:t xml:space="preserve"> результативный (изменение в положении граждан).</w:t>
      </w:r>
    </w:p>
    <w:p w14:paraId="78000000">
      <w:pPr>
        <w:spacing w:after="0" w:line="360" w:lineRule="auto"/>
        <w:ind w:firstLine="709" w:left="0"/>
        <w:jc w:val="right"/>
        <w:rPr>
          <w:rFonts w:ascii="Times New Roman" w:hAnsi="Times New Roman"/>
          <w:sz w:val="28"/>
        </w:rPr>
      </w:pPr>
      <w:r>
        <w:rPr>
          <w:rFonts w:ascii="Times New Roman" w:hAnsi="Times New Roman"/>
          <w:sz w:val="28"/>
        </w:rPr>
        <w:t>Таблица 3.3</w:t>
      </w:r>
    </w:p>
    <w:p w14:paraId="79000000">
      <w:pPr>
        <w:spacing w:after="0" w:line="360" w:lineRule="auto"/>
        <w:ind/>
        <w:jc w:val="center"/>
        <w:rPr>
          <w:rFonts w:ascii="Times New Roman" w:hAnsi="Times New Roman"/>
          <w:sz w:val="28"/>
        </w:rPr>
      </w:pPr>
      <w:r>
        <w:rPr>
          <w:rFonts w:ascii="Times New Roman" w:hAnsi="Times New Roman"/>
          <w:sz w:val="28"/>
        </w:rPr>
        <w:t>Целевые показатели мониторинга реализации программы мероприятий</w:t>
      </w:r>
    </w:p>
    <w:tbl>
      <w:tblPr>
        <w:tblStyle w:val="Style_4"/>
        <w:tblLayout w:type="fixed"/>
      </w:tblPr>
      <w:tblGrid>
        <w:gridCol w:w="2084"/>
        <w:gridCol w:w="1952"/>
        <w:gridCol w:w="1796"/>
        <w:gridCol w:w="1817"/>
        <w:gridCol w:w="1706"/>
      </w:tblGrid>
      <w:tr>
        <w:tc>
          <w:tcPr>
            <w:tcW w:type="dxa" w:w="2084"/>
            <w:vAlign w:val="center"/>
          </w:tcPr>
          <w:p w14:paraId="7A000000">
            <w:pPr>
              <w:ind/>
              <w:jc w:val="center"/>
            </w:pPr>
            <w:r>
              <w:rPr>
                <w:rFonts w:ascii="Times New Roman" w:hAnsi="Times New Roman"/>
                <w:sz w:val="22"/>
              </w:rPr>
              <w:t>Мероприятие</w:t>
            </w:r>
          </w:p>
        </w:tc>
        <w:tc>
          <w:tcPr>
            <w:tcW w:type="dxa" w:w="1952"/>
            <w:vAlign w:val="center"/>
          </w:tcPr>
          <w:p w14:paraId="7B000000">
            <w:pPr>
              <w:ind/>
              <w:jc w:val="center"/>
            </w:pPr>
            <w:r>
              <w:rPr>
                <w:rFonts w:ascii="Times New Roman" w:hAnsi="Times New Roman"/>
                <w:sz w:val="22"/>
              </w:rPr>
              <w:t>Процессный показатель (исполнение)</w:t>
            </w:r>
          </w:p>
        </w:tc>
        <w:tc>
          <w:tcPr>
            <w:tcW w:type="dxa" w:w="1796"/>
            <w:vAlign w:val="center"/>
          </w:tcPr>
          <w:p w14:paraId="7C000000">
            <w:pPr>
              <w:ind/>
              <w:jc w:val="center"/>
            </w:pPr>
            <w:r>
              <w:rPr>
                <w:rFonts w:ascii="Times New Roman" w:hAnsi="Times New Roman"/>
                <w:sz w:val="22"/>
              </w:rPr>
              <w:t>Результативный показатель</w:t>
            </w:r>
          </w:p>
        </w:tc>
        <w:tc>
          <w:tcPr>
            <w:tcW w:type="dxa" w:w="1817"/>
            <w:vAlign w:val="center"/>
          </w:tcPr>
          <w:p w14:paraId="7D000000">
            <w:pPr>
              <w:ind/>
              <w:jc w:val="center"/>
            </w:pPr>
            <w:r>
              <w:rPr>
                <w:rFonts w:ascii="Times New Roman" w:hAnsi="Times New Roman"/>
                <w:sz w:val="22"/>
              </w:rPr>
              <w:t>Целевое значение (через 12 мес.)</w:t>
            </w:r>
          </w:p>
        </w:tc>
        <w:tc>
          <w:tcPr>
            <w:tcW w:type="dxa" w:w="1706"/>
            <w:vAlign w:val="center"/>
          </w:tcPr>
          <w:p w14:paraId="7E000000">
            <w:pPr>
              <w:ind/>
              <w:jc w:val="center"/>
            </w:pPr>
            <w:r>
              <w:rPr>
                <w:rFonts w:ascii="Times New Roman" w:hAnsi="Times New Roman"/>
                <w:sz w:val="22"/>
              </w:rPr>
              <w:t>Источник данных</w:t>
            </w:r>
          </w:p>
        </w:tc>
      </w:tr>
      <w:tr>
        <w:tc>
          <w:tcPr>
            <w:tcW w:type="dxa" w:w="2084"/>
            <w:vAlign w:val="center"/>
          </w:tcPr>
          <w:p w14:paraId="7F000000">
            <w:pPr>
              <w:ind/>
              <w:jc w:val="center"/>
            </w:pPr>
            <w:r>
              <w:rPr>
                <w:rFonts w:ascii="Times New Roman" w:hAnsi="Times New Roman"/>
                <w:sz w:val="22"/>
              </w:rPr>
              <w:t>1. Специализация/</w:t>
            </w:r>
            <w:r>
              <w:rPr>
                <w:rFonts w:ascii="Times New Roman" w:hAnsi="Times New Roman"/>
                <w:sz w:val="22"/>
              </w:rPr>
              <w:t xml:space="preserve"> </w:t>
            </w:r>
            <w:r>
              <w:rPr>
                <w:rFonts w:ascii="Times New Roman" w:hAnsi="Times New Roman"/>
                <w:sz w:val="22"/>
              </w:rPr>
              <w:t>штат</w:t>
            </w:r>
          </w:p>
        </w:tc>
        <w:tc>
          <w:tcPr>
            <w:tcW w:type="dxa" w:w="1952"/>
            <w:vAlign w:val="center"/>
          </w:tcPr>
          <w:p w14:paraId="80000000">
            <w:pPr>
              <w:ind/>
              <w:jc w:val="center"/>
            </w:pPr>
            <w:r>
              <w:rPr>
                <w:rFonts w:ascii="Times New Roman" w:hAnsi="Times New Roman"/>
                <w:sz w:val="22"/>
              </w:rPr>
              <w:t>Утверждены должностные инструкции с разграничением функций; введена 4-я ед.</w:t>
            </w:r>
          </w:p>
        </w:tc>
        <w:tc>
          <w:tcPr>
            <w:tcW w:type="dxa" w:w="1796"/>
            <w:vAlign w:val="center"/>
          </w:tcPr>
          <w:p w14:paraId="81000000">
            <w:pPr>
              <w:ind/>
              <w:jc w:val="center"/>
            </w:pPr>
            <w:r>
              <w:rPr>
                <w:rFonts w:ascii="Times New Roman" w:hAnsi="Times New Roman"/>
                <w:sz w:val="22"/>
              </w:rPr>
              <w:t>Число граждан, обслуженных ТУ за год</w:t>
            </w:r>
          </w:p>
        </w:tc>
        <w:tc>
          <w:tcPr>
            <w:tcW w:type="dxa" w:w="1817"/>
            <w:vAlign w:val="center"/>
          </w:tcPr>
          <w:p w14:paraId="82000000">
            <w:pPr>
              <w:ind/>
              <w:jc w:val="center"/>
            </w:pPr>
            <w:r>
              <w:rPr>
                <w:rFonts w:ascii="Times New Roman" w:hAnsi="Times New Roman"/>
                <w:sz w:val="22"/>
              </w:rPr>
              <w:t>≥ 600 граждан/год</w:t>
            </w:r>
          </w:p>
        </w:tc>
        <w:tc>
          <w:tcPr>
            <w:tcW w:type="dxa" w:w="1706"/>
            <w:vAlign w:val="center"/>
          </w:tcPr>
          <w:p w14:paraId="83000000">
            <w:pPr>
              <w:ind/>
              <w:jc w:val="center"/>
            </w:pPr>
            <w:r>
              <w:rPr>
                <w:rFonts w:ascii="Times New Roman" w:hAnsi="Times New Roman"/>
                <w:sz w:val="22"/>
              </w:rPr>
              <w:t>Журнал приёма ТУ</w:t>
            </w:r>
          </w:p>
        </w:tc>
      </w:tr>
      <w:tr>
        <w:tc>
          <w:tcPr>
            <w:tcW w:type="dxa" w:w="2084"/>
            <w:vAlign w:val="center"/>
          </w:tcPr>
          <w:p w14:paraId="84000000">
            <w:pPr>
              <w:ind/>
              <w:jc w:val="center"/>
            </w:pPr>
            <w:r>
              <w:rPr>
                <w:rFonts w:ascii="Times New Roman" w:hAnsi="Times New Roman"/>
                <w:sz w:val="22"/>
              </w:rPr>
              <w:t>2. МСП</w:t>
            </w:r>
          </w:p>
        </w:tc>
        <w:tc>
          <w:tcPr>
            <w:tcW w:type="dxa" w:w="1952"/>
            <w:vAlign w:val="center"/>
          </w:tcPr>
          <w:p w14:paraId="85000000">
            <w:pPr>
              <w:ind/>
              <w:jc w:val="center"/>
            </w:pPr>
            <w:r>
              <w:rPr>
                <w:rFonts w:ascii="Times New Roman" w:hAnsi="Times New Roman"/>
                <w:sz w:val="22"/>
              </w:rPr>
              <w:t>Подписано соглашение о взаимодействии; выездной приём ведётся ≥ 40 раз/год</w:t>
            </w:r>
          </w:p>
        </w:tc>
        <w:tc>
          <w:tcPr>
            <w:tcW w:type="dxa" w:w="1796"/>
            <w:vAlign w:val="center"/>
          </w:tcPr>
          <w:p w14:paraId="86000000">
            <w:pPr>
              <w:ind/>
              <w:jc w:val="center"/>
            </w:pPr>
            <w:r>
              <w:rPr>
                <w:rFonts w:ascii="Times New Roman" w:hAnsi="Times New Roman"/>
                <w:sz w:val="22"/>
              </w:rPr>
              <w:t>Число граждан, получивших услугу без поездки в Артемовский</w:t>
            </w:r>
          </w:p>
        </w:tc>
        <w:tc>
          <w:tcPr>
            <w:tcW w:type="dxa" w:w="1817"/>
            <w:vAlign w:val="center"/>
          </w:tcPr>
          <w:p w14:paraId="87000000">
            <w:pPr>
              <w:ind/>
              <w:jc w:val="center"/>
            </w:pPr>
            <w:r>
              <w:rPr>
                <w:rFonts w:ascii="Times New Roman" w:hAnsi="Times New Roman"/>
                <w:sz w:val="22"/>
              </w:rPr>
              <w:t>≥ 400 граждан/год</w:t>
            </w:r>
          </w:p>
        </w:tc>
        <w:tc>
          <w:tcPr>
            <w:tcW w:type="dxa" w:w="1706"/>
            <w:vAlign w:val="center"/>
          </w:tcPr>
          <w:p w14:paraId="88000000">
            <w:pPr>
              <w:ind/>
              <w:jc w:val="center"/>
            </w:pPr>
            <w:r>
              <w:rPr>
                <w:rFonts w:ascii="Times New Roman" w:hAnsi="Times New Roman"/>
                <w:sz w:val="22"/>
              </w:rPr>
              <w:t>Журнал выездного приёма</w:t>
            </w:r>
          </w:p>
        </w:tc>
      </w:tr>
      <w:tr>
        <w:tc>
          <w:tcPr>
            <w:tcW w:type="dxa" w:w="2084"/>
            <w:vAlign w:val="center"/>
          </w:tcPr>
          <w:p w14:paraId="89000000">
            <w:pPr>
              <w:ind/>
              <w:jc w:val="center"/>
            </w:pPr>
            <w:r>
              <w:rPr>
                <w:rFonts w:ascii="Times New Roman" w:hAnsi="Times New Roman"/>
                <w:sz w:val="22"/>
              </w:rPr>
              <w:t>3. Протокол маршрутизации</w:t>
            </w:r>
          </w:p>
        </w:tc>
        <w:tc>
          <w:tcPr>
            <w:tcW w:type="dxa" w:w="1952"/>
            <w:vAlign w:val="center"/>
          </w:tcPr>
          <w:p w14:paraId="8A000000">
            <w:pPr>
              <w:ind/>
              <w:jc w:val="center"/>
            </w:pPr>
            <w:r>
              <w:rPr>
                <w:rFonts w:ascii="Times New Roman" w:hAnsi="Times New Roman"/>
                <w:sz w:val="22"/>
              </w:rPr>
              <w:t>Протокол утверждён и доведён до всех участников; журнал ведётся</w:t>
            </w:r>
          </w:p>
        </w:tc>
        <w:tc>
          <w:tcPr>
            <w:tcW w:type="dxa" w:w="1796"/>
            <w:vAlign w:val="center"/>
          </w:tcPr>
          <w:p w14:paraId="8B000000">
            <w:pPr>
              <w:ind/>
              <w:jc w:val="center"/>
            </w:pPr>
            <w:r>
              <w:rPr>
                <w:rFonts w:ascii="Times New Roman" w:hAnsi="Times New Roman"/>
                <w:sz w:val="22"/>
              </w:rPr>
              <w:t>Доля ранних выявлений от числа посещений ОВП по «социальным» основаниям</w:t>
            </w:r>
          </w:p>
        </w:tc>
        <w:tc>
          <w:tcPr>
            <w:tcW w:type="dxa" w:w="1817"/>
            <w:vAlign w:val="center"/>
          </w:tcPr>
          <w:p w14:paraId="8C000000">
            <w:pPr>
              <w:ind/>
              <w:jc w:val="center"/>
            </w:pPr>
            <w:r>
              <w:rPr>
                <w:rFonts w:ascii="Times New Roman" w:hAnsi="Times New Roman"/>
                <w:sz w:val="22"/>
              </w:rPr>
              <w:t>≥ 55%</w:t>
            </w:r>
          </w:p>
        </w:tc>
        <w:tc>
          <w:tcPr>
            <w:tcW w:type="dxa" w:w="1706"/>
            <w:vAlign w:val="center"/>
          </w:tcPr>
          <w:p w14:paraId="8D000000">
            <w:pPr>
              <w:ind/>
              <w:jc w:val="center"/>
            </w:pPr>
            <w:r>
              <w:rPr>
                <w:rFonts w:ascii="Times New Roman" w:hAnsi="Times New Roman"/>
                <w:sz w:val="22"/>
              </w:rPr>
              <w:t>Сводный журнал маршрутизации</w:t>
            </w:r>
          </w:p>
        </w:tc>
      </w:tr>
      <w:tr>
        <w:tc>
          <w:tcPr>
            <w:tcW w:type="dxa" w:w="2084"/>
            <w:vAlign w:val="center"/>
          </w:tcPr>
          <w:p w14:paraId="8E000000">
            <w:pPr>
              <w:ind/>
              <w:jc w:val="center"/>
            </w:pPr>
            <w:r>
              <w:rPr>
                <w:rFonts w:ascii="Times New Roman" w:hAnsi="Times New Roman"/>
                <w:sz w:val="22"/>
              </w:rPr>
              <w:t xml:space="preserve">4. </w:t>
            </w:r>
            <w:r>
              <w:rPr>
                <w:rFonts w:ascii="Times New Roman" w:hAnsi="Times New Roman"/>
                <w:sz w:val="22"/>
              </w:rPr>
              <w:t>Инфокампания</w:t>
            </w:r>
          </w:p>
        </w:tc>
        <w:tc>
          <w:tcPr>
            <w:tcW w:type="dxa" w:w="1952"/>
            <w:vAlign w:val="center"/>
          </w:tcPr>
          <w:p w14:paraId="8F000000">
            <w:pPr>
              <w:ind/>
              <w:jc w:val="center"/>
            </w:pPr>
            <w:r>
              <w:rPr>
                <w:rFonts w:ascii="Times New Roman" w:hAnsi="Times New Roman"/>
                <w:sz w:val="22"/>
              </w:rPr>
              <w:t>Проведено ≥ 4 консультаций/год; тираж листовок распространён</w:t>
            </w:r>
          </w:p>
        </w:tc>
        <w:tc>
          <w:tcPr>
            <w:tcW w:type="dxa" w:w="1796"/>
            <w:vAlign w:val="center"/>
          </w:tcPr>
          <w:p w14:paraId="90000000">
            <w:pPr>
              <w:ind/>
              <w:jc w:val="center"/>
            </w:pPr>
            <w:r>
              <w:rPr>
                <w:rFonts w:ascii="Times New Roman" w:hAnsi="Times New Roman"/>
                <w:sz w:val="22"/>
              </w:rPr>
              <w:t>Прирост числа получателей единого пособия в посёлке (к базовому году)</w:t>
            </w:r>
          </w:p>
        </w:tc>
        <w:tc>
          <w:tcPr>
            <w:tcW w:type="dxa" w:w="1817"/>
            <w:vAlign w:val="center"/>
          </w:tcPr>
          <w:p w14:paraId="91000000">
            <w:pPr>
              <w:ind/>
              <w:jc w:val="center"/>
            </w:pPr>
            <w:r>
              <w:rPr>
                <w:rFonts w:ascii="Times New Roman" w:hAnsi="Times New Roman"/>
                <w:sz w:val="22"/>
              </w:rPr>
              <w:t>≥ +20 семей</w:t>
            </w:r>
          </w:p>
        </w:tc>
        <w:tc>
          <w:tcPr>
            <w:tcW w:type="dxa" w:w="1706"/>
            <w:vAlign w:val="center"/>
          </w:tcPr>
          <w:p w14:paraId="92000000">
            <w:pPr>
              <w:ind/>
              <w:jc w:val="center"/>
            </w:pPr>
            <w:r>
              <w:rPr>
                <w:rFonts w:ascii="Times New Roman" w:hAnsi="Times New Roman"/>
                <w:sz w:val="22"/>
              </w:rPr>
              <w:t>Данные СФР/УСП по АМО</w:t>
            </w:r>
          </w:p>
        </w:tc>
      </w:tr>
      <w:tr>
        <w:tc>
          <w:tcPr>
            <w:tcW w:type="dxa" w:w="2084"/>
            <w:vAlign w:val="center"/>
          </w:tcPr>
          <w:p w14:paraId="93000000">
            <w:pPr>
              <w:ind/>
              <w:jc w:val="center"/>
            </w:pPr>
            <w:r>
              <w:rPr>
                <w:rFonts w:ascii="Times New Roman" w:hAnsi="Times New Roman"/>
                <w:sz w:val="22"/>
              </w:rPr>
              <w:t xml:space="preserve">4. </w:t>
            </w:r>
            <w:r>
              <w:rPr>
                <w:rFonts w:ascii="Times New Roman" w:hAnsi="Times New Roman"/>
                <w:sz w:val="22"/>
              </w:rPr>
              <w:t>Соцконтракты</w:t>
            </w:r>
          </w:p>
        </w:tc>
        <w:tc>
          <w:tcPr>
            <w:tcW w:type="dxa" w:w="1952"/>
            <w:vAlign w:val="center"/>
          </w:tcPr>
          <w:p w14:paraId="94000000">
            <w:pPr>
              <w:ind/>
              <w:jc w:val="center"/>
            </w:pPr>
            <w:r>
              <w:rPr>
                <w:rFonts w:ascii="Times New Roman" w:hAnsi="Times New Roman"/>
                <w:sz w:val="22"/>
              </w:rPr>
              <w:t xml:space="preserve">Проведено ≥ 2 тематических приёма специалиста УСП по </w:t>
            </w:r>
            <w:r>
              <w:rPr>
                <w:rFonts w:ascii="Times New Roman" w:hAnsi="Times New Roman"/>
                <w:sz w:val="22"/>
              </w:rPr>
              <w:t>соцконтракту</w:t>
            </w:r>
          </w:p>
        </w:tc>
        <w:tc>
          <w:tcPr>
            <w:tcW w:type="dxa" w:w="1796"/>
            <w:vAlign w:val="center"/>
          </w:tcPr>
          <w:p w14:paraId="95000000">
            <w:pPr>
              <w:ind/>
              <w:jc w:val="center"/>
            </w:pPr>
            <w:r>
              <w:rPr>
                <w:rFonts w:ascii="Times New Roman" w:hAnsi="Times New Roman"/>
                <w:sz w:val="22"/>
              </w:rPr>
              <w:t xml:space="preserve">Число заключённых </w:t>
            </w:r>
            <w:r>
              <w:rPr>
                <w:rFonts w:ascii="Times New Roman" w:hAnsi="Times New Roman"/>
                <w:sz w:val="22"/>
              </w:rPr>
              <w:t>соцконтрактов</w:t>
            </w:r>
            <w:r>
              <w:rPr>
                <w:rFonts w:ascii="Times New Roman" w:hAnsi="Times New Roman"/>
                <w:sz w:val="22"/>
              </w:rPr>
              <w:t xml:space="preserve"> по посёлку</w:t>
            </w:r>
          </w:p>
        </w:tc>
        <w:tc>
          <w:tcPr>
            <w:tcW w:type="dxa" w:w="1817"/>
            <w:vAlign w:val="center"/>
          </w:tcPr>
          <w:p w14:paraId="96000000">
            <w:pPr>
              <w:ind/>
              <w:jc w:val="center"/>
            </w:pPr>
            <w:r>
              <w:rPr>
                <w:rFonts w:ascii="Times New Roman" w:hAnsi="Times New Roman"/>
                <w:sz w:val="22"/>
              </w:rPr>
              <w:t>≥ 8 контрактов/год</w:t>
            </w:r>
          </w:p>
        </w:tc>
        <w:tc>
          <w:tcPr>
            <w:tcW w:type="dxa" w:w="1706"/>
            <w:vAlign w:val="center"/>
          </w:tcPr>
          <w:p w14:paraId="97000000">
            <w:pPr>
              <w:ind/>
              <w:jc w:val="center"/>
            </w:pPr>
            <w:r>
              <w:rPr>
                <w:rFonts w:ascii="Times New Roman" w:hAnsi="Times New Roman"/>
                <w:sz w:val="22"/>
              </w:rPr>
              <w:t>Отчёт УСП АМО</w:t>
            </w:r>
          </w:p>
        </w:tc>
      </w:tr>
      <w:tr>
        <w:tc>
          <w:tcPr>
            <w:tcW w:type="dxa" w:w="2084"/>
            <w:vAlign w:val="center"/>
          </w:tcPr>
          <w:p w14:paraId="98000000">
            <w:pPr>
              <w:ind/>
              <w:jc w:val="center"/>
            </w:pPr>
            <w:r>
              <w:rPr>
                <w:rFonts w:ascii="Times New Roman" w:hAnsi="Times New Roman"/>
                <w:sz w:val="22"/>
              </w:rPr>
              <w:t>5. Школа ухода</w:t>
            </w:r>
          </w:p>
        </w:tc>
        <w:tc>
          <w:tcPr>
            <w:tcW w:type="dxa" w:w="1952"/>
            <w:vAlign w:val="center"/>
          </w:tcPr>
          <w:p w14:paraId="99000000">
            <w:pPr>
              <w:ind/>
              <w:jc w:val="center"/>
            </w:pPr>
            <w:r>
              <w:rPr>
                <w:rFonts w:ascii="Times New Roman" w:hAnsi="Times New Roman"/>
                <w:sz w:val="22"/>
              </w:rPr>
              <w:t>Проведено ≥ 4 семинаров; пункт ТСР функционирует</w:t>
            </w:r>
          </w:p>
        </w:tc>
        <w:tc>
          <w:tcPr>
            <w:tcW w:type="dxa" w:w="1796"/>
            <w:vAlign w:val="center"/>
          </w:tcPr>
          <w:p w14:paraId="9A000000">
            <w:pPr>
              <w:ind/>
              <w:jc w:val="center"/>
            </w:pPr>
            <w:r>
              <w:rPr>
                <w:rFonts w:ascii="Times New Roman" w:hAnsi="Times New Roman"/>
                <w:sz w:val="22"/>
              </w:rPr>
              <w:t>Число прошедших обучение; число выдач ТСР</w:t>
            </w:r>
          </w:p>
        </w:tc>
        <w:tc>
          <w:tcPr>
            <w:tcW w:type="dxa" w:w="1817"/>
            <w:vAlign w:val="center"/>
          </w:tcPr>
          <w:p w14:paraId="9B000000">
            <w:pPr>
              <w:ind/>
              <w:jc w:val="center"/>
            </w:pPr>
            <w:r>
              <w:rPr>
                <w:rFonts w:ascii="Times New Roman" w:hAnsi="Times New Roman"/>
                <w:sz w:val="22"/>
              </w:rPr>
              <w:t>≥ 40 обученных; ≥ 20 выдач</w:t>
            </w:r>
          </w:p>
        </w:tc>
        <w:tc>
          <w:tcPr>
            <w:tcW w:type="dxa" w:w="1706"/>
            <w:vAlign w:val="center"/>
          </w:tcPr>
          <w:p w14:paraId="9C000000">
            <w:pPr>
              <w:ind/>
              <w:jc w:val="center"/>
            </w:pPr>
            <w:r>
              <w:rPr>
                <w:rFonts w:ascii="Times New Roman" w:hAnsi="Times New Roman"/>
                <w:sz w:val="22"/>
              </w:rPr>
              <w:t>Реестр ТУ; журнал проката</w:t>
            </w:r>
          </w:p>
        </w:tc>
      </w:tr>
      <w:tr>
        <w:tc>
          <w:tcPr>
            <w:tcW w:type="dxa" w:w="2084"/>
            <w:vAlign w:val="center"/>
          </w:tcPr>
          <w:p w14:paraId="9D000000">
            <w:pPr>
              <w:ind/>
              <w:jc w:val="center"/>
            </w:pPr>
            <w:r>
              <w:rPr>
                <w:rFonts w:ascii="Times New Roman" w:hAnsi="Times New Roman"/>
                <w:sz w:val="22"/>
              </w:rPr>
              <w:t>6. Мониторинг ПНИ</w:t>
            </w:r>
          </w:p>
        </w:tc>
        <w:tc>
          <w:tcPr>
            <w:tcW w:type="dxa" w:w="1952"/>
            <w:vAlign w:val="center"/>
          </w:tcPr>
          <w:p w14:paraId="9E000000">
            <w:pPr>
              <w:ind/>
              <w:jc w:val="center"/>
            </w:pPr>
            <w:r>
              <w:rPr>
                <w:rFonts w:ascii="Times New Roman" w:hAnsi="Times New Roman"/>
                <w:sz w:val="22"/>
              </w:rPr>
              <w:t>Ежемесячные контакты с ПНИ зафиксированы в журнале; нарушений не выявлено или своевременно пресечено</w:t>
            </w:r>
          </w:p>
        </w:tc>
        <w:tc>
          <w:tcPr>
            <w:tcW w:type="dxa" w:w="1796"/>
            <w:vAlign w:val="center"/>
          </w:tcPr>
          <w:p w14:paraId="9F000000">
            <w:pPr>
              <w:ind/>
              <w:jc w:val="center"/>
            </w:pPr>
            <w:r>
              <w:rPr>
                <w:rFonts w:ascii="Times New Roman" w:hAnsi="Times New Roman"/>
                <w:sz w:val="22"/>
              </w:rPr>
              <w:t>Число обоснованных обращений проживающих с жалобами</w:t>
            </w:r>
          </w:p>
        </w:tc>
        <w:tc>
          <w:tcPr>
            <w:tcW w:type="dxa" w:w="1817"/>
            <w:vAlign w:val="center"/>
          </w:tcPr>
          <w:p w14:paraId="A0000000">
            <w:pPr>
              <w:ind/>
              <w:jc w:val="center"/>
            </w:pPr>
            <w:r>
              <w:rPr>
                <w:rFonts w:ascii="Times New Roman" w:hAnsi="Times New Roman"/>
                <w:sz w:val="22"/>
              </w:rPr>
              <w:t>0 обращений о систематических нарушениях</w:t>
            </w:r>
          </w:p>
        </w:tc>
        <w:tc>
          <w:tcPr>
            <w:tcW w:type="dxa" w:w="1706"/>
            <w:vAlign w:val="center"/>
          </w:tcPr>
          <w:p w14:paraId="A1000000">
            <w:pPr>
              <w:ind/>
              <w:jc w:val="center"/>
            </w:pPr>
            <w:r>
              <w:rPr>
                <w:rFonts w:ascii="Times New Roman" w:hAnsi="Times New Roman"/>
                <w:sz w:val="22"/>
              </w:rPr>
              <w:t>Журнал ТУ; ответы прокуратуры</w:t>
            </w:r>
          </w:p>
        </w:tc>
      </w:tr>
    </w:tbl>
    <w:p w14:paraId="A2000000">
      <w:pPr>
        <w:spacing w:after="0" w:line="360" w:lineRule="auto"/>
        <w:ind w:firstLine="709" w:left="0"/>
        <w:jc w:val="both"/>
        <w:rPr>
          <w:rFonts w:ascii="Times New Roman" w:hAnsi="Times New Roman"/>
          <w:sz w:val="28"/>
        </w:rPr>
      </w:pPr>
    </w:p>
    <w:p w14:paraId="A3000000">
      <w:pPr>
        <w:spacing w:after="0" w:line="360" w:lineRule="auto"/>
        <w:ind w:firstLine="709" w:left="0"/>
        <w:jc w:val="both"/>
        <w:rPr>
          <w:rFonts w:ascii="Times New Roman" w:hAnsi="Times New Roman"/>
          <w:sz w:val="28"/>
        </w:rPr>
      </w:pPr>
      <w:r>
        <w:rPr>
          <w:rFonts w:ascii="Times New Roman" w:hAnsi="Times New Roman"/>
          <w:sz w:val="28"/>
        </w:rPr>
        <w:t xml:space="preserve">Ни одна программа мероприятий, направленных на реорганизацию системы социальной защиты, не реализуется без рисков. Для предложенной программы ключевыми являются четыре риска. Риск 1 </w:t>
      </w:r>
      <w:r>
        <w:rPr>
          <w:rFonts w:ascii="Times New Roman" w:hAnsi="Times New Roman"/>
          <w:sz w:val="28"/>
        </w:rPr>
        <w:t>–</w:t>
      </w:r>
      <w:r>
        <w:rPr>
          <w:rFonts w:ascii="Times New Roman" w:hAnsi="Times New Roman"/>
          <w:sz w:val="28"/>
        </w:rPr>
        <w:t xml:space="preserve"> бюджетный: Дума АМО не утверждает 4-ю штатную единицу ТУ из-за дефицита местного бюджета. Снижение риска: подготовить обоснование с расчётом соотношения «затраты/эффект» (показано в таблице 3.2) и направить его в Думу одновременно с проектом решения; при необходимости ходатайствовать перед Министерством социальной политики СО о целевой субсидии на обеспечение кадровой нормы в отдалённых поселениях. Риск 2 </w:t>
      </w:r>
      <w:r>
        <w:rPr>
          <w:rFonts w:ascii="Times New Roman" w:hAnsi="Times New Roman"/>
          <w:sz w:val="28"/>
        </w:rPr>
        <w:t>–</w:t>
      </w:r>
      <w:r>
        <w:rPr>
          <w:rFonts w:ascii="Times New Roman" w:hAnsi="Times New Roman"/>
          <w:sz w:val="28"/>
        </w:rPr>
        <w:t xml:space="preserve"> организационный: СФР или КЦСОН откажутся от регулярного выезда в рамках МСП, сославшись на нехватку персонала. Снижение риска: согласовать выезды как форму исполнения государственного задания (КЦСОН) и приказа о работе с отдалёнными поселениями (СФР); разработать минимальный формат </w:t>
      </w:r>
      <w:r>
        <w:rPr>
          <w:rFonts w:ascii="Times New Roman" w:hAnsi="Times New Roman"/>
          <w:sz w:val="28"/>
        </w:rPr>
        <w:t>–</w:t>
      </w:r>
      <w:r>
        <w:rPr>
          <w:rFonts w:ascii="Times New Roman" w:hAnsi="Times New Roman"/>
          <w:sz w:val="28"/>
        </w:rPr>
        <w:t xml:space="preserve"> 1 выезд в 2 недели вместо еженедельного, если ресурс ограничен. Риск 3 </w:t>
      </w:r>
      <w:r>
        <w:rPr>
          <w:rFonts w:ascii="Times New Roman" w:hAnsi="Times New Roman"/>
          <w:sz w:val="28"/>
        </w:rPr>
        <w:t>–</w:t>
      </w:r>
      <w:r>
        <w:rPr>
          <w:rFonts w:ascii="Times New Roman" w:hAnsi="Times New Roman"/>
          <w:sz w:val="28"/>
        </w:rPr>
        <w:t xml:space="preserve"> методологический: Протокол маршрутизации утверждён, но не соблюдается из-за дополнительной нагрузки на врачей ОВП. Снижение риска: форма передачи информации от врача должна занимать не более 5 минут (минимальный стандартный бланк из 5 полей); интегрировать бланк в электронную медицинскую карту (ЭМК), используемую в ГАУЗ СО «Артемовская ЦРБ». Риск 4 </w:t>
      </w:r>
      <w:r>
        <w:rPr>
          <w:rFonts w:ascii="Times New Roman" w:hAnsi="Times New Roman"/>
          <w:sz w:val="28"/>
        </w:rPr>
        <w:t>–</w:t>
      </w:r>
      <w:r>
        <w:rPr>
          <w:rFonts w:ascii="Times New Roman" w:hAnsi="Times New Roman"/>
          <w:sz w:val="28"/>
        </w:rPr>
        <w:t xml:space="preserve"> демографический: продолжающееся сокращение населения посёлка делает часть инфраструктурных решений нерентабельными в долгосрочной перспективе. Снижение риска: все предлагаемые мероприятия 1–6 не предполагают капитальных вложений и могут быть свёрнуты или масштабированы без потерь. Единственный единовременный расход </w:t>
      </w:r>
      <w:r>
        <w:rPr>
          <w:rFonts w:ascii="Times New Roman" w:hAnsi="Times New Roman"/>
          <w:sz w:val="28"/>
        </w:rPr>
        <w:t>–</w:t>
      </w:r>
      <w:r>
        <w:rPr>
          <w:rFonts w:ascii="Times New Roman" w:hAnsi="Times New Roman"/>
          <w:sz w:val="28"/>
        </w:rPr>
        <w:t xml:space="preserve"> комплект ТСР стоимостью 60–80 тыс. руб. </w:t>
      </w:r>
      <w:r>
        <w:rPr>
          <w:rFonts w:ascii="Times New Roman" w:hAnsi="Times New Roman"/>
          <w:sz w:val="28"/>
        </w:rPr>
        <w:t>–</w:t>
      </w:r>
      <w:r>
        <w:rPr>
          <w:rFonts w:ascii="Times New Roman" w:hAnsi="Times New Roman"/>
          <w:sz w:val="28"/>
        </w:rPr>
        <w:t xml:space="preserve"> при изменении ситуации переводится в другой населённый пункт округа.</w:t>
      </w:r>
    </w:p>
    <w:p w14:paraId="A4000000">
      <w:pPr>
        <w:spacing w:after="0" w:line="360" w:lineRule="auto"/>
        <w:ind w:firstLine="709" w:left="0"/>
        <w:jc w:val="both"/>
        <w:rPr>
          <w:rFonts w:ascii="Times New Roman" w:hAnsi="Times New Roman"/>
          <w:sz w:val="28"/>
        </w:rPr>
      </w:pPr>
      <w:r>
        <w:rPr>
          <w:rFonts w:ascii="Times New Roman" w:hAnsi="Times New Roman"/>
          <w:sz w:val="28"/>
        </w:rPr>
        <w:t xml:space="preserve">При последовательной реализации программы ожидаемая динамика результативности следующая: через 3 месяца </w:t>
      </w:r>
      <w:r>
        <w:rPr>
          <w:rFonts w:ascii="Times New Roman" w:hAnsi="Times New Roman"/>
          <w:sz w:val="28"/>
        </w:rPr>
        <w:t>–</w:t>
      </w:r>
      <w:r>
        <w:rPr>
          <w:rFonts w:ascii="Times New Roman" w:hAnsi="Times New Roman"/>
          <w:sz w:val="28"/>
        </w:rPr>
        <w:t xml:space="preserve"> функционирует МСП, запущен мониторинг ПНИ, специализированы функции трёх сотрудников ТУ, разрабатывается Протокол; через 6 месяцев </w:t>
      </w:r>
      <w:r>
        <w:rPr>
          <w:rFonts w:ascii="Times New Roman" w:hAnsi="Times New Roman"/>
          <w:sz w:val="28"/>
        </w:rPr>
        <w:t>–</w:t>
      </w:r>
      <w:r>
        <w:rPr>
          <w:rFonts w:ascii="Times New Roman" w:hAnsi="Times New Roman"/>
          <w:sz w:val="28"/>
        </w:rPr>
        <w:t xml:space="preserve"> утверждён Протокол </w:t>
      </w:r>
      <w:r>
        <w:rPr>
          <w:rFonts w:ascii="Times New Roman" w:hAnsi="Times New Roman"/>
          <w:sz w:val="28"/>
        </w:rPr>
        <w:t xml:space="preserve">маршрутизации, проведена первая волна </w:t>
      </w:r>
      <w:r>
        <w:rPr>
          <w:rFonts w:ascii="Times New Roman" w:hAnsi="Times New Roman"/>
          <w:sz w:val="28"/>
        </w:rPr>
        <w:t>инфокампании</w:t>
      </w:r>
      <w:r>
        <w:rPr>
          <w:rFonts w:ascii="Times New Roman" w:hAnsi="Times New Roman"/>
          <w:sz w:val="28"/>
        </w:rPr>
        <w:t xml:space="preserve"> (охвачено не менее 200 домохозяйств), поданы первые заявления от семей, прежде не получавших единое пособие; через 12 месяцев </w:t>
      </w:r>
      <w:r>
        <w:rPr>
          <w:rFonts w:ascii="Times New Roman" w:hAnsi="Times New Roman"/>
          <w:sz w:val="28"/>
        </w:rPr>
        <w:t>–</w:t>
      </w:r>
      <w:r>
        <w:rPr>
          <w:rFonts w:ascii="Times New Roman" w:hAnsi="Times New Roman"/>
          <w:sz w:val="28"/>
        </w:rPr>
        <w:t xml:space="preserve"> проведены 4 выезда Школы ухода, сформирован пункт проката ТСР, получены первые измеримые результаты по приросту числа получателей пособия и </w:t>
      </w:r>
      <w:r>
        <w:rPr>
          <w:rFonts w:ascii="Times New Roman" w:hAnsi="Times New Roman"/>
          <w:sz w:val="28"/>
        </w:rPr>
        <w:t>соцконтрактов</w:t>
      </w:r>
      <w:r>
        <w:rPr>
          <w:rFonts w:ascii="Times New Roman" w:hAnsi="Times New Roman"/>
          <w:sz w:val="28"/>
        </w:rPr>
        <w:t xml:space="preserve">; через 18 месяцев </w:t>
      </w:r>
      <w:r>
        <w:rPr>
          <w:rFonts w:ascii="Times New Roman" w:hAnsi="Times New Roman"/>
          <w:sz w:val="28"/>
        </w:rPr>
        <w:t>–</w:t>
      </w:r>
      <w:r>
        <w:rPr>
          <w:rFonts w:ascii="Times New Roman" w:hAnsi="Times New Roman"/>
          <w:sz w:val="28"/>
        </w:rPr>
        <w:t xml:space="preserve"> при введении 4-й штатной единицы ТУ фиксируется значительный рост охвата граждан первичным сопровождением; осуществлена первая годовая оценка реализации программы по показателям таблицы 3.3.</w:t>
      </w:r>
    </w:p>
    <w:p w14:paraId="A5000000">
      <w:pPr>
        <w:spacing w:after="0" w:line="360" w:lineRule="auto"/>
        <w:ind w:firstLine="709" w:left="0"/>
        <w:jc w:val="both"/>
        <w:rPr>
          <w:rFonts w:ascii="Times New Roman" w:hAnsi="Times New Roman"/>
          <w:sz w:val="28"/>
        </w:rPr>
      </w:pPr>
      <w:r>
        <w:rPr>
          <w:rFonts w:ascii="Times New Roman" w:hAnsi="Times New Roman"/>
          <w:sz w:val="28"/>
        </w:rPr>
        <w:t>Предложенные мероприятия опираются на задокументированный опыт российских регионов. Практика выездных клиентских служб СФР функционирует в Свердловской области в Туринском городском округе и ряде районов; по отчётам СФР по Свердловской области, она повышает охват льготных категорий в отдалённых поселениях на 15–25%. Формализованный Протокол маршрутизации в адаптированном виде действует в Первоуральском городском округе с 2022 года; по данным Министерства социальной политики СО, доля ранних выявлений нуждающихся выросла там на 38% за первый год. «Школы ухода» на базе КЦСОН функционируют в 15 из 68 муниципалитетов Свердловской области; охват составляет в среднем 45 обученных ухаживающих в год на один центр. Эти данные подтверждают реалистичность предложенных целевых ориентиров и применимость мероприятий к условиям Красногвардейского.</w:t>
      </w:r>
    </w:p>
    <w:p w14:paraId="A6000000">
      <w:pPr>
        <w:spacing w:after="0" w:line="360" w:lineRule="auto"/>
        <w:ind w:firstLine="709" w:left="0"/>
        <w:jc w:val="both"/>
        <w:rPr>
          <w:rFonts w:ascii="Times New Roman" w:hAnsi="Times New Roman"/>
          <w:sz w:val="28"/>
        </w:rPr>
      </w:pPr>
      <w:r>
        <w:rPr>
          <w:rFonts w:ascii="Times New Roman" w:hAnsi="Times New Roman"/>
          <w:sz w:val="28"/>
        </w:rPr>
        <w:t xml:space="preserve">Меры социальной поддержки сами по себе не останавливают убыль населения: факторы трудовой миграции значительно сильнее. Однако повышение охвата и качества социальной защиты способно частично замедлить миграцию в двух сегментах. Первый </w:t>
      </w:r>
      <w:r>
        <w:rPr>
          <w:rFonts w:ascii="Times New Roman" w:hAnsi="Times New Roman"/>
          <w:sz w:val="28"/>
        </w:rPr>
        <w:t>–</w:t>
      </w:r>
      <w:r>
        <w:rPr>
          <w:rFonts w:ascii="Times New Roman" w:hAnsi="Times New Roman"/>
          <w:sz w:val="28"/>
        </w:rPr>
        <w:t xml:space="preserve"> семьи с детьми с доходами ниже 1,5 ПМ на чел.: получение дополнительных 21 000–47 000 руб./мес. (единое пособие на 2–3 детей) существенно снижает финансовый мотив переезда в Екатеринбург. Второй </w:t>
      </w:r>
      <w:r>
        <w:rPr>
          <w:rFonts w:ascii="Times New Roman" w:hAnsi="Times New Roman"/>
          <w:sz w:val="28"/>
        </w:rPr>
        <w:t>–</w:t>
      </w:r>
      <w:r>
        <w:rPr>
          <w:rFonts w:ascii="Times New Roman" w:hAnsi="Times New Roman"/>
          <w:sz w:val="28"/>
        </w:rPr>
        <w:t xml:space="preserve"> пожилые граждане и инвалиды: доступность надомного ухода и реабилитационных мероприятий позволяет им оставаться в привычной среде вместо переезда к родственникам в город или </w:t>
      </w:r>
      <w:r>
        <w:rPr>
          <w:rFonts w:ascii="Times New Roman" w:hAnsi="Times New Roman"/>
          <w:sz w:val="28"/>
        </w:rPr>
        <w:t>помещения в стационар. Оба эффекта не поддаются точному измерению в терминах задержанной миграции, однако качественно значимы для поддержания численности населения посёлка.</w:t>
      </w:r>
    </w:p>
    <w:p w14:paraId="A7000000">
      <w:pPr>
        <w:spacing w:after="0" w:line="360" w:lineRule="auto"/>
        <w:ind w:firstLine="709" w:left="0"/>
        <w:jc w:val="both"/>
        <w:rPr>
          <w:rFonts w:ascii="Times New Roman" w:hAnsi="Times New Roman"/>
          <w:sz w:val="28"/>
        </w:rPr>
      </w:pPr>
      <w:r>
        <w:rPr>
          <w:rFonts w:ascii="Times New Roman" w:hAnsi="Times New Roman"/>
          <w:sz w:val="28"/>
        </w:rPr>
        <w:t>Для реализации всех шести мероприятий не требуется изменения федерального законодательства или регионального нормотворчества. Достаточно следующих правовых актов: решение Думы АМО о внесении изменений в штатное расписание ТУ (мероприятие 1); постановление главы АМО об утверждении Протокола маршрутизации (мероприятие 3); соглашения о взаимодействии между администрацией АМО, СФР, КЦСОН и ГАУЗ СО «Артемовская ЦРБ» (мероприятия 2, 3); распоряжение главы АМО о выделении помещения под пункт проката ТСР (мероприятие 5). Три из четырёх документов находятся в компетенции главы АМО и могут быть приняты в административном порядке без публичных слушаний или согласований с вышестоящими органами. Проект решения о штатном расписании требует согласования с финансовым управлением округа и утверждения Думой, что определяет его в качестве самого длительного нормативного шага в программе.</w:t>
      </w:r>
    </w:p>
    <w:sectPr>
      <w:headerReference r:id="rId1" w:type="default"/>
      <w:pgSz w:h="16838" w:orient="portrait" w:w="11906"/>
      <w:pgMar w:bottom="1134" w:footer="708" w:gutter="0" w:header="708" w:left="1701" w:right="850"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rPr>
        <w:rFonts w:ascii="Times New Roman" w:hAnsi="Times New Roman"/>
      </w:rPr>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4"/>
      </w:rPr>
    </w:rPrDefault>
    <w:pPrDefault>
      <w:pPr>
        <w:spacing w:after="16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basedOn w:val="Style_5"/>
    <w:next w:val="Style_5"/>
    <w:link w:val="Style_6_ch"/>
    <w:uiPriority w:val="39"/>
    <w:pPr>
      <w:spacing w:after="100"/>
      <w:ind w:firstLine="0" w:left="240"/>
    </w:pPr>
  </w:style>
  <w:style w:styleId="Style_6_ch" w:type="character">
    <w:name w:val="toc 2"/>
    <w:basedOn w:val="Style_5_ch"/>
    <w:link w:val="Style_6"/>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heading 7"/>
    <w:basedOn w:val="Style_5"/>
    <w:next w:val="Style_5"/>
    <w:link w:val="Style_8_ch"/>
    <w:uiPriority w:val="9"/>
    <w:qFormat/>
    <w:pPr>
      <w:keepNext w:val="1"/>
      <w:keepLines w:val="1"/>
      <w:spacing w:after="0" w:before="40"/>
      <w:ind/>
      <w:outlineLvl w:val="6"/>
    </w:pPr>
    <w:rPr>
      <w:color w:themeColor="text1" w:themeTint="A6" w:val="595959"/>
    </w:rPr>
  </w:style>
  <w:style w:styleId="Style_8_ch" w:type="character">
    <w:name w:val="heading 7"/>
    <w:basedOn w:val="Style_5_ch"/>
    <w:link w:val="Style_8"/>
    <w:rPr>
      <w:color w:themeColor="text1" w:themeTint="A6" w:val="595959"/>
    </w:rPr>
  </w:style>
  <w:style w:styleId="Style_9" w:type="paragraph">
    <w:name w:val="toc 6"/>
    <w:next w:val="Style_5"/>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5"/>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FollowedHyperlink"/>
    <w:basedOn w:val="Style_12"/>
    <w:link w:val="Style_11_ch"/>
    <w:rPr>
      <w:color w:themeColor="followedHyperlink" w:val="96607D"/>
      <w:u w:val="single"/>
    </w:rPr>
  </w:style>
  <w:style w:styleId="Style_11_ch" w:type="character">
    <w:name w:val="FollowedHyperlink"/>
    <w:basedOn w:val="Style_12_ch"/>
    <w:link w:val="Style_11"/>
    <w:rPr>
      <w:color w:themeColor="followedHyperlink" w:val="96607D"/>
      <w:u w:val="single"/>
    </w:rPr>
  </w:style>
  <w:style w:styleId="Style_13" w:type="paragraph">
    <w:name w:val="Intense Quote"/>
    <w:basedOn w:val="Style_5"/>
    <w:next w:val="Style_5"/>
    <w:link w:val="Style_13_ch"/>
    <w:pPr>
      <w:spacing w:after="360" w:before="360"/>
      <w:ind w:firstLine="0" w:left="864" w:right="864"/>
      <w:jc w:val="center"/>
    </w:pPr>
    <w:rPr>
      <w:i w:val="1"/>
      <w:color w:themeColor="accent1" w:themeShade="BF" w:val="104861"/>
    </w:rPr>
  </w:style>
  <w:style w:styleId="Style_13_ch" w:type="character">
    <w:name w:val="Intense Quote"/>
    <w:basedOn w:val="Style_5_ch"/>
    <w:link w:val="Style_13"/>
    <w:rPr>
      <w:i w:val="1"/>
      <w:color w:themeColor="accent1" w:themeShade="BF" w:val="104861"/>
    </w:rPr>
  </w:style>
  <w:style w:styleId="Style_14" w:type="paragraph">
    <w:name w:val="heading 3"/>
    <w:basedOn w:val="Style_5"/>
    <w:next w:val="Style_5"/>
    <w:link w:val="Style_14_ch"/>
    <w:uiPriority w:val="9"/>
    <w:qFormat/>
    <w:pPr>
      <w:keepNext w:val="1"/>
      <w:keepLines w:val="1"/>
      <w:spacing w:after="80" w:before="160"/>
      <w:ind/>
      <w:outlineLvl w:val="2"/>
    </w:pPr>
    <w:rPr>
      <w:color w:themeColor="accent1" w:themeShade="BF" w:val="104861"/>
      <w:sz w:val="28"/>
    </w:rPr>
  </w:style>
  <w:style w:styleId="Style_14_ch" w:type="character">
    <w:name w:val="heading 3"/>
    <w:basedOn w:val="Style_5_ch"/>
    <w:link w:val="Style_14"/>
    <w:rPr>
      <w:color w:themeColor="accent1" w:themeShade="BF" w:val="104861"/>
      <w:sz w:val="28"/>
    </w:rPr>
  </w:style>
  <w:style w:styleId="Style_15" w:type="paragraph">
    <w:name w:val="heading 9"/>
    <w:basedOn w:val="Style_5"/>
    <w:next w:val="Style_5"/>
    <w:link w:val="Style_15_ch"/>
    <w:uiPriority w:val="9"/>
    <w:qFormat/>
    <w:pPr>
      <w:keepNext w:val="1"/>
      <w:keepLines w:val="1"/>
      <w:spacing w:after="0"/>
      <w:ind/>
      <w:outlineLvl w:val="8"/>
    </w:pPr>
    <w:rPr>
      <w:color w:themeColor="text1" w:themeTint="D8" w:val="272727"/>
    </w:rPr>
  </w:style>
  <w:style w:styleId="Style_15_ch" w:type="character">
    <w:name w:val="heading 9"/>
    <w:basedOn w:val="Style_5_ch"/>
    <w:link w:val="Style_15"/>
    <w:rPr>
      <w:color w:themeColor="text1" w:themeTint="D8" w:val="272727"/>
    </w:rPr>
  </w:style>
  <w:style w:styleId="Style_16" w:type="paragraph">
    <w:name w:val="Quote"/>
    <w:basedOn w:val="Style_5"/>
    <w:next w:val="Style_5"/>
    <w:link w:val="Style_16_ch"/>
    <w:pPr>
      <w:spacing w:before="160"/>
      <w:ind/>
      <w:jc w:val="center"/>
    </w:pPr>
    <w:rPr>
      <w:i w:val="1"/>
      <w:color w:themeColor="text1" w:themeTint="BF" w:val="404040"/>
    </w:rPr>
  </w:style>
  <w:style w:styleId="Style_16_ch" w:type="character">
    <w:name w:val="Quote"/>
    <w:basedOn w:val="Style_5_ch"/>
    <w:link w:val="Style_16"/>
    <w:rPr>
      <w:i w:val="1"/>
      <w:color w:themeColor="text1" w:themeTint="BF" w:val="404040"/>
    </w:rPr>
  </w:style>
  <w:style w:styleId="Style_17" w:type="paragraph">
    <w:name w:val="List Paragraph"/>
    <w:basedOn w:val="Style_5"/>
    <w:link w:val="Style_17_ch"/>
    <w:pPr>
      <w:ind w:firstLine="0" w:left="720"/>
      <w:contextualSpacing w:val="1"/>
    </w:pPr>
  </w:style>
  <w:style w:styleId="Style_17_ch" w:type="character">
    <w:name w:val="List Paragraph"/>
    <w:basedOn w:val="Style_5_ch"/>
    <w:link w:val="Style_17"/>
  </w:style>
  <w:style w:styleId="Style_18" w:type="paragraph">
    <w:name w:val="toc 3"/>
    <w:next w:val="Style_5"/>
    <w:link w:val="Style_18_ch"/>
    <w:uiPriority w:val="39"/>
    <w:pPr>
      <w:ind w:firstLine="0" w:left="400"/>
      <w:jc w:val="left"/>
    </w:pPr>
    <w:rPr>
      <w:rFonts w:ascii="XO Thames" w:hAnsi="XO Thames"/>
      <w:sz w:val="28"/>
    </w:rPr>
  </w:style>
  <w:style w:styleId="Style_18_ch" w:type="character">
    <w:name w:val="toc 3"/>
    <w:link w:val="Style_18"/>
    <w:rPr>
      <w:rFonts w:ascii="XO Thames" w:hAnsi="XO Thames"/>
      <w:sz w:val="28"/>
    </w:rPr>
  </w:style>
  <w:style w:styleId="Style_19" w:type="paragraph">
    <w:name w:val="heading 5"/>
    <w:basedOn w:val="Style_5"/>
    <w:next w:val="Style_5"/>
    <w:link w:val="Style_19_ch"/>
    <w:uiPriority w:val="9"/>
    <w:qFormat/>
    <w:pPr>
      <w:keepNext w:val="1"/>
      <w:keepLines w:val="1"/>
      <w:spacing w:after="40" w:before="80"/>
      <w:ind/>
      <w:outlineLvl w:val="4"/>
    </w:pPr>
    <w:rPr>
      <w:color w:themeColor="accent1" w:themeShade="BF" w:val="104861"/>
    </w:rPr>
  </w:style>
  <w:style w:styleId="Style_19_ch" w:type="character">
    <w:name w:val="heading 5"/>
    <w:basedOn w:val="Style_5_ch"/>
    <w:link w:val="Style_19"/>
    <w:rPr>
      <w:color w:themeColor="accent1" w:themeShade="BF" w:val="104861"/>
    </w:rPr>
  </w:style>
  <w:style w:styleId="Style_2" w:type="paragraph">
    <w:name w:val="heading 1"/>
    <w:basedOn w:val="Style_5"/>
    <w:next w:val="Style_5"/>
    <w:link w:val="Style_2_ch"/>
    <w:uiPriority w:val="9"/>
    <w:qFormat/>
    <w:pPr>
      <w:keepNext w:val="1"/>
      <w:keepLines w:val="1"/>
      <w:spacing w:after="0" w:line="360" w:lineRule="auto"/>
      <w:ind/>
      <w:jc w:val="center"/>
      <w:outlineLvl w:val="0"/>
    </w:pPr>
    <w:rPr>
      <w:rFonts w:ascii="Times New Roman Полужирный" w:hAnsi="Times New Roman Полужирный"/>
      <w:b w:val="1"/>
      <w:caps w:val="1"/>
      <w:sz w:val="28"/>
    </w:rPr>
  </w:style>
  <w:style w:styleId="Style_2_ch" w:type="character">
    <w:name w:val="heading 1"/>
    <w:basedOn w:val="Style_5_ch"/>
    <w:link w:val="Style_2"/>
    <w:rPr>
      <w:rFonts w:ascii="Times New Roman Полужирный" w:hAnsi="Times New Roman Полужирный"/>
      <w:b w:val="1"/>
      <w:caps w:val="1"/>
      <w:sz w:val="28"/>
    </w:rPr>
  </w:style>
  <w:style w:styleId="Style_20" w:type="paragraph">
    <w:name w:val="Hyperlink"/>
    <w:basedOn w:val="Style_12"/>
    <w:link w:val="Style_20_ch"/>
    <w:rPr>
      <w:color w:themeColor="hyperlink" w:val="467886"/>
      <w:u w:val="single"/>
    </w:rPr>
  </w:style>
  <w:style w:styleId="Style_20_ch" w:type="character">
    <w:name w:val="Hyperlink"/>
    <w:basedOn w:val="Style_12_ch"/>
    <w:link w:val="Style_20"/>
    <w:rPr>
      <w:color w:themeColor="hyperlink" w:val="467886"/>
      <w:u w:val="single"/>
    </w:rPr>
  </w:style>
  <w:style w:styleId="Style_21" w:type="paragraph">
    <w:name w:val="Footnote"/>
    <w:basedOn w:val="Style_5"/>
    <w:link w:val="Style_21_ch"/>
    <w:pPr>
      <w:widowControl w:val="0"/>
      <w:spacing w:after="0" w:line="240" w:lineRule="auto"/>
      <w:ind/>
    </w:pPr>
    <w:rPr>
      <w:rFonts w:ascii="Times New Roman" w:hAnsi="Times New Roman"/>
      <w:sz w:val="20"/>
    </w:rPr>
  </w:style>
  <w:style w:styleId="Style_21_ch" w:type="character">
    <w:name w:val="Footnote"/>
    <w:basedOn w:val="Style_5_ch"/>
    <w:link w:val="Style_21"/>
    <w:rPr>
      <w:rFonts w:ascii="Times New Roman" w:hAnsi="Times New Roman"/>
      <w:sz w:val="20"/>
    </w:rPr>
  </w:style>
  <w:style w:styleId="Style_22" w:type="paragraph">
    <w:name w:val="heading 8"/>
    <w:basedOn w:val="Style_5"/>
    <w:next w:val="Style_5"/>
    <w:link w:val="Style_22_ch"/>
    <w:uiPriority w:val="9"/>
    <w:qFormat/>
    <w:pPr>
      <w:keepNext w:val="1"/>
      <w:keepLines w:val="1"/>
      <w:spacing w:after="0"/>
      <w:ind/>
      <w:outlineLvl w:val="7"/>
    </w:pPr>
    <w:rPr>
      <w:i w:val="1"/>
      <w:color w:themeColor="text1" w:themeTint="D8" w:val="272727"/>
    </w:rPr>
  </w:style>
  <w:style w:styleId="Style_22_ch" w:type="character">
    <w:name w:val="heading 8"/>
    <w:basedOn w:val="Style_5_ch"/>
    <w:link w:val="Style_22"/>
    <w:rPr>
      <w:i w:val="1"/>
      <w:color w:themeColor="text1" w:themeTint="D8" w:val="272727"/>
    </w:rPr>
  </w:style>
  <w:style w:styleId="Style_23" w:type="paragraph">
    <w:name w:val="toc 1"/>
    <w:basedOn w:val="Style_5"/>
    <w:next w:val="Style_5"/>
    <w:link w:val="Style_23_ch"/>
    <w:uiPriority w:val="39"/>
    <w:pPr>
      <w:tabs>
        <w:tab w:leader="dot" w:pos="9345" w:val="right"/>
      </w:tabs>
      <w:spacing w:after="0" w:line="360" w:lineRule="auto"/>
      <w:ind/>
      <w:jc w:val="both"/>
    </w:pPr>
    <w:rPr>
      <w:rFonts w:ascii="Times New Roman" w:hAnsi="Times New Roman"/>
      <w:caps w:val="1"/>
      <w:sz w:val="28"/>
    </w:rPr>
  </w:style>
  <w:style w:styleId="Style_23_ch" w:type="character">
    <w:name w:val="toc 1"/>
    <w:basedOn w:val="Style_5_ch"/>
    <w:link w:val="Style_23"/>
    <w:rPr>
      <w:rFonts w:ascii="Times New Roman" w:hAnsi="Times New Roman"/>
      <w:caps w:val="1"/>
      <w:sz w:val="28"/>
    </w:rPr>
  </w:style>
  <w:style w:styleId="Style_24" w:type="paragraph">
    <w:name w:val="Header and Footer"/>
    <w:link w:val="Style_24_ch"/>
    <w:pPr>
      <w:spacing w:line="240" w:lineRule="auto"/>
      <w:ind/>
      <w:jc w:val="both"/>
    </w:pPr>
    <w:rPr>
      <w:rFonts w:ascii="XO Thames" w:hAnsi="XO Thames"/>
      <w:sz w:val="20"/>
    </w:rPr>
  </w:style>
  <w:style w:styleId="Style_24_ch" w:type="character">
    <w:name w:val="Header and Footer"/>
    <w:link w:val="Style_24"/>
    <w:rPr>
      <w:rFonts w:ascii="XO Thames" w:hAnsi="XO Thames"/>
      <w:sz w:val="20"/>
    </w:rPr>
  </w:style>
  <w:style w:styleId="Style_25" w:type="paragraph">
    <w:name w:val="Intense Reference"/>
    <w:basedOn w:val="Style_12"/>
    <w:link w:val="Style_25_ch"/>
    <w:rPr>
      <w:b w:val="1"/>
      <w:smallCaps w:val="1"/>
      <w:color w:themeColor="accent1" w:themeShade="BF" w:val="104861"/>
      <w:spacing w:val="5"/>
    </w:rPr>
  </w:style>
  <w:style w:styleId="Style_25_ch" w:type="character">
    <w:name w:val="Intense Reference"/>
    <w:basedOn w:val="Style_12_ch"/>
    <w:link w:val="Style_25"/>
    <w:rPr>
      <w:b w:val="1"/>
      <w:smallCaps w:val="1"/>
      <w:color w:themeColor="accent1" w:themeShade="BF" w:val="104861"/>
      <w:spacing w:val="5"/>
    </w:rPr>
  </w:style>
  <w:style w:styleId="Style_26" w:type="paragraph">
    <w:name w:val="toc 9"/>
    <w:next w:val="Style_5"/>
    <w:link w:val="Style_26_ch"/>
    <w:uiPriority w:val="39"/>
    <w:pPr>
      <w:ind w:firstLine="0" w:left="1600"/>
      <w:jc w:val="left"/>
    </w:pPr>
    <w:rPr>
      <w:rFonts w:ascii="XO Thames" w:hAnsi="XO Thames"/>
      <w:sz w:val="28"/>
    </w:rPr>
  </w:style>
  <w:style w:styleId="Style_26_ch" w:type="character">
    <w:name w:val="toc 9"/>
    <w:link w:val="Style_26"/>
    <w:rPr>
      <w:rFonts w:ascii="XO Thames" w:hAnsi="XO Thames"/>
      <w:sz w:val="28"/>
    </w:rPr>
  </w:style>
  <w:style w:styleId="Style_27" w:type="paragraph">
    <w:name w:val="Strong"/>
    <w:basedOn w:val="Style_12"/>
    <w:link w:val="Style_27_ch"/>
    <w:rPr>
      <w:b w:val="1"/>
    </w:rPr>
  </w:style>
  <w:style w:styleId="Style_27_ch" w:type="character">
    <w:name w:val="Strong"/>
    <w:basedOn w:val="Style_12_ch"/>
    <w:link w:val="Style_27"/>
    <w:rPr>
      <w:b w:val="1"/>
    </w:rPr>
  </w:style>
  <w:style w:styleId="Style_28" w:type="paragraph">
    <w:name w:val="toc 8"/>
    <w:next w:val="Style_5"/>
    <w:link w:val="Style_28_ch"/>
    <w:uiPriority w:val="39"/>
    <w:pPr>
      <w:ind w:firstLine="0" w:left="1400"/>
      <w:jc w:val="left"/>
    </w:pPr>
    <w:rPr>
      <w:rFonts w:ascii="XO Thames" w:hAnsi="XO Thames"/>
      <w:sz w:val="28"/>
    </w:rPr>
  </w:style>
  <w:style w:styleId="Style_28_ch" w:type="character">
    <w:name w:val="toc 8"/>
    <w:link w:val="Style_28"/>
    <w:rPr>
      <w:rFonts w:ascii="XO Thames" w:hAnsi="XO Thames"/>
      <w:sz w:val="28"/>
    </w:rPr>
  </w:style>
  <w:style w:styleId="Style_29" w:type="paragraph">
    <w:name w:val="Intense Emphasis"/>
    <w:basedOn w:val="Style_12"/>
    <w:link w:val="Style_29_ch"/>
    <w:rPr>
      <w:i w:val="1"/>
      <w:color w:themeColor="accent1" w:themeShade="BF" w:val="104861"/>
    </w:rPr>
  </w:style>
  <w:style w:styleId="Style_29_ch" w:type="character">
    <w:name w:val="Intense Emphasis"/>
    <w:basedOn w:val="Style_12_ch"/>
    <w:link w:val="Style_29"/>
    <w:rPr>
      <w:i w:val="1"/>
      <w:color w:themeColor="accent1" w:themeShade="BF" w:val="104861"/>
    </w:rPr>
  </w:style>
  <w:style w:styleId="Style_1" w:type="paragraph">
    <w:name w:val="header"/>
    <w:basedOn w:val="Style_5"/>
    <w:link w:val="Style_1_ch"/>
    <w:pPr>
      <w:tabs>
        <w:tab w:leader="none" w:pos="4677" w:val="center"/>
        <w:tab w:leader="none" w:pos="9355" w:val="right"/>
      </w:tabs>
      <w:spacing w:after="0" w:line="240" w:lineRule="auto"/>
      <w:ind/>
    </w:pPr>
  </w:style>
  <w:style w:styleId="Style_1_ch" w:type="character">
    <w:name w:val="header"/>
    <w:basedOn w:val="Style_5_ch"/>
    <w:link w:val="Style_1"/>
  </w:style>
  <w:style w:styleId="Style_30" w:type="paragraph">
    <w:name w:val="toc 5"/>
    <w:next w:val="Style_5"/>
    <w:link w:val="Style_30_ch"/>
    <w:uiPriority w:val="39"/>
    <w:pPr>
      <w:ind w:firstLine="0" w:left="800"/>
      <w:jc w:val="left"/>
    </w:pPr>
    <w:rPr>
      <w:rFonts w:ascii="XO Thames" w:hAnsi="XO Thames"/>
      <w:sz w:val="28"/>
    </w:rPr>
  </w:style>
  <w:style w:styleId="Style_30_ch" w:type="character">
    <w:name w:val="toc 5"/>
    <w:link w:val="Style_30"/>
    <w:rPr>
      <w:rFonts w:ascii="XO Thames" w:hAnsi="XO Thames"/>
      <w:sz w:val="28"/>
    </w:rPr>
  </w:style>
  <w:style w:styleId="Style_31" w:type="paragraph">
    <w:name w:val="footer"/>
    <w:basedOn w:val="Style_5"/>
    <w:link w:val="Style_31_ch"/>
    <w:pPr>
      <w:tabs>
        <w:tab w:leader="none" w:pos="4677" w:val="center"/>
        <w:tab w:leader="none" w:pos="9355" w:val="right"/>
      </w:tabs>
      <w:spacing w:after="0" w:line="240" w:lineRule="auto"/>
      <w:ind/>
    </w:pPr>
  </w:style>
  <w:style w:styleId="Style_31_ch" w:type="character">
    <w:name w:val="footer"/>
    <w:basedOn w:val="Style_5_ch"/>
    <w:link w:val="Style_31"/>
  </w:style>
  <w:style w:styleId="Style_32" w:type="paragraph">
    <w:name w:val="Unresolved Mention"/>
    <w:basedOn w:val="Style_12"/>
    <w:link w:val="Style_32_ch"/>
    <w:rPr>
      <w:color w:val="605E5C"/>
      <w:shd w:fill="E1DFDD" w:val="clear"/>
    </w:rPr>
  </w:style>
  <w:style w:styleId="Style_32_ch" w:type="character">
    <w:name w:val="Unresolved Mention"/>
    <w:basedOn w:val="Style_12_ch"/>
    <w:link w:val="Style_32"/>
    <w:rPr>
      <w:color w:val="605E5C"/>
      <w:shd w:fill="E1DFDD" w:val="clear"/>
    </w:rPr>
  </w:style>
  <w:style w:styleId="Style_33" w:type="paragraph">
    <w:name w:val="Subtitle"/>
    <w:basedOn w:val="Style_5"/>
    <w:next w:val="Style_5"/>
    <w:link w:val="Style_33_ch"/>
    <w:uiPriority w:val="11"/>
    <w:qFormat/>
    <w:pPr>
      <w:numPr>
        <w:ilvl w:val="1"/>
      </w:numPr>
    </w:pPr>
    <w:rPr>
      <w:color w:themeColor="text1" w:themeTint="A6" w:val="595959"/>
      <w:spacing w:val="15"/>
      <w:sz w:val="28"/>
    </w:rPr>
  </w:style>
  <w:style w:styleId="Style_33_ch" w:type="character">
    <w:name w:val="Subtitle"/>
    <w:basedOn w:val="Style_5_ch"/>
    <w:link w:val="Style_33"/>
    <w:rPr>
      <w:color w:themeColor="text1" w:themeTint="A6" w:val="595959"/>
      <w:spacing w:val="15"/>
      <w:sz w:val="28"/>
    </w:rPr>
  </w:style>
  <w:style w:styleId="Style_12" w:type="paragraph">
    <w:name w:val="Default Paragraph Font"/>
    <w:link w:val="Style_12_ch"/>
  </w:style>
  <w:style w:styleId="Style_12_ch" w:type="character">
    <w:name w:val="Default Paragraph Font"/>
    <w:link w:val="Style_12"/>
  </w:style>
  <w:style w:styleId="Style_34" w:type="paragraph">
    <w:name w:val="Title"/>
    <w:basedOn w:val="Style_5"/>
    <w:next w:val="Style_5"/>
    <w:link w:val="Style_34_ch"/>
    <w:uiPriority w:val="10"/>
    <w:qFormat/>
    <w:pPr>
      <w:spacing w:after="80" w:line="240" w:lineRule="auto"/>
      <w:ind/>
      <w:contextualSpacing w:val="1"/>
    </w:pPr>
    <w:rPr>
      <w:rFonts w:asciiTheme="majorAscii" w:hAnsiTheme="majorHAnsi"/>
      <w:spacing w:val="-10"/>
      <w:sz w:val="56"/>
    </w:rPr>
  </w:style>
  <w:style w:styleId="Style_34_ch" w:type="character">
    <w:name w:val="Title"/>
    <w:basedOn w:val="Style_5_ch"/>
    <w:link w:val="Style_34"/>
    <w:rPr>
      <w:rFonts w:asciiTheme="majorAscii" w:hAnsiTheme="majorHAnsi"/>
      <w:spacing w:val="-10"/>
      <w:sz w:val="56"/>
    </w:rPr>
  </w:style>
  <w:style w:styleId="Style_35" w:type="paragraph">
    <w:name w:val="heading 4"/>
    <w:basedOn w:val="Style_5"/>
    <w:next w:val="Style_5"/>
    <w:link w:val="Style_35_ch"/>
    <w:uiPriority w:val="9"/>
    <w:qFormat/>
    <w:pPr>
      <w:keepNext w:val="1"/>
      <w:keepLines w:val="1"/>
      <w:spacing w:after="40" w:before="80"/>
      <w:ind/>
      <w:outlineLvl w:val="3"/>
    </w:pPr>
    <w:rPr>
      <w:i w:val="1"/>
      <w:color w:themeColor="accent1" w:themeShade="BF" w:val="104861"/>
    </w:rPr>
  </w:style>
  <w:style w:styleId="Style_35_ch" w:type="character">
    <w:name w:val="heading 4"/>
    <w:basedOn w:val="Style_5_ch"/>
    <w:link w:val="Style_35"/>
    <w:rPr>
      <w:i w:val="1"/>
      <w:color w:themeColor="accent1" w:themeShade="BF" w:val="104861"/>
    </w:rPr>
  </w:style>
  <w:style w:styleId="Style_36" w:type="paragraph">
    <w:name w:val="footnote reference"/>
    <w:basedOn w:val="Style_12"/>
    <w:link w:val="Style_36_ch"/>
    <w:rPr>
      <w:vertAlign w:val="superscript"/>
    </w:rPr>
  </w:style>
  <w:style w:styleId="Style_36_ch" w:type="character">
    <w:name w:val="footnote reference"/>
    <w:basedOn w:val="Style_12_ch"/>
    <w:link w:val="Style_36"/>
    <w:rPr>
      <w:vertAlign w:val="superscript"/>
    </w:rPr>
  </w:style>
  <w:style w:styleId="Style_3" w:type="paragraph">
    <w:name w:val="heading 2"/>
    <w:basedOn w:val="Style_5"/>
    <w:next w:val="Style_5"/>
    <w:link w:val="Style_3_ch"/>
    <w:uiPriority w:val="9"/>
    <w:qFormat/>
    <w:pPr>
      <w:keepNext w:val="1"/>
      <w:keepLines w:val="1"/>
      <w:spacing w:after="0" w:line="360" w:lineRule="auto"/>
      <w:ind w:firstLine="709" w:left="0"/>
      <w:jc w:val="both"/>
      <w:outlineLvl w:val="1"/>
    </w:pPr>
    <w:rPr>
      <w:rFonts w:ascii="Times New Roman" w:hAnsi="Times New Roman"/>
      <w:b w:val="1"/>
      <w:sz w:val="28"/>
    </w:rPr>
  </w:style>
  <w:style w:styleId="Style_3_ch" w:type="character">
    <w:name w:val="heading 2"/>
    <w:basedOn w:val="Style_5_ch"/>
    <w:link w:val="Style_3"/>
    <w:rPr>
      <w:rFonts w:ascii="Times New Roman" w:hAnsi="Times New Roman"/>
      <w:b w:val="1"/>
      <w:sz w:val="28"/>
    </w:rPr>
  </w:style>
  <w:style w:styleId="Style_37" w:type="paragraph">
    <w:name w:val="heading 6"/>
    <w:basedOn w:val="Style_5"/>
    <w:next w:val="Style_5"/>
    <w:link w:val="Style_37_ch"/>
    <w:uiPriority w:val="9"/>
    <w:qFormat/>
    <w:pPr>
      <w:keepNext w:val="1"/>
      <w:keepLines w:val="1"/>
      <w:spacing w:after="0" w:before="40"/>
      <w:ind/>
      <w:outlineLvl w:val="5"/>
    </w:pPr>
    <w:rPr>
      <w:i w:val="1"/>
      <w:color w:themeColor="text1" w:themeTint="A6" w:val="595959"/>
    </w:rPr>
  </w:style>
  <w:style w:styleId="Style_37_ch" w:type="character">
    <w:name w:val="heading 6"/>
    <w:basedOn w:val="Style_5_ch"/>
    <w:link w:val="Style_37"/>
    <w:rPr>
      <w:i w:val="1"/>
      <w:color w:themeColor="text1" w:themeTint="A6" w:val="595959"/>
    </w:rPr>
  </w:style>
  <w:style w:styleId="Style_38" w:type="paragraph">
    <w:name w:val="Emphasis"/>
    <w:basedOn w:val="Style_12"/>
    <w:link w:val="Style_38_ch"/>
    <w:rPr>
      <w:i w:val="1"/>
    </w:rPr>
  </w:style>
  <w:style w:styleId="Style_38_ch" w:type="character">
    <w:name w:val="Emphasis"/>
    <w:basedOn w:val="Style_12_ch"/>
    <w:link w:val="Style_38"/>
    <w:rPr>
      <w:i w:val="1"/>
    </w:rPr>
  </w:style>
  <w:style w:styleId="Style_4" w:type="table">
    <w:name w:val="Table Grid"/>
    <w:basedOn w:val="Style_39"/>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9" w:type="table">
    <w:name w:val="Normal Table"/>
    <w:tblPr>
      <w:tblInd w:type="dxa" w:w="0"/>
      <w:tblCellMar>
        <w:top w:type="dxa" w:w="0"/>
        <w:left w:type="dxa" w:w="108"/>
        <w:bottom w:type="dxa" w:w="0"/>
        <w:right w:type="dxa" w:w="108"/>
      </w:tblCellMar>
    </w:tblPr>
  </w:style>
  <w:style w:styleId="Style_40" w:type="table">
    <w:name w:val="Сетка таблицы1"/>
    <w:basedOn w:val="Style_39"/>
    <w:pPr>
      <w:spacing w:after="0" w:line="240" w:lineRule="auto"/>
      <w:ind/>
    </w:pPr>
    <w:rPr>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1" w:type="table">
    <w:name w:val="Normal Grid"/>
    <w:basedOn w:val="Style_39"/>
    <w:pPr>
      <w:spacing w:after="0" w:line="240" w:lineRule="auto"/>
      <w:ind/>
    </w:pPr>
    <w:rPr>
      <w:rFonts w:ascii="Georgia" w:hAnsi="Georgia"/>
      <w:sz w:val="21"/>
    </w:rPr>
    <w:tblPr>
      <w:tblCellMar>
        <w:top w:type="dxa" w:w="80"/>
        <w:left w:type="dxa" w:w="160"/>
        <w:bottom w:type="dxa" w:w="80"/>
        <w:right w:type="dxa" w:w="160"/>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majorFont>
      <a:minorFont>
        <a:latin typeface="Aptos"/>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2026-07-09T09:13:20Z</dcterms:modified>
</cp:coreProperties>
</file>