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ind w:firstLine="0" w:left="-567"/>
        <w:jc w:val="center"/>
        <w:rPr>
          <w:b w:val="1"/>
          <w:spacing w:val="30"/>
          <w:sz w:val="26"/>
        </w:rPr>
      </w:pPr>
      <w:r>
        <w:rPr>
          <w:b w:val="1"/>
          <w:spacing w:val="30"/>
          <w:sz w:val="26"/>
        </w:rPr>
        <w:t>Образовательная автономная некоммерческая организация</w:t>
      </w:r>
    </w:p>
    <w:p w14:paraId="04000000">
      <w:pPr>
        <w:ind w:firstLine="0" w:left="-567"/>
        <w:jc w:val="center"/>
        <w:rPr>
          <w:b w:val="1"/>
          <w:spacing w:val="30"/>
          <w:sz w:val="26"/>
        </w:rPr>
      </w:pPr>
      <w:r>
        <w:rPr>
          <w:b w:val="1"/>
          <w:spacing w:val="30"/>
          <w:sz w:val="26"/>
        </w:rPr>
        <w:t>высшего образования</w:t>
      </w:r>
    </w:p>
    <w:p w14:paraId="05000000">
      <w:pPr>
        <w:spacing w:after="120"/>
        <w:ind w:firstLine="0" w:left="-142"/>
        <w:rPr>
          <w:b w:val="1"/>
          <w:spacing w:val="40"/>
          <w:sz w:val="32"/>
        </w:rPr>
      </w:pPr>
      <w:r>
        <w:rPr>
          <w:b w:val="1"/>
          <w:spacing w:val="40"/>
          <w:sz w:val="32"/>
        </w:rPr>
        <w:t>«МОСКОВСКИЙ ТЕХНОЛОГИЧЕСКИЙ ИНСТИТУТ»</w:t>
      </w:r>
    </w:p>
    <w:tbl>
      <w:tblPr>
        <w:tblStyle w:val="Style_2"/>
        <w:tblBorders>
          <w:top w:color="000000" w:sz="4" w:val="double"/>
        </w:tblBorders>
        <w:tblLayout w:type="fixed"/>
      </w:tblPr>
      <w:tblGrid>
        <w:gridCol w:w="5028"/>
        <w:gridCol w:w="5024"/>
      </w:tblGrid>
      <w:tr>
        <w:trPr>
          <w:trHeight w:hRule="atLeast" w:val="204"/>
        </w:trPr>
        <w:tc>
          <w:tcPr>
            <w:tcW w:type="dxa" w:w="5028"/>
            <w:tcBorders>
              <w:top w:color="000000" w:sz="4" w:val="double"/>
              <w:left w:sz="4" w:val="nil"/>
              <w:bottom w:sz="4" w:val="nil"/>
              <w:right w:sz="4" w:val="nil"/>
            </w:tcBorders>
          </w:tcPr>
          <w:p w14:paraId="06000000">
            <w:pPr>
              <w:ind/>
              <w:jc w:val="center"/>
              <w:rPr>
                <w:rFonts w:ascii="Calibri" w:hAnsi="Calibri"/>
                <w:b w:val="1"/>
                <w:sz w:val="16"/>
              </w:rPr>
            </w:pPr>
          </w:p>
        </w:tc>
        <w:tc>
          <w:tcPr>
            <w:tcW w:type="dxa" w:w="5024"/>
            <w:tcBorders>
              <w:top w:color="000000" w:sz="4" w:val="double"/>
              <w:left w:sz="4" w:val="nil"/>
              <w:bottom w:sz="4" w:val="nil"/>
              <w:right w:sz="4" w:val="nil"/>
            </w:tcBorders>
          </w:tcPr>
          <w:p w14:paraId="07000000">
            <w:pPr>
              <w:ind/>
              <w:jc w:val="center"/>
              <w:rPr>
                <w:rFonts w:ascii="Calibri" w:hAnsi="Calibri"/>
                <w:b w:val="1"/>
                <w:sz w:val="16"/>
              </w:rPr>
            </w:pPr>
          </w:p>
        </w:tc>
      </w:tr>
    </w:tbl>
    <w:p w14:paraId="08000000">
      <w:pPr>
        <w:widowControl w:val="1"/>
        <w:ind/>
        <w:jc w:val="center"/>
        <w:rPr>
          <w:sz w:val="24"/>
        </w:rPr>
      </w:pPr>
      <w:r>
        <w:rPr>
          <w:sz w:val="24"/>
        </w:rPr>
        <w:t>Факультет «Экономики и управления»</w:t>
      </w:r>
    </w:p>
    <w:p w14:paraId="09000000">
      <w:pPr>
        <w:widowControl w:val="1"/>
        <w:ind/>
        <w:jc w:val="center"/>
        <w:rPr>
          <w:b w:val="1"/>
          <w:sz w:val="24"/>
        </w:rPr>
      </w:pPr>
      <w:r>
        <w:rPr>
          <w:sz w:val="24"/>
        </w:rPr>
        <w:t xml:space="preserve">Направление подготовки: </w:t>
      </w:r>
      <w:r>
        <w:rPr>
          <w:b w:val="1"/>
          <w:sz w:val="24"/>
        </w:rPr>
        <w:t>38.03.01 Экономика</w:t>
      </w:r>
    </w:p>
    <w:p w14:paraId="0A000000">
      <w:pPr>
        <w:widowControl w:val="1"/>
        <w:ind/>
        <w:jc w:val="center"/>
        <w:rPr>
          <w:b w:val="1"/>
          <w:sz w:val="24"/>
          <w:u w:val="single"/>
        </w:rPr>
      </w:pPr>
      <w:r>
        <w:rPr>
          <w:b w:val="1"/>
          <w:sz w:val="24"/>
          <w:u w:val="single"/>
        </w:rPr>
        <w:t>Направленность: Экономика предприятий и организаций</w:t>
      </w:r>
    </w:p>
    <w:p w14:paraId="0B000000">
      <w:pPr>
        <w:widowControl w:val="1"/>
        <w:ind/>
        <w:jc w:val="center"/>
        <w:rPr>
          <w:sz w:val="24"/>
        </w:rPr>
      </w:pPr>
    </w:p>
    <w:tbl>
      <w:tblPr>
        <w:tblStyle w:val="Style_2"/>
        <w:tblInd w:type="dxa" w:w="5245"/>
        <w:tblLayout w:type="fixed"/>
      </w:tblPr>
      <w:tblGrid>
        <w:gridCol w:w="4111"/>
      </w:tblGrid>
      <w:tr>
        <w:tc>
          <w:tcPr>
            <w:tcW w:type="dxa" w:w="4111"/>
            <w:shd w:fill="auto" w:val="clear"/>
          </w:tcPr>
          <w:p w14:paraId="0C000000">
            <w:pPr>
              <w:widowControl w:val="1"/>
              <w:ind/>
              <w:jc w:val="center"/>
              <w:rPr>
                <w:sz w:val="28"/>
              </w:rPr>
            </w:pPr>
            <w:r>
              <w:rPr>
                <w:b w:val="1"/>
                <w:sz w:val="24"/>
              </w:rPr>
              <w:t>УТВЕРЖДАЮ</w:t>
            </w:r>
          </w:p>
        </w:tc>
      </w:tr>
      <w:tr>
        <w:tc>
          <w:tcPr>
            <w:tcW w:type="dxa" w:w="4111"/>
            <w:shd w:fill="auto" w:val="clear"/>
          </w:tcPr>
          <w:p w14:paraId="0D000000">
            <w:pPr>
              <w:widowControl w:val="1"/>
              <w:ind/>
              <w:jc w:val="both"/>
              <w:rPr>
                <w:sz w:val="28"/>
              </w:rPr>
            </w:pPr>
            <w:r>
              <w:rPr>
                <w:sz w:val="24"/>
              </w:rPr>
              <w:t>Декан факультета «Экономики и управления»</w:t>
            </w:r>
          </w:p>
        </w:tc>
      </w:tr>
      <w:tr>
        <w:tc>
          <w:tcPr>
            <w:tcW w:type="dxa" w:w="4111"/>
            <w:shd w:fill="auto" w:val="clear"/>
          </w:tcPr>
          <w:p w14:paraId="0E000000">
            <w:pPr>
              <w:ind/>
              <w:jc w:val="both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___________________       А.Л. Карпова</w:t>
            </w:r>
          </w:p>
          <w:p w14:paraId="0F000000">
            <w:pPr>
              <w:widowControl w:val="1"/>
              <w:ind/>
              <w:jc w:val="both"/>
              <w:rPr>
                <w:sz w:val="28"/>
              </w:rPr>
            </w:pPr>
            <w:r>
              <w:rPr>
                <w:spacing w:val="-4"/>
                <w:sz w:val="16"/>
              </w:rPr>
              <w:t xml:space="preserve">                 п</w:t>
            </w:r>
            <w:r>
              <w:rPr>
                <w:spacing w:val="-4"/>
                <w:sz w:val="16"/>
              </w:rPr>
              <w:t xml:space="preserve">одпись                                                               </w:t>
            </w:r>
          </w:p>
        </w:tc>
      </w:tr>
      <w:tr>
        <w:tc>
          <w:tcPr>
            <w:tcW w:type="dxa" w:w="4111"/>
            <w:shd w:fill="auto" w:val="clear"/>
          </w:tcPr>
          <w:p w14:paraId="10000000">
            <w:pPr>
              <w:ind/>
              <w:jc w:val="both"/>
              <w:rPr>
                <w:spacing w:val="-4"/>
                <w:sz w:val="24"/>
              </w:rPr>
            </w:pPr>
            <w:r>
              <w:rPr>
                <w:sz w:val="24"/>
              </w:rPr>
              <w:t>«____» _________________ 202__ г.</w:t>
            </w:r>
          </w:p>
        </w:tc>
      </w:tr>
      <w:tr>
        <w:tc>
          <w:tcPr>
            <w:tcW w:type="dxa" w:w="4111"/>
            <w:shd w:fill="auto" w:val="clear"/>
          </w:tcPr>
          <w:p w14:paraId="11000000">
            <w:pPr>
              <w:ind/>
              <w:jc w:val="both"/>
              <w:rPr>
                <w:sz w:val="24"/>
              </w:rPr>
            </w:pPr>
          </w:p>
        </w:tc>
      </w:tr>
    </w:tbl>
    <w:p w14:paraId="12000000">
      <w:pPr>
        <w:widowControl w:val="1"/>
        <w:ind/>
        <w:jc w:val="center"/>
        <w:rPr>
          <w:b w:val="1"/>
          <w:sz w:val="32"/>
        </w:rPr>
      </w:pPr>
      <w:r>
        <w:rPr>
          <w:b w:val="1"/>
          <w:sz w:val="32"/>
        </w:rPr>
        <w:t xml:space="preserve">ОТЧЕТ </w:t>
      </w:r>
    </w:p>
    <w:p w14:paraId="13000000">
      <w:pPr>
        <w:widowControl w:val="1"/>
        <w:ind/>
        <w:jc w:val="center"/>
        <w:rPr>
          <w:b w:val="1"/>
          <w:sz w:val="32"/>
        </w:rPr>
      </w:pPr>
      <w:r>
        <w:rPr>
          <w:b w:val="1"/>
          <w:sz w:val="32"/>
        </w:rPr>
        <w:t>о прохождении практики</w:t>
      </w:r>
    </w:p>
    <w:p w14:paraId="14000000">
      <w:pPr>
        <w:widowControl w:val="1"/>
        <w:ind/>
        <w:jc w:val="center"/>
        <w:rPr>
          <w:b w:val="1"/>
          <w:sz w:val="24"/>
        </w:rPr>
      </w:pPr>
    </w:p>
    <w:tbl>
      <w:tblPr>
        <w:tblStyle w:val="Style_2"/>
        <w:tblLayout w:type="fixed"/>
      </w:tblPr>
      <w:tblGrid>
        <w:gridCol w:w="4392"/>
        <w:gridCol w:w="3282"/>
        <w:gridCol w:w="1964"/>
      </w:tblGrid>
      <w:tr>
        <w:tc>
          <w:tcPr>
            <w:tcW w:type="dxa" w:w="4392"/>
            <w:shd w:fill="auto" w:val="clear"/>
          </w:tcPr>
          <w:p w14:paraId="15000000">
            <w:pPr>
              <w:ind/>
              <w:jc w:val="right"/>
              <w:rPr>
                <w:color w:val="000000"/>
                <w:spacing w:val="-5"/>
                <w:sz w:val="24"/>
              </w:rPr>
            </w:pPr>
            <w:r>
              <w:rPr>
                <w:color w:val="000000"/>
                <w:spacing w:val="-5"/>
                <w:sz w:val="24"/>
              </w:rPr>
              <w:t>обучающимся группы</w:t>
            </w:r>
          </w:p>
        </w:tc>
        <w:tc>
          <w:tcPr>
            <w:tcW w:type="dxa" w:w="3282"/>
            <w:tcBorders>
              <w:bottom w:color="000000" w:sz="4" w:val="single"/>
            </w:tcBorders>
            <w:shd w:fill="auto" w:val="clear"/>
          </w:tcPr>
          <w:p w14:paraId="16000000">
            <w:pPr>
              <w:ind/>
              <w:jc w:val="center"/>
              <w:rPr>
                <w:color w:val="000000"/>
                <w:spacing w:val="-5"/>
                <w:sz w:val="28"/>
              </w:rPr>
            </w:pPr>
          </w:p>
        </w:tc>
        <w:tc>
          <w:tcPr>
            <w:tcW w:type="dxa" w:w="1964"/>
            <w:shd w:fill="auto" w:val="clear"/>
          </w:tcPr>
          <w:p w14:paraId="17000000">
            <w:pPr>
              <w:ind/>
              <w:jc w:val="center"/>
              <w:rPr>
                <w:color w:val="000000"/>
                <w:spacing w:val="-5"/>
                <w:sz w:val="24"/>
              </w:rPr>
            </w:pPr>
          </w:p>
        </w:tc>
      </w:tr>
      <w:tr>
        <w:tc>
          <w:tcPr>
            <w:tcW w:type="dxa" w:w="4392"/>
            <w:shd w:fill="auto" w:val="clear"/>
          </w:tcPr>
          <w:p w14:paraId="18000000">
            <w:pPr>
              <w:ind/>
              <w:jc w:val="center"/>
              <w:rPr>
                <w:color w:val="000000"/>
                <w:spacing w:val="-5"/>
              </w:rPr>
            </w:pPr>
          </w:p>
        </w:tc>
        <w:tc>
          <w:tcPr>
            <w:tcW w:type="dxa" w:w="3282"/>
            <w:tcBorders>
              <w:top w:color="000000" w:sz="4" w:val="single"/>
            </w:tcBorders>
            <w:shd w:fill="auto" w:val="clear"/>
          </w:tcPr>
          <w:p w14:paraId="19000000">
            <w:pPr>
              <w:ind/>
              <w:jc w:val="center"/>
              <w:rPr>
                <w:color w:val="000000"/>
                <w:spacing w:val="-5"/>
              </w:rPr>
            </w:pPr>
            <w:r>
              <w:rPr>
                <w:color w:val="000000"/>
                <w:spacing w:val="-5"/>
              </w:rPr>
              <w:t>(код и номер учебной группы)</w:t>
            </w:r>
          </w:p>
        </w:tc>
        <w:tc>
          <w:tcPr>
            <w:tcW w:type="dxa" w:w="1964"/>
            <w:shd w:fill="auto" w:val="clear"/>
          </w:tcPr>
          <w:p w14:paraId="1A000000">
            <w:pPr>
              <w:ind/>
              <w:jc w:val="center"/>
              <w:rPr>
                <w:color w:val="000000"/>
                <w:spacing w:val="-5"/>
              </w:rPr>
            </w:pPr>
          </w:p>
        </w:tc>
      </w:tr>
    </w:tbl>
    <w:p w14:paraId="1B000000">
      <w:pPr>
        <w:rPr>
          <w:sz w:val="24"/>
        </w:rPr>
      </w:pPr>
    </w:p>
    <w:tbl>
      <w:tblPr>
        <w:tblStyle w:val="Style_2"/>
        <w:tblLayout w:type="fixed"/>
      </w:tblPr>
      <w:tblGrid>
        <w:gridCol w:w="9592"/>
      </w:tblGrid>
      <w:tr>
        <w:tc>
          <w:tcPr>
            <w:tcW w:type="dxa" w:w="9592"/>
            <w:tcBorders>
              <w:bottom w:color="000000" w:sz="4" w:val="single"/>
            </w:tcBorders>
            <w:shd w:fill="auto" w:val="clear"/>
          </w:tcPr>
          <w:p w14:paraId="1C000000">
            <w:pPr>
              <w:ind/>
              <w:jc w:val="center"/>
              <w:rPr>
                <w:color w:val="000000"/>
                <w:spacing w:val="-5"/>
                <w:sz w:val="28"/>
              </w:rPr>
            </w:pPr>
          </w:p>
        </w:tc>
      </w:tr>
      <w:tr>
        <w:tc>
          <w:tcPr>
            <w:tcW w:type="dxa" w:w="9592"/>
            <w:tcBorders>
              <w:top w:color="000000" w:sz="4" w:val="single"/>
            </w:tcBorders>
            <w:shd w:fill="auto" w:val="clear"/>
          </w:tcPr>
          <w:p w14:paraId="1D000000">
            <w:pPr>
              <w:ind/>
              <w:jc w:val="center"/>
              <w:rPr>
                <w:color w:val="000000"/>
                <w:spacing w:val="-5"/>
              </w:rPr>
            </w:pPr>
            <w:r>
              <w:rPr>
                <w:color w:val="000000"/>
                <w:spacing w:val="-5"/>
              </w:rPr>
              <w:t>(фамилия, имя, отчество обучающегося)</w:t>
            </w:r>
          </w:p>
        </w:tc>
      </w:tr>
    </w:tbl>
    <w:p w14:paraId="1E000000">
      <w:pPr>
        <w:ind/>
        <w:jc w:val="center"/>
        <w:rPr>
          <w:b w:val="1"/>
          <w:sz w:val="24"/>
        </w:rPr>
      </w:pPr>
    </w:p>
    <w:tbl>
      <w:tblPr>
        <w:tblStyle w:val="Style_2"/>
        <w:tblLayout w:type="fixed"/>
      </w:tblPr>
      <w:tblGrid>
        <w:gridCol w:w="9571"/>
      </w:tblGrid>
      <w:tr>
        <w:tc>
          <w:tcPr>
            <w:tcW w:type="dxa" w:w="9571"/>
            <w:tcBorders>
              <w:top w:color="000000" w:sz="4" w:val="single"/>
              <w:left w:sz="4" w:val="nil"/>
              <w:bottom w:sz="4" w:val="nil"/>
              <w:right w:sz="4" w:val="nil"/>
            </w:tcBorders>
            <w:shd w:fill="auto" w:val="clear"/>
          </w:tcPr>
          <w:p w14:paraId="1F000000">
            <w:pPr>
              <w:ind/>
              <w:jc w:val="center"/>
              <w:rPr>
                <w:sz w:val="14"/>
              </w:rPr>
            </w:pPr>
          </w:p>
        </w:tc>
      </w:tr>
      <w:tr>
        <w:tc>
          <w:tcPr>
            <w:tcW w:type="dxa" w:w="9571"/>
            <w:shd w:fill="auto" w:val="clear"/>
          </w:tcPr>
          <w:p w14:paraId="20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Место прохождения практики:</w:t>
            </w:r>
          </w:p>
        </w:tc>
      </w:tr>
      <w:tr>
        <w:tc>
          <w:tcPr>
            <w:tcW w:type="dxa" w:w="9571"/>
            <w:tcBorders>
              <w:top w:sz="4" w:val="nil"/>
              <w:left w:sz="4" w:val="nil"/>
              <w:bottom w:color="000000" w:sz="4" w:val="single"/>
              <w:right w:sz="4" w:val="nil"/>
            </w:tcBorders>
            <w:shd w:fill="auto" w:val="clear"/>
          </w:tcPr>
          <w:p w14:paraId="21000000">
            <w:pPr>
              <w:pStyle w:val="Style_3"/>
              <w:spacing w:after="0" w:before="0"/>
              <w:ind/>
              <w:jc w:val="center"/>
              <w:rPr>
                <w:sz w:val="28"/>
              </w:rPr>
            </w:pPr>
            <w:r>
              <w:t>ООО «ГРАФИТ»</w:t>
            </w:r>
          </w:p>
        </w:tc>
      </w:tr>
      <w:tr>
        <w:tc>
          <w:tcPr>
            <w:tcW w:type="dxa" w:w="9571"/>
            <w:tcBorders>
              <w:top w:color="000000" w:sz="4" w:val="single"/>
              <w:left w:sz="4" w:val="nil"/>
              <w:bottom w:sz="4" w:val="nil"/>
              <w:right w:sz="4" w:val="nil"/>
            </w:tcBorders>
            <w:shd w:fill="auto" w:val="clear"/>
          </w:tcPr>
          <w:p w14:paraId="22000000">
            <w:pPr>
              <w:ind/>
              <w:jc w:val="center"/>
              <w:rPr>
                <w:sz w:val="14"/>
              </w:rPr>
            </w:pPr>
            <w:r>
              <w:rPr>
                <w:sz w:val="14"/>
              </w:rPr>
              <w:t>(полное наименование организации)</w:t>
            </w:r>
          </w:p>
        </w:tc>
      </w:tr>
      <w:tr>
        <w:tc>
          <w:tcPr>
            <w:tcW w:type="dxa" w:w="9571"/>
            <w:shd w:fill="auto" w:val="clear"/>
          </w:tcPr>
          <w:p w14:paraId="23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Руководители производственной практики:</w:t>
            </w:r>
          </w:p>
        </w:tc>
      </w:tr>
      <w:tr>
        <w:tc>
          <w:tcPr>
            <w:tcW w:type="dxa" w:w="9571"/>
            <w:tcBorders>
              <w:top w:sz="4" w:val="nil"/>
              <w:left w:sz="4" w:val="nil"/>
              <w:bottom w:color="000000" w:sz="4" w:val="single"/>
              <w:right w:sz="4" w:val="nil"/>
            </w:tcBorders>
            <w:shd w:fill="auto" w:val="clear"/>
          </w:tcPr>
          <w:p w14:paraId="24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от Института: </w:t>
            </w:r>
          </w:p>
        </w:tc>
      </w:tr>
      <w:tr>
        <w:tc>
          <w:tcPr>
            <w:tcW w:type="dxa" w:w="9571"/>
            <w:tcBorders>
              <w:top w:color="000000" w:sz="4" w:val="single"/>
              <w:left w:sz="4" w:val="nil"/>
              <w:bottom w:sz="4" w:val="nil"/>
              <w:right w:sz="4" w:val="nil"/>
            </w:tcBorders>
            <w:shd w:fill="auto" w:val="clear"/>
          </w:tcPr>
          <w:p w14:paraId="25000000">
            <w:pPr>
              <w:ind/>
              <w:jc w:val="center"/>
              <w:rPr>
                <w:sz w:val="14"/>
              </w:rPr>
            </w:pPr>
            <w:r>
              <w:rPr>
                <w:sz w:val="14"/>
              </w:rPr>
              <w:t>(фамилия, имя, отчество)</w:t>
            </w:r>
          </w:p>
        </w:tc>
      </w:tr>
      <w:tr>
        <w:tc>
          <w:tcPr>
            <w:tcW w:type="dxa" w:w="9571"/>
            <w:tcBorders>
              <w:top w:sz="4" w:val="nil"/>
              <w:left w:sz="4" w:val="nil"/>
              <w:bottom w:color="000000" w:sz="4" w:val="single"/>
              <w:right w:sz="4" w:val="nil"/>
            </w:tcBorders>
            <w:shd w:fill="auto" w:val="clear"/>
          </w:tcPr>
          <w:p w14:paraId="26000000">
            <w:pPr>
              <w:rPr>
                <w:sz w:val="28"/>
              </w:rPr>
            </w:pPr>
          </w:p>
        </w:tc>
      </w:tr>
      <w:tr>
        <w:tc>
          <w:tcPr>
            <w:tcW w:type="dxa" w:w="9571"/>
            <w:tcBorders>
              <w:top w:color="000000" w:sz="4" w:val="single"/>
              <w:left w:sz="4" w:val="nil"/>
              <w:bottom w:sz="4" w:val="nil"/>
              <w:right w:sz="4" w:val="nil"/>
            </w:tcBorders>
            <w:shd w:fill="auto" w:val="clear"/>
          </w:tcPr>
          <w:p w14:paraId="27000000">
            <w:pPr>
              <w:ind/>
              <w:jc w:val="center"/>
              <w:rPr>
                <w:sz w:val="14"/>
              </w:rPr>
            </w:pPr>
            <w:r>
              <w:rPr>
                <w:sz w:val="14"/>
              </w:rPr>
              <w:t>(ученая степень, ученое звание, должность)</w:t>
            </w:r>
          </w:p>
        </w:tc>
      </w:tr>
      <w:tr>
        <w:tc>
          <w:tcPr>
            <w:tcW w:type="dxa" w:w="9571"/>
            <w:tcBorders>
              <w:top w:sz="4" w:val="nil"/>
              <w:left w:sz="4" w:val="nil"/>
              <w:bottom w:color="000000" w:sz="4" w:val="single"/>
              <w:right w:sz="4" w:val="nil"/>
            </w:tcBorders>
            <w:shd w:fill="auto" w:val="clear"/>
          </w:tcPr>
          <w:p w14:paraId="28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>от Организации:</w:t>
            </w:r>
            <w:r>
              <w:rPr>
                <w:sz w:val="24"/>
              </w:rPr>
              <w:t xml:space="preserve"> </w:t>
            </w:r>
          </w:p>
        </w:tc>
      </w:tr>
      <w:tr>
        <w:tc>
          <w:tcPr>
            <w:tcW w:type="dxa" w:w="9571"/>
            <w:tcBorders>
              <w:top w:color="000000" w:sz="4" w:val="single"/>
              <w:left w:sz="4" w:val="nil"/>
              <w:bottom w:sz="4" w:val="nil"/>
              <w:right w:sz="4" w:val="nil"/>
            </w:tcBorders>
            <w:shd w:fill="auto" w:val="clear"/>
          </w:tcPr>
          <w:p w14:paraId="29000000">
            <w:pPr>
              <w:ind/>
              <w:jc w:val="center"/>
              <w:rPr>
                <w:sz w:val="14"/>
              </w:rPr>
            </w:pPr>
            <w:r>
              <w:rPr>
                <w:sz w:val="14"/>
              </w:rPr>
              <w:t>(фамилия, имя, отчество)</w:t>
            </w:r>
          </w:p>
        </w:tc>
      </w:tr>
      <w:tr>
        <w:tc>
          <w:tcPr>
            <w:tcW w:type="dxa" w:w="9571"/>
            <w:tcBorders>
              <w:top w:sz="4" w:val="nil"/>
              <w:left w:sz="4" w:val="nil"/>
              <w:bottom w:color="000000" w:sz="4" w:val="single"/>
              <w:right w:sz="4" w:val="nil"/>
            </w:tcBorders>
            <w:shd w:fill="auto" w:val="clear"/>
          </w:tcPr>
          <w:p w14:paraId="2A000000">
            <w:pPr>
              <w:ind/>
              <w:jc w:val="center"/>
              <w:rPr>
                <w:sz w:val="28"/>
              </w:rPr>
            </w:pPr>
            <w:r>
              <w:rPr>
                <w:sz w:val="24"/>
              </w:rPr>
              <w:t xml:space="preserve">директор </w:t>
            </w:r>
          </w:p>
        </w:tc>
      </w:tr>
      <w:tr>
        <w:tc>
          <w:tcPr>
            <w:tcW w:type="dxa" w:w="9571"/>
            <w:tcBorders>
              <w:top w:color="000000" w:sz="4" w:val="single"/>
              <w:left w:sz="4" w:val="nil"/>
              <w:bottom w:sz="4" w:val="nil"/>
              <w:right w:sz="4" w:val="nil"/>
            </w:tcBorders>
            <w:shd w:fill="auto" w:val="clear"/>
          </w:tcPr>
          <w:p w14:paraId="2B000000">
            <w:pPr>
              <w:ind/>
              <w:jc w:val="center"/>
              <w:rPr>
                <w:sz w:val="14"/>
              </w:rPr>
            </w:pPr>
            <w:r>
              <w:rPr>
                <w:sz w:val="14"/>
              </w:rPr>
              <w:t>(должность)</w:t>
            </w:r>
          </w:p>
        </w:tc>
      </w:tr>
    </w:tbl>
    <w:p w14:paraId="2C000000">
      <w:pPr>
        <w:widowControl w:val="1"/>
        <w:ind/>
        <w:jc w:val="center"/>
        <w:rPr>
          <w:sz w:val="24"/>
        </w:rPr>
      </w:pPr>
    </w:p>
    <w:p w14:paraId="2D000000">
      <w:pPr>
        <w:pStyle w:val="Style_4"/>
        <w:widowControl w:val="1"/>
        <w:spacing w:after="120"/>
        <w:ind w:firstLine="0" w:left="0"/>
        <w:jc w:val="center"/>
        <w:rPr>
          <w:b w:val="1"/>
          <w:sz w:val="24"/>
        </w:rPr>
      </w:pPr>
      <w:r>
        <w:rPr>
          <w:b w:val="1"/>
          <w:sz w:val="24"/>
        </w:rPr>
        <w:t>1. Индивидуальн</w:t>
      </w:r>
      <w:r>
        <w:rPr>
          <w:b w:val="1"/>
          <w:sz w:val="24"/>
        </w:rPr>
        <w:t>ый план-дневник технологический</w:t>
      </w:r>
      <w:r>
        <w:rPr>
          <w:b w:val="1"/>
          <w:sz w:val="24"/>
        </w:rPr>
        <w:t xml:space="preserve"> практики</w:t>
      </w:r>
    </w:p>
    <w:p w14:paraId="2E000000">
      <w:pPr>
        <w:ind w:firstLine="709" w:left="0"/>
        <w:jc w:val="both"/>
        <w:rPr>
          <w:sz w:val="24"/>
        </w:rPr>
      </w:pPr>
      <w:r>
        <w:rPr>
          <w:sz w:val="24"/>
        </w:rPr>
        <w:t xml:space="preserve">Индивидуальный план-дневник </w:t>
      </w:r>
      <w:r>
        <w:rPr>
          <w:sz w:val="24"/>
        </w:rPr>
        <w:t xml:space="preserve">технологической </w:t>
      </w:r>
      <w:r>
        <w:rPr>
          <w:sz w:val="24"/>
        </w:rPr>
        <w:t>практики составляется обучающимся на основании полученного задания на практику в течение организационного этапа практики (до фактического начала выполнения работ) с указанием запланированных сроков выполнения этапов работ.</w:t>
      </w:r>
    </w:p>
    <w:p w14:paraId="2F000000">
      <w:pPr>
        <w:widowControl w:val="1"/>
        <w:tabs>
          <w:tab w:leader="none" w:pos="993" w:val="left"/>
        </w:tabs>
        <w:ind w:firstLine="709" w:left="0"/>
        <w:jc w:val="both"/>
        <w:rPr>
          <w:sz w:val="24"/>
        </w:rPr>
      </w:pPr>
      <w:r>
        <w:rPr>
          <w:sz w:val="24"/>
        </w:rPr>
        <w:t>Отметка о выполнении (слово «Выполнено») удостоверяет выполнение каждого этапа практики в указанное время. В случае обоснованного переноса выполнения этапа на другую дату, делается соответствующая запись («Выполнение данного этапа перенесено на… в связи с…»).</w:t>
      </w:r>
    </w:p>
    <w:p w14:paraId="30000000">
      <w:pPr>
        <w:tabs>
          <w:tab w:leader="none" w:pos="993" w:val="left"/>
        </w:tabs>
        <w:spacing w:after="120"/>
        <w:ind w:firstLine="709" w:left="0"/>
        <w:jc w:val="both"/>
        <w:rPr>
          <w:sz w:val="24"/>
        </w:rPr>
      </w:pPr>
      <w:r>
        <w:rPr>
          <w:sz w:val="24"/>
        </w:rPr>
        <w:t>Таблица индивидуального плана-дневника заполняется шрифтом Times New Roman, размер 12, оформление – обычное, межстрочный интервал – одинарный, отступ первой строки абзаца – нет.</w:t>
      </w:r>
    </w:p>
    <w:tbl>
      <w:tblPr>
        <w:tblStyle w:val="Style_5"/>
        <w:tblLayout w:type="fixed"/>
      </w:tblPr>
      <w:tblGrid>
        <w:gridCol w:w="604"/>
        <w:gridCol w:w="4931"/>
        <w:gridCol w:w="1849"/>
        <w:gridCol w:w="2149"/>
      </w:tblGrid>
      <w:tr>
        <w:trPr>
          <w:trHeight w:hRule="atLeast" w:val="890"/>
        </w:trPr>
        <w:tc>
          <w:tcPr>
            <w:tcW w:type="dxa" w:w="604"/>
          </w:tcPr>
          <w:p w14:paraId="31000000">
            <w:pPr>
              <w:keepNext w:val="1"/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№</w:t>
            </w:r>
          </w:p>
          <w:p w14:paraId="32000000">
            <w:pPr>
              <w:keepNext w:val="1"/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п/п</w:t>
            </w:r>
          </w:p>
        </w:tc>
        <w:tc>
          <w:tcPr>
            <w:tcW w:type="dxa" w:w="4931"/>
          </w:tcPr>
          <w:p w14:paraId="33000000">
            <w:pPr>
              <w:keepNext w:val="1"/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Содержание этапов работ, в соответствии с индивидуальным заданием на практику</w:t>
            </w:r>
          </w:p>
        </w:tc>
        <w:tc>
          <w:tcPr>
            <w:tcW w:type="dxa" w:w="1849"/>
          </w:tcPr>
          <w:p w14:paraId="34000000">
            <w:pPr>
              <w:keepNext w:val="1"/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Дата выполнения этапов работ</w:t>
            </w:r>
          </w:p>
        </w:tc>
        <w:tc>
          <w:tcPr>
            <w:tcW w:type="dxa" w:w="2149"/>
          </w:tcPr>
          <w:p w14:paraId="35000000">
            <w:pPr>
              <w:keepNext w:val="1"/>
              <w:widowControl w:val="1"/>
              <w:ind w:hanging="51" w:left="51"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Отметка о выполнении</w:t>
            </w:r>
          </w:p>
        </w:tc>
      </w:tr>
      <w:tr>
        <w:tc>
          <w:tcPr>
            <w:tcW w:type="dxa" w:w="604"/>
          </w:tcPr>
          <w:p w14:paraId="36000000">
            <w:pPr>
              <w:keepNext w:val="1"/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type="dxa" w:w="4931"/>
          </w:tcPr>
          <w:p w14:paraId="37000000">
            <w:pPr>
              <w:keepNext w:val="1"/>
              <w:widowControl w:val="1"/>
              <w:ind/>
              <w:rPr>
                <w:sz w:val="22"/>
              </w:rPr>
            </w:pPr>
            <w:r>
              <w:rPr>
                <w:sz w:val="22"/>
              </w:rPr>
              <w:t>*Определиться с местом прохождения практики</w:t>
            </w:r>
          </w:p>
        </w:tc>
        <w:tc>
          <w:tcPr>
            <w:tcW w:type="dxa" w:w="1849"/>
          </w:tcPr>
          <w:p w14:paraId="38000000">
            <w:pPr>
              <w:keepNext w:val="1"/>
              <w:widowControl w:val="1"/>
              <w:ind/>
              <w:jc w:val="center"/>
              <w:rPr>
                <w:sz w:val="22"/>
              </w:rPr>
            </w:pPr>
          </w:p>
        </w:tc>
        <w:tc>
          <w:tcPr>
            <w:tcW w:type="dxa" w:w="2149"/>
          </w:tcPr>
          <w:p w14:paraId="39000000">
            <w:pPr>
              <w:keepNext w:val="1"/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выполнено</w:t>
            </w:r>
          </w:p>
        </w:tc>
      </w:tr>
      <w:tr>
        <w:tc>
          <w:tcPr>
            <w:tcW w:type="dxa" w:w="604"/>
          </w:tcPr>
          <w:p w14:paraId="3A000000">
            <w:pPr>
              <w:keepNext w:val="1"/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type="dxa" w:w="4931"/>
          </w:tcPr>
          <w:p w14:paraId="3B000000">
            <w:pPr>
              <w:keepNext w:val="1"/>
              <w:widowControl w:val="1"/>
              <w:ind/>
              <w:rPr>
                <w:sz w:val="22"/>
              </w:rPr>
            </w:pPr>
            <w:r>
              <w:rPr>
                <w:sz w:val="22"/>
              </w:rPr>
              <w:t>*Ознакомиться с  тематикой ВКР по направлению подготовки 38.03.01 «Экономика», направленность «Экономика предприятий и организаций»</w:t>
            </w:r>
          </w:p>
        </w:tc>
        <w:tc>
          <w:tcPr>
            <w:tcW w:type="dxa" w:w="1849"/>
          </w:tcPr>
          <w:p w14:paraId="3C000000">
            <w:pPr>
              <w:keepNext w:val="1"/>
              <w:widowControl w:val="1"/>
              <w:ind/>
              <w:jc w:val="center"/>
              <w:rPr>
                <w:sz w:val="22"/>
              </w:rPr>
            </w:pPr>
          </w:p>
        </w:tc>
        <w:tc>
          <w:tcPr>
            <w:tcW w:type="dxa" w:w="2149"/>
          </w:tcPr>
          <w:p w14:paraId="3D000000">
            <w:pPr>
              <w:keepNext w:val="1"/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выполнено</w:t>
            </w:r>
          </w:p>
        </w:tc>
      </w:tr>
      <w:tr>
        <w:tc>
          <w:tcPr>
            <w:tcW w:type="dxa" w:w="604"/>
          </w:tcPr>
          <w:p w14:paraId="3E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type="dxa" w:w="4931"/>
          </w:tcPr>
          <w:p w14:paraId="3F000000">
            <w:pPr>
              <w:pStyle w:val="Style_4"/>
              <w:tabs>
                <w:tab w:leader="none" w:pos="217" w:val="left"/>
              </w:tabs>
              <w:spacing w:line="264" w:lineRule="auto"/>
              <w:ind w:firstLine="0" w:left="0"/>
              <w:jc w:val="both"/>
              <w:rPr>
                <w:sz w:val="22"/>
              </w:rPr>
            </w:pPr>
            <w:r>
              <w:rPr>
                <w:sz w:val="22"/>
              </w:rPr>
              <w:t>*Пройти инструктаж по ознакомлению с требованиями охраны труда, техники безопасности, пожарной безопасности, а также правилами внутреннего трудового распорядка</w:t>
            </w:r>
          </w:p>
        </w:tc>
        <w:tc>
          <w:tcPr>
            <w:tcW w:type="dxa" w:w="1849"/>
          </w:tcPr>
          <w:p w14:paraId="40000000">
            <w:pPr>
              <w:widowControl w:val="1"/>
              <w:ind/>
              <w:jc w:val="center"/>
              <w:rPr>
                <w:sz w:val="22"/>
              </w:rPr>
            </w:pPr>
          </w:p>
        </w:tc>
        <w:tc>
          <w:tcPr>
            <w:tcW w:type="dxa" w:w="2149"/>
          </w:tcPr>
          <w:p w14:paraId="41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выполнено</w:t>
            </w:r>
          </w:p>
        </w:tc>
      </w:tr>
      <w:tr>
        <w:tc>
          <w:tcPr>
            <w:tcW w:type="dxa" w:w="604"/>
          </w:tcPr>
          <w:p w14:paraId="42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type="dxa" w:w="4931"/>
          </w:tcPr>
          <w:p w14:paraId="43000000">
            <w:pPr>
              <w:pStyle w:val="Style_4"/>
              <w:widowControl w:val="1"/>
              <w:tabs>
                <w:tab w:leader="none" w:pos="175" w:val="left"/>
                <w:tab w:leader="none" w:pos="217" w:val="left"/>
              </w:tabs>
              <w:spacing w:line="264" w:lineRule="auto"/>
              <w:ind w:firstLine="0" w:left="0"/>
              <w:jc w:val="both"/>
              <w:rPr>
                <w:sz w:val="22"/>
              </w:rPr>
            </w:pPr>
            <w:r>
              <w:rPr>
                <w:sz w:val="22"/>
              </w:rPr>
              <w:t>*Составить общее описание предприятия (организации) – название, местоположение, собственник, статус.</w:t>
            </w:r>
          </w:p>
          <w:p w14:paraId="44000000">
            <w:pPr>
              <w:widowControl w:val="1"/>
              <w:tabs>
                <w:tab w:leader="none" w:pos="175" w:val="left"/>
                <w:tab w:leader="none" w:pos="217" w:val="left"/>
              </w:tabs>
              <w:spacing w:line="264" w:lineRule="auto"/>
              <w:ind/>
              <w:jc w:val="both"/>
              <w:rPr>
                <w:sz w:val="22"/>
              </w:rPr>
            </w:pPr>
            <w:r>
              <w:rPr>
                <w:sz w:val="22"/>
              </w:rPr>
              <w:t>*Изучить направления деятельности предприятия (организации), структурную схему функционирования подразделений, служб и отделов, управления ими.</w:t>
            </w:r>
          </w:p>
          <w:p w14:paraId="45000000">
            <w:pPr>
              <w:widowControl w:val="1"/>
              <w:tabs>
                <w:tab w:leader="none" w:pos="175" w:val="left"/>
                <w:tab w:leader="none" w:pos="217" w:val="left"/>
              </w:tabs>
              <w:spacing w:line="264" w:lineRule="auto"/>
              <w:ind/>
              <w:jc w:val="both"/>
              <w:rPr>
                <w:sz w:val="22"/>
              </w:rPr>
            </w:pPr>
            <w:r>
              <w:rPr>
                <w:sz w:val="22"/>
              </w:rPr>
              <w:t xml:space="preserve">*Сформулировать круг задач в рамках целей </w:t>
            </w:r>
            <w:r>
              <w:rPr>
                <w:sz w:val="22"/>
              </w:rPr>
              <w:t xml:space="preserve">технологической </w:t>
            </w:r>
            <w:r>
              <w:rPr>
                <w:sz w:val="22"/>
              </w:rPr>
              <w:t>практики и выбрать способы их решения.</w:t>
            </w:r>
          </w:p>
        </w:tc>
        <w:tc>
          <w:tcPr>
            <w:tcW w:type="dxa" w:w="1849"/>
          </w:tcPr>
          <w:p w14:paraId="46000000">
            <w:pPr>
              <w:widowControl w:val="1"/>
              <w:ind/>
              <w:jc w:val="center"/>
              <w:rPr>
                <w:sz w:val="22"/>
              </w:rPr>
            </w:pPr>
          </w:p>
        </w:tc>
        <w:tc>
          <w:tcPr>
            <w:tcW w:type="dxa" w:w="2149"/>
          </w:tcPr>
          <w:p w14:paraId="47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выполнено</w:t>
            </w:r>
          </w:p>
        </w:tc>
      </w:tr>
      <w:tr>
        <w:tc>
          <w:tcPr>
            <w:tcW w:type="dxa" w:w="604"/>
          </w:tcPr>
          <w:p w14:paraId="48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type="dxa" w:w="4931"/>
          </w:tcPr>
          <w:p w14:paraId="49000000">
            <w:pPr>
              <w:tabs>
                <w:tab w:leader="none" w:pos="69" w:val="left"/>
              </w:tabs>
              <w:ind/>
              <w:jc w:val="both"/>
              <w:rPr>
                <w:sz w:val="22"/>
              </w:rPr>
            </w:pPr>
            <w:r>
              <w:rPr>
                <w:sz w:val="22"/>
              </w:rPr>
              <w:t>*Ознакомиться с организацией деятельности экономических служб конкретной организации (учреждения, предприятия, коммерческого банка), с его основными экономическими показателями.</w:t>
            </w:r>
          </w:p>
        </w:tc>
        <w:tc>
          <w:tcPr>
            <w:tcW w:type="dxa" w:w="1849"/>
          </w:tcPr>
          <w:p w14:paraId="4A000000">
            <w:pPr>
              <w:widowControl w:val="1"/>
              <w:ind/>
              <w:jc w:val="center"/>
              <w:rPr>
                <w:sz w:val="22"/>
              </w:rPr>
            </w:pPr>
          </w:p>
        </w:tc>
        <w:tc>
          <w:tcPr>
            <w:tcW w:type="dxa" w:w="2149"/>
          </w:tcPr>
          <w:p w14:paraId="4B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выполнено</w:t>
            </w:r>
          </w:p>
        </w:tc>
      </w:tr>
      <w:tr>
        <w:trPr>
          <w:trHeight w:hRule="atLeast" w:val="1582"/>
        </w:trPr>
        <w:tc>
          <w:tcPr>
            <w:tcW w:type="dxa" w:w="604"/>
          </w:tcPr>
          <w:p w14:paraId="4C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type="dxa" w:w="4931"/>
          </w:tcPr>
          <w:p w14:paraId="4D000000">
            <w:pPr>
              <w:tabs>
                <w:tab w:leader="none" w:pos="69" w:val="left"/>
              </w:tabs>
              <w:ind/>
              <w:jc w:val="both"/>
              <w:rPr>
                <w:sz w:val="22"/>
              </w:rPr>
            </w:pPr>
            <w:r>
              <w:rPr>
                <w:sz w:val="22"/>
              </w:rPr>
              <w:t>*Участвовать в работе экономического отдела организации.</w:t>
            </w:r>
          </w:p>
          <w:p w14:paraId="4E00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*Ознакомиться с показателями, используемыми при планировании и регулировании  деятельности организации.</w:t>
            </w:r>
          </w:p>
        </w:tc>
        <w:tc>
          <w:tcPr>
            <w:tcW w:type="dxa" w:w="1849"/>
          </w:tcPr>
          <w:p w14:paraId="4F000000">
            <w:pPr>
              <w:widowControl w:val="1"/>
              <w:ind/>
              <w:jc w:val="center"/>
              <w:rPr>
                <w:sz w:val="22"/>
              </w:rPr>
            </w:pPr>
          </w:p>
        </w:tc>
        <w:tc>
          <w:tcPr>
            <w:tcW w:type="dxa" w:w="2149"/>
          </w:tcPr>
          <w:p w14:paraId="50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выполнено</w:t>
            </w:r>
          </w:p>
        </w:tc>
      </w:tr>
      <w:tr>
        <w:tc>
          <w:tcPr>
            <w:tcW w:type="dxa" w:w="604"/>
          </w:tcPr>
          <w:p w14:paraId="51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type="dxa" w:w="4931"/>
          </w:tcPr>
          <w:p w14:paraId="5200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 xml:space="preserve">*Описать работу </w:t>
            </w:r>
            <w:r>
              <w:rPr>
                <w:sz w:val="22"/>
              </w:rPr>
              <w:t>планово-экономических</w:t>
            </w:r>
            <w:r>
              <w:rPr>
                <w:sz w:val="22"/>
              </w:rPr>
              <w:t xml:space="preserve"> отделов, бухгалтерии и других отделов, осуществляющих финансовые операции и аналитическую обработку информации.</w:t>
            </w:r>
          </w:p>
          <w:p w14:paraId="53000000">
            <w:pPr>
              <w:pStyle w:val="Style_4"/>
              <w:tabs>
                <w:tab w:leader="none" w:pos="217" w:val="left"/>
              </w:tabs>
              <w:spacing w:line="264" w:lineRule="auto"/>
              <w:ind w:firstLine="0" w:left="0"/>
              <w:jc w:val="both"/>
              <w:rPr>
                <w:sz w:val="22"/>
              </w:rPr>
            </w:pPr>
            <w:r>
              <w:rPr>
                <w:sz w:val="22"/>
              </w:rPr>
              <w:t>*Провести анализ экономической деятельности организации и интерпретировать результаты.</w:t>
            </w:r>
          </w:p>
        </w:tc>
        <w:tc>
          <w:tcPr>
            <w:tcW w:type="dxa" w:w="1849"/>
          </w:tcPr>
          <w:p w14:paraId="54000000">
            <w:pPr>
              <w:widowControl w:val="1"/>
              <w:ind/>
              <w:jc w:val="center"/>
              <w:rPr>
                <w:sz w:val="22"/>
              </w:rPr>
            </w:pPr>
          </w:p>
        </w:tc>
        <w:tc>
          <w:tcPr>
            <w:tcW w:type="dxa" w:w="2149"/>
          </w:tcPr>
          <w:p w14:paraId="55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выполнено</w:t>
            </w:r>
          </w:p>
        </w:tc>
      </w:tr>
      <w:tr>
        <w:tc>
          <w:tcPr>
            <w:tcW w:type="dxa" w:w="604"/>
          </w:tcPr>
          <w:p w14:paraId="56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type="dxa" w:w="4931"/>
          </w:tcPr>
          <w:p w14:paraId="57000000">
            <w:pPr>
              <w:pStyle w:val="Style_4"/>
              <w:tabs>
                <w:tab w:leader="none" w:pos="217" w:val="left"/>
              </w:tabs>
              <w:spacing w:line="264" w:lineRule="auto"/>
              <w:ind w:firstLine="0" w:left="0"/>
              <w:jc w:val="both"/>
              <w:rPr>
                <w:sz w:val="22"/>
              </w:rPr>
            </w:pPr>
            <w:r>
              <w:rPr>
                <w:sz w:val="22"/>
              </w:rPr>
              <w:t>Оформление отчета (текст, рисунки, чертежи)</w:t>
            </w:r>
          </w:p>
        </w:tc>
        <w:tc>
          <w:tcPr>
            <w:tcW w:type="dxa" w:w="1849"/>
          </w:tcPr>
          <w:p w14:paraId="58000000">
            <w:pPr>
              <w:widowControl w:val="1"/>
              <w:ind/>
              <w:jc w:val="center"/>
              <w:rPr>
                <w:sz w:val="22"/>
              </w:rPr>
            </w:pPr>
          </w:p>
        </w:tc>
        <w:tc>
          <w:tcPr>
            <w:tcW w:type="dxa" w:w="2149"/>
          </w:tcPr>
          <w:p w14:paraId="59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выполнено</w:t>
            </w:r>
          </w:p>
        </w:tc>
      </w:tr>
      <w:tr>
        <w:tc>
          <w:tcPr>
            <w:tcW w:type="dxa" w:w="604"/>
          </w:tcPr>
          <w:p w14:paraId="5A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type="dxa" w:w="4931"/>
          </w:tcPr>
          <w:p w14:paraId="5B000000">
            <w:pPr>
              <w:pStyle w:val="Style_4"/>
              <w:tabs>
                <w:tab w:leader="none" w:pos="217" w:val="left"/>
              </w:tabs>
              <w:spacing w:line="264" w:lineRule="auto"/>
              <w:ind w:firstLine="0" w:left="0"/>
              <w:jc w:val="both"/>
              <w:rPr>
                <w:sz w:val="22"/>
              </w:rPr>
            </w:pPr>
            <w:r>
              <w:rPr>
                <w:sz w:val="22"/>
              </w:rPr>
              <w:t>Сдача отчета</w:t>
            </w:r>
          </w:p>
        </w:tc>
        <w:tc>
          <w:tcPr>
            <w:tcW w:type="dxa" w:w="1849"/>
          </w:tcPr>
          <w:p w14:paraId="5C000000">
            <w:pPr>
              <w:widowControl w:val="1"/>
              <w:ind/>
              <w:jc w:val="center"/>
              <w:rPr>
                <w:sz w:val="22"/>
              </w:rPr>
            </w:pPr>
          </w:p>
        </w:tc>
        <w:tc>
          <w:tcPr>
            <w:tcW w:type="dxa" w:w="2149"/>
          </w:tcPr>
          <w:p w14:paraId="5D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выполнено</w:t>
            </w:r>
          </w:p>
        </w:tc>
      </w:tr>
    </w:tbl>
    <w:p w14:paraId="5E000000">
      <w:pPr>
        <w:rPr>
          <w:sz w:val="24"/>
        </w:rPr>
      </w:pPr>
    </w:p>
    <w:p w14:paraId="5F000000">
      <w:pPr>
        <w:rPr>
          <w:sz w:val="24"/>
        </w:rPr>
      </w:pPr>
    </w:p>
    <w:p w14:paraId="60000000">
      <w:pPr>
        <w:rPr>
          <w:sz w:val="24"/>
        </w:rPr>
      </w:pPr>
    </w:p>
    <w:p w14:paraId="61000000">
      <w:pPr>
        <w:rPr>
          <w:sz w:val="24"/>
        </w:rPr>
      </w:pPr>
      <w:r>
        <w:rPr>
          <w:sz w:val="24"/>
        </w:rPr>
        <w:t>«     » ______________ 202__ г.</w:t>
      </w:r>
    </w:p>
    <w:p w14:paraId="62000000">
      <w:pPr>
        <w:rPr>
          <w:sz w:val="24"/>
        </w:rPr>
      </w:pPr>
    </w:p>
    <w:tbl>
      <w:tblPr>
        <w:tblStyle w:val="Style_2"/>
        <w:tblLayout w:type="fixed"/>
      </w:tblPr>
      <w:tblGrid>
        <w:gridCol w:w="1809"/>
        <w:gridCol w:w="3119"/>
        <w:gridCol w:w="425"/>
        <w:gridCol w:w="4218"/>
      </w:tblGrid>
      <w:tr>
        <w:tc>
          <w:tcPr>
            <w:tcW w:type="dxa" w:w="1809"/>
            <w:shd w:fill="auto" w:val="clear"/>
          </w:tcPr>
          <w:p w14:paraId="63000000">
            <w:pPr>
              <w:widowControl w:val="1"/>
              <w:ind/>
              <w:rPr>
                <w:sz w:val="24"/>
              </w:rPr>
            </w:pPr>
            <w:r>
              <w:rPr>
                <w:sz w:val="24"/>
              </w:rPr>
              <w:t>Обучающийся</w:t>
            </w:r>
          </w:p>
        </w:tc>
        <w:tc>
          <w:tcPr>
            <w:tcW w:type="dxa" w:w="3119"/>
            <w:tcBorders>
              <w:bottom w:color="000000" w:sz="4" w:val="single"/>
            </w:tcBorders>
            <w:shd w:fill="auto" w:val="clear"/>
          </w:tcPr>
          <w:p w14:paraId="64000000">
            <w:pPr>
              <w:widowControl w:val="1"/>
              <w:ind/>
              <w:rPr>
                <w:sz w:val="24"/>
              </w:rPr>
            </w:pPr>
          </w:p>
        </w:tc>
        <w:tc>
          <w:tcPr>
            <w:tcW w:type="dxa" w:w="425"/>
            <w:shd w:fill="auto" w:val="clear"/>
          </w:tcPr>
          <w:p w14:paraId="65000000">
            <w:pPr>
              <w:widowControl w:val="1"/>
              <w:ind/>
              <w:rPr>
                <w:sz w:val="24"/>
              </w:rPr>
            </w:pPr>
          </w:p>
        </w:tc>
        <w:tc>
          <w:tcPr>
            <w:tcW w:type="dxa" w:w="4218"/>
            <w:tcBorders>
              <w:bottom w:color="000000" w:sz="4" w:val="single"/>
            </w:tcBorders>
            <w:shd w:fill="auto" w:val="clear"/>
          </w:tcPr>
          <w:p w14:paraId="66000000">
            <w:pPr>
              <w:widowControl w:val="1"/>
              <w:ind/>
              <w:jc w:val="center"/>
              <w:rPr>
                <w:sz w:val="24"/>
              </w:rPr>
            </w:pPr>
          </w:p>
        </w:tc>
      </w:tr>
      <w:tr>
        <w:tc>
          <w:tcPr>
            <w:tcW w:type="dxa" w:w="1809"/>
            <w:shd w:fill="auto" w:val="clear"/>
          </w:tcPr>
          <w:p w14:paraId="67000000">
            <w:pPr>
              <w:widowControl w:val="1"/>
              <w:ind/>
              <w:jc w:val="center"/>
              <w:rPr>
                <w:sz w:val="16"/>
              </w:rPr>
            </w:pPr>
          </w:p>
        </w:tc>
        <w:tc>
          <w:tcPr>
            <w:tcW w:type="dxa" w:w="3119"/>
            <w:tcBorders>
              <w:top w:color="000000" w:sz="4" w:val="single"/>
            </w:tcBorders>
            <w:shd w:fill="auto" w:val="clear"/>
          </w:tcPr>
          <w:p w14:paraId="68000000">
            <w:pPr>
              <w:widowControl w:val="1"/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(подпись)</w:t>
            </w:r>
          </w:p>
        </w:tc>
        <w:tc>
          <w:tcPr>
            <w:tcW w:type="dxa" w:w="425"/>
            <w:shd w:fill="auto" w:val="clear"/>
          </w:tcPr>
          <w:p w14:paraId="69000000">
            <w:pPr>
              <w:widowControl w:val="1"/>
              <w:ind/>
              <w:rPr>
                <w:sz w:val="16"/>
              </w:rPr>
            </w:pPr>
          </w:p>
        </w:tc>
        <w:tc>
          <w:tcPr>
            <w:tcW w:type="dxa" w:w="4218"/>
            <w:tcBorders>
              <w:top w:color="000000" w:sz="4" w:val="single"/>
            </w:tcBorders>
            <w:shd w:fill="auto" w:val="clear"/>
          </w:tcPr>
          <w:p w14:paraId="6A000000">
            <w:pPr>
              <w:widowControl w:val="1"/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И.О. Фамилия</w:t>
            </w:r>
          </w:p>
        </w:tc>
      </w:tr>
    </w:tbl>
    <w:p w14:paraId="6B000000">
      <w:pPr>
        <w:rPr>
          <w:sz w:val="24"/>
        </w:rPr>
      </w:pPr>
    </w:p>
    <w:p w14:paraId="6C000000">
      <w:pPr>
        <w:widowControl w:val="1"/>
        <w:spacing w:after="160" w:line="264" w:lineRule="auto"/>
        <w:ind/>
        <w:rPr>
          <w:b w:val="1"/>
          <w:sz w:val="28"/>
        </w:rPr>
      </w:pPr>
      <w:r>
        <w:rPr>
          <w:b w:val="1"/>
          <w:sz w:val="28"/>
        </w:rPr>
        <w:br w:type="page"/>
      </w:r>
    </w:p>
    <w:p w14:paraId="6D000000">
      <w:pPr>
        <w:spacing w:after="160" w:line="264" w:lineRule="auto"/>
        <w:ind/>
        <w:rPr>
          <w:b w:val="1"/>
          <w:sz w:val="28"/>
        </w:rPr>
      </w:pPr>
    </w:p>
    <w:p w14:paraId="6E000000">
      <w:pPr>
        <w:keepNext w:val="1"/>
        <w:keepLines w:val="1"/>
        <w:tabs>
          <w:tab w:leader="none" w:pos="3829" w:val="left"/>
        </w:tabs>
        <w:spacing w:line="360" w:lineRule="auto"/>
        <w:ind/>
        <w:jc w:val="center"/>
        <w:rPr>
          <w:b w:val="1"/>
          <w:color w:val="000000"/>
          <w:sz w:val="28"/>
        </w:rPr>
      </w:pPr>
      <w:r>
        <w:rPr>
          <w:b w:val="1"/>
          <w:color w:val="000000"/>
          <w:sz w:val="28"/>
        </w:rPr>
        <w:t xml:space="preserve">2. </w:t>
      </w:r>
      <w:r>
        <w:rPr>
          <w:b w:val="1"/>
          <w:color w:val="000000"/>
          <w:sz w:val="28"/>
        </w:rPr>
        <w:t>Аналитическая записка</w:t>
      </w:r>
    </w:p>
    <w:p w14:paraId="6F000000">
      <w:pPr>
        <w:ind/>
        <w:jc w:val="center"/>
      </w:pPr>
      <w:r>
        <w:t>(характеристика проделанной обучающимся работы, выводы по результатам практики)</w:t>
      </w:r>
    </w:p>
    <w:p w14:paraId="70000000">
      <w:pPr>
        <w:keepNext w:val="1"/>
        <w:keepLines w:val="1"/>
        <w:tabs>
          <w:tab w:leader="none" w:pos="3829" w:val="left"/>
        </w:tabs>
        <w:spacing w:line="360" w:lineRule="auto"/>
        <w:ind/>
        <w:jc w:val="center"/>
        <w:rPr>
          <w:b w:val="1"/>
          <w:color w:val="000000"/>
          <w:sz w:val="28"/>
        </w:rPr>
      </w:pPr>
    </w:p>
    <w:p w14:paraId="71000000">
      <w:pPr>
        <w:pStyle w:val="Style_4"/>
        <w:numPr>
          <w:ilvl w:val="0"/>
          <w:numId w:val="1"/>
        </w:numPr>
        <w:tabs>
          <w:tab w:leader="none" w:pos="284" w:val="left"/>
        </w:tabs>
        <w:ind w:firstLine="0" w:left="0"/>
        <w:rPr>
          <w:color w:val="000000"/>
          <w:spacing w:val="-14"/>
          <w:sz w:val="24"/>
        </w:rPr>
      </w:pPr>
      <w:r>
        <w:rPr>
          <w:color w:val="000000"/>
          <w:spacing w:val="-14"/>
          <w:sz w:val="24"/>
        </w:rPr>
        <w:t>Анализ деятельности организации:</w:t>
      </w:r>
    </w:p>
    <w:p w14:paraId="72000000">
      <w:pPr>
        <w:pStyle w:val="Style_4"/>
        <w:tabs>
          <w:tab w:leader="none" w:pos="284" w:val="left"/>
        </w:tabs>
        <w:ind w:firstLine="0" w:left="429"/>
        <w:rPr>
          <w:spacing w:val="-14"/>
          <w:sz w:val="24"/>
        </w:rPr>
      </w:pPr>
    </w:p>
    <w:p w14:paraId="73000000">
      <w:pPr>
        <w:pStyle w:val="Style_3"/>
        <w:spacing w:after="0" w:before="0" w:line="360" w:lineRule="auto"/>
        <w:ind w:firstLine="709" w:left="170" w:right="57"/>
        <w:jc w:val="both"/>
      </w:pPr>
      <w:r>
        <w:rPr>
          <w:color w:val="000000"/>
        </w:rPr>
        <w:t>Анализ деятельности организации показал, что</w:t>
      </w:r>
      <w:r>
        <w:t xml:space="preserve"> </w:t>
      </w:r>
      <w:r>
        <w:t>ООО «ГРАФИТ»</w:t>
      </w:r>
      <w:r>
        <w:t xml:space="preserve"> </w:t>
      </w:r>
      <w:r>
        <w:rPr>
          <w:highlight w:val="white"/>
        </w:rPr>
        <w:t xml:space="preserve"> </w:t>
      </w:r>
      <w:r>
        <w:rPr>
          <w:color w:themeColor="text1" w:val="000000"/>
          <w:highlight w:val="white"/>
        </w:rPr>
        <w:t xml:space="preserve"> </w:t>
      </w:r>
      <w:r>
        <w:t xml:space="preserve">осуществляет свою деятельность согласно действующего законодательства:  Гражданским кодексом РФ, Федеральным Законом РФ «Об обществах с ограниченной ответственностью», другими нормативными актами. </w:t>
      </w:r>
    </w:p>
    <w:p w14:paraId="74000000">
      <w:pPr>
        <w:spacing w:line="360" w:lineRule="auto"/>
        <w:ind w:firstLine="709" w:left="170" w:right="57"/>
        <w:contextualSpacing w:val="1"/>
        <w:jc w:val="both"/>
        <w:rPr>
          <w:sz w:val="24"/>
        </w:rPr>
      </w:pPr>
      <w:r>
        <w:rPr>
          <w:sz w:val="24"/>
        </w:rPr>
        <w:t>Предприятие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rPr>
          <w:sz w:val="24"/>
        </w:rPr>
        <w:t xml:space="preserve">являясь коммерческой организацией, хозяйственным обществом в форме общества с ограниченной ответственностью. </w:t>
      </w:r>
      <w:r>
        <w:rPr>
          <w:sz w:val="24"/>
        </w:rPr>
        <w:t xml:space="preserve"> </w:t>
      </w:r>
      <w:r>
        <w:rPr>
          <w:sz w:val="24"/>
        </w:rPr>
        <w:t xml:space="preserve">Общество  является юридическим лицом и строит свою деятельность на основании настоящего Устава и действующего законодательства Российской Федерации. </w:t>
      </w:r>
    </w:p>
    <w:p w14:paraId="75000000">
      <w:pPr>
        <w:pStyle w:val="Style_6"/>
        <w:spacing w:after="0" w:before="0" w:line="360" w:lineRule="auto"/>
        <w:ind w:firstLine="709" w:left="170" w:right="57"/>
        <w:jc w:val="both"/>
      </w:pPr>
      <w:r>
        <w:t>Цель коммерческой деятельности предприятия</w:t>
      </w:r>
      <w:r>
        <w:t xml:space="preserve"> </w:t>
      </w:r>
      <w:r>
        <w:t>ООО «ГРАФИТ»</w:t>
      </w:r>
      <w:r>
        <w:t xml:space="preserve"> </w:t>
      </w:r>
      <w:r>
        <w:t xml:space="preserve"> - получение прибыли.</w:t>
      </w:r>
      <w:r>
        <w:t xml:space="preserve"> </w:t>
      </w:r>
      <w:r>
        <w:t>ООО «ГРАФИТ»</w:t>
      </w:r>
      <w:r>
        <w:t xml:space="preserve"> </w:t>
      </w:r>
      <w:r>
        <w:t>зарегистрирован</w:t>
      </w:r>
      <w:r>
        <w:t>о</w:t>
      </w:r>
      <w:r>
        <w:t xml:space="preserve"> 09.02.2016 регистратором УПРАВЛЕНИЕ ФЕДЕРАЛЬНОЙ НАЛОГОВОЙ СЛУЖБЫ ПО КАЛИНИНГРАДСКОЙ ОБЛАСТИ. </w:t>
      </w:r>
    </w:p>
    <w:p w14:paraId="76000000">
      <w:pPr>
        <w:pStyle w:val="Style_7"/>
        <w:spacing w:after="0" w:before="0" w:line="360" w:lineRule="auto"/>
        <w:ind w:firstLine="709" w:left="170" w:right="57"/>
        <w:jc w:val="both"/>
      </w:pPr>
      <w:r>
        <w:t>Руководитель организации</w:t>
      </w:r>
      <w:r>
        <w:t xml:space="preserve"> </w:t>
      </w:r>
      <w:r>
        <w:t>ООО «ГРАФИТ»: директор Бурмистров Дмитрий Михайлович.</w:t>
      </w:r>
    </w:p>
    <w:p w14:paraId="77000000">
      <w:pPr>
        <w:pStyle w:val="Style_7"/>
        <w:spacing w:after="0" w:before="0" w:line="360" w:lineRule="auto"/>
        <w:ind w:firstLine="709" w:left="170" w:right="57"/>
        <w:jc w:val="both"/>
      </w:pPr>
      <w:r>
        <w:t>Основным видом деятельности</w:t>
      </w:r>
      <w:r>
        <w:t xml:space="preserve"> </w:t>
      </w:r>
      <w:r>
        <w:t>ООО «ГРАФИТ»</w:t>
      </w:r>
      <w:r>
        <w:t xml:space="preserve"> </w:t>
      </w:r>
      <w:r>
        <w:t xml:space="preserve"> является </w:t>
      </w:r>
      <w:r>
        <w:fldChar w:fldCharType="begin"/>
      </w:r>
      <w:r>
        <w:instrText>HYPERLINK "https://www.rusprofile.ru/codes/412000"</w:instrText>
      </w:r>
      <w:r>
        <w:fldChar w:fldCharType="separate"/>
      </w:r>
      <w:r>
        <w:t>с</w:t>
      </w:r>
      <w:r>
        <w:rPr>
          <w:rStyle w:val="Style_8_ch"/>
          <w:color w:val="000000"/>
          <w:u w:val="none"/>
        </w:rPr>
        <w:t>троительство жилых и нежилых зданий</w:t>
      </w:r>
      <w:r>
        <w:fldChar w:fldCharType="end"/>
      </w:r>
      <w:r>
        <w:t>, зарегистрировано 60 дополнительных видов деятельности. Организации ОБЩЕСТВО С ОГРАНИЧЕННОЙ ОТВЕТСТВЕННОСТЬЮ "ГРАФИТ" присвоены ИНН 3906981020, ОГРН 1163926053774, ОКПО 42365342.</w:t>
      </w:r>
    </w:p>
    <w:p w14:paraId="78000000">
      <w:pPr>
        <w:pStyle w:val="Style_4"/>
        <w:tabs>
          <w:tab w:leader="none" w:pos="284" w:val="left"/>
        </w:tabs>
        <w:ind w:firstLine="0" w:left="429"/>
        <w:rPr>
          <w:spacing w:val="-14"/>
          <w:sz w:val="24"/>
        </w:rPr>
      </w:pPr>
    </w:p>
    <w:p w14:paraId="79000000">
      <w:pPr>
        <w:pStyle w:val="Style_4"/>
        <w:numPr>
          <w:ilvl w:val="0"/>
          <w:numId w:val="1"/>
        </w:numPr>
        <w:tabs>
          <w:tab w:leader="none" w:pos="284" w:val="left"/>
        </w:tabs>
        <w:ind/>
        <w:rPr>
          <w:spacing w:val="-14"/>
          <w:sz w:val="24"/>
        </w:rPr>
      </w:pPr>
      <w:r>
        <w:rPr>
          <w:spacing w:val="-14"/>
          <w:sz w:val="24"/>
        </w:rPr>
        <w:t xml:space="preserve">Анализ организационной структуры: </w:t>
      </w:r>
    </w:p>
    <w:p w14:paraId="7A000000">
      <w:pPr>
        <w:pStyle w:val="Style_4"/>
        <w:tabs>
          <w:tab w:leader="none" w:pos="284" w:val="left"/>
        </w:tabs>
        <w:ind w:firstLine="0" w:left="429"/>
        <w:rPr>
          <w:spacing w:val="-14"/>
          <w:sz w:val="24"/>
        </w:rPr>
      </w:pPr>
    </w:p>
    <w:p w14:paraId="7B000000">
      <w:pPr>
        <w:pStyle w:val="Style_4"/>
        <w:tabs>
          <w:tab w:leader="none" w:pos="284" w:val="left"/>
        </w:tabs>
        <w:ind w:firstLine="0" w:left="429"/>
        <w:rPr>
          <w:spacing w:val="-14"/>
          <w:sz w:val="24"/>
        </w:rPr>
      </w:pPr>
    </w:p>
    <w:p w14:paraId="7C000000">
      <w:pPr>
        <w:pStyle w:val="Style_6"/>
        <w:spacing w:after="0" w:before="0" w:line="360" w:lineRule="auto"/>
        <w:ind w:firstLine="709" w:left="170" w:right="57"/>
        <w:jc w:val="both"/>
      </w:pPr>
      <w:r>
        <w:rPr>
          <w:spacing w:val="-14"/>
        </w:rPr>
        <w:t xml:space="preserve">Анализ организационной  структуры  организации  </w:t>
      </w:r>
      <w:r>
        <w:t>показал,  что для</w:t>
      </w:r>
      <w:r>
        <w:t xml:space="preserve"> </w:t>
      </w:r>
      <w:r>
        <w:t>ООО «ГРАФИТ»</w:t>
      </w:r>
      <w:r>
        <w:t xml:space="preserve"> </w:t>
      </w:r>
      <w:r>
        <w:t xml:space="preserve"> </w:t>
      </w:r>
      <w:r>
        <w:rPr>
          <w:highlight w:val="white"/>
        </w:rPr>
        <w:t xml:space="preserve"> </w:t>
      </w:r>
      <w:r>
        <w:t xml:space="preserve">характерна  линейно - функциональная структура управления. </w:t>
      </w:r>
    </w:p>
    <w:p w14:paraId="7D000000">
      <w:pPr>
        <w:pStyle w:val="Style_6"/>
        <w:spacing w:after="0" w:before="0" w:line="360" w:lineRule="auto"/>
        <w:ind w:firstLine="709" w:left="170" w:right="57"/>
        <w:jc w:val="both"/>
      </w:pPr>
      <w:r>
        <w:t>Достоинствами линейно - функциональной структуры управления для</w:t>
      </w:r>
      <w:r>
        <w:rPr>
          <w:highlight w:val="white"/>
        </w:rPr>
        <w:t xml:space="preserve"> </w:t>
      </w:r>
      <w:r>
        <w:t>ООО «ГРАФИТ»</w:t>
      </w:r>
      <w:r>
        <w:t xml:space="preserve"> </w:t>
      </w:r>
      <w:r>
        <w:t xml:space="preserve">являются: </w:t>
      </w:r>
    </w:p>
    <w:p w14:paraId="7E000000">
      <w:pPr>
        <w:pStyle w:val="Style_4"/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-глубокая подготовка решений и планов, связанных со специализацией работников; </w:t>
      </w:r>
    </w:p>
    <w:p w14:paraId="7F000000">
      <w:pPr>
        <w:pStyle w:val="Style_4"/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-освобождение главного линейного руководителя от глубокого анализа проблем; </w:t>
      </w:r>
    </w:p>
    <w:p w14:paraId="80000000">
      <w:pPr>
        <w:pStyle w:val="Style_4"/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-возможность привлечения консультантов и экспертов; сочетание достоинств линейной и функциональной структур. </w:t>
      </w:r>
    </w:p>
    <w:p w14:paraId="81000000">
      <w:pPr>
        <w:pStyle w:val="Style_4"/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Недостатками линейно - функциональной структуры управления для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rPr>
          <w:sz w:val="24"/>
        </w:rPr>
        <w:t xml:space="preserve">являются: </w:t>
      </w:r>
    </w:p>
    <w:p w14:paraId="82000000">
      <w:pPr>
        <w:pStyle w:val="Style_4"/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-</w:t>
      </w:r>
      <w:r>
        <w:rPr>
          <w:sz w:val="24"/>
        </w:rPr>
        <w:t xml:space="preserve">отсутствие тесных взаимосвязей и взаимодействия на горизонтальном уровне </w:t>
      </w:r>
      <w:r>
        <w:rPr>
          <w:sz w:val="24"/>
        </w:rPr>
        <w:t xml:space="preserve">между структурными подразделениями; </w:t>
      </w:r>
    </w:p>
    <w:p w14:paraId="83000000">
      <w:pPr>
        <w:pStyle w:val="Style_4"/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-</w:t>
      </w:r>
      <w:r>
        <w:rPr>
          <w:sz w:val="24"/>
        </w:rPr>
        <w:t>недостаточно четкая ответственность подразделений, так как готовящий решение, как правило, не участвует в его реализации;</w:t>
      </w:r>
    </w:p>
    <w:p w14:paraId="84000000">
      <w:pPr>
        <w:pStyle w:val="Style_4"/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-</w:t>
      </w:r>
      <w:r>
        <w:rPr>
          <w:sz w:val="24"/>
        </w:rPr>
        <w:t xml:space="preserve"> чрезмерно развитая система взаимодействия по вертикали, а именно подчинение по иерархии управления, то есть тенденция к чрезмерной централизации.</w:t>
      </w:r>
    </w:p>
    <w:p w14:paraId="85000000">
      <w:pPr>
        <w:pStyle w:val="Style_4"/>
        <w:spacing w:line="360" w:lineRule="auto"/>
        <w:ind w:firstLine="709" w:left="170" w:right="57"/>
        <w:jc w:val="both"/>
        <w:rPr>
          <w:sz w:val="24"/>
        </w:rPr>
      </w:pPr>
    </w:p>
    <w:p w14:paraId="86000000">
      <w:pPr>
        <w:pStyle w:val="Style_4"/>
        <w:numPr>
          <w:ilvl w:val="0"/>
          <w:numId w:val="1"/>
        </w:numPr>
        <w:tabs>
          <w:tab w:leader="none" w:pos="284" w:val="left"/>
        </w:tabs>
        <w:ind/>
        <w:rPr>
          <w:spacing w:val="-14"/>
          <w:sz w:val="24"/>
        </w:rPr>
      </w:pPr>
      <w:r>
        <w:rPr>
          <w:sz w:val="24"/>
        </w:rPr>
        <w:t>Анализ эффективности управления экономикой:</w:t>
      </w:r>
    </w:p>
    <w:p w14:paraId="87000000">
      <w:pPr>
        <w:pStyle w:val="Style_4"/>
        <w:tabs>
          <w:tab w:leader="none" w:pos="284" w:val="left"/>
        </w:tabs>
        <w:ind w:firstLine="0" w:left="429"/>
        <w:rPr>
          <w:sz w:val="24"/>
        </w:rPr>
      </w:pPr>
    </w:p>
    <w:p w14:paraId="88000000">
      <w:pPr>
        <w:pStyle w:val="Style_4"/>
        <w:tabs>
          <w:tab w:leader="none" w:pos="284" w:val="left"/>
        </w:tabs>
        <w:spacing w:line="360" w:lineRule="auto"/>
        <w:ind w:firstLine="709" w:left="170" w:right="57"/>
        <w:jc w:val="both"/>
        <w:rPr>
          <w:color w:themeColor="text1" w:val="000000"/>
          <w:sz w:val="24"/>
        </w:rPr>
      </w:pPr>
      <w:r>
        <w:rPr>
          <w:sz w:val="24"/>
        </w:rPr>
        <w:t>Анализ эффективности управления финансами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 xml:space="preserve">показал, что </w:t>
      </w:r>
      <w:r>
        <w:rPr>
          <w:color w:themeColor="text1" w:val="000000"/>
          <w:sz w:val="24"/>
        </w:rPr>
        <w:t>в 202</w:t>
      </w:r>
      <w:r>
        <w:rPr>
          <w:color w:themeColor="text1" w:val="000000"/>
          <w:sz w:val="24"/>
        </w:rPr>
        <w:t>5</w:t>
      </w:r>
      <w:r>
        <w:rPr>
          <w:color w:themeColor="text1" w:val="000000"/>
          <w:sz w:val="24"/>
        </w:rPr>
        <w:t xml:space="preserve">году у предприятия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rPr>
          <w:color w:themeColor="text1" w:val="000000"/>
          <w:sz w:val="24"/>
        </w:rPr>
        <w:t>достаточно денежных средств для погашения наиболее срочных обязательств (излишек8008тыс.руб.). Выполненный расчет абсолютных величин по платежному излишку показывает, что наиболее ликвидные активы</w:t>
      </w:r>
      <w:r>
        <w:rPr>
          <w:sz w:val="24"/>
          <w:highlight w:val="white"/>
        </w:rPr>
        <w:t xml:space="preserve"> </w:t>
      </w:r>
      <w:r>
        <w:rPr>
          <w:color w:themeColor="text1" w:val="000000"/>
          <w:sz w:val="24"/>
        </w:rPr>
        <w:t xml:space="preserve">покрывают 370,9% обязательств. </w:t>
      </w:r>
    </w:p>
    <w:p w14:paraId="89000000">
      <w:pPr>
        <w:pStyle w:val="Style_4"/>
        <w:tabs>
          <w:tab w:leader="none" w:pos="284" w:val="left"/>
        </w:tabs>
        <w:spacing w:line="360" w:lineRule="auto"/>
        <w:ind w:firstLine="709" w:left="170" w:right="57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В соответствии с принципами оптимальной структуры активов</w:t>
      </w:r>
      <w:r>
        <w:rPr>
          <w:sz w:val="24"/>
          <w:highlight w:val="white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rPr>
          <w:color w:themeColor="text1" w:val="000000"/>
          <w:sz w:val="24"/>
        </w:rPr>
        <w:t xml:space="preserve">по степени ликвидности, краткосрочной дебиторской задолженности должно быть достаточно для покрытия среднесрочных обязательств (краткосрочной задолженности за минусом текущей кредиторской задолженности). </w:t>
      </w:r>
    </w:p>
    <w:p w14:paraId="8A000000">
      <w:pPr>
        <w:pStyle w:val="Style_4"/>
        <w:tabs>
          <w:tab w:leader="none" w:pos="284" w:val="left"/>
        </w:tabs>
        <w:spacing w:line="360" w:lineRule="auto"/>
        <w:ind w:firstLine="709" w:left="170" w:right="57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В данном случае это соотношение выполняется – у предприятия</w:t>
      </w:r>
      <w:r>
        <w:rPr>
          <w:color w:themeColor="text1" w:val="000000"/>
          <w:sz w:val="24"/>
          <w:highlight w:val="white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rPr>
          <w:color w:themeColor="text1" w:val="000000"/>
          <w:sz w:val="24"/>
        </w:rPr>
        <w:t>достаточно краткосрочной дебиторской задолженности для погашения среднесрочных обязательств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(излишек15378тыс.руб.). Медленно реализуемые активы</w:t>
      </w:r>
      <w:r>
        <w:rPr>
          <w:sz w:val="24"/>
        </w:rPr>
        <w:t xml:space="preserve"> </w:t>
      </w:r>
      <w:r>
        <w:rPr>
          <w:color w:themeColor="text1" w:val="000000"/>
          <w:sz w:val="24"/>
        </w:rPr>
        <w:t xml:space="preserve">не покрывают долгосрочные пассивы (недостаток421тыс.руб.) </w:t>
      </w:r>
    </w:p>
    <w:p w14:paraId="8B000000">
      <w:pPr>
        <w:pStyle w:val="Style_4"/>
        <w:tabs>
          <w:tab w:leader="none" w:pos="284" w:val="left"/>
        </w:tabs>
        <w:spacing w:line="360" w:lineRule="auto"/>
        <w:ind w:firstLine="709" w:left="170" w:right="57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Труднореализуемые активы меньше постоянных пассивов</w:t>
      </w:r>
      <w:r>
        <w:rPr>
          <w:sz w:val="24"/>
        </w:rPr>
        <w:t xml:space="preserve"> </w:t>
      </w:r>
      <w:r>
        <w:rPr>
          <w:color w:themeColor="text1" w:val="000000"/>
          <w:sz w:val="24"/>
        </w:rPr>
        <w:t>(у предприятия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color w:themeColor="text1" w:val="000000"/>
          <w:sz w:val="24"/>
        </w:rPr>
        <w:t xml:space="preserve"> имеются собственные оборотные средства), т.е. соблюдается минимальное условие финансовой устойчивости. </w:t>
      </w:r>
    </w:p>
    <w:p w14:paraId="8C000000">
      <w:pPr>
        <w:pStyle w:val="Style_4"/>
        <w:tabs>
          <w:tab w:leader="none" w:pos="284" w:val="left"/>
        </w:tabs>
        <w:spacing w:line="360" w:lineRule="auto"/>
        <w:ind w:firstLine="709" w:left="170" w:right="57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Из четырех соотношений характеризующих наличие ликвидных активов у организации</w:t>
      </w:r>
      <w:r>
        <w:rPr>
          <w:sz w:val="24"/>
          <w:highlight w:val="white"/>
        </w:rPr>
        <w:t xml:space="preserve"> </w:t>
      </w:r>
      <w:r>
        <w:rPr>
          <w:color w:themeColor="text1" w:val="000000"/>
          <w:sz w:val="24"/>
        </w:rPr>
        <w:t>за рассматриваемый период выполняется только три. Баланс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color w:themeColor="text1" w:val="000000"/>
          <w:sz w:val="24"/>
          <w:highlight w:val="white"/>
        </w:rPr>
        <w:t xml:space="preserve"> </w:t>
      </w:r>
      <w:r>
        <w:rPr>
          <w:color w:themeColor="text1" w:val="000000"/>
          <w:sz w:val="24"/>
        </w:rPr>
        <w:t xml:space="preserve">в анализируемом периоде не является абсолютно ликвидным. </w:t>
      </w:r>
    </w:p>
    <w:p w14:paraId="8D000000">
      <w:pPr>
        <w:tabs>
          <w:tab w:leader="none" w:pos="5373" w:val="left"/>
        </w:tabs>
        <w:spacing w:line="360" w:lineRule="auto"/>
        <w:ind w:firstLine="709" w:left="170" w:right="57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В 202</w:t>
      </w:r>
      <w:r>
        <w:rPr>
          <w:color w:themeColor="text1" w:val="000000"/>
          <w:sz w:val="24"/>
        </w:rPr>
        <w:t>5</w:t>
      </w:r>
      <w:r>
        <w:rPr>
          <w:color w:themeColor="text1" w:val="000000"/>
          <w:sz w:val="24"/>
        </w:rPr>
        <w:t xml:space="preserve"> году  у предприятия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rPr>
          <w:color w:themeColor="text1" w:val="000000"/>
          <w:sz w:val="24"/>
        </w:rPr>
        <w:t xml:space="preserve">достаточно денежных средств для погашения наиболее срочных обязательств (излишек10103тыс.руб.). Выполненный расчет абсолютных величин по платежному излишку показывает, что наиболее ликвидные активы покрывают лишь 253,9% обязательств. </w:t>
      </w:r>
    </w:p>
    <w:p w14:paraId="8E000000">
      <w:pPr>
        <w:tabs>
          <w:tab w:leader="none" w:pos="5373" w:val="left"/>
        </w:tabs>
        <w:spacing w:line="360" w:lineRule="auto"/>
        <w:ind w:firstLine="709" w:left="170" w:right="57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В соответствии с принципами оптимальной структуры активов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color w:themeColor="text1" w:val="000000"/>
          <w:sz w:val="24"/>
          <w:highlight w:val="white"/>
        </w:rPr>
        <w:t xml:space="preserve">  </w:t>
      </w:r>
      <w:r>
        <w:rPr>
          <w:color w:themeColor="text1" w:val="000000"/>
          <w:sz w:val="24"/>
        </w:rPr>
        <w:t xml:space="preserve">по степени ликвидности, краткосрочной дебиторской задолженности должно быть достаточно для покрытия среднесрочных обязательств (краткосрочной задолженности за минусом текущей кредиторской задолженности). В данном случае это соотношение выполняется – у предприятия достаточно краткосрочной дебиторской задолженности для погашения среднесрочных обязательств ( излишек5667тыс.руб.). </w:t>
      </w:r>
    </w:p>
    <w:p w14:paraId="8F000000">
      <w:pPr>
        <w:tabs>
          <w:tab w:leader="none" w:pos="5373" w:val="left"/>
        </w:tabs>
        <w:spacing w:line="360" w:lineRule="auto"/>
        <w:ind w:firstLine="709" w:left="170" w:right="57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Медленно реализуемые активы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rPr>
          <w:color w:themeColor="text1" w:val="000000"/>
          <w:sz w:val="24"/>
        </w:rPr>
        <w:t>не покрывают долгосрочные пассивы (недостаток 11тыс.руб.) Труднореализуемые активы больше постоянных пассивов, т.е. минимальное условие финансовой устойчивости не соблюдается.</w:t>
      </w:r>
    </w:p>
    <w:p w14:paraId="90000000">
      <w:pPr>
        <w:tabs>
          <w:tab w:leader="none" w:pos="5373" w:val="left"/>
        </w:tabs>
        <w:spacing w:line="360" w:lineRule="auto"/>
        <w:ind w:firstLine="709" w:left="170" w:right="57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 xml:space="preserve"> Из четырех соотношений характеризующих наличие ликвидных активов у организации за рассматриваемый период выполняется только три.</w:t>
      </w:r>
    </w:p>
    <w:p w14:paraId="91000000">
      <w:pPr>
        <w:tabs>
          <w:tab w:leader="none" w:pos="5373" w:val="left"/>
        </w:tabs>
        <w:spacing w:line="360" w:lineRule="auto"/>
        <w:ind w:firstLine="709" w:left="170" w:right="57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Баланс организации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rPr>
          <w:color w:themeColor="text1" w:val="000000"/>
          <w:sz w:val="24"/>
        </w:rPr>
        <w:t>в анализируемом периоде не является ликвидным. Поскольку степень превращения текущих активов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color w:themeColor="text1" w:val="000000"/>
          <w:sz w:val="24"/>
          <w:highlight w:val="white"/>
        </w:rPr>
        <w:t xml:space="preserve"> </w:t>
      </w:r>
      <w:r>
        <w:rPr>
          <w:color w:themeColor="text1" w:val="000000"/>
          <w:sz w:val="24"/>
        </w:rPr>
        <w:t>в денежную наличность неодинакова, то для сопоставления ликвидных средств и обязательств рассчитываются коэффициенты абсолютной ликвидности, критической (быстрой) ликвидности, текущей ликвидности (покрытия)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значение коэффициента абсолютной ликвидности</w:t>
      </w:r>
      <w:r>
        <w:rPr>
          <w:color w:themeColor="text1" w:val="000000"/>
          <w:sz w:val="24"/>
        </w:rPr>
        <w:t xml:space="preserve"> в 202</w:t>
      </w:r>
      <w:r>
        <w:rPr>
          <w:color w:themeColor="text1" w:val="000000"/>
          <w:sz w:val="24"/>
        </w:rPr>
        <w:t>3</w:t>
      </w:r>
      <w:r>
        <w:rPr>
          <w:color w:themeColor="text1" w:val="000000"/>
          <w:sz w:val="24"/>
        </w:rPr>
        <w:t xml:space="preserve"> году оказалось выше допустимого (при норме 0,1– 0,7), что говорит о том, что предприятие в полной мере обеспечено средствами для своевременного погашения наиболее срочных обязательств за счет наиболее ликвидных активов.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 202</w:t>
      </w:r>
      <w:r>
        <w:rPr>
          <w:color w:themeColor="text1" w:val="000000"/>
          <w:sz w:val="24"/>
        </w:rPr>
        <w:t xml:space="preserve">5 </w:t>
      </w:r>
      <w:r>
        <w:rPr>
          <w:color w:themeColor="text1" w:val="000000"/>
          <w:sz w:val="24"/>
        </w:rPr>
        <w:t>году значение данного показателя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снизилось на 1,17.</w:t>
      </w:r>
    </w:p>
    <w:p w14:paraId="92000000">
      <w:pPr>
        <w:tabs>
          <w:tab w:leader="none" w:pos="5373" w:val="left"/>
        </w:tabs>
        <w:spacing w:line="360" w:lineRule="auto"/>
        <w:ind w:firstLine="709" w:left="170" w:right="57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Значение коэффициента быстрой ликвидности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rPr>
          <w:color w:themeColor="text1" w:val="000000"/>
          <w:sz w:val="24"/>
        </w:rPr>
        <w:t xml:space="preserve"> оказалось выше допустимого (при норме 0,7 – 0,8 (1)). Это говорит у организации</w:t>
      </w:r>
      <w:r>
        <w:rPr>
          <w:color w:themeColor="text1" w:val="000000"/>
          <w:sz w:val="24"/>
          <w:highlight w:val="white"/>
        </w:rPr>
        <w:t xml:space="preserve"> </w:t>
      </w:r>
      <w:r>
        <w:rPr>
          <w:color w:themeColor="text1" w:val="000000"/>
          <w:sz w:val="24"/>
        </w:rPr>
        <w:t xml:space="preserve">достаточно ликвидных активов, которыми можно погасить наиболее срочные обязательства. </w:t>
      </w:r>
    </w:p>
    <w:p w14:paraId="93000000">
      <w:pPr>
        <w:widowControl w:val="1"/>
        <w:spacing w:line="360" w:lineRule="auto"/>
        <w:ind w:firstLine="709" w:left="170" w:right="57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В 202</w:t>
      </w:r>
      <w:r>
        <w:rPr>
          <w:color w:themeColor="text1" w:val="000000"/>
          <w:sz w:val="24"/>
        </w:rPr>
        <w:t xml:space="preserve">5 </w:t>
      </w:r>
      <w:r>
        <w:rPr>
          <w:color w:themeColor="text1" w:val="000000"/>
          <w:sz w:val="24"/>
        </w:rPr>
        <w:t>году коэффициент снизился на 5,50.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Коэффициент текущей ликвидности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color w:themeColor="text1" w:val="000000"/>
          <w:sz w:val="24"/>
          <w:highlight w:val="white"/>
        </w:rPr>
        <w:t xml:space="preserve"> </w:t>
      </w:r>
      <w:r>
        <w:rPr>
          <w:color w:themeColor="text1" w:val="000000"/>
          <w:sz w:val="24"/>
        </w:rPr>
        <w:t xml:space="preserve"> в отчетном периоде находится выше нормативного значения 2, что говорит о том, что предприятие в полной мере обеспечено собственными средствами для ведения хозяйственной деятельности и своевременного погашения срочных обязательств. </w:t>
      </w:r>
    </w:p>
    <w:p w14:paraId="94000000">
      <w:pPr>
        <w:widowControl w:val="1"/>
        <w:spacing w:line="360" w:lineRule="auto"/>
        <w:ind w:firstLine="709" w:left="170" w:right="57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В 202</w:t>
      </w:r>
      <w:r>
        <w:rPr>
          <w:color w:themeColor="text1" w:val="000000"/>
          <w:sz w:val="24"/>
        </w:rPr>
        <w:t xml:space="preserve">5 </w:t>
      </w:r>
      <w:r>
        <w:rPr>
          <w:color w:themeColor="text1" w:val="000000"/>
          <w:sz w:val="24"/>
        </w:rPr>
        <w:t>году коэффициент снизился на 5,50.Коэффициент обеспеченности собственными оборотными средствами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rPr>
          <w:sz w:val="24"/>
        </w:rPr>
        <w:t xml:space="preserve"> </w:t>
      </w:r>
      <w:r>
        <w:rPr>
          <w:color w:themeColor="text1" w:val="000000"/>
          <w:sz w:val="24"/>
        </w:rPr>
        <w:t>в 202</w:t>
      </w:r>
      <w:r>
        <w:rPr>
          <w:color w:themeColor="text1" w:val="000000"/>
          <w:sz w:val="24"/>
        </w:rPr>
        <w:t>4</w:t>
      </w:r>
      <w:r>
        <w:rPr>
          <w:color w:themeColor="text1" w:val="000000"/>
          <w:sz w:val="24"/>
        </w:rPr>
        <w:t xml:space="preserve"> году выше нормативного значения 0,87, а в 202</w:t>
      </w:r>
      <w:r>
        <w:rPr>
          <w:color w:themeColor="text1" w:val="000000"/>
          <w:sz w:val="24"/>
        </w:rPr>
        <w:t xml:space="preserve">5 </w:t>
      </w:r>
      <w:r>
        <w:rPr>
          <w:color w:themeColor="text1" w:val="000000"/>
          <w:sz w:val="24"/>
        </w:rPr>
        <w:t>году значение данного показателя снизился на 0,17 и имеет значение 0,71</w:t>
      </w:r>
      <w:r>
        <w:rPr>
          <w:color w:themeColor="text1" w:val="000000"/>
          <w:sz w:val="24"/>
          <w:highlight w:val="white"/>
        </w:rPr>
        <w:t>.</w:t>
      </w:r>
    </w:p>
    <w:p w14:paraId="95000000">
      <w:pPr>
        <w:pStyle w:val="Style_4"/>
        <w:tabs>
          <w:tab w:leader="none" w:pos="284" w:val="left"/>
        </w:tabs>
        <w:ind w:firstLine="0" w:left="429"/>
        <w:rPr>
          <w:sz w:val="24"/>
        </w:rPr>
      </w:pPr>
    </w:p>
    <w:p w14:paraId="96000000">
      <w:pPr>
        <w:pStyle w:val="Style_4"/>
        <w:numPr>
          <w:ilvl w:val="0"/>
          <w:numId w:val="1"/>
        </w:numPr>
        <w:tabs>
          <w:tab w:leader="none" w:pos="284" w:val="left"/>
        </w:tabs>
        <w:ind/>
        <w:rPr>
          <w:sz w:val="24"/>
        </w:rPr>
      </w:pPr>
      <w:r>
        <w:rPr>
          <w:sz w:val="24"/>
        </w:rPr>
        <w:t>Анализ экономической стратегии организации:</w:t>
      </w:r>
    </w:p>
    <w:p w14:paraId="97000000">
      <w:pPr>
        <w:pStyle w:val="Style_4"/>
        <w:tabs>
          <w:tab w:leader="none" w:pos="284" w:val="left"/>
        </w:tabs>
        <w:ind w:firstLine="0" w:left="0"/>
        <w:jc w:val="both"/>
        <w:rPr>
          <w:spacing w:val="-14"/>
          <w:sz w:val="24"/>
        </w:rPr>
      </w:pPr>
    </w:p>
    <w:p w14:paraId="98000000">
      <w:pPr>
        <w:pStyle w:val="Style_9"/>
        <w:spacing w:after="0" w:before="0" w:line="360" w:lineRule="auto"/>
        <w:ind w:firstLine="709" w:left="170" w:right="57"/>
        <w:jc w:val="both"/>
      </w:pPr>
      <w:r>
        <w:t>Анализ экономической стратегии организации</w:t>
      </w:r>
      <w:r>
        <w:t xml:space="preserve"> </w:t>
      </w:r>
      <w:r>
        <w:t xml:space="preserve">показал, что данную </w:t>
      </w:r>
      <w:r>
        <w:t xml:space="preserve">стратегию </w:t>
      </w:r>
      <w:r>
        <w:t>ООО «ГРАФИТ»</w:t>
      </w:r>
      <w:r>
        <w:t xml:space="preserve"> </w:t>
      </w:r>
      <w:r>
        <w:t>можно условно разделить на два направления: </w:t>
      </w:r>
      <w:r>
        <w:rPr>
          <w:rStyle w:val="Style_10_ch"/>
          <w:b w:val="0"/>
        </w:rPr>
        <w:t>кредитное и инвестиционное</w:t>
      </w:r>
      <w:r>
        <w:t>. В рамках первого направления предприятие</w:t>
      </w:r>
      <w:r>
        <w:t xml:space="preserve"> </w:t>
      </w:r>
      <w:r>
        <w:t>ООО «ГРАФИТ»</w:t>
      </w:r>
      <w:r>
        <w:t xml:space="preserve"> </w:t>
      </w:r>
      <w:r>
        <w:t xml:space="preserve"> </w:t>
      </w:r>
      <w:r>
        <w:t xml:space="preserve">привлекает ресурсы. </w:t>
      </w:r>
    </w:p>
    <w:p w14:paraId="99000000">
      <w:pPr>
        <w:pStyle w:val="Style_9"/>
        <w:spacing w:after="0" w:before="0" w:line="360" w:lineRule="auto"/>
        <w:ind w:firstLine="709" w:left="170" w:right="57"/>
        <w:jc w:val="both"/>
      </w:pPr>
      <w:r>
        <w:t xml:space="preserve">Для этих целей может использоваться акционерный и ссудный капитал, кредиторская задолженность, реинвестируемая прибыль и фонды. </w:t>
      </w:r>
    </w:p>
    <w:p w14:paraId="9A000000">
      <w:pPr>
        <w:pStyle w:val="Style_9"/>
        <w:spacing w:after="0" w:before="0" w:line="360" w:lineRule="auto"/>
        <w:ind w:firstLine="709" w:left="170" w:right="57"/>
        <w:jc w:val="both"/>
      </w:pPr>
      <w:r>
        <w:t xml:space="preserve">В рамках второго направления предприятие </w:t>
      </w:r>
      <w:r>
        <w:t>ООО «ГРАФИТ»</w:t>
      </w:r>
      <w:r>
        <w:t xml:space="preserve"> </w:t>
      </w:r>
      <w:r>
        <w:t xml:space="preserve">вкладывает средства в собственную деятельность, в том числе в производственные процессы (реальные инвестиции), в приобретение финансовых инструментов (финансовые инвестиции), в обучение персонала и разработку производственных технологий (интеллектуальные </w:t>
      </w:r>
      <w:r>
        <w:t>инвестиции).</w:t>
      </w:r>
      <w:r>
        <w:t xml:space="preserve"> </w:t>
      </w:r>
      <w:r>
        <w:t>Э</w:t>
      </w:r>
      <w:r>
        <w:t>кономическ</w:t>
      </w:r>
      <w:r>
        <w:t>ая</w:t>
      </w:r>
      <w:r>
        <w:t xml:space="preserve"> стратеги</w:t>
      </w:r>
      <w:r>
        <w:t>я</w:t>
      </w:r>
      <w:r>
        <w:t xml:space="preserve"> </w:t>
      </w:r>
      <w:r>
        <w:rPr>
          <w:rStyle w:val="Style_10_ch"/>
          <w:b w:val="0"/>
        </w:rPr>
        <w:t>компании</w:t>
      </w:r>
      <w:r>
        <w:t> </w:t>
      </w:r>
      <w:r>
        <w:t>ООО «ГРАФИТ»</w:t>
      </w:r>
      <w:r>
        <w:t xml:space="preserve"> -</w:t>
      </w:r>
      <w:r>
        <w:t xml:space="preserve"> это совокупность целей организации, направленных на повышение её рыночной стоимости и увеличение доходов собственников.  </w:t>
      </w:r>
    </w:p>
    <w:p w14:paraId="9B000000">
      <w:pPr>
        <w:pStyle w:val="Style_4"/>
        <w:tabs>
          <w:tab w:leader="none" w:pos="284" w:val="left"/>
        </w:tabs>
        <w:ind w:firstLine="0" w:left="0"/>
        <w:jc w:val="both"/>
        <w:rPr>
          <w:spacing w:val="-14"/>
          <w:sz w:val="24"/>
        </w:rPr>
      </w:pPr>
    </w:p>
    <w:p w14:paraId="9C000000">
      <w:pPr>
        <w:pStyle w:val="Style_4"/>
        <w:numPr>
          <w:ilvl w:val="0"/>
          <w:numId w:val="1"/>
        </w:numPr>
        <w:tabs>
          <w:tab w:leader="none" w:pos="284" w:val="left"/>
        </w:tabs>
        <w:ind w:firstLine="0" w:left="0"/>
        <w:jc w:val="both"/>
        <w:rPr>
          <w:spacing w:val="-14"/>
          <w:sz w:val="24"/>
        </w:rPr>
      </w:pPr>
      <w:r>
        <w:rPr>
          <w:sz w:val="24"/>
        </w:rPr>
        <w:t>Выводы и предложения по оптимизации управления экономическими потоками в организации</w:t>
      </w:r>
    </w:p>
    <w:p w14:paraId="9D000000">
      <w:pPr>
        <w:ind w:hanging="336" w:left="405"/>
        <w:rPr>
          <w:sz w:val="24"/>
        </w:rPr>
      </w:pPr>
    </w:p>
    <w:p w14:paraId="9E000000">
      <w:pPr>
        <w:ind w:hanging="336" w:left="405"/>
        <w:rPr>
          <w:sz w:val="24"/>
        </w:rPr>
      </w:pPr>
    </w:p>
    <w:p w14:paraId="9F00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Выводы</w:t>
      </w:r>
      <w:r>
        <w:rPr>
          <w:sz w:val="24"/>
        </w:rPr>
        <w:t>:</w:t>
      </w:r>
    </w:p>
    <w:p w14:paraId="A0000000">
      <w:pPr>
        <w:spacing w:line="360" w:lineRule="auto"/>
        <w:ind w:firstLine="709" w:left="170" w:right="57"/>
        <w:contextualSpacing w:val="1"/>
        <w:jc w:val="both"/>
        <w:rPr>
          <w:sz w:val="24"/>
        </w:rPr>
      </w:pPr>
      <w:r>
        <w:rPr>
          <w:color w:val="000000"/>
          <w:sz w:val="24"/>
        </w:rPr>
        <w:t>-</w:t>
      </w:r>
      <w:r>
        <w:rPr>
          <w:color w:val="000000"/>
          <w:sz w:val="24"/>
        </w:rPr>
        <w:t>Анализ деятельности организации показал, что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о</w:t>
      </w:r>
      <w:r>
        <w:rPr>
          <w:sz w:val="24"/>
        </w:rPr>
        <w:t xml:space="preserve">существляет свою деятельность согласно действующего законодательства:  Гражданским кодексом РФ, Федеральным Законом РФ «Об обществах с ограниченной ответственностью», другими нормативными актами. </w:t>
      </w:r>
    </w:p>
    <w:p w14:paraId="A1000000">
      <w:pPr>
        <w:spacing w:line="360" w:lineRule="auto"/>
        <w:ind w:firstLine="709" w:left="170" w:right="57"/>
        <w:contextualSpacing w:val="1"/>
        <w:jc w:val="both"/>
        <w:rPr>
          <w:sz w:val="24"/>
        </w:rPr>
      </w:pPr>
      <w:r>
        <w:rPr>
          <w:sz w:val="24"/>
        </w:rPr>
        <w:t>-Предприятие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rPr>
          <w:sz w:val="24"/>
        </w:rPr>
        <w:t xml:space="preserve">являясь коммерческой организацией, хозяйственным обществом в форме общества с ограниченной ответственностью. </w:t>
      </w:r>
      <w:r>
        <w:rPr>
          <w:sz w:val="24"/>
        </w:rPr>
        <w:t xml:space="preserve"> </w:t>
      </w:r>
      <w:r>
        <w:rPr>
          <w:sz w:val="24"/>
        </w:rPr>
        <w:t xml:space="preserve">Общество  является юридическим лицом и строит свою деятельность на основании настоящего Устава и действующего законодательства Российской Федерации. </w:t>
      </w:r>
    </w:p>
    <w:p w14:paraId="A2000000">
      <w:pPr>
        <w:tabs>
          <w:tab w:leader="none" w:pos="5373" w:val="left"/>
        </w:tabs>
        <w:spacing w:line="360" w:lineRule="auto"/>
        <w:ind w:firstLine="709" w:left="170" w:right="57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-</w:t>
      </w:r>
      <w:r>
        <w:rPr>
          <w:color w:themeColor="text1" w:val="000000"/>
          <w:sz w:val="24"/>
        </w:rPr>
        <w:t>В 202</w:t>
      </w:r>
      <w:r>
        <w:rPr>
          <w:color w:themeColor="text1" w:val="000000"/>
          <w:sz w:val="24"/>
        </w:rPr>
        <w:t>5</w:t>
      </w:r>
      <w:r>
        <w:rPr>
          <w:color w:themeColor="text1" w:val="000000"/>
          <w:sz w:val="24"/>
        </w:rPr>
        <w:t xml:space="preserve"> году  у предприятия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color w:themeColor="text1" w:val="000000"/>
          <w:sz w:val="24"/>
          <w:highlight w:val="white"/>
        </w:rPr>
        <w:t xml:space="preserve"> </w:t>
      </w:r>
      <w:r>
        <w:rPr>
          <w:color w:themeColor="text1" w:val="000000"/>
          <w:sz w:val="24"/>
        </w:rPr>
        <w:t xml:space="preserve"> достаточно денежных средств для погашения наиболее срочных обязательств (излишек10103тыс.руб.). Выполненный расчет абсолютных величин по платежному излишку показывает, что наиболее ликвидные активы покрывают лишь 253,9% обязательств. </w:t>
      </w:r>
    </w:p>
    <w:p w14:paraId="A3000000">
      <w:pPr>
        <w:tabs>
          <w:tab w:leader="none" w:pos="5373" w:val="left"/>
        </w:tabs>
        <w:spacing w:line="360" w:lineRule="auto"/>
        <w:ind w:firstLine="709" w:left="170" w:right="57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-</w:t>
      </w:r>
      <w:r>
        <w:rPr>
          <w:color w:themeColor="text1" w:val="000000"/>
          <w:sz w:val="24"/>
        </w:rPr>
        <w:t>В соответствии с принципами оптимальной структуры активов</w:t>
      </w:r>
      <w:r>
        <w:rPr>
          <w:sz w:val="24"/>
          <w:highlight w:val="white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rPr>
          <w:color w:themeColor="text1" w:val="000000"/>
          <w:sz w:val="24"/>
          <w:highlight w:val="white"/>
        </w:rPr>
        <w:t xml:space="preserve">  </w:t>
      </w:r>
      <w:r>
        <w:rPr>
          <w:color w:themeColor="text1" w:val="000000"/>
          <w:sz w:val="24"/>
        </w:rPr>
        <w:t xml:space="preserve">по степени ликвидности, краткосрочной дебиторской задолженности должно быть достаточно для покрытия среднесрочных обязательств (краткосрочной задолженности за минусом текущей кредиторской задолженности). </w:t>
      </w:r>
    </w:p>
    <w:p w14:paraId="A4000000">
      <w:pPr>
        <w:pStyle w:val="Style_9"/>
        <w:spacing w:after="0" w:before="0" w:line="360" w:lineRule="auto"/>
        <w:ind w:firstLine="709" w:left="170" w:right="57"/>
        <w:jc w:val="both"/>
      </w:pPr>
      <w:r>
        <w:rPr>
          <w:rStyle w:val="Style_10_ch"/>
          <w:b w:val="0"/>
        </w:rPr>
        <w:t>-Финансовая стратегия</w:t>
      </w:r>
      <w:r>
        <w:t xml:space="preserve"> </w:t>
      </w:r>
      <w:r>
        <w:t>ООО «ГРАФИТ»</w:t>
      </w:r>
      <w:r>
        <w:t xml:space="preserve"> </w:t>
      </w:r>
      <w:r>
        <w:t xml:space="preserve"> - это совокупность целей организации, направленных на повышение её рыночной стоимости и увеличение доходов собственников.  </w:t>
      </w:r>
    </w:p>
    <w:p w14:paraId="A5000000">
      <w:pPr>
        <w:pStyle w:val="Style_9"/>
        <w:spacing w:after="0" w:before="0" w:line="360" w:lineRule="auto"/>
        <w:ind w:firstLine="709" w:left="170" w:right="57"/>
        <w:jc w:val="both"/>
      </w:pPr>
      <w:r>
        <w:rPr>
          <w:rStyle w:val="Style_10_ch"/>
          <w:b w:val="0"/>
        </w:rPr>
        <w:t xml:space="preserve">Основные </w:t>
      </w:r>
      <w:r>
        <w:t>предложения по оптимизации управления финансовыми потоками в организации</w:t>
      </w:r>
      <w:r>
        <w:t xml:space="preserve"> </w:t>
      </w:r>
      <w:r>
        <w:t>ООО «ГРАФИТ»</w:t>
      </w:r>
      <w:r>
        <w:t>:</w:t>
      </w:r>
    </w:p>
    <w:p w14:paraId="A6000000">
      <w:pPr>
        <w:pStyle w:val="Style_9"/>
        <w:spacing w:after="0" w:before="0" w:line="360" w:lineRule="auto"/>
        <w:ind w:firstLine="709" w:left="170" w:right="57"/>
        <w:jc w:val="both"/>
      </w:pPr>
      <w:r>
        <w:rPr>
          <w:rStyle w:val="Style_10_ch"/>
          <w:b w:val="0"/>
        </w:rPr>
        <w:t xml:space="preserve">1) </w:t>
      </w:r>
      <w:r>
        <w:rPr>
          <w:rStyle w:val="Style_10_ch"/>
          <w:b w:val="0"/>
        </w:rPr>
        <w:t>Увеличение входящего финансового потока</w:t>
      </w:r>
      <w:r>
        <w:t xml:space="preserve"> </w:t>
      </w:r>
      <w:r>
        <w:t>ООО «ГРАФИТ»</w:t>
      </w:r>
      <w:r>
        <w:t>. Полная или частичная предоплата за реализуемые товары (услуги, работы), уменьшение сроков или отказ от предоставления рассрочек и кредитов потребителям, увеличение оборота за счёт установления скидок на неликвидную продукцию, активная работа с дебиторской задолженностью, реструктуризация компании, привлечение инвесторов или партнёров, реализация непрофильных активов. </w:t>
      </w:r>
    </w:p>
    <w:p w14:paraId="A7000000">
      <w:pPr>
        <w:pStyle w:val="Style_9"/>
        <w:spacing w:after="0" w:before="0" w:line="360" w:lineRule="auto"/>
        <w:ind w:firstLine="709" w:left="170" w:right="57"/>
        <w:jc w:val="both"/>
      </w:pPr>
      <w:r>
        <w:rPr>
          <w:rStyle w:val="Style_10_ch"/>
          <w:b w:val="0"/>
        </w:rPr>
        <w:t xml:space="preserve">2) </w:t>
      </w:r>
      <w:r>
        <w:rPr>
          <w:rStyle w:val="Style_10_ch"/>
          <w:b w:val="0"/>
        </w:rPr>
        <w:t>Уменьшение исходящего потока денежных средств</w:t>
      </w:r>
      <w:r>
        <w:t xml:space="preserve"> </w:t>
      </w:r>
      <w:r>
        <w:t>ООО «ГРАФИТ»</w:t>
      </w:r>
      <w:r>
        <w:t xml:space="preserve">. Согласование с поставщиками постоплаты или увеличение срока постоплаты, перевод </w:t>
      </w:r>
      <w:r>
        <w:t>краткосрочных займов в долгосрочные, приобретение активов в лизинг, оптимизация налогообложения, сокращение расходов. </w:t>
      </w:r>
    </w:p>
    <w:p w14:paraId="A8000000">
      <w:pPr>
        <w:pStyle w:val="Style_9"/>
        <w:spacing w:after="0" w:before="0" w:line="360" w:lineRule="auto"/>
        <w:ind w:firstLine="709" w:left="170" w:right="57"/>
        <w:jc w:val="both"/>
      </w:pPr>
      <w:r>
        <w:rPr>
          <w:rStyle w:val="Style_10_ch"/>
          <w:b w:val="0"/>
        </w:rPr>
        <w:t xml:space="preserve">3) </w:t>
      </w:r>
      <w:r>
        <w:rPr>
          <w:rStyle w:val="Style_10_ch"/>
          <w:b w:val="0"/>
        </w:rPr>
        <w:t>Использование технологий для сокращения цикла оборота денежных средств</w:t>
      </w:r>
      <w:r>
        <w:t xml:space="preserve"> </w:t>
      </w:r>
      <w:r>
        <w:t>ООО «ГРАФИТ»</w:t>
      </w:r>
      <w:r>
        <w:t>. Например, предоставление счетов-фактур в электронном виде, чтобы ускорить выставление и принятие к оплате счетов контрагентов. </w:t>
      </w:r>
    </w:p>
    <w:p w14:paraId="A9000000">
      <w:pPr>
        <w:pStyle w:val="Style_9"/>
        <w:spacing w:after="0" w:before="0" w:line="360" w:lineRule="auto"/>
        <w:ind w:firstLine="709" w:left="170" w:right="57"/>
        <w:jc w:val="both"/>
      </w:pPr>
      <w:r>
        <w:rPr>
          <w:rStyle w:val="Style_10_ch"/>
          <w:b w:val="0"/>
        </w:rPr>
        <w:t xml:space="preserve">4) </w:t>
      </w:r>
      <w:r>
        <w:rPr>
          <w:rStyle w:val="Style_10_ch"/>
          <w:b w:val="0"/>
        </w:rPr>
        <w:t>Чёткая регламентация процессов управления денежными средствами</w:t>
      </w:r>
      <w:r>
        <w:t xml:space="preserve"> </w:t>
      </w:r>
      <w:r>
        <w:t>ООО «ГРАФИТ»</w:t>
      </w:r>
      <w:r>
        <w:t>. Это позволит сократить трудозатраты топ-</w:t>
      </w:r>
      <w:r>
        <w:t xml:space="preserve"> </w:t>
      </w:r>
      <w:r>
        <w:t>менеджеров компании на контроль расходования средств. Например, можно установить сроки и последовательность прохождения заявок на оплату. </w:t>
      </w:r>
    </w:p>
    <w:p w14:paraId="AA000000">
      <w:pPr>
        <w:pStyle w:val="Style_9"/>
        <w:spacing w:after="0" w:before="0" w:line="360" w:lineRule="auto"/>
        <w:ind w:firstLine="709" w:left="170" w:right="57"/>
        <w:jc w:val="both"/>
      </w:pPr>
      <w:r>
        <w:rPr>
          <w:rStyle w:val="Style_10_ch"/>
          <w:b w:val="0"/>
        </w:rPr>
        <w:t xml:space="preserve">5) </w:t>
      </w:r>
      <w:r>
        <w:rPr>
          <w:rStyle w:val="Style_10_ch"/>
          <w:b w:val="0"/>
        </w:rPr>
        <w:t>Ранжирование платежей по степени их приоритетности</w:t>
      </w:r>
      <w:r>
        <w:t xml:space="preserve">. Статьи с наиболее высоким приоритетом оплачиваются в обязательном порядке, статьи с пониженным приоритетом </w:t>
      </w:r>
      <w:r>
        <w:t>-</w:t>
      </w:r>
      <w:r>
        <w:t xml:space="preserve"> при выполнении дополнительных условий.</w:t>
      </w:r>
    </w:p>
    <w:p w14:paraId="AB000000">
      <w:pPr>
        <w:ind w:hanging="336" w:left="405"/>
        <w:rPr>
          <w:sz w:val="24"/>
        </w:rPr>
      </w:pPr>
    </w:p>
    <w:p w14:paraId="AC000000">
      <w:pPr>
        <w:ind w:hanging="336" w:left="405"/>
        <w:rPr>
          <w:sz w:val="24"/>
        </w:rPr>
      </w:pPr>
    </w:p>
    <w:p w14:paraId="AD000000">
      <w:pPr>
        <w:ind w:hanging="336" w:left="405"/>
        <w:rPr>
          <w:sz w:val="24"/>
        </w:rPr>
      </w:pPr>
    </w:p>
    <w:p w14:paraId="AE000000">
      <w:pPr>
        <w:ind w:hanging="336" w:left="405"/>
        <w:rPr>
          <w:sz w:val="24"/>
        </w:rPr>
      </w:pPr>
    </w:p>
    <w:p w14:paraId="AF000000">
      <w:pPr>
        <w:ind w:hanging="336" w:left="405"/>
        <w:rPr>
          <w:sz w:val="24"/>
        </w:rPr>
      </w:pPr>
    </w:p>
    <w:p w14:paraId="B0000000">
      <w:pPr>
        <w:ind w:hanging="336" w:left="405"/>
        <w:rPr>
          <w:sz w:val="24"/>
        </w:rPr>
      </w:pPr>
    </w:p>
    <w:p w14:paraId="B1000000">
      <w:pPr>
        <w:rPr>
          <w:sz w:val="24"/>
        </w:rPr>
      </w:pPr>
      <w:r>
        <w:rPr>
          <w:b w:val="1"/>
          <w:color w:val="000000"/>
          <w:spacing w:val="-4"/>
          <w:sz w:val="24"/>
        </w:rPr>
        <w:t xml:space="preserve">«___»______________ </w:t>
      </w:r>
      <w:r>
        <w:rPr>
          <w:color w:val="000000"/>
          <w:spacing w:val="-4"/>
          <w:sz w:val="24"/>
        </w:rPr>
        <w:t xml:space="preserve">202__г.                </w:t>
      </w:r>
      <w:r>
        <w:rPr>
          <w:sz w:val="24"/>
        </w:rPr>
        <w:t>________________    ________________________</w:t>
      </w:r>
    </w:p>
    <w:p w14:paraId="B2000000">
      <w:pPr>
        <w:widowControl w:val="1"/>
        <w:ind w:firstLine="0" w:left="360"/>
        <w:rPr>
          <w:sz w:val="28"/>
        </w:rPr>
      </w:pPr>
      <w:r>
        <w:rPr>
          <w:sz w:val="16"/>
        </w:rPr>
        <w:t xml:space="preserve">                                                                                                                подпись                                И.О. Фамилия </w:t>
      </w:r>
      <w:r>
        <w:rPr>
          <w:color w:val="000000"/>
          <w:spacing w:val="-5"/>
          <w:sz w:val="16"/>
        </w:rPr>
        <w:t>обучающегося</w:t>
      </w:r>
    </w:p>
    <w:p w14:paraId="B3000000">
      <w:pPr>
        <w:widowControl w:val="1"/>
        <w:spacing w:after="160" w:line="264" w:lineRule="auto"/>
        <w:ind/>
        <w:rPr>
          <w:sz w:val="28"/>
        </w:rPr>
      </w:pPr>
      <w:r>
        <w:rPr>
          <w:sz w:val="28"/>
        </w:rPr>
        <w:br w:type="page"/>
      </w:r>
    </w:p>
    <w:p w14:paraId="B4000000">
      <w:pPr>
        <w:widowControl w:val="1"/>
        <w:ind w:firstLine="0" w:left="360"/>
        <w:jc w:val="center"/>
        <w:rPr>
          <w:sz w:val="28"/>
        </w:rPr>
      </w:pPr>
      <w:r>
        <w:rPr>
          <w:b w:val="1"/>
          <w:sz w:val="28"/>
        </w:rPr>
        <w:t>3.Краткий отчет о практике</w:t>
      </w:r>
    </w:p>
    <w:p w14:paraId="B5000000">
      <w:pPr>
        <w:ind/>
        <w:jc w:val="center"/>
      </w:pPr>
      <w:r>
        <w:t>(краткая характеристика проделанной обучающимся работы, краткие выводы по результатам практики)</w:t>
      </w:r>
    </w:p>
    <w:p w14:paraId="B6000000">
      <w:pPr>
        <w:ind/>
        <w:jc w:val="center"/>
      </w:pPr>
    </w:p>
    <w:p w14:paraId="B7000000">
      <w:pPr>
        <w:ind/>
        <w:jc w:val="center"/>
      </w:pPr>
    </w:p>
    <w:p w14:paraId="B8000000">
      <w:pPr>
        <w:pStyle w:val="Style_3"/>
        <w:widowControl w:val="0"/>
        <w:spacing w:after="0" w:before="0" w:line="360" w:lineRule="auto"/>
        <w:ind w:firstLine="709" w:left="170" w:right="57"/>
        <w:jc w:val="both"/>
      </w:pPr>
      <w:r>
        <w:t>Пройден инструктаж по ознакомлению с требованиями охраны труда, техники безопасности, пожарной безопасности, а также правилами внутреннего трудового распорядка в компании</w:t>
      </w:r>
      <w:r>
        <w:t xml:space="preserve"> </w:t>
      </w:r>
      <w:r>
        <w:t>ООО «ГРАФИТ»</w:t>
      </w:r>
      <w:r>
        <w:t xml:space="preserve"> </w:t>
      </w:r>
      <w:r>
        <w:t xml:space="preserve">по адресу: </w:t>
      </w:r>
      <w:r>
        <w:t>236022, Калининградская обл., г. Калининград, ул. Шиллера 22А , ЛИТЕР 1 ИЗ ЛИТЕРА А, ЭТАЖ ЦОКОЛЬНЫЙ</w:t>
      </w:r>
    </w:p>
    <w:p w14:paraId="B9000000">
      <w:pPr>
        <w:pStyle w:val="Style_3"/>
        <w:spacing w:after="0" w:before="0" w:line="360" w:lineRule="auto"/>
        <w:ind w:firstLine="709" w:left="0"/>
        <w:jc w:val="both"/>
      </w:pPr>
      <w:r>
        <w:t>ООО «ГРАФИТ»</w:t>
      </w:r>
      <w:r>
        <w:t xml:space="preserve"> </w:t>
      </w:r>
      <w:r>
        <w:t>зарегистрирован</w:t>
      </w:r>
      <w:r>
        <w:t>о</w:t>
      </w:r>
      <w:r>
        <w:t xml:space="preserve"> 09.02.2016 регистратором УПРАВЛЕНИЕ ФЕДЕРАЛЬНОЙ НАЛОГОВОЙ СЛУЖБЫ ПО КАЛИНИНГРАДСКОЙ ОБЛАСТИ. </w:t>
      </w:r>
    </w:p>
    <w:p w14:paraId="BA000000">
      <w:pPr>
        <w:pStyle w:val="Style_7"/>
        <w:spacing w:after="0" w:before="0" w:line="360" w:lineRule="auto"/>
        <w:ind w:firstLine="709" w:left="0"/>
        <w:jc w:val="both"/>
      </w:pPr>
      <w:r>
        <w:t>Руководитель организации: директор Бурмистров Дмитрий Михайлович.</w:t>
      </w:r>
    </w:p>
    <w:p w14:paraId="BB000000">
      <w:pPr>
        <w:pStyle w:val="Style_7"/>
        <w:spacing w:after="0" w:before="0" w:line="360" w:lineRule="auto"/>
        <w:ind w:firstLine="709" w:left="0"/>
        <w:jc w:val="both"/>
      </w:pPr>
      <w:r>
        <w:t xml:space="preserve">Основным видом деятельности </w:t>
      </w:r>
      <w:r>
        <w:t>ООО «ГРАФИТ»</w:t>
      </w:r>
      <w:r>
        <w:t xml:space="preserve"> </w:t>
      </w:r>
      <w:r>
        <w:t>является </w:t>
      </w:r>
      <w:r>
        <w:rPr>
          <w:rStyle w:val="Style_8_ch"/>
          <w:color w:val="000000"/>
          <w:u w:val="none"/>
        </w:rPr>
        <w:fldChar w:fldCharType="begin"/>
      </w:r>
      <w:r>
        <w:rPr>
          <w:rStyle w:val="Style_8_ch"/>
          <w:color w:val="000000"/>
          <w:u w:val="none"/>
        </w:rPr>
        <w:instrText>HYPERLINK "https://www.rusprofile.ru/codes/412000"</w:instrText>
      </w:r>
      <w:r>
        <w:rPr>
          <w:rStyle w:val="Style_8_ch"/>
          <w:color w:val="000000"/>
          <w:u w:val="none"/>
        </w:rPr>
        <w:fldChar w:fldCharType="separate"/>
      </w:r>
      <w:r>
        <w:rPr>
          <w:rStyle w:val="Style_8_ch"/>
          <w:color w:val="000000"/>
          <w:u w:val="none"/>
        </w:rPr>
        <w:t>Строительство жилых и нежилых зданий</w:t>
      </w:r>
      <w:r>
        <w:rPr>
          <w:rStyle w:val="Style_8_ch"/>
          <w:color w:val="000000"/>
          <w:u w:val="none"/>
        </w:rPr>
        <w:fldChar w:fldCharType="end"/>
      </w:r>
      <w:r>
        <w:t>, зарегистрировано 60 дополнительных видов деятельности. Организации ОБЩЕСТВО С ОГРАНИЧЕННОЙ ОТВЕТСТВЕННОСТЬЮ "ГРАФИТ" присвоены ИНН 3906981020, ОГРН 1163926053774, ОКПО 42365342.</w:t>
      </w:r>
    </w:p>
    <w:p w14:paraId="BC00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Цель коммерческой деятельности предприятия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rPr>
          <w:sz w:val="24"/>
        </w:rPr>
        <w:t>- получение прибыли путем удовлетворения потребностей населения.</w:t>
      </w:r>
    </w:p>
    <w:p w14:paraId="BD000000">
      <w:pPr>
        <w:spacing w:line="360" w:lineRule="auto"/>
        <w:ind w:firstLine="709" w:left="170" w:right="57"/>
        <w:contextualSpacing w:val="1"/>
        <w:jc w:val="both"/>
        <w:rPr>
          <w:sz w:val="24"/>
        </w:rPr>
      </w:pPr>
      <w:r>
        <w:rPr>
          <w:sz w:val="24"/>
        </w:rPr>
        <w:t>Организация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rPr>
          <w:sz w:val="24"/>
        </w:rPr>
        <w:t xml:space="preserve"> </w:t>
      </w:r>
      <w:r>
        <w:rPr>
          <w:sz w:val="24"/>
        </w:rPr>
        <w:t>осуществляет свою деятельность согласно действующего законодательства:  Гражданским кодексом РФ, Федеральным Законом РФ «Об обществах с ограниченной ответственностью», другими нормативными актами.</w:t>
      </w:r>
    </w:p>
    <w:p w14:paraId="BE000000">
      <w:pPr>
        <w:spacing w:line="360" w:lineRule="auto"/>
        <w:ind w:firstLine="709" w:left="170" w:right="57"/>
        <w:contextualSpacing w:val="1"/>
        <w:jc w:val="both"/>
        <w:rPr>
          <w:sz w:val="24"/>
        </w:rPr>
      </w:pPr>
      <w:r>
        <w:rPr>
          <w:sz w:val="24"/>
        </w:rPr>
        <w:t>ООО «ГРАФИТ»</w:t>
      </w:r>
      <w:r>
        <w:rPr>
          <w:sz w:val="24"/>
        </w:rPr>
        <w:t xml:space="preserve"> являясь коммерческой организацией, хозяйственным обществом в форме общества с ограниченной ответственностью. </w:t>
      </w:r>
    </w:p>
    <w:p w14:paraId="BF00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Общество  является юридическим лицом и строит свою деятельность на основании настоящего Устава и действующего законодательства Российской Федерации. </w:t>
      </w:r>
    </w:p>
    <w:p w14:paraId="C0000000">
      <w:pPr>
        <w:tabs>
          <w:tab w:leader="none" w:pos="851" w:val="left"/>
        </w:tabs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Нормативно-правовая база, регулирующая деятельность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является:</w:t>
      </w:r>
    </w:p>
    <w:p w14:paraId="C1000000">
      <w:pPr>
        <w:widowControl w:val="1"/>
        <w:numPr>
          <w:ilvl w:val="0"/>
          <w:numId w:val="2"/>
        </w:numPr>
        <w:tabs>
          <w:tab w:leader="none" w:pos="851" w:val="left"/>
        </w:tabs>
        <w:spacing w:line="360" w:lineRule="auto"/>
        <w:ind w:firstLine="709" w:left="170" w:right="57"/>
        <w:contextualSpacing w:val="1"/>
        <w:jc w:val="both"/>
        <w:rPr>
          <w:sz w:val="24"/>
        </w:rPr>
      </w:pPr>
      <w:r>
        <w:rPr>
          <w:sz w:val="24"/>
        </w:rPr>
        <w:t xml:space="preserve">Конституция Российской Федерации, принятая всенародным голосованием 12 декабря 1993 года; </w:t>
      </w:r>
    </w:p>
    <w:p w14:paraId="C2000000">
      <w:pPr>
        <w:widowControl w:val="1"/>
        <w:numPr>
          <w:ilvl w:val="0"/>
          <w:numId w:val="2"/>
        </w:numPr>
        <w:tabs>
          <w:tab w:leader="none" w:pos="851" w:val="left"/>
        </w:tabs>
        <w:spacing w:line="360" w:lineRule="auto"/>
        <w:ind w:firstLine="709" w:left="170" w:right="57"/>
        <w:contextualSpacing w:val="1"/>
        <w:jc w:val="both"/>
        <w:rPr>
          <w:sz w:val="24"/>
        </w:rPr>
      </w:pPr>
      <w:r>
        <w:rPr>
          <w:sz w:val="24"/>
        </w:rPr>
        <w:t>Гражданский кодекс Российской Федерации от 30.11.1994 № 51-ФЗ;</w:t>
      </w:r>
    </w:p>
    <w:p w14:paraId="C3000000">
      <w:pPr>
        <w:widowControl w:val="1"/>
        <w:numPr>
          <w:ilvl w:val="0"/>
          <w:numId w:val="2"/>
        </w:numPr>
        <w:tabs>
          <w:tab w:leader="none" w:pos="851" w:val="left"/>
        </w:tabs>
        <w:spacing w:line="360" w:lineRule="auto"/>
        <w:ind w:firstLine="709" w:left="170" w:right="57"/>
        <w:contextualSpacing w:val="1"/>
        <w:jc w:val="both"/>
        <w:rPr>
          <w:sz w:val="24"/>
        </w:rPr>
      </w:pPr>
      <w:r>
        <w:rPr>
          <w:sz w:val="24"/>
        </w:rPr>
        <w:t>Уголовный кодекс Российской Федерации от 13.06.1996 № 63-ФЗ;</w:t>
      </w:r>
    </w:p>
    <w:p w14:paraId="C4000000">
      <w:pPr>
        <w:widowControl w:val="1"/>
        <w:numPr>
          <w:ilvl w:val="0"/>
          <w:numId w:val="2"/>
        </w:numPr>
        <w:tabs>
          <w:tab w:leader="none" w:pos="851" w:val="left"/>
        </w:tabs>
        <w:spacing w:line="360" w:lineRule="auto"/>
        <w:ind w:firstLine="709" w:left="170" w:right="57"/>
        <w:contextualSpacing w:val="1"/>
        <w:jc w:val="both"/>
        <w:rPr>
          <w:sz w:val="24"/>
        </w:rPr>
      </w:pPr>
      <w:r>
        <w:rPr>
          <w:sz w:val="24"/>
        </w:rPr>
        <w:t>Бюджетный кодекс Российской Федерации от 31.07.1998 № 145-ФЗ;</w:t>
      </w:r>
    </w:p>
    <w:p w14:paraId="C5000000">
      <w:pPr>
        <w:widowControl w:val="1"/>
        <w:numPr>
          <w:ilvl w:val="0"/>
          <w:numId w:val="2"/>
        </w:numPr>
        <w:tabs>
          <w:tab w:leader="none" w:pos="851" w:val="left"/>
        </w:tabs>
        <w:spacing w:line="360" w:lineRule="auto"/>
        <w:ind w:firstLine="709" w:left="170" w:right="57"/>
        <w:contextualSpacing w:val="1"/>
        <w:jc w:val="both"/>
        <w:rPr>
          <w:sz w:val="24"/>
        </w:rPr>
      </w:pPr>
      <w:r>
        <w:rPr>
          <w:sz w:val="24"/>
        </w:rPr>
        <w:t>Налоговый кодекс Российской Федерации от 31.07.1998 № 146-ФЗ;</w:t>
      </w:r>
    </w:p>
    <w:p w14:paraId="C6000000">
      <w:pPr>
        <w:widowControl w:val="1"/>
        <w:numPr>
          <w:ilvl w:val="0"/>
          <w:numId w:val="2"/>
        </w:numPr>
        <w:tabs>
          <w:tab w:leader="none" w:pos="851" w:val="left"/>
        </w:tabs>
        <w:spacing w:line="360" w:lineRule="auto"/>
        <w:ind w:firstLine="709" w:left="170" w:right="57"/>
        <w:contextualSpacing w:val="1"/>
        <w:jc w:val="both"/>
        <w:rPr>
          <w:sz w:val="24"/>
        </w:rPr>
      </w:pPr>
      <w:r>
        <w:rPr>
          <w:sz w:val="24"/>
        </w:rPr>
        <w:t>Уголовно-процессуальный кодекс Российской Федерации от 18.12.2001 № 174-ФЗ;</w:t>
      </w:r>
    </w:p>
    <w:p w14:paraId="C7000000">
      <w:pPr>
        <w:widowControl w:val="1"/>
        <w:numPr>
          <w:ilvl w:val="0"/>
          <w:numId w:val="2"/>
        </w:numPr>
        <w:tabs>
          <w:tab w:leader="none" w:pos="851" w:val="left"/>
        </w:tabs>
        <w:spacing w:line="360" w:lineRule="auto"/>
        <w:ind w:firstLine="709" w:left="170" w:right="57"/>
        <w:contextualSpacing w:val="1"/>
        <w:jc w:val="both"/>
        <w:rPr>
          <w:sz w:val="24"/>
        </w:rPr>
      </w:pPr>
      <w:r>
        <w:rPr>
          <w:sz w:val="24"/>
        </w:rPr>
        <w:t>Кодекс об административных правонарушениях от 30.12.2001 № 195-ФЗ;</w:t>
      </w:r>
    </w:p>
    <w:p w14:paraId="C8000000">
      <w:pPr>
        <w:widowControl w:val="1"/>
        <w:numPr>
          <w:ilvl w:val="0"/>
          <w:numId w:val="2"/>
        </w:numPr>
        <w:tabs>
          <w:tab w:leader="none" w:pos="851" w:val="left"/>
        </w:tabs>
        <w:spacing w:line="360" w:lineRule="auto"/>
        <w:ind w:firstLine="709" w:left="170" w:right="57"/>
        <w:contextualSpacing w:val="1"/>
        <w:jc w:val="both"/>
        <w:rPr>
          <w:sz w:val="24"/>
        </w:rPr>
      </w:pPr>
      <w:r>
        <w:rPr>
          <w:sz w:val="24"/>
        </w:rPr>
        <w:t>Трудовой кодекс Российской Федерации от 30.12.2001 № 197-ФЗ;</w:t>
      </w:r>
    </w:p>
    <w:p w14:paraId="C9000000">
      <w:pPr>
        <w:widowControl w:val="1"/>
        <w:numPr>
          <w:ilvl w:val="0"/>
          <w:numId w:val="2"/>
        </w:numPr>
        <w:tabs>
          <w:tab w:leader="none" w:pos="851" w:val="left"/>
        </w:tabs>
        <w:spacing w:line="360" w:lineRule="auto"/>
        <w:ind w:firstLine="709" w:left="170" w:right="57"/>
        <w:contextualSpacing w:val="1"/>
        <w:jc w:val="both"/>
        <w:rPr>
          <w:sz w:val="24"/>
        </w:rPr>
      </w:pPr>
      <w:r>
        <w:rPr>
          <w:sz w:val="24"/>
        </w:rPr>
        <w:t>Арбитражный кодекс Российской Федерации от 24.07.2002 № 95-ФЗ;</w:t>
      </w:r>
    </w:p>
    <w:p w14:paraId="CA000000">
      <w:pPr>
        <w:widowControl w:val="1"/>
        <w:numPr>
          <w:ilvl w:val="0"/>
          <w:numId w:val="2"/>
        </w:numPr>
        <w:tabs>
          <w:tab w:leader="none" w:pos="851" w:val="left"/>
        </w:tabs>
        <w:spacing w:line="360" w:lineRule="auto"/>
        <w:ind w:firstLine="709" w:left="170" w:right="57"/>
        <w:contextualSpacing w:val="1"/>
        <w:jc w:val="both"/>
        <w:rPr>
          <w:sz w:val="24"/>
        </w:rPr>
      </w:pPr>
      <w:r>
        <w:rPr>
          <w:sz w:val="24"/>
        </w:rPr>
        <w:t>Закон Российской Федерации от 07.02.1992 № 2300-1 «О защите прав потребителей»;</w:t>
      </w:r>
    </w:p>
    <w:p w14:paraId="CB000000">
      <w:pPr>
        <w:widowControl w:val="1"/>
        <w:numPr>
          <w:ilvl w:val="0"/>
          <w:numId w:val="2"/>
        </w:numPr>
        <w:tabs>
          <w:tab w:leader="none" w:pos="851" w:val="left"/>
        </w:tabs>
        <w:spacing w:line="360" w:lineRule="auto"/>
        <w:ind w:firstLine="709" w:left="170" w:right="57"/>
        <w:contextualSpacing w:val="1"/>
        <w:jc w:val="both"/>
        <w:rPr>
          <w:sz w:val="24"/>
        </w:rPr>
      </w:pPr>
      <w:r>
        <w:rPr>
          <w:sz w:val="24"/>
        </w:rPr>
        <w:t>Федеральный закон от 21.12.1994 № 69-ФЗ «О пожарной безопасности»;</w:t>
      </w:r>
    </w:p>
    <w:p w14:paraId="CC000000">
      <w:pPr>
        <w:widowControl w:val="1"/>
        <w:numPr>
          <w:ilvl w:val="0"/>
          <w:numId w:val="2"/>
        </w:numPr>
        <w:tabs>
          <w:tab w:leader="none" w:pos="851" w:val="left"/>
        </w:tabs>
        <w:spacing w:line="360" w:lineRule="auto"/>
        <w:ind w:firstLine="709" w:left="170" w:right="57"/>
        <w:contextualSpacing w:val="1"/>
        <w:jc w:val="both"/>
        <w:rPr>
          <w:sz w:val="24"/>
        </w:rPr>
      </w:pPr>
      <w:r>
        <w:rPr>
          <w:sz w:val="24"/>
        </w:rPr>
        <w:t>Федеральный закон 08.02.1998 № 14-ФЗ «Об обществах с ограниченной ответственностью»;</w:t>
      </w:r>
    </w:p>
    <w:p w14:paraId="CD000000">
      <w:pPr>
        <w:widowControl w:val="1"/>
        <w:numPr>
          <w:ilvl w:val="0"/>
          <w:numId w:val="2"/>
        </w:numPr>
        <w:tabs>
          <w:tab w:leader="none" w:pos="851" w:val="left"/>
        </w:tabs>
        <w:spacing w:line="360" w:lineRule="auto"/>
        <w:ind w:firstLine="709" w:left="170" w:right="57"/>
        <w:contextualSpacing w:val="1"/>
        <w:jc w:val="both"/>
        <w:rPr>
          <w:sz w:val="24"/>
        </w:rPr>
      </w:pPr>
      <w:r>
        <w:rPr>
          <w:sz w:val="24"/>
        </w:rPr>
        <w:t>Федеральный закон от 24.07.1998 № 125-ФЗ «Об обязательном социальном страховании от несчастных случаев на производстве и профессиональных заболеваний»;</w:t>
      </w:r>
    </w:p>
    <w:p w14:paraId="CE000000">
      <w:pPr>
        <w:widowControl w:val="1"/>
        <w:numPr>
          <w:ilvl w:val="0"/>
          <w:numId w:val="2"/>
        </w:numPr>
        <w:tabs>
          <w:tab w:leader="none" w:pos="851" w:val="left"/>
        </w:tabs>
        <w:spacing w:line="360" w:lineRule="auto"/>
        <w:ind w:firstLine="709" w:left="170" w:right="57"/>
        <w:contextualSpacing w:val="1"/>
        <w:jc w:val="both"/>
        <w:rPr>
          <w:sz w:val="24"/>
        </w:rPr>
      </w:pPr>
      <w:r>
        <w:rPr>
          <w:sz w:val="24"/>
        </w:rPr>
        <w:t>Федеральный закон от 08.08.2001 № 129-ФЗ «О государственной регистрации юридических лиц и индивидуальных предпринимателей»;</w:t>
      </w:r>
    </w:p>
    <w:p w14:paraId="CF000000">
      <w:pPr>
        <w:widowControl w:val="1"/>
        <w:numPr>
          <w:ilvl w:val="0"/>
          <w:numId w:val="2"/>
        </w:numPr>
        <w:tabs>
          <w:tab w:leader="none" w:pos="851" w:val="left"/>
        </w:tabs>
        <w:spacing w:line="360" w:lineRule="auto"/>
        <w:ind w:firstLine="709" w:left="170" w:right="57"/>
        <w:contextualSpacing w:val="1"/>
        <w:jc w:val="both"/>
        <w:rPr>
          <w:sz w:val="24"/>
        </w:rPr>
      </w:pPr>
      <w:r>
        <w:rPr>
          <w:sz w:val="24"/>
        </w:rPr>
        <w:t>Федеральный закон от 26.10.2002 № 127-ФЗ «О несостоятельности (банкротстве)»;</w:t>
      </w:r>
    </w:p>
    <w:p w14:paraId="D0000000">
      <w:pPr>
        <w:widowControl w:val="1"/>
        <w:numPr>
          <w:ilvl w:val="0"/>
          <w:numId w:val="2"/>
        </w:numPr>
        <w:tabs>
          <w:tab w:leader="none" w:pos="851" w:val="left"/>
        </w:tabs>
        <w:spacing w:line="360" w:lineRule="auto"/>
        <w:ind w:firstLine="709" w:left="170" w:right="57"/>
        <w:contextualSpacing w:val="1"/>
        <w:jc w:val="both"/>
        <w:rPr>
          <w:sz w:val="24"/>
        </w:rPr>
      </w:pPr>
      <w:r>
        <w:rPr>
          <w:sz w:val="24"/>
        </w:rPr>
        <w:t>Федеральный закон от 27.12.2002 № 184-ФЗ «О техническом регулировании»;</w:t>
      </w:r>
    </w:p>
    <w:p w14:paraId="D1000000">
      <w:pPr>
        <w:widowControl w:val="1"/>
        <w:numPr>
          <w:ilvl w:val="0"/>
          <w:numId w:val="2"/>
        </w:numPr>
        <w:tabs>
          <w:tab w:leader="none" w:pos="851" w:val="left"/>
        </w:tabs>
        <w:spacing w:line="360" w:lineRule="auto"/>
        <w:ind w:firstLine="709" w:left="170" w:right="57"/>
        <w:contextualSpacing w:val="1"/>
        <w:jc w:val="both"/>
        <w:rPr>
          <w:sz w:val="24"/>
        </w:rPr>
      </w:pPr>
      <w:r>
        <w:rPr>
          <w:sz w:val="24"/>
        </w:rPr>
        <w:t>Федеральный закон от 13.03.2006 № 38-ФЗ «О рекламе»;</w:t>
      </w:r>
    </w:p>
    <w:p w14:paraId="D2000000">
      <w:pPr>
        <w:widowControl w:val="1"/>
        <w:numPr>
          <w:ilvl w:val="0"/>
          <w:numId w:val="2"/>
        </w:numPr>
        <w:tabs>
          <w:tab w:leader="none" w:pos="851" w:val="left"/>
        </w:tabs>
        <w:spacing w:line="360" w:lineRule="auto"/>
        <w:ind w:firstLine="709" w:left="170" w:right="57"/>
        <w:contextualSpacing w:val="1"/>
        <w:jc w:val="both"/>
        <w:rPr>
          <w:sz w:val="24"/>
        </w:rPr>
      </w:pPr>
      <w:r>
        <w:rPr>
          <w:sz w:val="24"/>
        </w:rPr>
        <w:t>Федеральный закон от 27.07.2006  № 152-ФЗ «О персональных данных»;</w:t>
      </w:r>
    </w:p>
    <w:p w14:paraId="D3000000">
      <w:pPr>
        <w:widowControl w:val="1"/>
        <w:numPr>
          <w:ilvl w:val="0"/>
          <w:numId w:val="2"/>
        </w:numPr>
        <w:tabs>
          <w:tab w:leader="none" w:pos="851" w:val="left"/>
        </w:tabs>
        <w:spacing w:line="360" w:lineRule="auto"/>
        <w:ind w:firstLine="709" w:left="170" w:right="57"/>
        <w:contextualSpacing w:val="1"/>
        <w:jc w:val="both"/>
        <w:rPr>
          <w:sz w:val="24"/>
        </w:rPr>
      </w:pPr>
      <w:r>
        <w:rPr>
          <w:sz w:val="24"/>
        </w:rPr>
        <w:t>Федеральный закон от 04.05.2011 № 99-ФЗ «О лицензировании отдельных видов деятельности»;</w:t>
      </w:r>
    </w:p>
    <w:p w14:paraId="D4000000">
      <w:pPr>
        <w:widowControl w:val="1"/>
        <w:numPr>
          <w:ilvl w:val="0"/>
          <w:numId w:val="2"/>
        </w:numPr>
        <w:tabs>
          <w:tab w:leader="none" w:pos="851" w:val="left"/>
        </w:tabs>
        <w:spacing w:line="360" w:lineRule="auto"/>
        <w:ind w:firstLine="709" w:left="170" w:right="57"/>
        <w:contextualSpacing w:val="1"/>
        <w:jc w:val="both"/>
        <w:rPr>
          <w:sz w:val="24"/>
        </w:rPr>
      </w:pPr>
      <w:r>
        <w:rPr>
          <w:sz w:val="24"/>
        </w:rPr>
        <w:t>Федеральный закон от 06.12.2011 № 402-ФЗ «О бухгалтерском учете»;</w:t>
      </w:r>
    </w:p>
    <w:p w14:paraId="D5000000">
      <w:pPr>
        <w:tabs>
          <w:tab w:leader="none" w:pos="851" w:val="left"/>
        </w:tabs>
        <w:spacing w:line="360" w:lineRule="auto"/>
        <w:ind w:firstLine="709" w:left="170" w:right="57"/>
        <w:contextualSpacing w:val="1"/>
        <w:jc w:val="both"/>
        <w:rPr>
          <w:sz w:val="24"/>
        </w:rPr>
      </w:pPr>
      <w:r>
        <w:rPr>
          <w:sz w:val="24"/>
        </w:rPr>
        <w:t>Локальные правовые акты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>:</w:t>
      </w:r>
    </w:p>
    <w:p w14:paraId="D6000000">
      <w:pPr>
        <w:widowControl w:val="1"/>
        <w:numPr>
          <w:ilvl w:val="0"/>
          <w:numId w:val="3"/>
        </w:numPr>
        <w:tabs>
          <w:tab w:leader="none" w:pos="851" w:val="left"/>
        </w:tabs>
        <w:spacing w:line="360" w:lineRule="auto"/>
        <w:ind w:firstLine="709" w:left="170" w:right="57"/>
        <w:contextualSpacing w:val="1"/>
        <w:jc w:val="both"/>
        <w:rPr>
          <w:sz w:val="24"/>
        </w:rPr>
      </w:pPr>
      <w:r>
        <w:rPr>
          <w:sz w:val="24"/>
        </w:rPr>
        <w:t>Устав;</w:t>
      </w:r>
    </w:p>
    <w:p w14:paraId="D7000000">
      <w:pPr>
        <w:widowControl w:val="1"/>
        <w:numPr>
          <w:ilvl w:val="0"/>
          <w:numId w:val="3"/>
        </w:numPr>
        <w:tabs>
          <w:tab w:leader="none" w:pos="851" w:val="left"/>
        </w:tabs>
        <w:spacing w:line="360" w:lineRule="auto"/>
        <w:ind w:firstLine="709" w:left="170" w:right="57"/>
        <w:contextualSpacing w:val="1"/>
        <w:jc w:val="both"/>
        <w:rPr>
          <w:sz w:val="24"/>
        </w:rPr>
      </w:pPr>
      <w:r>
        <w:rPr>
          <w:sz w:val="24"/>
        </w:rPr>
        <w:t>правила внутреннего трудового распорядка;</w:t>
      </w:r>
    </w:p>
    <w:p w14:paraId="D8000000">
      <w:pPr>
        <w:widowControl w:val="1"/>
        <w:numPr>
          <w:ilvl w:val="0"/>
          <w:numId w:val="3"/>
        </w:numPr>
        <w:tabs>
          <w:tab w:leader="none" w:pos="851" w:val="left"/>
        </w:tabs>
        <w:spacing w:line="360" w:lineRule="auto"/>
        <w:ind w:firstLine="709" w:left="170" w:right="57"/>
        <w:contextualSpacing w:val="1"/>
        <w:jc w:val="both"/>
        <w:rPr>
          <w:sz w:val="24"/>
        </w:rPr>
      </w:pPr>
      <w:r>
        <w:rPr>
          <w:sz w:val="24"/>
        </w:rPr>
        <w:t>политика обработки персональных данных;</w:t>
      </w:r>
    </w:p>
    <w:p w14:paraId="D9000000">
      <w:pPr>
        <w:widowControl w:val="1"/>
        <w:numPr>
          <w:ilvl w:val="0"/>
          <w:numId w:val="3"/>
        </w:numPr>
        <w:tabs>
          <w:tab w:leader="none" w:pos="851" w:val="left"/>
        </w:tabs>
        <w:spacing w:line="360" w:lineRule="auto"/>
        <w:ind w:firstLine="709" w:left="170" w:right="57"/>
        <w:contextualSpacing w:val="1"/>
        <w:jc w:val="both"/>
        <w:rPr>
          <w:sz w:val="24"/>
        </w:rPr>
      </w:pPr>
      <w:r>
        <w:rPr>
          <w:sz w:val="24"/>
        </w:rPr>
        <w:t>должностные инструкции должностных лиц;</w:t>
      </w:r>
    </w:p>
    <w:p w14:paraId="DA000000">
      <w:pPr>
        <w:widowControl w:val="1"/>
        <w:numPr>
          <w:ilvl w:val="0"/>
          <w:numId w:val="3"/>
        </w:numPr>
        <w:tabs>
          <w:tab w:leader="none" w:pos="851" w:val="left"/>
        </w:tabs>
        <w:spacing w:line="360" w:lineRule="auto"/>
        <w:ind w:firstLine="709" w:left="170" w:right="57"/>
        <w:contextualSpacing w:val="1"/>
        <w:jc w:val="both"/>
        <w:rPr>
          <w:sz w:val="24"/>
        </w:rPr>
      </w:pPr>
      <w:r>
        <w:rPr>
          <w:sz w:val="24"/>
        </w:rPr>
        <w:t>положение об охране труда в и другие</w:t>
      </w:r>
    </w:p>
    <w:p w14:paraId="DB000000">
      <w:pPr>
        <w:pStyle w:val="Style_3"/>
        <w:widowControl w:val="0"/>
        <w:spacing w:after="0" w:before="0" w:line="360" w:lineRule="auto"/>
        <w:ind w:firstLine="709" w:left="170" w:right="57"/>
        <w:jc w:val="both"/>
      </w:pPr>
      <w:r>
        <w:t>Организационная структура</w:t>
      </w:r>
      <w:r>
        <w:t xml:space="preserve"> </w:t>
      </w:r>
      <w:r>
        <w:t>ООО «ГРАФИТ»</w:t>
      </w:r>
      <w:r>
        <w:t xml:space="preserve"> представлена схематически на рисунке 1.</w:t>
      </w:r>
    </w:p>
    <w:p w14:paraId="DC000000">
      <w:pPr>
        <w:pStyle w:val="Style_3"/>
        <w:widowControl w:val="0"/>
        <w:spacing w:after="0" w:before="0" w:line="360" w:lineRule="auto"/>
        <w:ind w:right="57"/>
        <w:jc w:val="both"/>
      </w:pPr>
      <w:r>
        <w:drawing>
          <wp:inline>
            <wp:extent cx="6156000" cy="2879426"/>
            <wp:effectExtent b="0" l="0" r="0" t="0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2"/>
                    <a:srcRect b="0" l="0" r="3582" t="20596"/>
                    <a:stretch/>
                  </pic:blipFill>
                  <pic:spPr>
                    <a:xfrm flipH="false" flipV="false" rot="0">
                      <a:ext cx="6156000" cy="2879426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DD000000">
      <w:pPr>
        <w:spacing w:line="360" w:lineRule="auto"/>
        <w:ind w:firstLine="709" w:left="170" w:right="57"/>
        <w:jc w:val="both"/>
        <w:rPr>
          <w:sz w:val="24"/>
        </w:rPr>
      </w:pPr>
      <w:bookmarkStart w:id="1" w:name="_GoBack"/>
      <w:bookmarkEnd w:id="1"/>
      <w:r>
        <w:rPr>
          <w:sz w:val="24"/>
        </w:rPr>
        <w:t xml:space="preserve">Рисунок 1 </w:t>
      </w:r>
      <w:r>
        <w:rPr>
          <w:rFonts w:ascii="Symbol" w:hAnsi="Symbol"/>
          <w:sz w:val="24"/>
        </w:rPr>
        <w:t>-</w:t>
      </w:r>
      <w:r>
        <w:rPr>
          <w:sz w:val="24"/>
        </w:rPr>
        <w:t xml:space="preserve"> Организационная структура управления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</w:p>
    <w:p w14:paraId="DE000000">
      <w:pPr>
        <w:pStyle w:val="Style_3"/>
        <w:widowControl w:val="0"/>
        <w:spacing w:after="0" w:before="0" w:line="360" w:lineRule="auto"/>
        <w:ind w:firstLine="709" w:left="170" w:right="57"/>
        <w:jc w:val="both"/>
      </w:pPr>
    </w:p>
    <w:p w14:paraId="DF000000">
      <w:pPr>
        <w:pStyle w:val="Style_3"/>
        <w:widowControl w:val="0"/>
        <w:spacing w:after="0" w:before="0" w:line="360" w:lineRule="auto"/>
        <w:ind w:firstLine="709" w:left="170" w:right="57"/>
        <w:jc w:val="both"/>
      </w:pPr>
    </w:p>
    <w:p w14:paraId="E0000000">
      <w:pPr>
        <w:pStyle w:val="Style_3"/>
        <w:widowControl w:val="0"/>
        <w:spacing w:after="0" w:before="0" w:line="360" w:lineRule="auto"/>
        <w:ind w:firstLine="709" w:left="170" w:right="57"/>
        <w:jc w:val="both"/>
      </w:pPr>
      <w:r>
        <w:t>Проведен а</w:t>
      </w:r>
      <w:r>
        <w:rPr>
          <w:spacing w:val="-14"/>
        </w:rPr>
        <w:t>нализ организационной структуры организации,  в ходе   чего было определено, что о</w:t>
      </w:r>
      <w:r>
        <w:t>рганизационная структура</w:t>
      </w:r>
      <w:r>
        <w:t xml:space="preserve"> </w:t>
      </w:r>
      <w:r>
        <w:t>ООО «ГРАФИТ»</w:t>
      </w:r>
      <w:r>
        <w:t xml:space="preserve"> </w:t>
      </w:r>
      <w:r>
        <w:t xml:space="preserve"> </w:t>
      </w:r>
      <w:r>
        <w:t xml:space="preserve">направлена, прежде всего, на установление четких взаимосвязей между отдельными отделами  предприятия, распределения между ними прав и ответственности.  </w:t>
      </w:r>
    </w:p>
    <w:p w14:paraId="E100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Данный тип структуры управления имеет как свои достоинства, так и недостатки. Достоинствами линейно- функциональной структуры управления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t xml:space="preserve"> </w:t>
      </w:r>
      <w:r>
        <w:rPr>
          <w:sz w:val="24"/>
        </w:rPr>
        <w:t xml:space="preserve"> являются: </w:t>
      </w:r>
    </w:p>
    <w:p w14:paraId="E200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-глубокая подготовка решений и планов, связанных со специализацией работников; </w:t>
      </w:r>
    </w:p>
    <w:p w14:paraId="E300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-освобождение главного линейного руководителя от глубокого анализа проблем; </w:t>
      </w:r>
    </w:p>
    <w:p w14:paraId="E400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-возможность привлечения консультантов и экспертов; </w:t>
      </w:r>
    </w:p>
    <w:p w14:paraId="E500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-сочетание достоинств линейной и функциональной структур.</w:t>
      </w:r>
    </w:p>
    <w:p w14:paraId="E600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 Недостатками такой структуры управления для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t xml:space="preserve"> </w:t>
      </w:r>
      <w:r>
        <w:rPr>
          <w:sz w:val="24"/>
        </w:rPr>
        <w:t xml:space="preserve">являются: </w:t>
      </w:r>
    </w:p>
    <w:p w14:paraId="E700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-отсутствие тесных взаимосвязей и взаимодействия на горизонтальном уровне между структурными подразделениями; </w:t>
      </w:r>
    </w:p>
    <w:p w14:paraId="E800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-недостаточно четкая ответственность подразделений, так как готовящий решение, как правило, не участвует в его реализации; </w:t>
      </w:r>
    </w:p>
    <w:p w14:paraId="E900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-чрезмерно развитая система взаимодействия по вертикали, а именно подчинение по иерархии управления, то есть тенденция к чрезмерной централизации. </w:t>
      </w:r>
    </w:p>
    <w:p w14:paraId="EA00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pacing w:val="-4"/>
          <w:sz w:val="24"/>
        </w:rPr>
        <w:t>На рисунке 2 представлены основные преимущества и недостатки л</w:t>
      </w:r>
      <w:r>
        <w:rPr>
          <w:sz w:val="24"/>
        </w:rPr>
        <w:t>инейно-функциональной структуры управления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t xml:space="preserve"> </w:t>
      </w:r>
    </w:p>
    <w:p w14:paraId="EB000000">
      <w:pPr>
        <w:spacing w:line="360" w:lineRule="auto"/>
        <w:ind/>
        <w:jc w:val="center"/>
        <w:rPr>
          <w:spacing w:val="-4"/>
          <w:sz w:val="24"/>
        </w:rPr>
      </w:pPr>
      <w:r>
        <w:rPr>
          <w:spacing w:val="-4"/>
          <w:sz w:val="24"/>
        </w:rPr>
        <w:drawing>
          <wp:inline>
            <wp:extent cx="4940327" cy="3348000"/>
            <wp:effectExtent b="0" l="0" r="0" t="0"/>
            <wp:docPr hidden="false" id="4" name="Picture 4"/>
            <a:graphic>
              <a:graphicData uri="http://schemas.openxmlformats.org/drawingml/2006/picture">
                <pic:pic>
                  <pic:nvPicPr>
                    <pic:cNvPr hidden="false" id="3" name="Picture 3"/>
                    <pic:cNvPicPr preferRelativeResize="true"/>
                  </pic:nvPicPr>
                  <pic:blipFill>
                    <a:blip r:embed="rId3"/>
                    <a:srcRect b="4429" l="2585" r="5292" t="12984"/>
                    <a:stretch/>
                  </pic:blipFill>
                  <pic:spPr>
                    <a:xfrm flipH="false" flipV="false" rot="0">
                      <a:ext cx="4940327" cy="334800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EC000000">
      <w:pPr>
        <w:pStyle w:val="Style_3"/>
        <w:spacing w:after="0" w:before="0" w:line="360" w:lineRule="auto"/>
        <w:ind w:firstLine="709" w:left="170" w:right="57"/>
        <w:jc w:val="center"/>
      </w:pPr>
      <w:r>
        <w:t>Рисунок 2 -  П</w:t>
      </w:r>
      <w:r>
        <w:rPr>
          <w:spacing w:val="-4"/>
        </w:rPr>
        <w:t>реимущества  и недостатки л</w:t>
      </w:r>
      <w:r>
        <w:t>инейно-функциональной структуры управления</w:t>
      </w:r>
      <w:r>
        <w:rPr>
          <w:highlight w:val="white"/>
        </w:rPr>
        <w:t xml:space="preserve"> </w:t>
      </w:r>
      <w:r>
        <w:t>ООО «ГРАФИТ»</w:t>
      </w:r>
    </w:p>
    <w:p w14:paraId="ED000000">
      <w:pPr>
        <w:pStyle w:val="Style_3"/>
        <w:widowControl w:val="0"/>
        <w:spacing w:after="0" w:before="0" w:line="360" w:lineRule="auto"/>
        <w:ind w:firstLine="709" w:left="170" w:right="57"/>
        <w:jc w:val="both"/>
      </w:pPr>
    </w:p>
    <w:p w14:paraId="EE000000">
      <w:pPr>
        <w:pStyle w:val="Style_3"/>
        <w:widowControl w:val="0"/>
        <w:spacing w:after="0" w:before="0" w:line="360" w:lineRule="auto"/>
        <w:ind w:firstLine="709" w:left="170" w:right="57"/>
        <w:jc w:val="both"/>
      </w:pPr>
      <w:r>
        <w:t>По всем видам деятельности в</w:t>
      </w:r>
      <w:r>
        <w:t xml:space="preserve"> </w:t>
      </w:r>
      <w:r>
        <w:t>ООО «ГРАФИТ»</w:t>
      </w:r>
      <w:r>
        <w:t xml:space="preserve"> </w:t>
      </w:r>
      <w:r>
        <w:t xml:space="preserve"> </w:t>
      </w:r>
      <w:r>
        <w:t>разработаны должностные инструкции, в которых оговариваются обязанности, подчиненность, перечень задач и ответственность за невыполнение распоряжений вышестоящего руководства и непосредственно генеральным директором</w:t>
      </w:r>
      <w:r>
        <w:t xml:space="preserve"> </w:t>
      </w:r>
      <w:r>
        <w:t>ООО «ГРАФИТ»</w:t>
      </w:r>
      <w:r>
        <w:t xml:space="preserve">. </w:t>
      </w:r>
    </w:p>
    <w:p w14:paraId="EF000000">
      <w:pPr>
        <w:widowControl w:val="1"/>
        <w:spacing w:line="360" w:lineRule="auto"/>
        <w:ind w:firstLine="709" w:left="170" w:right="57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В</w:t>
      </w:r>
      <w:r>
        <w:rPr>
          <w:color w:themeColor="text1" w:val="000000"/>
          <w:sz w:val="24"/>
        </w:rPr>
        <w:t xml:space="preserve"> 202</w:t>
      </w:r>
      <w:r>
        <w:rPr>
          <w:color w:themeColor="text1" w:val="000000"/>
          <w:sz w:val="24"/>
        </w:rPr>
        <w:t xml:space="preserve">5 </w:t>
      </w:r>
      <w:r>
        <w:rPr>
          <w:color w:themeColor="text1" w:val="000000"/>
          <w:sz w:val="24"/>
        </w:rPr>
        <w:t>году у предприятия</w:t>
      </w:r>
      <w:r>
        <w:rPr>
          <w:sz w:val="24"/>
          <w:highlight w:val="white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rPr>
          <w:color w:themeColor="text1" w:val="000000"/>
          <w:sz w:val="24"/>
        </w:rPr>
        <w:t xml:space="preserve">достаточно денежных средств для погашения наиболее срочных обязательств (излишек8008тыс.руб.). Выполненный расчет абсолютных величин по платежному излишку показывает, что наиболее ликвидные активы покрывают 370,9% обязательств. </w:t>
      </w:r>
    </w:p>
    <w:p w14:paraId="F0000000">
      <w:pPr>
        <w:widowControl w:val="1"/>
        <w:spacing w:line="360" w:lineRule="auto"/>
        <w:ind w:firstLine="709" w:left="170" w:right="57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В соответствии с принципами оптимальной структуры активов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t xml:space="preserve"> </w:t>
      </w:r>
      <w:r>
        <w:rPr>
          <w:color w:themeColor="text1" w:val="000000"/>
          <w:sz w:val="24"/>
        </w:rPr>
        <w:t xml:space="preserve">по степени ликвидности, краткосрочной дебиторской задолженности должно быть достаточно для покрытия среднесрочных обязательств (краткосрочной задолженности за минусом текущей кредиторской задолженности). </w:t>
      </w:r>
    </w:p>
    <w:p w14:paraId="F1000000">
      <w:pPr>
        <w:tabs>
          <w:tab w:leader="none" w:pos="5373" w:val="left"/>
        </w:tabs>
        <w:spacing w:line="360" w:lineRule="auto"/>
        <w:ind w:firstLine="709" w:left="170" w:right="57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В данном случае это соотношение выполняется – у предприятия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color w:themeColor="text1" w:val="000000"/>
          <w:sz w:val="24"/>
          <w:highlight w:val="white"/>
        </w:rPr>
        <w:t xml:space="preserve"> </w:t>
      </w:r>
      <w:r>
        <w:rPr>
          <w:color w:themeColor="text1" w:val="000000"/>
          <w:sz w:val="24"/>
        </w:rPr>
        <w:t>достаточно краткосрочной дебиторской задолженности для погашения среднесрочных обязательств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 xml:space="preserve">(излишек15378тыс.руб.). Медленно реализуемые активы не покрывают долгосрочные пассивы (недостаток421тыс.руб.) </w:t>
      </w:r>
    </w:p>
    <w:p w14:paraId="F2000000">
      <w:pPr>
        <w:tabs>
          <w:tab w:leader="none" w:pos="5373" w:val="left"/>
        </w:tabs>
        <w:spacing w:line="360" w:lineRule="auto"/>
        <w:ind w:firstLine="709" w:left="170" w:right="57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Труднореализуемые активы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t xml:space="preserve"> </w:t>
      </w:r>
      <w:r>
        <w:rPr>
          <w:color w:themeColor="text1" w:val="000000"/>
          <w:sz w:val="24"/>
        </w:rPr>
        <w:t>меньше постоянных пассивов (у предприятия имеются собственные оборотные средства), т.е. соблюдается минимальное условие финансовой устойчивости.</w:t>
      </w:r>
    </w:p>
    <w:p w14:paraId="F3000000">
      <w:pPr>
        <w:tabs>
          <w:tab w:leader="none" w:pos="5373" w:val="left"/>
        </w:tabs>
        <w:spacing w:line="360" w:lineRule="auto"/>
        <w:ind w:firstLine="709" w:left="170" w:right="57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Из четырех соотношений характеризующих наличие ликвидных активов у организации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t xml:space="preserve"> </w:t>
      </w:r>
      <w:r>
        <w:rPr>
          <w:color w:themeColor="text1" w:val="000000"/>
          <w:sz w:val="24"/>
        </w:rPr>
        <w:t xml:space="preserve">за рассматриваемый период выполняется только три. Баланс организации в анализируемом периоде не является абсолютно ликвидным. </w:t>
      </w:r>
    </w:p>
    <w:p w14:paraId="F4000000">
      <w:pPr>
        <w:pStyle w:val="Style_4"/>
        <w:tabs>
          <w:tab w:leader="none" w:pos="5373" w:val="left"/>
        </w:tabs>
        <w:spacing w:line="360" w:lineRule="auto"/>
        <w:ind w:firstLine="709" w:left="170" w:right="57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В 202</w:t>
      </w:r>
      <w:r>
        <w:rPr>
          <w:color w:themeColor="text1" w:val="000000"/>
          <w:sz w:val="24"/>
        </w:rPr>
        <w:t>5</w:t>
      </w:r>
      <w:r>
        <w:rPr>
          <w:color w:themeColor="text1" w:val="000000"/>
          <w:sz w:val="24"/>
        </w:rPr>
        <w:t xml:space="preserve"> году  у предприятия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t xml:space="preserve"> </w:t>
      </w:r>
      <w:r>
        <w:rPr>
          <w:color w:themeColor="text1" w:val="000000"/>
          <w:sz w:val="24"/>
        </w:rPr>
        <w:t xml:space="preserve">достаточно денежных средств для погашения наиболее срочных обязательств (излишек10103тыс.руб.). </w:t>
      </w:r>
    </w:p>
    <w:p w14:paraId="F5000000">
      <w:pPr>
        <w:pStyle w:val="Style_4"/>
        <w:tabs>
          <w:tab w:leader="none" w:pos="5373" w:val="left"/>
        </w:tabs>
        <w:spacing w:line="360" w:lineRule="auto"/>
        <w:ind w:firstLine="709" w:left="170" w:right="57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 xml:space="preserve">Выполненный расчет абсолютных величин по платежному излишку показывает, что наиболее ликвидные активы покрывают лишь 253,9% обязательств. </w:t>
      </w:r>
    </w:p>
    <w:p w14:paraId="F6000000">
      <w:pPr>
        <w:pStyle w:val="Style_4"/>
        <w:tabs>
          <w:tab w:leader="none" w:pos="5373" w:val="left"/>
        </w:tabs>
        <w:spacing w:line="360" w:lineRule="auto"/>
        <w:ind w:firstLine="709" w:left="170" w:right="57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В соответствии с принципами оптимальной структуры активов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t xml:space="preserve"> </w:t>
      </w:r>
      <w:r>
        <w:rPr>
          <w:color w:themeColor="text1" w:val="000000"/>
          <w:sz w:val="24"/>
        </w:rPr>
        <w:t xml:space="preserve">по степени ликвидности, краткосрочной дебиторской задолженности должно быть достаточно для покрытия среднесрочных обязательств (краткосрочной задолженности за минусом текущей кредиторской задолженности). </w:t>
      </w:r>
    </w:p>
    <w:p w14:paraId="F7000000">
      <w:pPr>
        <w:pStyle w:val="Style_4"/>
        <w:tabs>
          <w:tab w:leader="none" w:pos="5373" w:val="left"/>
        </w:tabs>
        <w:spacing w:line="360" w:lineRule="auto"/>
        <w:ind w:firstLine="709" w:left="170" w:right="57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В данном случае это соотношение выполняется – у предприятия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t xml:space="preserve"> </w:t>
      </w:r>
      <w:r>
        <w:rPr>
          <w:color w:themeColor="text1" w:val="000000"/>
          <w:sz w:val="24"/>
          <w:highlight w:val="white"/>
        </w:rPr>
        <w:t xml:space="preserve"> </w:t>
      </w:r>
      <w:r>
        <w:rPr>
          <w:color w:themeColor="text1" w:val="000000"/>
          <w:sz w:val="24"/>
        </w:rPr>
        <w:t>достаточно краткосрочной дебиторской задолженности для погашения среднесрочных обязательств ( излишек5667тыс.руб.).</w:t>
      </w:r>
    </w:p>
    <w:p w14:paraId="F8000000">
      <w:pPr>
        <w:pStyle w:val="Style_4"/>
        <w:tabs>
          <w:tab w:leader="none" w:pos="5373" w:val="left"/>
        </w:tabs>
        <w:spacing w:line="360" w:lineRule="auto"/>
        <w:ind w:firstLine="709" w:left="170" w:right="57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 xml:space="preserve"> Медленно реализуемые активы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rPr>
          <w:color w:themeColor="text1" w:val="000000"/>
          <w:sz w:val="24"/>
        </w:rPr>
        <w:t>не покрывают долгосрочные пассивы (недостаток 11тыс.руб.)</w:t>
      </w:r>
    </w:p>
    <w:p w14:paraId="F9000000">
      <w:pPr>
        <w:pStyle w:val="Style_4"/>
        <w:tabs>
          <w:tab w:leader="none" w:pos="5373" w:val="left"/>
        </w:tabs>
        <w:spacing w:line="360" w:lineRule="auto"/>
        <w:ind w:firstLine="709" w:left="170" w:right="57"/>
        <w:jc w:val="both"/>
        <w:rPr>
          <w:color w:themeColor="text1" w:val="000000"/>
          <w:sz w:val="24"/>
        </w:rPr>
      </w:pPr>
    </w:p>
    <w:p w14:paraId="FA000000">
      <w:pPr>
        <w:pStyle w:val="Style_4"/>
        <w:tabs>
          <w:tab w:leader="none" w:pos="5373" w:val="left"/>
        </w:tabs>
        <w:spacing w:line="360" w:lineRule="auto"/>
        <w:ind w:firstLine="709" w:left="170" w:right="57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Труднореализуемые активы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color w:themeColor="text1" w:val="000000"/>
          <w:sz w:val="24"/>
        </w:rPr>
        <w:t xml:space="preserve"> больше постоянных пассивов, т.е. минимальное условие финансовой устойчивости</w:t>
      </w:r>
      <w:r>
        <w:rPr>
          <w:sz w:val="24"/>
          <w:highlight w:val="white"/>
        </w:rPr>
        <w:t xml:space="preserve"> </w:t>
      </w:r>
      <w:r>
        <w:rPr>
          <w:sz w:val="24"/>
          <w:highlight w:val="white"/>
        </w:rPr>
        <w:t>ООО «</w:t>
      </w:r>
      <w:r>
        <w:rPr>
          <w:sz w:val="24"/>
        </w:rPr>
        <w:t xml:space="preserve">ЕВРОАЛЬЯНС» </w:t>
      </w:r>
      <w:r>
        <w:t xml:space="preserve"> </w:t>
      </w:r>
      <w:r>
        <w:rPr>
          <w:color w:themeColor="text1" w:val="000000"/>
          <w:sz w:val="24"/>
          <w:highlight w:val="white"/>
        </w:rPr>
        <w:t xml:space="preserve"> </w:t>
      </w:r>
      <w:r>
        <w:rPr>
          <w:color w:themeColor="text1" w:val="000000"/>
          <w:sz w:val="24"/>
        </w:rPr>
        <w:t xml:space="preserve">не соблюдается. </w:t>
      </w:r>
    </w:p>
    <w:p w14:paraId="FB000000">
      <w:pPr>
        <w:pStyle w:val="Style_4"/>
        <w:tabs>
          <w:tab w:leader="none" w:pos="5373" w:val="left"/>
        </w:tabs>
        <w:spacing w:line="360" w:lineRule="auto"/>
        <w:ind w:firstLine="709" w:left="170" w:right="57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Из четырех соотношений характеризующих наличие ликвидных активов у организации</w:t>
      </w:r>
      <w:r>
        <w:rPr>
          <w:sz w:val="24"/>
          <w:highlight w:val="white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rPr>
          <w:color w:themeColor="text1" w:val="000000"/>
          <w:sz w:val="24"/>
        </w:rPr>
        <w:t xml:space="preserve">за рассматриваемый период выполняется только три. Баланс организации в анализируемом периоде не является ликвидным. </w:t>
      </w:r>
    </w:p>
    <w:p w14:paraId="FC000000">
      <w:pPr>
        <w:pStyle w:val="Style_4"/>
        <w:tabs>
          <w:tab w:leader="none" w:pos="5373" w:val="left"/>
        </w:tabs>
        <w:spacing w:line="360" w:lineRule="auto"/>
        <w:ind w:firstLine="709" w:left="170" w:right="57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Поскольку степень превращения текущих активов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t xml:space="preserve"> </w:t>
      </w:r>
      <w:r>
        <w:rPr>
          <w:color w:themeColor="text1" w:val="000000"/>
          <w:sz w:val="24"/>
          <w:highlight w:val="white"/>
        </w:rPr>
        <w:t xml:space="preserve"> </w:t>
      </w:r>
      <w:r>
        <w:rPr>
          <w:color w:themeColor="text1" w:val="000000"/>
          <w:sz w:val="24"/>
        </w:rPr>
        <w:t xml:space="preserve">в денежную наличность неодинакова, то для сопоставления ликвидных средств и обязательств рассчитываются коэффициенты абсолютной ликвидности, критической (быстрой) ликвидности, текущей ликвидности (покрытия). </w:t>
      </w:r>
    </w:p>
    <w:p w14:paraId="FD000000">
      <w:pPr>
        <w:pStyle w:val="Style_4"/>
        <w:tabs>
          <w:tab w:leader="none" w:pos="5373" w:val="left"/>
        </w:tabs>
        <w:spacing w:line="360" w:lineRule="auto"/>
        <w:ind w:firstLine="709" w:left="170" w:right="57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 xml:space="preserve">Таблица </w:t>
      </w:r>
      <w:r>
        <w:rPr>
          <w:color w:themeColor="text1" w:val="000000"/>
          <w:sz w:val="24"/>
        </w:rPr>
        <w:t>1</w:t>
      </w:r>
      <w:r>
        <w:rPr>
          <w:color w:themeColor="text1" w:val="000000"/>
          <w:sz w:val="24"/>
        </w:rPr>
        <w:t>-</w:t>
      </w:r>
      <w:r>
        <w:rPr>
          <w:color w:themeColor="text1" w:val="000000"/>
          <w:sz w:val="24"/>
        </w:rPr>
        <w:t xml:space="preserve"> Показатели платежеспособности предприятия</w:t>
      </w:r>
      <w:r>
        <w:rPr>
          <w:color w:themeColor="text1" w:val="000000"/>
          <w:sz w:val="24"/>
          <w:highlight w:val="white"/>
        </w:rPr>
        <w:t xml:space="preserve"> </w:t>
      </w:r>
    </w:p>
    <w:tbl>
      <w:tblPr>
        <w:tblStyle w:val="Style_2"/>
        <w:tblInd w:type="dxa" w:w="392"/>
        <w:tblLayout w:type="fixed"/>
      </w:tblPr>
      <w:tblGrid>
        <w:gridCol w:w="3544"/>
        <w:gridCol w:w="2126"/>
        <w:gridCol w:w="1134"/>
        <w:gridCol w:w="816"/>
        <w:gridCol w:w="1360"/>
      </w:tblGrid>
      <w:tr>
        <w:trPr>
          <w:trHeight w:hRule="atLeast" w:val="480"/>
        </w:trPr>
        <w:tc>
          <w:tcPr>
            <w:tcW w:type="dxa" w:w="354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E000000">
            <w:pPr>
              <w:spacing w:line="276" w:lineRule="auto"/>
              <w:ind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Коэффициент платежеспособности</w:t>
            </w:r>
          </w:p>
        </w:tc>
        <w:tc>
          <w:tcPr>
            <w:tcW w:type="dxa" w:w="212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F000000">
            <w:pPr>
              <w:spacing w:line="276" w:lineRule="auto"/>
              <w:ind/>
              <w:jc w:val="center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Рекомендуемое значение</w:t>
            </w:r>
          </w:p>
        </w:tc>
        <w:tc>
          <w:tcPr>
            <w:tcW w:type="dxa" w:w="1950"/>
            <w:gridSpan w:val="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0010000">
            <w:pPr>
              <w:spacing w:line="276" w:lineRule="auto"/>
              <w:ind/>
              <w:jc w:val="center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Значение</w:t>
            </w:r>
          </w:p>
        </w:tc>
        <w:tc>
          <w:tcPr>
            <w:tcW w:type="dxa" w:w="136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1010000">
            <w:pPr>
              <w:spacing w:line="276" w:lineRule="auto"/>
              <w:ind/>
              <w:jc w:val="center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Изменение</w:t>
            </w:r>
          </w:p>
        </w:tc>
      </w:tr>
      <w:tr>
        <w:trPr>
          <w:trHeight w:hRule="atLeast" w:val="300"/>
        </w:trPr>
        <w:tc>
          <w:tcPr>
            <w:tcW w:type="dxa" w:w="35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1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13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2010000">
            <w:pPr>
              <w:spacing w:line="276" w:lineRule="auto"/>
              <w:ind/>
              <w:jc w:val="center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202</w:t>
            </w:r>
            <w:r>
              <w:rPr>
                <w:color w:themeColor="text1" w:val="000000"/>
                <w:sz w:val="24"/>
              </w:rPr>
              <w:t>4</w:t>
            </w:r>
          </w:p>
        </w:tc>
        <w:tc>
          <w:tcPr>
            <w:tcW w:type="dxa" w:w="81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03010000">
            <w:pPr>
              <w:spacing w:line="276" w:lineRule="auto"/>
              <w:ind/>
              <w:jc w:val="center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202</w:t>
            </w:r>
            <w:r>
              <w:rPr>
                <w:color w:themeColor="text1" w:val="000000"/>
                <w:sz w:val="24"/>
              </w:rPr>
              <w:t>5</w:t>
            </w:r>
          </w:p>
        </w:tc>
        <w:tc>
          <w:tcPr>
            <w:tcW w:type="dxa" w:w="136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rPr>
          <w:trHeight w:hRule="atLeast" w:val="300"/>
        </w:trPr>
        <w:tc>
          <w:tcPr>
            <w:tcW w:type="dxa" w:w="3544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4010000">
            <w:pPr>
              <w:spacing w:line="276" w:lineRule="auto"/>
              <w:ind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Коэффициент абсолютной ликвидности</w:t>
            </w:r>
          </w:p>
        </w:tc>
        <w:tc>
          <w:tcPr>
            <w:tcW w:type="dxa" w:w="212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10000">
            <w:pPr>
              <w:spacing w:line="276" w:lineRule="auto"/>
              <w:ind/>
              <w:jc w:val="center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≥ 0,1– 0,7</w:t>
            </w:r>
          </w:p>
        </w:tc>
        <w:tc>
          <w:tcPr>
            <w:tcW w:type="dxa" w:w="113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10000">
            <w:pPr>
              <w:spacing w:line="276" w:lineRule="auto"/>
              <w:ind/>
              <w:jc w:val="center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3,71</w:t>
            </w:r>
          </w:p>
        </w:tc>
        <w:tc>
          <w:tcPr>
            <w:tcW w:type="dxa" w:w="81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10000">
            <w:pPr>
              <w:spacing w:line="276" w:lineRule="auto"/>
              <w:ind/>
              <w:jc w:val="center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2,54</w:t>
            </w:r>
          </w:p>
        </w:tc>
        <w:tc>
          <w:tcPr>
            <w:tcW w:type="dxa" w:w="13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10000">
            <w:pPr>
              <w:spacing w:line="276" w:lineRule="auto"/>
              <w:ind/>
              <w:jc w:val="center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-1,17</w:t>
            </w:r>
          </w:p>
        </w:tc>
      </w:tr>
      <w:tr>
        <w:trPr>
          <w:trHeight w:hRule="atLeast" w:val="570"/>
        </w:trPr>
        <w:tc>
          <w:tcPr>
            <w:tcW w:type="dxa" w:w="3544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9010000">
            <w:pPr>
              <w:spacing w:line="276" w:lineRule="auto"/>
              <w:ind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Коэффициент быстрой ликвидности</w:t>
            </w:r>
          </w:p>
        </w:tc>
        <w:tc>
          <w:tcPr>
            <w:tcW w:type="dxa" w:w="212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10000">
            <w:pPr>
              <w:spacing w:line="276" w:lineRule="auto"/>
              <w:ind/>
              <w:jc w:val="center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0,7 – 0,8 (1)</w:t>
            </w:r>
          </w:p>
        </w:tc>
        <w:tc>
          <w:tcPr>
            <w:tcW w:type="dxa" w:w="113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10000">
            <w:pPr>
              <w:spacing w:line="276" w:lineRule="auto"/>
              <w:ind/>
              <w:jc w:val="center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8,91</w:t>
            </w:r>
          </w:p>
        </w:tc>
        <w:tc>
          <w:tcPr>
            <w:tcW w:type="dxa" w:w="81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10000">
            <w:pPr>
              <w:spacing w:line="276" w:lineRule="auto"/>
              <w:ind/>
              <w:jc w:val="center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3,40</w:t>
            </w:r>
          </w:p>
        </w:tc>
        <w:tc>
          <w:tcPr>
            <w:tcW w:type="dxa" w:w="13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10000">
            <w:pPr>
              <w:spacing w:line="276" w:lineRule="auto"/>
              <w:ind/>
              <w:jc w:val="center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-5,50</w:t>
            </w:r>
          </w:p>
        </w:tc>
      </w:tr>
      <w:tr>
        <w:trPr>
          <w:trHeight w:hRule="atLeast" w:val="570"/>
        </w:trPr>
        <w:tc>
          <w:tcPr>
            <w:tcW w:type="dxa" w:w="3544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E010000">
            <w:pPr>
              <w:spacing w:line="276" w:lineRule="auto"/>
              <w:ind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Коэффициент текущей ликвидности</w:t>
            </w:r>
          </w:p>
        </w:tc>
        <w:tc>
          <w:tcPr>
            <w:tcW w:type="dxa" w:w="212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10000">
            <w:pPr>
              <w:spacing w:line="276" w:lineRule="auto"/>
              <w:ind/>
              <w:jc w:val="center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Min = ,0</w:t>
            </w:r>
            <w:r>
              <w:rPr>
                <w:color w:themeColor="text1" w:val="000000"/>
                <w:sz w:val="24"/>
              </w:rPr>
              <w:br/>
            </w:r>
            <w:r>
              <w:rPr>
                <w:color w:themeColor="text1" w:val="000000"/>
                <w:sz w:val="24"/>
              </w:rPr>
              <w:t>2,5 – ,0</w:t>
            </w:r>
          </w:p>
        </w:tc>
        <w:tc>
          <w:tcPr>
            <w:tcW w:type="dxa" w:w="113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10000">
            <w:pPr>
              <w:spacing w:line="276" w:lineRule="auto"/>
              <w:ind/>
              <w:jc w:val="center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8,91</w:t>
            </w:r>
          </w:p>
        </w:tc>
        <w:tc>
          <w:tcPr>
            <w:tcW w:type="dxa" w:w="81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10000">
            <w:pPr>
              <w:spacing w:line="276" w:lineRule="auto"/>
              <w:ind/>
              <w:jc w:val="center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3,40</w:t>
            </w:r>
          </w:p>
        </w:tc>
        <w:tc>
          <w:tcPr>
            <w:tcW w:type="dxa" w:w="13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10000">
            <w:pPr>
              <w:spacing w:line="276" w:lineRule="auto"/>
              <w:ind/>
              <w:jc w:val="center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-5,50</w:t>
            </w:r>
          </w:p>
        </w:tc>
      </w:tr>
      <w:tr>
        <w:trPr>
          <w:trHeight w:hRule="atLeast" w:val="570"/>
        </w:trPr>
        <w:tc>
          <w:tcPr>
            <w:tcW w:type="dxa" w:w="3544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3010000">
            <w:pPr>
              <w:spacing w:line="276" w:lineRule="auto"/>
              <w:ind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Коэффициент обеспеченности собственными оборотными средствами</w:t>
            </w:r>
          </w:p>
        </w:tc>
        <w:tc>
          <w:tcPr>
            <w:tcW w:type="dxa" w:w="212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10000">
            <w:pPr>
              <w:spacing w:line="276" w:lineRule="auto"/>
              <w:ind/>
              <w:jc w:val="center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≥ 0,1</w:t>
            </w:r>
          </w:p>
        </w:tc>
        <w:tc>
          <w:tcPr>
            <w:tcW w:type="dxa" w:w="113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10000">
            <w:pPr>
              <w:spacing w:line="276" w:lineRule="auto"/>
              <w:ind/>
              <w:jc w:val="center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0,87</w:t>
            </w:r>
          </w:p>
        </w:tc>
        <w:tc>
          <w:tcPr>
            <w:tcW w:type="dxa" w:w="81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10000">
            <w:pPr>
              <w:spacing w:line="276" w:lineRule="auto"/>
              <w:ind/>
              <w:jc w:val="center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0,71</w:t>
            </w:r>
          </w:p>
        </w:tc>
        <w:tc>
          <w:tcPr>
            <w:tcW w:type="dxa" w:w="136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10000">
            <w:pPr>
              <w:spacing w:line="276" w:lineRule="auto"/>
              <w:ind/>
              <w:jc w:val="center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-0,17</w:t>
            </w:r>
          </w:p>
        </w:tc>
      </w:tr>
    </w:tbl>
    <w:p w14:paraId="18010000">
      <w:pPr>
        <w:pStyle w:val="Style_4"/>
        <w:rPr>
          <w:color w:themeColor="text1" w:val="000000"/>
          <w:sz w:val="28"/>
        </w:rPr>
      </w:pPr>
    </w:p>
    <w:p w14:paraId="19010000">
      <w:pPr>
        <w:spacing w:line="360" w:lineRule="auto"/>
        <w:ind w:firstLine="709" w:left="170" w:right="57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 xml:space="preserve">По результатам таблицы </w:t>
      </w:r>
      <w:r>
        <w:rPr>
          <w:color w:themeColor="text1" w:val="000000"/>
          <w:sz w:val="24"/>
        </w:rPr>
        <w:t>1</w:t>
      </w:r>
      <w:r>
        <w:rPr>
          <w:color w:themeColor="text1" w:val="000000"/>
          <w:sz w:val="24"/>
        </w:rPr>
        <w:t xml:space="preserve"> можем наблюдать, что значение коэффициента абсолютной ликвидности</w:t>
      </w:r>
      <w:r>
        <w:rPr>
          <w:sz w:val="24"/>
          <w:highlight w:val="white"/>
        </w:rPr>
        <w:t xml:space="preserve"> </w:t>
      </w:r>
      <w:r>
        <w:rPr>
          <w:color w:themeColor="text1" w:val="000000"/>
          <w:sz w:val="24"/>
        </w:rPr>
        <w:t>в 202</w:t>
      </w:r>
      <w:r>
        <w:rPr>
          <w:color w:themeColor="text1" w:val="000000"/>
          <w:sz w:val="24"/>
        </w:rPr>
        <w:t>4</w:t>
      </w:r>
      <w:r>
        <w:rPr>
          <w:color w:themeColor="text1" w:val="000000"/>
          <w:sz w:val="24"/>
        </w:rPr>
        <w:t xml:space="preserve"> году оказалось выше допустимого (при норме 0,1– 0,7), что говорит о том, что предприятие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color w:themeColor="text1" w:val="000000"/>
          <w:sz w:val="24"/>
          <w:highlight w:val="white"/>
        </w:rPr>
        <w:t xml:space="preserve"> </w:t>
      </w:r>
      <w:r>
        <w:rPr>
          <w:color w:themeColor="text1" w:val="000000"/>
          <w:sz w:val="24"/>
        </w:rPr>
        <w:t xml:space="preserve">в полной мере обеспечено средствами для своевременного погашения наиболее срочных обязательств за счет наиболее ликвидных активов. </w:t>
      </w:r>
    </w:p>
    <w:p w14:paraId="1A010000">
      <w:pPr>
        <w:spacing w:line="360" w:lineRule="auto"/>
        <w:ind w:firstLine="709" w:left="170" w:right="57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В 202</w:t>
      </w:r>
      <w:r>
        <w:rPr>
          <w:color w:themeColor="text1" w:val="000000"/>
          <w:sz w:val="24"/>
        </w:rPr>
        <w:t>5</w:t>
      </w:r>
      <w:r>
        <w:rPr>
          <w:color w:themeColor="text1" w:val="000000"/>
          <w:sz w:val="24"/>
        </w:rPr>
        <w:t xml:space="preserve"> году значение данного показателя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t xml:space="preserve"> </w:t>
      </w:r>
      <w:r>
        <w:rPr>
          <w:color w:themeColor="text1" w:val="000000"/>
          <w:sz w:val="24"/>
        </w:rPr>
        <w:t>снизилось на 1,17. Значение коэффициента быстрой ликвидности</w:t>
      </w:r>
      <w:r>
        <w:rPr>
          <w:sz w:val="24"/>
        </w:rPr>
        <w:t xml:space="preserve"> </w:t>
      </w:r>
      <w:r>
        <w:rPr>
          <w:color w:themeColor="text1" w:val="000000"/>
          <w:sz w:val="24"/>
        </w:rPr>
        <w:t>оказалось выше допустимого (при норме 0,7 – 0,8 (1)).</w:t>
      </w:r>
    </w:p>
    <w:p w14:paraId="1B010000">
      <w:pPr>
        <w:spacing w:line="360" w:lineRule="auto"/>
        <w:ind w:firstLine="709" w:left="170" w:right="57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 xml:space="preserve"> Это говорит у организации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rPr>
          <w:color w:themeColor="text1" w:val="000000"/>
          <w:sz w:val="24"/>
        </w:rPr>
        <w:t>достаточно ликвидных активов, которыми можно погасить наиболее срочные обязательства. В 202</w:t>
      </w:r>
      <w:r>
        <w:rPr>
          <w:color w:themeColor="text1" w:val="000000"/>
          <w:sz w:val="24"/>
        </w:rPr>
        <w:t xml:space="preserve">5 </w:t>
      </w:r>
      <w:r>
        <w:rPr>
          <w:color w:themeColor="text1" w:val="000000"/>
          <w:sz w:val="24"/>
        </w:rPr>
        <w:t>году коэффициент снизился на 5,50.</w:t>
      </w:r>
    </w:p>
    <w:p w14:paraId="1C010000">
      <w:pPr>
        <w:rPr>
          <w:color w:themeColor="text1" w:val="000000"/>
          <w:sz w:val="28"/>
        </w:rPr>
      </w:pPr>
    </w:p>
    <w:p w14:paraId="1D010000">
      <w:pPr>
        <w:rPr>
          <w:color w:themeColor="text1" w:val="000000"/>
          <w:sz w:val="28"/>
        </w:rPr>
      </w:pPr>
      <w:r>
        <w:rPr>
          <w:color w:themeColor="text1" w:val="000000"/>
          <w:sz w:val="28"/>
        </w:rPr>
        <w:drawing>
          <wp:inline>
            <wp:extent cx="5939790" cy="3087585"/>
            <wp:docPr hidden="false" id="6" name="Picture 6"/>
            <a:graphic>
              <a:graphicData uri="http://schemas.openxmlformats.org/drawingml/2006/picture">
                <pic:pic>
                  <pic:nvPicPr>
                    <pic:cNvPr hidden="false" id="5" name="Picture 5"/>
                    <pic:cNvPicPr preferRelativeResize="true"/>
                  </pic:nvPicPr>
                  <pic:blipFill>
                    <a:blip/>
                    <a:stretch/>
                  </pic:blipFill>
                  <pic:spPr>
                    <a:xfrm flipH="false" flipV="false" rot="0">
                      <a:ext cx="5939790" cy="3087585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1E010000">
      <w:pPr>
        <w:rPr>
          <w:color w:themeColor="text1" w:val="000000"/>
          <w:sz w:val="28"/>
        </w:rPr>
      </w:pPr>
    </w:p>
    <w:p w14:paraId="1F010000">
      <w:pPr>
        <w:pStyle w:val="Style_4"/>
        <w:tabs>
          <w:tab w:leader="none" w:pos="2582" w:val="left"/>
        </w:tabs>
        <w:spacing w:line="360" w:lineRule="auto"/>
        <w:ind/>
        <w:jc w:val="center"/>
        <w:rPr>
          <w:sz w:val="24"/>
        </w:rPr>
      </w:pPr>
      <w:r>
        <w:rPr>
          <w:color w:themeColor="text1" w:val="000000"/>
          <w:sz w:val="24"/>
        </w:rPr>
        <w:t xml:space="preserve">Рисунок </w:t>
      </w:r>
      <w:r>
        <w:rPr>
          <w:color w:themeColor="text1" w:val="000000"/>
          <w:sz w:val="24"/>
        </w:rPr>
        <w:t>3</w:t>
      </w:r>
      <w:r>
        <w:rPr>
          <w:color w:themeColor="text1" w:val="000000"/>
          <w:sz w:val="24"/>
        </w:rPr>
        <w:t xml:space="preserve"> – Динамика коэффициентов платежеспособности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</w:p>
    <w:p w14:paraId="20010000">
      <w:pPr>
        <w:pStyle w:val="Style_4"/>
        <w:tabs>
          <w:tab w:leader="none" w:pos="2582" w:val="left"/>
        </w:tabs>
        <w:spacing w:line="360" w:lineRule="auto"/>
        <w:ind/>
        <w:jc w:val="center"/>
        <w:rPr>
          <w:color w:themeColor="text1" w:val="000000"/>
          <w:sz w:val="24"/>
        </w:rPr>
      </w:pPr>
      <w:r>
        <w:rPr>
          <w:sz w:val="24"/>
        </w:rPr>
        <w:t xml:space="preserve"> </w:t>
      </w:r>
      <w:r>
        <w:rPr>
          <w:color w:themeColor="text1" w:val="000000"/>
          <w:sz w:val="24"/>
        </w:rPr>
        <w:t>в 202</w:t>
      </w:r>
      <w:r>
        <w:rPr>
          <w:color w:themeColor="text1" w:val="000000"/>
          <w:sz w:val="24"/>
        </w:rPr>
        <w:t>5</w:t>
      </w:r>
      <w:r>
        <w:rPr>
          <w:color w:themeColor="text1" w:val="000000"/>
          <w:sz w:val="24"/>
        </w:rPr>
        <w:t>г.</w:t>
      </w:r>
    </w:p>
    <w:p w14:paraId="21010000">
      <w:pPr>
        <w:widowControl w:val="1"/>
        <w:spacing w:line="360" w:lineRule="auto"/>
        <w:ind w:firstLine="709" w:left="170" w:right="57"/>
        <w:jc w:val="both"/>
        <w:rPr>
          <w:sz w:val="24"/>
        </w:rPr>
      </w:pPr>
    </w:p>
    <w:p w14:paraId="22010000">
      <w:pPr>
        <w:pStyle w:val="Style_4"/>
        <w:spacing w:line="360" w:lineRule="auto"/>
        <w:ind w:firstLine="709" w:left="170" w:right="57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Коэффициент текущей ликвидности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t xml:space="preserve"> </w:t>
      </w:r>
      <w:r>
        <w:rPr>
          <w:color w:themeColor="text1" w:val="000000"/>
          <w:sz w:val="24"/>
          <w:highlight w:val="white"/>
        </w:rPr>
        <w:t xml:space="preserve"> </w:t>
      </w:r>
      <w:r>
        <w:rPr>
          <w:color w:themeColor="text1" w:val="000000"/>
          <w:sz w:val="24"/>
        </w:rPr>
        <w:t>в отчетном периоде находится выше нормативного значения 2, что говорит о том, что предприятие в полной мере обеспечено собственными средствами для ведения хозяйственной деятельности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t xml:space="preserve"> </w:t>
      </w:r>
      <w:r>
        <w:rPr>
          <w:color w:themeColor="text1" w:val="000000"/>
          <w:sz w:val="24"/>
          <w:highlight w:val="white"/>
        </w:rPr>
        <w:t xml:space="preserve"> </w:t>
      </w:r>
      <w:r>
        <w:rPr>
          <w:color w:themeColor="text1" w:val="000000"/>
          <w:sz w:val="24"/>
        </w:rPr>
        <w:t xml:space="preserve">и своевременного погашения срочных обязательств. </w:t>
      </w:r>
    </w:p>
    <w:p w14:paraId="23010000">
      <w:pPr>
        <w:pStyle w:val="Style_4"/>
        <w:spacing w:line="360" w:lineRule="auto"/>
        <w:ind w:firstLine="709" w:left="170" w:right="57"/>
        <w:jc w:val="both"/>
        <w:rPr>
          <w:color w:themeColor="text1" w:val="000000"/>
          <w:sz w:val="24"/>
          <w:highlight w:val="white"/>
        </w:rPr>
      </w:pPr>
      <w:r>
        <w:rPr>
          <w:color w:themeColor="text1" w:val="000000"/>
          <w:sz w:val="24"/>
        </w:rPr>
        <w:t>В 202</w:t>
      </w:r>
      <w:r>
        <w:rPr>
          <w:color w:themeColor="text1" w:val="000000"/>
          <w:sz w:val="24"/>
        </w:rPr>
        <w:t xml:space="preserve">5 </w:t>
      </w:r>
      <w:r>
        <w:rPr>
          <w:color w:themeColor="text1" w:val="000000"/>
          <w:sz w:val="24"/>
        </w:rPr>
        <w:t>году коэффициент снизился на 5,50.Коэффициент обеспеченности собственными оборотными средствами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t xml:space="preserve"> </w:t>
      </w:r>
      <w:r>
        <w:rPr>
          <w:color w:themeColor="text1" w:val="000000"/>
          <w:sz w:val="24"/>
        </w:rPr>
        <w:t>в 202</w:t>
      </w:r>
      <w:r>
        <w:rPr>
          <w:color w:themeColor="text1" w:val="000000"/>
          <w:sz w:val="24"/>
        </w:rPr>
        <w:t>4</w:t>
      </w:r>
      <w:r>
        <w:rPr>
          <w:color w:themeColor="text1" w:val="000000"/>
          <w:sz w:val="24"/>
        </w:rPr>
        <w:t xml:space="preserve"> году выше нормативного значения 0,87, а в 202</w:t>
      </w:r>
      <w:r>
        <w:rPr>
          <w:color w:themeColor="text1" w:val="000000"/>
          <w:sz w:val="24"/>
        </w:rPr>
        <w:t>5</w:t>
      </w:r>
      <w:r>
        <w:rPr>
          <w:color w:themeColor="text1" w:val="000000"/>
          <w:sz w:val="24"/>
        </w:rPr>
        <w:t xml:space="preserve"> году значение данного показателя снизился на 0,17 и имеет значение 0,71</w:t>
      </w:r>
      <w:r>
        <w:rPr>
          <w:color w:themeColor="text1" w:val="000000"/>
          <w:sz w:val="24"/>
          <w:highlight w:val="white"/>
        </w:rPr>
        <w:t>.</w:t>
      </w:r>
    </w:p>
    <w:p w14:paraId="24010000">
      <w:pPr>
        <w:pStyle w:val="Style_4"/>
        <w:spacing w:line="360" w:lineRule="auto"/>
        <w:ind w:firstLine="709" w:left="170" w:right="57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 xml:space="preserve">Таблица  </w:t>
      </w:r>
      <w:r>
        <w:rPr>
          <w:color w:themeColor="text1" w:val="000000"/>
          <w:sz w:val="24"/>
        </w:rPr>
        <w:t>2</w:t>
      </w:r>
      <w:r>
        <w:rPr>
          <w:color w:themeColor="text1" w:val="000000"/>
          <w:sz w:val="24"/>
        </w:rPr>
        <w:t xml:space="preserve"> -</w:t>
      </w:r>
      <w:r>
        <w:rPr>
          <w:color w:themeColor="text1" w:val="000000"/>
          <w:sz w:val="24"/>
        </w:rPr>
        <w:t xml:space="preserve"> Определение и анализ типа финансовой устойчивости</w:t>
      </w:r>
      <w:r>
        <w:rPr>
          <w:color w:themeColor="text1" w:val="000000"/>
          <w:sz w:val="24"/>
          <w:highlight w:val="white"/>
        </w:rPr>
        <w:t xml:space="preserve"> </w:t>
      </w:r>
      <w:r>
        <w:rPr>
          <w:sz w:val="24"/>
        </w:rPr>
        <w:t>ООО «ГРАФИТ»</w:t>
      </w:r>
    </w:p>
    <w:tbl>
      <w:tblPr>
        <w:tblStyle w:val="Style_2"/>
        <w:tblInd w:type="dxa" w:w="299"/>
        <w:tblLayout w:type="fixed"/>
        <w:tblCellMar>
          <w:left w:type="dxa" w:w="0"/>
          <w:right w:type="dxa" w:w="0"/>
        </w:tblCellMar>
      </w:tblPr>
      <w:tblGrid>
        <w:gridCol w:w="5475"/>
        <w:gridCol w:w="1033"/>
        <w:gridCol w:w="1033"/>
        <w:gridCol w:w="1519"/>
        <w:gridCol w:w="14"/>
      </w:tblGrid>
      <w:tr>
        <w:trPr>
          <w:trHeight w:hRule="atLeast" w:val="302"/>
        </w:trPr>
        <w:tc>
          <w:tcPr>
            <w:tcW w:type="dxa" w:w="547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5"/>
              <w:left w:type="dxa" w:w="15"/>
              <w:bottom w:type="dxa" w:w="0"/>
              <w:right w:type="dxa" w:w="15"/>
            </w:tcMar>
          </w:tcPr>
          <w:p w14:paraId="25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Показатели</w:t>
            </w:r>
          </w:p>
        </w:tc>
        <w:tc>
          <w:tcPr>
            <w:tcW w:type="dxa" w:w="2066"/>
            <w:gridSpan w:val="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15"/>
              <w:left w:type="dxa" w:w="15"/>
              <w:bottom w:type="dxa" w:w="0"/>
              <w:right w:type="dxa" w:w="15"/>
            </w:tcMar>
          </w:tcPr>
          <w:p w14:paraId="26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Абсолютное значение</w:t>
            </w:r>
          </w:p>
        </w:tc>
        <w:tc>
          <w:tcPr>
            <w:tcW w:type="dxa" w:w="153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5"/>
              <w:left w:type="dxa" w:w="15"/>
              <w:bottom w:type="dxa" w:w="0"/>
              <w:right w:type="dxa" w:w="15"/>
            </w:tcMar>
          </w:tcPr>
          <w:p w14:paraId="27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Изменение</w:t>
            </w:r>
          </w:p>
        </w:tc>
      </w:tr>
      <w:tr>
        <w:trPr>
          <w:trHeight w:hRule="atLeast" w:val="302"/>
        </w:trPr>
        <w:tc>
          <w:tcPr>
            <w:tcW w:type="dxa" w:w="547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15"/>
              <w:left w:type="dxa" w:w="15"/>
              <w:bottom w:type="dxa" w:w="0"/>
              <w:right w:type="dxa" w:w="15"/>
            </w:tcMar>
          </w:tcPr>
          <w:p/>
        </w:tc>
        <w:tc>
          <w:tcPr>
            <w:tcW w:type="dxa" w:w="103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left w:type="dxa" w:w="0"/>
              <w:right w:type="dxa" w:w="0"/>
            </w:tcMar>
          </w:tcPr>
          <w:p w14:paraId="28010000">
            <w:pPr>
              <w:rPr>
                <w:sz w:val="24"/>
              </w:rPr>
            </w:pPr>
            <w:r>
              <w:rPr>
                <w:sz w:val="24"/>
              </w:rPr>
              <w:t>202</w:t>
            </w:r>
            <w:r>
              <w:rPr>
                <w:sz w:val="24"/>
              </w:rPr>
              <w:t>4</w:t>
            </w:r>
          </w:p>
        </w:tc>
        <w:tc>
          <w:tcPr>
            <w:tcW w:type="dxa" w:w="103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left w:type="dxa" w:w="0"/>
              <w:right w:type="dxa" w:w="0"/>
            </w:tcMar>
          </w:tcPr>
          <w:p w14:paraId="29010000">
            <w:pPr>
              <w:rPr>
                <w:sz w:val="24"/>
              </w:rPr>
            </w:pPr>
            <w:r>
              <w:rPr>
                <w:sz w:val="24"/>
              </w:rPr>
              <w:t>202</w:t>
            </w:r>
            <w:r>
              <w:rPr>
                <w:sz w:val="24"/>
              </w:rPr>
              <w:t>5</w:t>
            </w:r>
          </w:p>
        </w:tc>
        <w:tc>
          <w:tcPr>
            <w:tcW w:type="dxa" w:w="15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0"/>
              <w:right w:type="dxa" w:w="0"/>
            </w:tcMar>
            <w:vAlign w:val="center"/>
          </w:tcPr>
          <w:p w14:paraId="2A010000">
            <w:pPr>
              <w:rPr>
                <w:sz w:val="24"/>
              </w:rPr>
            </w:pPr>
            <w:r>
              <w:rPr>
                <w:sz w:val="24"/>
              </w:rPr>
              <w:t>(+,-)</w:t>
            </w:r>
          </w:p>
        </w:tc>
        <w:tc>
          <w:tcPr>
            <w:tcW w:type="dxa" w:w="14"/>
            <w:tcMar>
              <w:left w:type="dxa" w:w="0"/>
              <w:right w:type="dxa" w:w="0"/>
            </w:tcMar>
          </w:tcPr>
          <w:p/>
        </w:tc>
      </w:tr>
      <w:tr>
        <w:trPr>
          <w:trHeight w:hRule="atLeast" w:val="302"/>
        </w:trPr>
        <w:tc>
          <w:tcPr>
            <w:tcW w:type="dxa" w:w="5475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0"/>
              <w:right w:type="dxa" w:w="0"/>
            </w:tcMar>
          </w:tcPr>
          <w:p w14:paraId="2B010000">
            <w:pPr>
              <w:rPr>
                <w:sz w:val="24"/>
              </w:rPr>
            </w:pPr>
            <w:r>
              <w:rPr>
                <w:sz w:val="24"/>
              </w:rPr>
              <w:t>1. Источники собственных средств</w:t>
            </w:r>
          </w:p>
        </w:tc>
        <w:tc>
          <w:tcPr>
            <w:tcW w:type="dxa" w:w="103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left w:type="dxa" w:w="0"/>
              <w:right w:type="dxa" w:w="0"/>
            </w:tcMar>
          </w:tcPr>
          <w:p w14:paraId="2C010000">
            <w:pPr>
              <w:rPr>
                <w:sz w:val="24"/>
              </w:rPr>
            </w:pPr>
            <w:r>
              <w:rPr>
                <w:sz w:val="24"/>
              </w:rPr>
              <w:t>23 846</w:t>
            </w:r>
          </w:p>
        </w:tc>
        <w:tc>
          <w:tcPr>
            <w:tcW w:type="dxa" w:w="103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left w:type="dxa" w:w="0"/>
              <w:right w:type="dxa" w:w="0"/>
            </w:tcMar>
          </w:tcPr>
          <w:p w14:paraId="2D010000">
            <w:pPr>
              <w:rPr>
                <w:sz w:val="24"/>
              </w:rPr>
            </w:pPr>
            <w:r>
              <w:rPr>
                <w:sz w:val="24"/>
              </w:rPr>
              <w:t>16600</w:t>
            </w:r>
          </w:p>
        </w:tc>
        <w:tc>
          <w:tcPr>
            <w:tcW w:type="dxa" w:w="151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left w:type="dxa" w:w="0"/>
              <w:right w:type="dxa" w:w="0"/>
            </w:tcMar>
          </w:tcPr>
          <w:p w14:paraId="2E010000">
            <w:pPr>
              <w:rPr>
                <w:sz w:val="24"/>
              </w:rPr>
            </w:pPr>
            <w:r>
              <w:rPr>
                <w:sz w:val="24"/>
              </w:rPr>
              <w:t>-7 246</w:t>
            </w:r>
          </w:p>
        </w:tc>
        <w:tc>
          <w:tcPr>
            <w:tcW w:type="dxa" w:w="14"/>
            <w:tcMar>
              <w:left w:type="dxa" w:w="0"/>
              <w:right w:type="dxa" w:w="0"/>
            </w:tcMar>
          </w:tcPr>
          <w:p/>
        </w:tc>
      </w:tr>
      <w:tr>
        <w:trPr>
          <w:trHeight w:hRule="atLeast" w:val="302"/>
        </w:trPr>
        <w:tc>
          <w:tcPr>
            <w:tcW w:type="dxa" w:w="5475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0"/>
              <w:right w:type="dxa" w:w="0"/>
            </w:tcMar>
          </w:tcPr>
          <w:p w14:paraId="2F010000">
            <w:pPr>
              <w:rPr>
                <w:sz w:val="24"/>
              </w:rPr>
            </w:pPr>
            <w:r>
              <w:rPr>
                <w:sz w:val="24"/>
              </w:rPr>
              <w:t>2. Внеоборотные активы</w:t>
            </w:r>
          </w:p>
        </w:tc>
        <w:tc>
          <w:tcPr>
            <w:tcW w:type="dxa" w:w="103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left w:type="dxa" w:w="0"/>
              <w:right w:type="dxa" w:w="0"/>
            </w:tcMar>
          </w:tcPr>
          <w:p w14:paraId="30010000">
            <w:pPr>
              <w:rPr>
                <w:sz w:val="24"/>
              </w:rPr>
            </w:pPr>
            <w:r>
              <w:rPr>
                <w:sz w:val="24"/>
              </w:rPr>
              <w:t>881</w:t>
            </w:r>
          </w:p>
        </w:tc>
        <w:tc>
          <w:tcPr>
            <w:tcW w:type="dxa" w:w="103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left w:type="dxa" w:w="0"/>
              <w:right w:type="dxa" w:w="0"/>
            </w:tcMar>
          </w:tcPr>
          <w:p w14:paraId="31010000">
            <w:pPr>
              <w:rPr>
                <w:sz w:val="24"/>
              </w:rPr>
            </w:pPr>
            <w:r>
              <w:rPr>
                <w:sz w:val="24"/>
              </w:rPr>
              <w:t>841</w:t>
            </w:r>
          </w:p>
        </w:tc>
        <w:tc>
          <w:tcPr>
            <w:tcW w:type="dxa" w:w="151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left w:type="dxa" w:w="0"/>
              <w:right w:type="dxa" w:w="0"/>
            </w:tcMar>
          </w:tcPr>
          <w:p w14:paraId="32010000">
            <w:pPr>
              <w:rPr>
                <w:sz w:val="24"/>
              </w:rPr>
            </w:pPr>
            <w:r>
              <w:rPr>
                <w:sz w:val="24"/>
              </w:rPr>
              <w:t>-40</w:t>
            </w:r>
          </w:p>
        </w:tc>
        <w:tc>
          <w:tcPr>
            <w:tcW w:type="dxa" w:w="14"/>
            <w:tcMar>
              <w:left w:type="dxa" w:w="0"/>
              <w:right w:type="dxa" w:w="0"/>
            </w:tcMar>
          </w:tcPr>
          <w:p/>
        </w:tc>
      </w:tr>
      <w:tr>
        <w:trPr>
          <w:trHeight w:hRule="atLeast" w:val="171"/>
        </w:trPr>
        <w:tc>
          <w:tcPr>
            <w:tcW w:type="dxa" w:w="5475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0"/>
              <w:right w:type="dxa" w:w="0"/>
            </w:tcMar>
          </w:tcPr>
          <w:p w14:paraId="33010000">
            <w:pPr>
              <w:rPr>
                <w:sz w:val="24"/>
              </w:rPr>
            </w:pPr>
            <w:r>
              <w:rPr>
                <w:sz w:val="24"/>
              </w:rPr>
              <w:t>3. Наличие собственных оборотных средств (п.1-п.2)</w:t>
            </w:r>
          </w:p>
        </w:tc>
        <w:tc>
          <w:tcPr>
            <w:tcW w:type="dxa" w:w="103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left w:type="dxa" w:w="0"/>
              <w:right w:type="dxa" w:w="0"/>
            </w:tcMar>
          </w:tcPr>
          <w:p w14:paraId="34010000">
            <w:pPr>
              <w:rPr>
                <w:sz w:val="24"/>
              </w:rPr>
            </w:pPr>
            <w:r>
              <w:rPr>
                <w:sz w:val="24"/>
              </w:rPr>
              <w:t>22 965</w:t>
            </w:r>
          </w:p>
        </w:tc>
        <w:tc>
          <w:tcPr>
            <w:tcW w:type="dxa" w:w="103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left w:type="dxa" w:w="0"/>
              <w:right w:type="dxa" w:w="0"/>
            </w:tcMar>
          </w:tcPr>
          <w:p w14:paraId="35010000">
            <w:pPr>
              <w:rPr>
                <w:sz w:val="24"/>
              </w:rPr>
            </w:pPr>
            <w:r>
              <w:rPr>
                <w:sz w:val="24"/>
              </w:rPr>
              <w:t>15 759</w:t>
            </w:r>
          </w:p>
        </w:tc>
        <w:tc>
          <w:tcPr>
            <w:tcW w:type="dxa" w:w="151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left w:type="dxa" w:w="0"/>
              <w:right w:type="dxa" w:w="0"/>
            </w:tcMar>
          </w:tcPr>
          <w:p w14:paraId="36010000">
            <w:pPr>
              <w:rPr>
                <w:sz w:val="24"/>
              </w:rPr>
            </w:pPr>
            <w:r>
              <w:rPr>
                <w:sz w:val="24"/>
              </w:rPr>
              <w:t>-7 206</w:t>
            </w:r>
          </w:p>
        </w:tc>
        <w:tc>
          <w:tcPr>
            <w:tcW w:type="dxa" w:w="14"/>
            <w:tcMar>
              <w:left w:type="dxa" w:w="0"/>
              <w:right w:type="dxa" w:w="0"/>
            </w:tcMar>
          </w:tcPr>
          <w:p/>
        </w:tc>
      </w:tr>
      <w:tr>
        <w:trPr>
          <w:trHeight w:hRule="atLeast" w:val="302"/>
        </w:trPr>
        <w:tc>
          <w:tcPr>
            <w:tcW w:type="dxa" w:w="5475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0"/>
              <w:right w:type="dxa" w:w="0"/>
            </w:tcMar>
          </w:tcPr>
          <w:p w14:paraId="37010000">
            <w:pPr>
              <w:rPr>
                <w:sz w:val="24"/>
              </w:rPr>
            </w:pPr>
            <w:r>
              <w:rPr>
                <w:sz w:val="24"/>
              </w:rPr>
              <w:t>4. Долгосрочные обязательства</w:t>
            </w:r>
          </w:p>
        </w:tc>
        <w:tc>
          <w:tcPr>
            <w:tcW w:type="dxa" w:w="103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left w:type="dxa" w:w="0"/>
              <w:right w:type="dxa" w:w="0"/>
            </w:tcMar>
          </w:tcPr>
          <w:p w14:paraId="38010000">
            <w:pPr>
              <w:rPr>
                <w:sz w:val="24"/>
              </w:rPr>
            </w:pPr>
            <w:r>
              <w:rPr>
                <w:sz w:val="24"/>
              </w:rPr>
              <w:t>421</w:t>
            </w:r>
          </w:p>
        </w:tc>
        <w:tc>
          <w:tcPr>
            <w:tcW w:type="dxa" w:w="103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left w:type="dxa" w:w="0"/>
              <w:right w:type="dxa" w:w="0"/>
            </w:tcMar>
          </w:tcPr>
          <w:p w14:paraId="39010000">
            <w:pPr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type="dxa" w:w="151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left w:type="dxa" w:w="0"/>
              <w:right w:type="dxa" w:w="0"/>
            </w:tcMar>
          </w:tcPr>
          <w:p w14:paraId="3A010000">
            <w:pPr>
              <w:rPr>
                <w:sz w:val="24"/>
              </w:rPr>
            </w:pPr>
            <w:r>
              <w:rPr>
                <w:sz w:val="24"/>
              </w:rPr>
              <w:t>-410</w:t>
            </w:r>
          </w:p>
        </w:tc>
        <w:tc>
          <w:tcPr>
            <w:tcW w:type="dxa" w:w="14"/>
            <w:tcMar>
              <w:left w:type="dxa" w:w="0"/>
              <w:right w:type="dxa" w:w="0"/>
            </w:tcMar>
          </w:tcPr>
          <w:p/>
        </w:tc>
      </w:tr>
      <w:tr>
        <w:trPr>
          <w:trHeight w:hRule="atLeast" w:val="293"/>
        </w:trPr>
        <w:tc>
          <w:tcPr>
            <w:tcW w:type="dxa" w:w="5475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0"/>
              <w:right w:type="dxa" w:w="0"/>
            </w:tcMar>
          </w:tcPr>
          <w:p w14:paraId="3B010000">
            <w:pPr>
              <w:rPr>
                <w:sz w:val="24"/>
              </w:rPr>
            </w:pPr>
            <w:r>
              <w:rPr>
                <w:sz w:val="24"/>
              </w:rPr>
              <w:t>5. Наличие собственных и долгосрочных заемных источников формирования запасов(п.3+п.4)</w:t>
            </w:r>
          </w:p>
        </w:tc>
        <w:tc>
          <w:tcPr>
            <w:tcW w:type="dxa" w:w="103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left w:type="dxa" w:w="0"/>
              <w:right w:type="dxa" w:w="0"/>
            </w:tcMar>
          </w:tcPr>
          <w:p w14:paraId="3C010000">
            <w:pPr>
              <w:rPr>
                <w:sz w:val="24"/>
              </w:rPr>
            </w:pPr>
            <w:r>
              <w:rPr>
                <w:sz w:val="24"/>
              </w:rPr>
              <w:t>23 386</w:t>
            </w:r>
          </w:p>
        </w:tc>
        <w:tc>
          <w:tcPr>
            <w:tcW w:type="dxa" w:w="103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left w:type="dxa" w:w="0"/>
              <w:right w:type="dxa" w:w="0"/>
            </w:tcMar>
          </w:tcPr>
          <w:p w14:paraId="3D010000">
            <w:pPr>
              <w:rPr>
                <w:sz w:val="24"/>
              </w:rPr>
            </w:pPr>
            <w:r>
              <w:rPr>
                <w:sz w:val="24"/>
              </w:rPr>
              <w:t>15 770</w:t>
            </w:r>
          </w:p>
        </w:tc>
        <w:tc>
          <w:tcPr>
            <w:tcW w:type="dxa" w:w="151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left w:type="dxa" w:w="0"/>
              <w:right w:type="dxa" w:w="0"/>
            </w:tcMar>
          </w:tcPr>
          <w:p w14:paraId="3E010000">
            <w:pPr>
              <w:rPr>
                <w:sz w:val="24"/>
              </w:rPr>
            </w:pPr>
            <w:r>
              <w:rPr>
                <w:sz w:val="24"/>
              </w:rPr>
              <w:t>-7 616</w:t>
            </w:r>
          </w:p>
        </w:tc>
        <w:tc>
          <w:tcPr>
            <w:tcW w:type="dxa" w:w="14"/>
            <w:tcMar>
              <w:left w:type="dxa" w:w="0"/>
              <w:right w:type="dxa" w:w="0"/>
            </w:tcMar>
          </w:tcPr>
          <w:p/>
        </w:tc>
      </w:tr>
      <w:tr>
        <w:trPr>
          <w:trHeight w:hRule="atLeast" w:val="302"/>
        </w:trPr>
        <w:tc>
          <w:tcPr>
            <w:tcW w:type="dxa" w:w="5475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0"/>
              <w:right w:type="dxa" w:w="0"/>
            </w:tcMar>
          </w:tcPr>
          <w:p w14:paraId="3F010000">
            <w:pPr>
              <w:rPr>
                <w:sz w:val="24"/>
              </w:rPr>
            </w:pPr>
            <w:r>
              <w:rPr>
                <w:sz w:val="24"/>
              </w:rPr>
              <w:t>6. Краткосрочные займы и кредиты</w:t>
            </w:r>
          </w:p>
        </w:tc>
        <w:tc>
          <w:tcPr>
            <w:tcW w:type="dxa" w:w="103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left w:type="dxa" w:w="0"/>
              <w:right w:type="dxa" w:w="0"/>
            </w:tcMar>
          </w:tcPr>
          <w:p w14:paraId="40010000">
            <w:pPr>
              <w:rPr>
                <w:sz w:val="24"/>
              </w:rPr>
            </w:pPr>
            <w:r>
              <w:rPr>
                <w:sz w:val="24"/>
              </w:rPr>
              <w:t>2 958</w:t>
            </w:r>
          </w:p>
        </w:tc>
        <w:tc>
          <w:tcPr>
            <w:tcW w:type="dxa" w:w="103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left w:type="dxa" w:w="0"/>
              <w:right w:type="dxa" w:w="0"/>
            </w:tcMar>
          </w:tcPr>
          <w:p w14:paraId="41010000">
            <w:pPr>
              <w:rPr>
                <w:sz w:val="24"/>
              </w:rPr>
            </w:pPr>
            <w:r>
              <w:rPr>
                <w:sz w:val="24"/>
              </w:rPr>
              <w:t>6 563</w:t>
            </w:r>
          </w:p>
        </w:tc>
        <w:tc>
          <w:tcPr>
            <w:tcW w:type="dxa" w:w="151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left w:type="dxa" w:w="0"/>
              <w:right w:type="dxa" w:w="0"/>
            </w:tcMar>
          </w:tcPr>
          <w:p w14:paraId="42010000">
            <w:pPr>
              <w:rPr>
                <w:sz w:val="24"/>
              </w:rPr>
            </w:pPr>
            <w:r>
              <w:rPr>
                <w:sz w:val="24"/>
              </w:rPr>
              <w:t>3 605</w:t>
            </w:r>
          </w:p>
        </w:tc>
        <w:tc>
          <w:tcPr>
            <w:tcW w:type="dxa" w:w="14"/>
            <w:tcMar>
              <w:left w:type="dxa" w:w="0"/>
              <w:right w:type="dxa" w:w="0"/>
            </w:tcMar>
          </w:tcPr>
          <w:p/>
        </w:tc>
      </w:tr>
      <w:tr>
        <w:trPr>
          <w:trHeight w:hRule="atLeast" w:val="605"/>
        </w:trPr>
        <w:tc>
          <w:tcPr>
            <w:tcW w:type="dxa" w:w="5475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0"/>
              <w:right w:type="dxa" w:w="0"/>
            </w:tcMar>
          </w:tcPr>
          <w:p w14:paraId="43010000">
            <w:pPr>
              <w:rPr>
                <w:sz w:val="24"/>
              </w:rPr>
            </w:pPr>
            <w:r>
              <w:rPr>
                <w:sz w:val="24"/>
              </w:rPr>
              <w:t>7. Общая величина основных источников формирования запасов  (п.5+п.6)</w:t>
            </w:r>
          </w:p>
        </w:tc>
        <w:tc>
          <w:tcPr>
            <w:tcW w:type="dxa" w:w="103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left w:type="dxa" w:w="0"/>
              <w:right w:type="dxa" w:w="0"/>
            </w:tcMar>
          </w:tcPr>
          <w:p w14:paraId="44010000">
            <w:pPr>
              <w:rPr>
                <w:sz w:val="24"/>
              </w:rPr>
            </w:pPr>
            <w:r>
              <w:rPr>
                <w:sz w:val="24"/>
              </w:rPr>
              <w:t>26 344</w:t>
            </w:r>
          </w:p>
        </w:tc>
        <w:tc>
          <w:tcPr>
            <w:tcW w:type="dxa" w:w="103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left w:type="dxa" w:w="0"/>
              <w:right w:type="dxa" w:w="0"/>
            </w:tcMar>
          </w:tcPr>
          <w:p w14:paraId="45010000">
            <w:pPr>
              <w:rPr>
                <w:sz w:val="24"/>
              </w:rPr>
            </w:pPr>
            <w:r>
              <w:rPr>
                <w:sz w:val="24"/>
              </w:rPr>
              <w:t>22 333</w:t>
            </w:r>
          </w:p>
        </w:tc>
        <w:tc>
          <w:tcPr>
            <w:tcW w:type="dxa" w:w="151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left w:type="dxa" w:w="0"/>
              <w:right w:type="dxa" w:w="0"/>
            </w:tcMar>
          </w:tcPr>
          <w:p w14:paraId="46010000">
            <w:pPr>
              <w:rPr>
                <w:sz w:val="24"/>
              </w:rPr>
            </w:pPr>
            <w:r>
              <w:rPr>
                <w:sz w:val="24"/>
              </w:rPr>
              <w:t>-4 011</w:t>
            </w:r>
          </w:p>
        </w:tc>
        <w:tc>
          <w:tcPr>
            <w:tcW w:type="dxa" w:w="14"/>
            <w:tcMar>
              <w:left w:type="dxa" w:w="0"/>
              <w:right w:type="dxa" w:w="0"/>
            </w:tcMar>
          </w:tcPr>
          <w:p/>
        </w:tc>
      </w:tr>
      <w:tr>
        <w:trPr>
          <w:trHeight w:hRule="atLeast" w:val="302"/>
        </w:trPr>
        <w:tc>
          <w:tcPr>
            <w:tcW w:type="dxa" w:w="5475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0"/>
              <w:right w:type="dxa" w:w="0"/>
            </w:tcMar>
          </w:tcPr>
          <w:p w14:paraId="47010000">
            <w:pPr>
              <w:rPr>
                <w:sz w:val="24"/>
              </w:rPr>
            </w:pPr>
            <w:r>
              <w:rPr>
                <w:sz w:val="24"/>
              </w:rPr>
              <w:t>8. Общая величина запасов</w:t>
            </w:r>
          </w:p>
        </w:tc>
        <w:tc>
          <w:tcPr>
            <w:tcW w:type="dxa" w:w="103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left w:type="dxa" w:w="0"/>
              <w:right w:type="dxa" w:w="0"/>
            </w:tcMar>
          </w:tcPr>
          <w:p w14:paraId="48010000">
            <w:pPr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type="dxa" w:w="103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left w:type="dxa" w:w="0"/>
              <w:right w:type="dxa" w:w="0"/>
            </w:tcMar>
          </w:tcPr>
          <w:p w14:paraId="49010000">
            <w:pPr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type="dxa" w:w="151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left w:type="dxa" w:w="0"/>
              <w:right w:type="dxa" w:w="0"/>
            </w:tcMar>
          </w:tcPr>
          <w:p w14:paraId="4A010000">
            <w:pPr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type="dxa" w:w="14"/>
            <w:tcMar>
              <w:left w:type="dxa" w:w="0"/>
              <w:right w:type="dxa" w:w="0"/>
            </w:tcMar>
          </w:tcPr>
          <w:p/>
        </w:tc>
      </w:tr>
      <w:tr>
        <w:trPr>
          <w:trHeight w:hRule="atLeast" w:val="605"/>
        </w:trPr>
        <w:tc>
          <w:tcPr>
            <w:tcW w:type="dxa" w:w="5475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0"/>
              <w:right w:type="dxa" w:w="0"/>
            </w:tcMar>
          </w:tcPr>
          <w:p w14:paraId="4B010000">
            <w:pPr>
              <w:rPr>
                <w:sz w:val="24"/>
              </w:rPr>
            </w:pPr>
            <w:r>
              <w:rPr>
                <w:sz w:val="24"/>
              </w:rPr>
              <w:t>9. Излишек (+)/недостаток (-) собственных источников формирования запасов  (п.3-п.8)</w:t>
            </w:r>
          </w:p>
        </w:tc>
        <w:tc>
          <w:tcPr>
            <w:tcW w:type="dxa" w:w="103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left w:type="dxa" w:w="0"/>
              <w:right w:type="dxa" w:w="0"/>
            </w:tcMar>
          </w:tcPr>
          <w:p w14:paraId="4C010000">
            <w:pPr>
              <w:rPr>
                <w:sz w:val="24"/>
              </w:rPr>
            </w:pPr>
            <w:r>
              <w:rPr>
                <w:sz w:val="24"/>
              </w:rPr>
              <w:t>22 965</w:t>
            </w:r>
          </w:p>
        </w:tc>
        <w:tc>
          <w:tcPr>
            <w:tcW w:type="dxa" w:w="103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left w:type="dxa" w:w="0"/>
              <w:right w:type="dxa" w:w="0"/>
            </w:tcMar>
          </w:tcPr>
          <w:p w14:paraId="4D010000">
            <w:pPr>
              <w:rPr>
                <w:sz w:val="24"/>
              </w:rPr>
            </w:pPr>
            <w:r>
              <w:rPr>
                <w:sz w:val="24"/>
              </w:rPr>
              <w:t>15 759</w:t>
            </w:r>
          </w:p>
        </w:tc>
        <w:tc>
          <w:tcPr>
            <w:tcW w:type="dxa" w:w="151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left w:type="dxa" w:w="0"/>
              <w:right w:type="dxa" w:w="0"/>
            </w:tcMar>
          </w:tcPr>
          <w:p w14:paraId="4E010000">
            <w:pPr>
              <w:rPr>
                <w:sz w:val="24"/>
              </w:rPr>
            </w:pPr>
            <w:r>
              <w:rPr>
                <w:sz w:val="24"/>
              </w:rPr>
              <w:t>-7 206</w:t>
            </w:r>
          </w:p>
        </w:tc>
        <w:tc>
          <w:tcPr>
            <w:tcW w:type="dxa" w:w="14"/>
            <w:tcMar>
              <w:left w:type="dxa" w:w="0"/>
              <w:right w:type="dxa" w:w="0"/>
            </w:tcMar>
          </w:tcPr>
          <w:p/>
        </w:tc>
      </w:tr>
      <w:tr>
        <w:trPr>
          <w:trHeight w:hRule="atLeast" w:val="85"/>
        </w:trPr>
        <w:tc>
          <w:tcPr>
            <w:tcW w:type="dxa" w:w="5475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0"/>
              <w:right w:type="dxa" w:w="0"/>
            </w:tcMar>
          </w:tcPr>
          <w:p w14:paraId="4F010000">
            <w:pPr>
              <w:rPr>
                <w:sz w:val="24"/>
              </w:rPr>
            </w:pPr>
            <w:r>
              <w:rPr>
                <w:sz w:val="24"/>
              </w:rPr>
              <w:t>10. Излишек (+)/недостаток (-) собственных и долгосрочных заемных источников формирования запасов (п.5-п.8)</w:t>
            </w:r>
          </w:p>
        </w:tc>
        <w:tc>
          <w:tcPr>
            <w:tcW w:type="dxa" w:w="103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left w:type="dxa" w:w="0"/>
              <w:right w:type="dxa" w:w="0"/>
            </w:tcMar>
          </w:tcPr>
          <w:p w14:paraId="50010000">
            <w:pPr>
              <w:rPr>
                <w:sz w:val="24"/>
              </w:rPr>
            </w:pPr>
            <w:r>
              <w:rPr>
                <w:sz w:val="24"/>
              </w:rPr>
              <w:t>23 386</w:t>
            </w:r>
          </w:p>
        </w:tc>
        <w:tc>
          <w:tcPr>
            <w:tcW w:type="dxa" w:w="103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left w:type="dxa" w:w="0"/>
              <w:right w:type="dxa" w:w="0"/>
            </w:tcMar>
          </w:tcPr>
          <w:p w14:paraId="51010000">
            <w:pPr>
              <w:rPr>
                <w:sz w:val="24"/>
              </w:rPr>
            </w:pPr>
            <w:r>
              <w:rPr>
                <w:sz w:val="24"/>
              </w:rPr>
              <w:t>15 770</w:t>
            </w:r>
          </w:p>
        </w:tc>
        <w:tc>
          <w:tcPr>
            <w:tcW w:type="dxa" w:w="151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left w:type="dxa" w:w="0"/>
              <w:right w:type="dxa" w:w="0"/>
            </w:tcMar>
          </w:tcPr>
          <w:p w14:paraId="52010000">
            <w:pPr>
              <w:rPr>
                <w:sz w:val="24"/>
              </w:rPr>
            </w:pPr>
            <w:r>
              <w:rPr>
                <w:sz w:val="24"/>
              </w:rPr>
              <w:t>-7 616</w:t>
            </w:r>
          </w:p>
        </w:tc>
        <w:tc>
          <w:tcPr>
            <w:tcW w:type="dxa" w:w="14"/>
            <w:tcMar>
              <w:left w:type="dxa" w:w="0"/>
              <w:right w:type="dxa" w:w="0"/>
            </w:tcMar>
          </w:tcPr>
          <w:p/>
        </w:tc>
      </w:tr>
      <w:tr>
        <w:trPr>
          <w:trHeight w:hRule="atLeast" w:val="239"/>
        </w:trPr>
        <w:tc>
          <w:tcPr>
            <w:tcW w:type="dxa" w:w="5475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0"/>
              <w:right w:type="dxa" w:w="0"/>
            </w:tcMar>
          </w:tcPr>
          <w:p w14:paraId="53010000">
            <w:pPr>
              <w:rPr>
                <w:sz w:val="24"/>
              </w:rPr>
            </w:pPr>
            <w:r>
              <w:rPr>
                <w:sz w:val="24"/>
              </w:rPr>
              <w:t>Излишек (+)/недостаток (-) общей величины основных источников формирования запасов,  (п.7-п.8)</w:t>
            </w:r>
          </w:p>
        </w:tc>
        <w:tc>
          <w:tcPr>
            <w:tcW w:type="dxa" w:w="103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left w:type="dxa" w:w="0"/>
              <w:right w:type="dxa" w:w="0"/>
            </w:tcMar>
          </w:tcPr>
          <w:p w14:paraId="54010000">
            <w:pPr>
              <w:rPr>
                <w:sz w:val="24"/>
              </w:rPr>
            </w:pPr>
            <w:r>
              <w:rPr>
                <w:sz w:val="24"/>
              </w:rPr>
              <w:t>26 344</w:t>
            </w:r>
          </w:p>
        </w:tc>
        <w:tc>
          <w:tcPr>
            <w:tcW w:type="dxa" w:w="103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left w:type="dxa" w:w="0"/>
              <w:right w:type="dxa" w:w="0"/>
            </w:tcMar>
          </w:tcPr>
          <w:p w14:paraId="55010000">
            <w:pPr>
              <w:rPr>
                <w:sz w:val="24"/>
              </w:rPr>
            </w:pPr>
            <w:r>
              <w:rPr>
                <w:sz w:val="24"/>
              </w:rPr>
              <w:t>22 333</w:t>
            </w:r>
          </w:p>
        </w:tc>
        <w:tc>
          <w:tcPr>
            <w:tcW w:type="dxa" w:w="151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left w:type="dxa" w:w="0"/>
              <w:right w:type="dxa" w:w="0"/>
            </w:tcMar>
          </w:tcPr>
          <w:p w14:paraId="56010000">
            <w:pPr>
              <w:rPr>
                <w:sz w:val="24"/>
              </w:rPr>
            </w:pPr>
            <w:r>
              <w:rPr>
                <w:sz w:val="24"/>
              </w:rPr>
              <w:t>-4 011</w:t>
            </w:r>
          </w:p>
        </w:tc>
        <w:tc>
          <w:tcPr>
            <w:tcW w:type="dxa" w:w="14"/>
            <w:tcMar>
              <w:left w:type="dxa" w:w="0"/>
              <w:right w:type="dxa" w:w="0"/>
            </w:tcMar>
          </w:tcPr>
          <w:p/>
        </w:tc>
      </w:tr>
      <w:tr>
        <w:trPr>
          <w:trHeight w:hRule="atLeast" w:val="85"/>
        </w:trPr>
        <w:tc>
          <w:tcPr>
            <w:tcW w:type="dxa" w:w="5475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left w:type="dxa" w:w="0"/>
              <w:right w:type="dxa" w:w="0"/>
            </w:tcMar>
          </w:tcPr>
          <w:p w14:paraId="57010000">
            <w:pPr>
              <w:rPr>
                <w:sz w:val="24"/>
              </w:rPr>
            </w:pPr>
            <w:r>
              <w:rPr>
                <w:sz w:val="24"/>
              </w:rPr>
              <w:t>12. Трехкомпонентный показатель типа финансовой ситуации, S</w:t>
            </w:r>
          </w:p>
        </w:tc>
        <w:tc>
          <w:tcPr>
            <w:tcW w:type="dxa" w:w="103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left w:type="dxa" w:w="0"/>
              <w:right w:type="dxa" w:w="0"/>
            </w:tcMar>
          </w:tcPr>
          <w:p w14:paraId="58010000">
            <w:pPr>
              <w:rPr>
                <w:sz w:val="24"/>
              </w:rPr>
            </w:pPr>
            <w:r>
              <w:rPr>
                <w:sz w:val="24"/>
              </w:rPr>
              <w:t>(1;1;1)</w:t>
            </w:r>
          </w:p>
        </w:tc>
        <w:tc>
          <w:tcPr>
            <w:tcW w:type="dxa" w:w="103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left w:type="dxa" w:w="0"/>
              <w:right w:type="dxa" w:w="0"/>
            </w:tcMar>
          </w:tcPr>
          <w:p w14:paraId="59010000">
            <w:pPr>
              <w:rPr>
                <w:sz w:val="24"/>
              </w:rPr>
            </w:pPr>
            <w:r>
              <w:rPr>
                <w:sz w:val="24"/>
              </w:rPr>
              <w:t>(1;1;1)</w:t>
            </w:r>
          </w:p>
        </w:tc>
        <w:tc>
          <w:tcPr>
            <w:tcW w:type="dxa" w:w="151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left w:type="dxa" w:w="0"/>
              <w:right w:type="dxa" w:w="0"/>
            </w:tcMar>
          </w:tcPr>
          <w:p w14:paraId="5A010000">
            <w:pPr>
              <w:rPr>
                <w:sz w:val="24"/>
              </w:rPr>
            </w:pPr>
          </w:p>
        </w:tc>
        <w:tc>
          <w:tcPr>
            <w:tcW w:type="dxa" w:w="14"/>
            <w:tcMar>
              <w:left w:type="dxa" w:w="0"/>
              <w:right w:type="dxa" w:w="0"/>
            </w:tcMar>
          </w:tcPr>
          <w:p/>
        </w:tc>
      </w:tr>
    </w:tbl>
    <w:p w14:paraId="5B010000">
      <w:pPr>
        <w:rPr>
          <w:color w:themeColor="text1" w:val="000000"/>
        </w:rPr>
      </w:pPr>
    </w:p>
    <w:p w14:paraId="5C010000">
      <w:pPr>
        <w:spacing w:line="360" w:lineRule="auto"/>
        <w:ind w:firstLine="709" w:left="170" w:right="57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 xml:space="preserve">По результатам таблицы </w:t>
      </w:r>
      <w:r>
        <w:rPr>
          <w:color w:themeColor="text1" w:val="000000"/>
          <w:sz w:val="24"/>
        </w:rPr>
        <w:t>2</w:t>
      </w:r>
      <w:r>
        <w:rPr>
          <w:color w:themeColor="text1" w:val="000000"/>
          <w:sz w:val="24"/>
        </w:rPr>
        <w:t xml:space="preserve"> можем наблюдать, что в 202</w:t>
      </w:r>
      <w:r>
        <w:rPr>
          <w:color w:themeColor="text1" w:val="000000"/>
          <w:sz w:val="24"/>
        </w:rPr>
        <w:t xml:space="preserve">4 </w:t>
      </w:r>
      <w:r>
        <w:rPr>
          <w:color w:themeColor="text1" w:val="000000"/>
          <w:sz w:val="24"/>
        </w:rPr>
        <w:t>году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так и в 202</w:t>
      </w:r>
      <w:r>
        <w:rPr>
          <w:color w:themeColor="text1" w:val="000000"/>
          <w:sz w:val="24"/>
        </w:rPr>
        <w:t xml:space="preserve">5 </w:t>
      </w:r>
      <w:r>
        <w:rPr>
          <w:color w:themeColor="text1" w:val="000000"/>
          <w:sz w:val="24"/>
        </w:rPr>
        <w:t>году предприятие</w:t>
      </w:r>
      <w:r>
        <w:rPr>
          <w:sz w:val="24"/>
          <w:highlight w:val="white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t xml:space="preserve"> </w:t>
      </w:r>
      <w:r>
        <w:rPr>
          <w:color w:themeColor="text1" w:val="000000"/>
          <w:sz w:val="24"/>
        </w:rPr>
        <w:t>имеет абсолютное финансовое состояние, т.е.в</w:t>
      </w:r>
      <w:r>
        <w:rPr>
          <w:color w:themeColor="text1" w:val="000000"/>
          <w:sz w:val="24"/>
        </w:rPr>
        <w:t xml:space="preserve">ысокий уровень платежеспособности и предприятие не зависит от внешних кредиторов </w:t>
      </w:r>
      <w:r>
        <w:rPr>
          <w:color w:themeColor="text1" w:val="000000"/>
          <w:sz w:val="24"/>
        </w:rPr>
        <w:t>(заимодавцев)</w:t>
      </w:r>
    </w:p>
    <w:p w14:paraId="5D010000">
      <w:pPr>
        <w:spacing w:line="360" w:lineRule="auto"/>
        <w:ind w:firstLine="709" w:left="170" w:right="57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Т</w:t>
      </w:r>
      <w:r>
        <w:rPr>
          <w:color w:themeColor="text1" w:val="000000"/>
          <w:sz w:val="24"/>
        </w:rPr>
        <w:t>ак как в ходе анализа за 202</w:t>
      </w:r>
      <w:r>
        <w:rPr>
          <w:color w:themeColor="text1" w:val="000000"/>
          <w:sz w:val="24"/>
        </w:rPr>
        <w:t>5</w:t>
      </w:r>
      <w:r>
        <w:rPr>
          <w:color w:themeColor="text1" w:val="000000"/>
          <w:sz w:val="24"/>
        </w:rPr>
        <w:t xml:space="preserve"> год установлен недостаток собственных оборотных средств 15759тыс.руб., собственных и долгосрочных заемных источников формирования запасов 15770тыс.руб. и общей величины основных источников формирования запасов 22333тыс.руб.</w:t>
      </w:r>
    </w:p>
    <w:p w14:paraId="5E010000">
      <w:pPr>
        <w:spacing w:line="360" w:lineRule="auto"/>
        <w:ind w:firstLine="709" w:left="170" w:right="57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 xml:space="preserve">Таблица </w:t>
      </w:r>
      <w:r>
        <w:rPr>
          <w:color w:themeColor="text1" w:val="000000"/>
          <w:sz w:val="24"/>
        </w:rPr>
        <w:t>3</w:t>
      </w:r>
      <w:r>
        <w:rPr>
          <w:color w:themeColor="text1" w:val="000000"/>
          <w:sz w:val="24"/>
        </w:rPr>
        <w:t xml:space="preserve"> -</w:t>
      </w:r>
      <w:r>
        <w:rPr>
          <w:color w:themeColor="text1" w:val="000000"/>
          <w:sz w:val="24"/>
        </w:rPr>
        <w:t xml:space="preserve"> Показатели финансовой устойчивости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t xml:space="preserve"> </w:t>
      </w:r>
      <w:r>
        <w:rPr>
          <w:sz w:val="24"/>
        </w:rPr>
        <w:t xml:space="preserve"> </w:t>
      </w:r>
      <w:r>
        <w:t xml:space="preserve"> </w:t>
      </w:r>
    </w:p>
    <w:tbl>
      <w:tblPr>
        <w:tblStyle w:val="Style_2"/>
        <w:tblInd w:type="dxa" w:w="250"/>
        <w:tblLayout w:type="fixed"/>
      </w:tblPr>
      <w:tblGrid>
        <w:gridCol w:w="3544"/>
        <w:gridCol w:w="2535"/>
        <w:gridCol w:w="937"/>
        <w:gridCol w:w="909"/>
        <w:gridCol w:w="1405"/>
      </w:tblGrid>
      <w:tr>
        <w:trPr>
          <w:trHeight w:hRule="atLeast" w:val="312"/>
        </w:trPr>
        <w:tc>
          <w:tcPr>
            <w:tcW w:type="dxa" w:w="3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Показатели</w:t>
            </w:r>
          </w:p>
        </w:tc>
        <w:tc>
          <w:tcPr>
            <w:tcW w:type="dxa" w:w="2535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Норматив</w:t>
            </w:r>
          </w:p>
        </w:tc>
        <w:tc>
          <w:tcPr>
            <w:tcW w:type="dxa" w:w="93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</w:t>
            </w:r>
            <w:r>
              <w:rPr>
                <w:sz w:val="24"/>
              </w:rPr>
              <w:t>4</w:t>
            </w:r>
          </w:p>
        </w:tc>
        <w:tc>
          <w:tcPr>
            <w:tcW w:type="dxa" w:w="90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</w:t>
            </w:r>
            <w:r>
              <w:rPr>
                <w:sz w:val="24"/>
              </w:rPr>
              <w:t>5</w:t>
            </w:r>
          </w:p>
        </w:tc>
        <w:tc>
          <w:tcPr>
            <w:tcW w:type="dxa" w:w="1405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Изменения, +,-</w:t>
            </w:r>
          </w:p>
        </w:tc>
      </w:tr>
      <w:tr>
        <w:trPr>
          <w:trHeight w:hRule="atLeast" w:val="312"/>
        </w:trPr>
        <w:tc>
          <w:tcPr>
            <w:tcW w:type="dxa" w:w="3544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1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1. Капитализации (U1)</w:t>
            </w:r>
          </w:p>
        </w:tc>
        <w:tc>
          <w:tcPr>
            <w:tcW w:type="dxa" w:w="253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501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Не выше 1,5</w:t>
            </w:r>
          </w:p>
        </w:tc>
        <w:tc>
          <w:tcPr>
            <w:tcW w:type="dxa" w:w="93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6010000">
            <w:pPr>
              <w:ind/>
              <w:jc w:val="right"/>
              <w:rPr>
                <w:sz w:val="24"/>
              </w:rPr>
            </w:pPr>
            <w:r>
              <w:rPr>
                <w:sz w:val="24"/>
              </w:rPr>
              <w:t>0,14</w:t>
            </w:r>
          </w:p>
        </w:tc>
        <w:tc>
          <w:tcPr>
            <w:tcW w:type="dxa" w:w="90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67010000">
            <w:pPr>
              <w:ind/>
              <w:jc w:val="right"/>
              <w:rPr>
                <w:sz w:val="24"/>
              </w:rPr>
            </w:pPr>
            <w:r>
              <w:rPr>
                <w:sz w:val="24"/>
              </w:rPr>
              <w:t>0,40</w:t>
            </w:r>
          </w:p>
        </w:tc>
        <w:tc>
          <w:tcPr>
            <w:tcW w:type="dxa" w:w="140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801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0,25</w:t>
            </w:r>
          </w:p>
        </w:tc>
      </w:tr>
      <w:tr>
        <w:trPr>
          <w:trHeight w:hRule="atLeast" w:val="540"/>
        </w:trPr>
        <w:tc>
          <w:tcPr>
            <w:tcW w:type="dxa" w:w="3544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1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2. Обеспеченности собственными источниками финансирования (U2)</w:t>
            </w:r>
          </w:p>
        </w:tc>
        <w:tc>
          <w:tcPr>
            <w:tcW w:type="dxa" w:w="253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A01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≥ 0,1. Оптимально –</w:t>
            </w:r>
            <w:r>
              <w:rPr>
                <w:color w:val="000000"/>
                <w:sz w:val="24"/>
              </w:rPr>
              <w:br/>
            </w:r>
            <w:r>
              <w:rPr>
                <w:color w:val="000000"/>
                <w:sz w:val="24"/>
              </w:rPr>
              <w:t>≥0, ≥0,5</w:t>
            </w:r>
          </w:p>
        </w:tc>
        <w:tc>
          <w:tcPr>
            <w:tcW w:type="dxa" w:w="93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B01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0,87</w:t>
            </w:r>
          </w:p>
        </w:tc>
        <w:tc>
          <w:tcPr>
            <w:tcW w:type="dxa" w:w="90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C01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0,71</w:t>
            </w:r>
          </w:p>
        </w:tc>
        <w:tc>
          <w:tcPr>
            <w:tcW w:type="dxa" w:w="140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D01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-0,17</w:t>
            </w:r>
          </w:p>
        </w:tc>
      </w:tr>
      <w:tr>
        <w:trPr>
          <w:trHeight w:hRule="atLeast" w:val="312"/>
        </w:trPr>
        <w:tc>
          <w:tcPr>
            <w:tcW w:type="dxa" w:w="3544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1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3. Финансовой независимости (автономии) (U3)</w:t>
            </w:r>
          </w:p>
        </w:tc>
        <w:tc>
          <w:tcPr>
            <w:tcW w:type="dxa" w:w="253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F01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≥ 0,4 – 0,6</w:t>
            </w:r>
          </w:p>
        </w:tc>
        <w:tc>
          <w:tcPr>
            <w:tcW w:type="dxa" w:w="93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001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0,88</w:t>
            </w:r>
          </w:p>
        </w:tc>
        <w:tc>
          <w:tcPr>
            <w:tcW w:type="dxa" w:w="90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101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0,72</w:t>
            </w:r>
          </w:p>
        </w:tc>
        <w:tc>
          <w:tcPr>
            <w:tcW w:type="dxa" w:w="140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201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-0,16</w:t>
            </w:r>
          </w:p>
        </w:tc>
      </w:tr>
      <w:tr>
        <w:trPr>
          <w:trHeight w:hRule="atLeast" w:val="327"/>
        </w:trPr>
        <w:tc>
          <w:tcPr>
            <w:tcW w:type="dxa" w:w="3544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1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4. Финансирования (U4)</w:t>
            </w:r>
          </w:p>
        </w:tc>
        <w:tc>
          <w:tcPr>
            <w:tcW w:type="dxa" w:w="253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401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≥ 0,7. Оптимально – 1,5</w:t>
            </w:r>
          </w:p>
        </w:tc>
        <w:tc>
          <w:tcPr>
            <w:tcW w:type="dxa" w:w="93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501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7,06</w:t>
            </w:r>
          </w:p>
        </w:tc>
        <w:tc>
          <w:tcPr>
            <w:tcW w:type="dxa" w:w="90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601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2,53</w:t>
            </w:r>
          </w:p>
        </w:tc>
        <w:tc>
          <w:tcPr>
            <w:tcW w:type="dxa" w:w="140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701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-4,53</w:t>
            </w:r>
          </w:p>
        </w:tc>
      </w:tr>
      <w:tr>
        <w:trPr>
          <w:trHeight w:hRule="atLeast" w:val="312"/>
        </w:trPr>
        <w:tc>
          <w:tcPr>
            <w:tcW w:type="dxa" w:w="3544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1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5. Финансовой устойчивости (U5)</w:t>
            </w:r>
          </w:p>
        </w:tc>
        <w:tc>
          <w:tcPr>
            <w:tcW w:type="dxa" w:w="253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901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≥ 0,6</w:t>
            </w:r>
          </w:p>
        </w:tc>
        <w:tc>
          <w:tcPr>
            <w:tcW w:type="dxa" w:w="93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A01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0,89</w:t>
            </w:r>
          </w:p>
        </w:tc>
        <w:tc>
          <w:tcPr>
            <w:tcW w:type="dxa" w:w="90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B01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0,72</w:t>
            </w:r>
          </w:p>
        </w:tc>
        <w:tc>
          <w:tcPr>
            <w:tcW w:type="dxa" w:w="140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C01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-0,17</w:t>
            </w:r>
          </w:p>
        </w:tc>
      </w:tr>
    </w:tbl>
    <w:p w14:paraId="7D010000">
      <w:pPr>
        <w:spacing w:line="240" w:lineRule="atLeast"/>
        <w:ind/>
        <w:rPr>
          <w:color w:themeColor="text1" w:val="000000"/>
          <w:sz w:val="28"/>
        </w:rPr>
      </w:pPr>
    </w:p>
    <w:p w14:paraId="7E010000">
      <w:pPr>
        <w:spacing w:line="360" w:lineRule="auto"/>
        <w:ind w:firstLine="709" w:left="0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По результатам таблицы  можем наблюдать, что коэффициент капитализации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t xml:space="preserve"> </w:t>
      </w:r>
      <w:r>
        <w:rPr>
          <w:color w:themeColor="text1" w:val="000000"/>
          <w:sz w:val="24"/>
        </w:rPr>
        <w:t>в пределах нормативного значения, который показал, что 0,14   заемных средств предприятие привлекло на 1 тыс. руб., вложенных в активы собственных средств</w:t>
      </w:r>
      <w:r>
        <w:rPr>
          <w:sz w:val="24"/>
        </w:rPr>
        <w:t xml:space="preserve"> </w:t>
      </w:r>
    </w:p>
    <w:p w14:paraId="7F010000">
      <w:pPr>
        <w:spacing w:line="360" w:lineRule="auto"/>
        <w:ind w:firstLine="709" w:left="0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Коэффициент обеспеченности собственными источниками финансирования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t xml:space="preserve"> </w:t>
      </w:r>
      <w:r>
        <w:t xml:space="preserve"> </w:t>
      </w:r>
      <w:r>
        <w:rPr>
          <w:color w:themeColor="text1" w:val="000000"/>
          <w:sz w:val="24"/>
        </w:rPr>
        <w:t>показал, что в 202</w:t>
      </w:r>
      <w:r>
        <w:rPr>
          <w:color w:themeColor="text1" w:val="000000"/>
          <w:sz w:val="24"/>
        </w:rPr>
        <w:t>4</w:t>
      </w:r>
      <w:r>
        <w:rPr>
          <w:color w:themeColor="text1" w:val="000000"/>
          <w:sz w:val="24"/>
        </w:rPr>
        <w:t xml:space="preserve"> году 87% оборотных активов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t xml:space="preserve"> </w:t>
      </w:r>
      <w:r>
        <w:rPr>
          <w:color w:themeColor="text1" w:val="000000"/>
          <w:sz w:val="24"/>
        </w:rPr>
        <w:t>финансируется за счет собственных источников, а  202</w:t>
      </w:r>
      <w:r>
        <w:rPr>
          <w:color w:themeColor="text1" w:val="000000"/>
          <w:sz w:val="24"/>
        </w:rPr>
        <w:t>5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 xml:space="preserve">году -71% оборотных активов финансируется за счет собственных источников. </w:t>
      </w:r>
    </w:p>
    <w:p w14:paraId="80010000">
      <w:pPr>
        <w:spacing w:line="360" w:lineRule="auto"/>
        <w:ind w:firstLine="709" w:left="0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Коэффициент финансовой независимости показал, что предприятие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t xml:space="preserve"> </w:t>
      </w:r>
      <w:r>
        <w:rPr>
          <w:sz w:val="24"/>
        </w:rPr>
        <w:t xml:space="preserve"> </w:t>
      </w:r>
      <w:r>
        <w:t xml:space="preserve"> </w:t>
      </w:r>
      <w:r>
        <w:rPr>
          <w:sz w:val="24"/>
        </w:rPr>
        <w:t xml:space="preserve"> </w:t>
      </w:r>
      <w:r>
        <w:rPr>
          <w:color w:themeColor="text1" w:val="000000"/>
          <w:sz w:val="24"/>
        </w:rPr>
        <w:t>в 202</w:t>
      </w:r>
      <w:r>
        <w:rPr>
          <w:color w:themeColor="text1" w:val="000000"/>
          <w:sz w:val="24"/>
        </w:rPr>
        <w:t>4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году 88% активов покрываются за счет собственных средств, а в 202</w:t>
      </w:r>
      <w:r>
        <w:rPr>
          <w:color w:themeColor="text1" w:val="000000"/>
          <w:sz w:val="24"/>
        </w:rPr>
        <w:t>5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году -72% активов покрываются за счет собственных средств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t xml:space="preserve"> </w:t>
      </w:r>
      <w:r>
        <w:rPr>
          <w:color w:themeColor="text1" w:val="000000"/>
          <w:sz w:val="24"/>
        </w:rPr>
        <w:t xml:space="preserve"> </w:t>
      </w:r>
    </w:p>
    <w:p w14:paraId="81010000">
      <w:pPr>
        <w:spacing w:line="360" w:lineRule="auto"/>
        <w:ind w:firstLine="709" w:left="0"/>
        <w:jc w:val="both"/>
        <w:rPr>
          <w:color w:themeColor="text1" w:val="000000"/>
          <w:sz w:val="24"/>
        </w:rPr>
      </w:pPr>
    </w:p>
    <w:p w14:paraId="82010000">
      <w:pPr>
        <w:spacing w:line="360" w:lineRule="auto"/>
        <w:ind w:firstLine="709" w:left="0"/>
        <w:jc w:val="both"/>
        <w:rPr>
          <w:color w:themeColor="text1" w:val="000000"/>
          <w:sz w:val="24"/>
        </w:rPr>
      </w:pPr>
    </w:p>
    <w:p w14:paraId="83010000">
      <w:pPr>
        <w:spacing w:line="360" w:lineRule="auto"/>
        <w:ind w:firstLine="709" w:left="0"/>
        <w:jc w:val="both"/>
        <w:rPr>
          <w:color w:themeColor="text1" w:val="000000"/>
          <w:sz w:val="24"/>
        </w:rPr>
      </w:pPr>
    </w:p>
    <w:p w14:paraId="84010000">
      <w:pPr>
        <w:spacing w:line="360" w:lineRule="auto"/>
        <w:ind w:firstLine="709" w:left="0"/>
        <w:jc w:val="both"/>
        <w:rPr>
          <w:color w:themeColor="text1" w:val="000000"/>
          <w:sz w:val="24"/>
        </w:rPr>
      </w:pPr>
    </w:p>
    <w:p w14:paraId="85010000">
      <w:pPr>
        <w:rPr>
          <w:color w:themeColor="text1" w:val="000000"/>
          <w:sz w:val="28"/>
        </w:rPr>
      </w:pPr>
      <w:r>
        <w:drawing>
          <wp:inline>
            <wp:extent cx="5939790" cy="3455720"/>
            <wp:docPr hidden="false" id="8" name="Picture 8"/>
            <a:graphic>
              <a:graphicData uri="http://schemas.openxmlformats.org/drawingml/2006/picture">
                <pic:pic>
                  <pic:nvPicPr>
                    <pic:cNvPr hidden="false" id="7" name="Picture 7"/>
                    <pic:cNvPicPr preferRelativeResize="true"/>
                  </pic:nvPicPr>
                  <pic:blipFill>
                    <a:blip/>
                    <a:stretch/>
                  </pic:blipFill>
                  <pic:spPr>
                    <a:xfrm flipH="false" flipV="false" rot="0">
                      <a:ext cx="5939790" cy="345572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86010000">
      <w:pPr>
        <w:tabs>
          <w:tab w:leader="none" w:pos="2582" w:val="left"/>
        </w:tabs>
        <w:ind/>
        <w:jc w:val="center"/>
        <w:rPr>
          <w:color w:themeColor="text1" w:val="000000"/>
          <w:sz w:val="28"/>
        </w:rPr>
      </w:pPr>
    </w:p>
    <w:p w14:paraId="87010000">
      <w:pPr>
        <w:tabs>
          <w:tab w:leader="none" w:pos="2582" w:val="left"/>
        </w:tabs>
        <w:ind/>
        <w:jc w:val="center"/>
        <w:rPr>
          <w:color w:themeColor="text1" w:val="000000"/>
          <w:sz w:val="24"/>
        </w:rPr>
      </w:pPr>
    </w:p>
    <w:p w14:paraId="88010000">
      <w:pPr>
        <w:tabs>
          <w:tab w:leader="none" w:pos="2582" w:val="left"/>
        </w:tabs>
        <w:ind/>
        <w:jc w:val="center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 xml:space="preserve">Рисунок </w:t>
      </w:r>
      <w:r>
        <w:rPr>
          <w:color w:themeColor="text1" w:val="000000"/>
          <w:sz w:val="24"/>
        </w:rPr>
        <w:t>4</w:t>
      </w:r>
      <w:r>
        <w:rPr>
          <w:color w:themeColor="text1" w:val="000000"/>
          <w:sz w:val="24"/>
        </w:rPr>
        <w:t xml:space="preserve"> – Динамика коэффициентов финансовой устойчивости</w:t>
      </w:r>
      <w:r>
        <w:rPr>
          <w:sz w:val="24"/>
          <w:highlight w:val="white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t xml:space="preserve"> </w:t>
      </w:r>
      <w:r>
        <w:rPr>
          <w:color w:themeColor="text1" w:val="000000"/>
          <w:sz w:val="24"/>
        </w:rPr>
        <w:t>в 202</w:t>
      </w:r>
      <w:r>
        <w:rPr>
          <w:color w:themeColor="text1" w:val="000000"/>
          <w:sz w:val="24"/>
        </w:rPr>
        <w:t>5</w:t>
      </w:r>
      <w:r>
        <w:rPr>
          <w:color w:themeColor="text1" w:val="000000"/>
          <w:sz w:val="24"/>
        </w:rPr>
        <w:t>г.</w:t>
      </w:r>
    </w:p>
    <w:p w14:paraId="89010000">
      <w:pPr>
        <w:tabs>
          <w:tab w:leader="none" w:pos="1419" w:val="left"/>
        </w:tabs>
        <w:ind/>
        <w:rPr>
          <w:color w:themeColor="text1" w:val="000000"/>
          <w:sz w:val="24"/>
        </w:rPr>
      </w:pPr>
    </w:p>
    <w:p w14:paraId="8A010000">
      <w:pPr>
        <w:spacing w:line="360" w:lineRule="auto"/>
        <w:ind w:firstLine="709" w:left="0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Коэффициент финансовой устойчивости</w:t>
      </w:r>
      <w:r>
        <w:rPr>
          <w:sz w:val="24"/>
          <w:highlight w:val="white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t xml:space="preserve"> </w:t>
      </w:r>
      <w:r>
        <w:rPr>
          <w:color w:themeColor="text1" w:val="000000"/>
          <w:sz w:val="24"/>
        </w:rPr>
        <w:t>показал, что 89% финансируется за счет устойчивых источников, а в 202</w:t>
      </w:r>
      <w:r>
        <w:rPr>
          <w:color w:themeColor="text1" w:val="000000"/>
          <w:sz w:val="24"/>
        </w:rPr>
        <w:t xml:space="preserve">5 </w:t>
      </w:r>
      <w:r>
        <w:rPr>
          <w:color w:themeColor="text1" w:val="000000"/>
          <w:sz w:val="24"/>
        </w:rPr>
        <w:t xml:space="preserve"> году 72% активов финансируется за счет устойчивых источников.</w:t>
      </w:r>
    </w:p>
    <w:p w14:paraId="8B010000">
      <w:pPr>
        <w:spacing w:line="360" w:lineRule="auto"/>
        <w:ind w:firstLine="709" w:left="0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 xml:space="preserve">Таблица </w:t>
      </w:r>
      <w:r>
        <w:rPr>
          <w:color w:themeColor="text1" w:val="000000"/>
          <w:sz w:val="24"/>
        </w:rPr>
        <w:t>4</w:t>
      </w:r>
      <w:r>
        <w:rPr>
          <w:color w:themeColor="text1" w:val="000000"/>
          <w:sz w:val="24"/>
        </w:rPr>
        <w:t xml:space="preserve"> -</w:t>
      </w:r>
      <w:r>
        <w:rPr>
          <w:color w:themeColor="text1" w:val="000000"/>
          <w:sz w:val="24"/>
        </w:rPr>
        <w:t xml:space="preserve"> Анализ наличия и динамики собственных оборотных</w:t>
      </w:r>
      <w:r>
        <w:rPr>
          <w:color w:themeColor="text1" w:val="000000"/>
          <w:sz w:val="24"/>
        </w:rPr>
        <w:t xml:space="preserve"> средств</w:t>
      </w:r>
    </w:p>
    <w:tbl>
      <w:tblPr>
        <w:tblStyle w:val="Style_2"/>
        <w:tblInd w:type="dxa" w:w="250"/>
        <w:tblLayout w:type="fixed"/>
      </w:tblPr>
      <w:tblGrid>
        <w:gridCol w:w="3518"/>
        <w:gridCol w:w="1302"/>
        <w:gridCol w:w="1378"/>
        <w:gridCol w:w="1598"/>
        <w:gridCol w:w="1418"/>
      </w:tblGrid>
      <w:tr>
        <w:trPr>
          <w:trHeight w:hRule="atLeast" w:val="315"/>
        </w:trPr>
        <w:tc>
          <w:tcPr>
            <w:tcW w:type="dxa" w:w="351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Показатель</w:t>
            </w:r>
          </w:p>
        </w:tc>
        <w:tc>
          <w:tcPr>
            <w:tcW w:type="dxa" w:w="13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202</w:t>
            </w:r>
            <w:r>
              <w:rPr>
                <w:color w:val="000000"/>
                <w:sz w:val="24"/>
              </w:rPr>
              <w:t>4</w:t>
            </w:r>
          </w:p>
        </w:tc>
        <w:tc>
          <w:tcPr>
            <w:tcW w:type="dxa" w:w="1378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202</w:t>
            </w:r>
            <w:r>
              <w:rPr>
                <w:color w:val="000000"/>
                <w:sz w:val="24"/>
              </w:rPr>
              <w:t>5</w:t>
            </w:r>
          </w:p>
        </w:tc>
        <w:tc>
          <w:tcPr>
            <w:tcW w:type="dxa" w:w="3016"/>
            <w:gridSpan w:val="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Изменения, +,-</w:t>
            </w:r>
          </w:p>
        </w:tc>
      </w:tr>
      <w:tr>
        <w:trPr>
          <w:trHeight w:hRule="atLeast" w:val="315"/>
        </w:trPr>
        <w:tc>
          <w:tcPr>
            <w:tcW w:type="dxa" w:w="35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3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тыс.р.</w:t>
            </w:r>
          </w:p>
        </w:tc>
        <w:tc>
          <w:tcPr>
            <w:tcW w:type="dxa" w:w="13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тыс.р.</w:t>
            </w:r>
          </w:p>
        </w:tc>
        <w:tc>
          <w:tcPr>
            <w:tcW w:type="dxa" w:w="15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тыс.р.</w:t>
            </w:r>
          </w:p>
        </w:tc>
        <w:tc>
          <w:tcPr>
            <w:tcW w:type="dxa" w:w="14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%</w:t>
            </w:r>
          </w:p>
        </w:tc>
      </w:tr>
      <w:tr>
        <w:trPr>
          <w:trHeight w:hRule="atLeast" w:val="315"/>
        </w:trPr>
        <w:tc>
          <w:tcPr>
            <w:tcW w:type="dxa" w:w="351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1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1. Источники собственных средств (капитал и резервы)</w:t>
            </w:r>
          </w:p>
        </w:tc>
        <w:tc>
          <w:tcPr>
            <w:tcW w:type="dxa" w:w="13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1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23 846</w:t>
            </w:r>
          </w:p>
        </w:tc>
        <w:tc>
          <w:tcPr>
            <w:tcW w:type="dxa" w:w="13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1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16 600</w:t>
            </w:r>
          </w:p>
        </w:tc>
        <w:tc>
          <w:tcPr>
            <w:tcW w:type="dxa" w:w="15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1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-7 246</w:t>
            </w:r>
          </w:p>
        </w:tc>
        <w:tc>
          <w:tcPr>
            <w:tcW w:type="dxa" w:w="14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1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69,61</w:t>
            </w:r>
          </w:p>
        </w:tc>
      </w:tr>
      <w:tr>
        <w:trPr>
          <w:trHeight w:hRule="atLeast" w:val="315"/>
        </w:trPr>
        <w:tc>
          <w:tcPr>
            <w:tcW w:type="dxa" w:w="351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1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2. Внеоборотные активы</w:t>
            </w:r>
          </w:p>
        </w:tc>
        <w:tc>
          <w:tcPr>
            <w:tcW w:type="dxa" w:w="13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1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881</w:t>
            </w:r>
          </w:p>
        </w:tc>
        <w:tc>
          <w:tcPr>
            <w:tcW w:type="dxa" w:w="13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1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841</w:t>
            </w:r>
          </w:p>
        </w:tc>
        <w:tc>
          <w:tcPr>
            <w:tcW w:type="dxa" w:w="15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1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-40</w:t>
            </w:r>
          </w:p>
        </w:tc>
        <w:tc>
          <w:tcPr>
            <w:tcW w:type="dxa" w:w="14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1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95,46</w:t>
            </w:r>
          </w:p>
        </w:tc>
      </w:tr>
      <w:tr>
        <w:trPr>
          <w:trHeight w:hRule="atLeast" w:val="630"/>
        </w:trPr>
        <w:tc>
          <w:tcPr>
            <w:tcW w:type="dxa" w:w="351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1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3. Собственные оборотные средства (СОС)</w:t>
            </w:r>
          </w:p>
        </w:tc>
        <w:tc>
          <w:tcPr>
            <w:tcW w:type="dxa" w:w="13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1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22 965</w:t>
            </w:r>
          </w:p>
        </w:tc>
        <w:tc>
          <w:tcPr>
            <w:tcW w:type="dxa" w:w="13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1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15 759</w:t>
            </w:r>
          </w:p>
        </w:tc>
        <w:tc>
          <w:tcPr>
            <w:tcW w:type="dxa" w:w="15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1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-7 206</w:t>
            </w:r>
          </w:p>
        </w:tc>
        <w:tc>
          <w:tcPr>
            <w:tcW w:type="dxa" w:w="14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1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68,62</w:t>
            </w:r>
          </w:p>
        </w:tc>
      </w:tr>
    </w:tbl>
    <w:p w14:paraId="A3010000">
      <w:pPr>
        <w:rPr>
          <w:color w:themeColor="text1" w:val="000000"/>
          <w:sz w:val="28"/>
        </w:rPr>
      </w:pPr>
    </w:p>
    <w:p w14:paraId="A4010000">
      <w:pPr>
        <w:spacing w:line="360" w:lineRule="auto"/>
        <w:ind w:firstLine="709" w:left="0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По результатам таблицы можно сделать следующие выводы, что в 202</w:t>
      </w:r>
      <w:r>
        <w:rPr>
          <w:color w:themeColor="text1" w:val="000000"/>
          <w:sz w:val="24"/>
        </w:rPr>
        <w:t>4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году предприятие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t xml:space="preserve"> </w:t>
      </w:r>
      <w:r>
        <w:rPr>
          <w:color w:themeColor="text1" w:val="000000"/>
          <w:sz w:val="24"/>
          <w:highlight w:val="white"/>
        </w:rPr>
        <w:t xml:space="preserve"> </w:t>
      </w:r>
      <w:r>
        <w:rPr>
          <w:color w:themeColor="text1" w:val="000000"/>
          <w:sz w:val="24"/>
        </w:rPr>
        <w:t>имеет  собственные оборотные средства в размере 22965 тыс.руб., а в 202</w:t>
      </w:r>
      <w:r>
        <w:rPr>
          <w:color w:themeColor="text1" w:val="000000"/>
          <w:sz w:val="24"/>
        </w:rPr>
        <w:t>5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году собственные оборотные средства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t xml:space="preserve"> </w:t>
      </w:r>
      <w:r>
        <w:t xml:space="preserve"> </w:t>
      </w:r>
      <w:r>
        <w:rPr>
          <w:color w:themeColor="text1" w:val="000000"/>
          <w:sz w:val="24"/>
          <w:highlight w:val="white"/>
        </w:rPr>
        <w:t xml:space="preserve"> </w:t>
      </w:r>
      <w:r>
        <w:rPr>
          <w:color w:themeColor="text1" w:val="000000"/>
          <w:sz w:val="24"/>
        </w:rPr>
        <w:t>снизились на 7,206 тыс.руб. и составили 15759 тыс.руб.</w:t>
      </w:r>
    </w:p>
    <w:p w14:paraId="A5010000">
      <w:pPr>
        <w:spacing w:line="360" w:lineRule="auto"/>
        <w:ind w:firstLine="709" w:left="0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 xml:space="preserve">Таблица </w:t>
      </w:r>
      <w:r>
        <w:rPr>
          <w:color w:themeColor="text1" w:val="000000"/>
          <w:sz w:val="24"/>
        </w:rPr>
        <w:t>5</w:t>
      </w:r>
      <w:r>
        <w:rPr>
          <w:color w:themeColor="text1" w:val="000000"/>
          <w:sz w:val="24"/>
        </w:rPr>
        <w:t xml:space="preserve"> -</w:t>
      </w:r>
      <w:r>
        <w:rPr>
          <w:color w:themeColor="text1" w:val="000000"/>
          <w:sz w:val="24"/>
        </w:rPr>
        <w:t xml:space="preserve"> Причины изменения собственных оборотных средств</w:t>
      </w:r>
      <w:r>
        <w:rPr>
          <w:sz w:val="24"/>
          <w:highlight w:val="white"/>
        </w:rPr>
        <w:t xml:space="preserve"> </w:t>
      </w:r>
    </w:p>
    <w:tbl>
      <w:tblPr>
        <w:tblStyle w:val="Style_2"/>
        <w:tblInd w:type="dxa" w:w="250"/>
        <w:tblLayout w:type="fixed"/>
      </w:tblPr>
      <w:tblGrid>
        <w:gridCol w:w="4859"/>
        <w:gridCol w:w="967"/>
        <w:gridCol w:w="1323"/>
        <w:gridCol w:w="1161"/>
        <w:gridCol w:w="883"/>
        <w:gridCol w:w="6"/>
      </w:tblGrid>
      <w:tr>
        <w:trPr>
          <w:trHeight w:hRule="atLeast" w:val="340"/>
        </w:trPr>
        <w:tc>
          <w:tcPr>
            <w:tcW w:type="dxa" w:w="4859"/>
            <w:vMerge w:val="restart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6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Показатель</w:t>
            </w:r>
          </w:p>
        </w:tc>
        <w:tc>
          <w:tcPr>
            <w:tcW w:type="dxa" w:w="967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7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202</w:t>
            </w:r>
            <w:r>
              <w:rPr>
                <w:color w:val="000000"/>
                <w:sz w:val="24"/>
              </w:rPr>
              <w:t>4</w:t>
            </w:r>
          </w:p>
        </w:tc>
        <w:tc>
          <w:tcPr>
            <w:tcW w:type="dxa" w:w="1323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8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202</w:t>
            </w:r>
            <w:r>
              <w:rPr>
                <w:color w:val="000000"/>
                <w:sz w:val="24"/>
              </w:rPr>
              <w:t>5</w:t>
            </w:r>
          </w:p>
        </w:tc>
        <w:tc>
          <w:tcPr>
            <w:tcW w:type="dxa" w:w="2050"/>
            <w:gridSpan w:val="3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9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Изменения, +,-</w:t>
            </w:r>
          </w:p>
        </w:tc>
      </w:tr>
      <w:tr>
        <w:trPr>
          <w:trHeight w:hRule="atLeast" w:val="340"/>
        </w:trPr>
        <w:tc>
          <w:tcPr>
            <w:tcW w:type="dxa" w:w="4859"/>
            <w:gridSpan w:val="1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96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A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тыс.р.</w:t>
            </w:r>
          </w:p>
        </w:tc>
        <w:tc>
          <w:tcPr>
            <w:tcW w:type="dxa" w:w="132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B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тыс.р.</w:t>
            </w:r>
          </w:p>
        </w:tc>
        <w:tc>
          <w:tcPr>
            <w:tcW w:type="dxa" w:w="116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C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тыс.р.</w:t>
            </w:r>
          </w:p>
        </w:tc>
        <w:tc>
          <w:tcPr>
            <w:tcW w:type="dxa" w:w="8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D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%</w:t>
            </w:r>
          </w:p>
        </w:tc>
        <w:tc>
          <w:tcPr>
            <w:tcW w:type="dxa" w:w="6"/>
          </w:tcPr>
          <w:p/>
        </w:tc>
      </w:tr>
      <w:tr>
        <w:trPr>
          <w:trHeight w:hRule="atLeast" w:val="340"/>
        </w:trPr>
        <w:tc>
          <w:tcPr>
            <w:tcW w:type="dxa" w:w="4859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E01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1.Источники собственных средств (капитал и резервы), всего</w:t>
            </w:r>
          </w:p>
        </w:tc>
        <w:tc>
          <w:tcPr>
            <w:tcW w:type="dxa" w:w="96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F01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23 846</w:t>
            </w:r>
          </w:p>
        </w:tc>
        <w:tc>
          <w:tcPr>
            <w:tcW w:type="dxa" w:w="132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001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16 600</w:t>
            </w:r>
          </w:p>
        </w:tc>
        <w:tc>
          <w:tcPr>
            <w:tcW w:type="dxa" w:w="116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101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-7 246</w:t>
            </w:r>
          </w:p>
        </w:tc>
        <w:tc>
          <w:tcPr>
            <w:tcW w:type="dxa" w:w="8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201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69,61</w:t>
            </w:r>
          </w:p>
        </w:tc>
        <w:tc>
          <w:tcPr>
            <w:tcW w:type="dxa" w:w="6"/>
          </w:tcPr>
          <w:p/>
        </w:tc>
      </w:tr>
      <w:tr>
        <w:trPr>
          <w:trHeight w:hRule="atLeast" w:val="340"/>
        </w:trPr>
        <w:tc>
          <w:tcPr>
            <w:tcW w:type="dxa" w:w="4859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301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В том числе:</w:t>
            </w:r>
          </w:p>
        </w:tc>
        <w:tc>
          <w:tcPr>
            <w:tcW w:type="dxa" w:w="96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401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 </w:t>
            </w:r>
          </w:p>
        </w:tc>
        <w:tc>
          <w:tcPr>
            <w:tcW w:type="dxa" w:w="132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501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 </w:t>
            </w:r>
          </w:p>
        </w:tc>
        <w:tc>
          <w:tcPr>
            <w:tcW w:type="dxa" w:w="116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601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 </w:t>
            </w:r>
          </w:p>
        </w:tc>
        <w:tc>
          <w:tcPr>
            <w:tcW w:type="dxa" w:w="8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701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 </w:t>
            </w:r>
          </w:p>
        </w:tc>
        <w:tc>
          <w:tcPr>
            <w:tcW w:type="dxa" w:w="6"/>
          </w:tcPr>
          <w:p/>
        </w:tc>
      </w:tr>
      <w:tr>
        <w:trPr>
          <w:trHeight w:hRule="atLeast" w:val="340"/>
        </w:trPr>
        <w:tc>
          <w:tcPr>
            <w:tcW w:type="dxa" w:w="4859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801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Уставный капитал</w:t>
            </w:r>
          </w:p>
        </w:tc>
        <w:tc>
          <w:tcPr>
            <w:tcW w:type="dxa" w:w="96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901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58</w:t>
            </w:r>
          </w:p>
        </w:tc>
        <w:tc>
          <w:tcPr>
            <w:tcW w:type="dxa" w:w="132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A01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58</w:t>
            </w:r>
          </w:p>
        </w:tc>
        <w:tc>
          <w:tcPr>
            <w:tcW w:type="dxa" w:w="116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B01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</w:t>
            </w:r>
          </w:p>
        </w:tc>
        <w:tc>
          <w:tcPr>
            <w:tcW w:type="dxa" w:w="8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C01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100,00</w:t>
            </w:r>
          </w:p>
        </w:tc>
        <w:tc>
          <w:tcPr>
            <w:tcW w:type="dxa" w:w="6"/>
          </w:tcPr>
          <w:p/>
        </w:tc>
      </w:tr>
      <w:tr>
        <w:trPr>
          <w:trHeight w:hRule="atLeast" w:val="340"/>
        </w:trPr>
        <w:tc>
          <w:tcPr>
            <w:tcW w:type="dxa" w:w="4859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D01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Нераспределенная прибыль</w:t>
            </w:r>
          </w:p>
        </w:tc>
        <w:tc>
          <w:tcPr>
            <w:tcW w:type="dxa" w:w="96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E01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23 788</w:t>
            </w:r>
          </w:p>
        </w:tc>
        <w:tc>
          <w:tcPr>
            <w:tcW w:type="dxa" w:w="132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F01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16 542</w:t>
            </w:r>
          </w:p>
        </w:tc>
        <w:tc>
          <w:tcPr>
            <w:tcW w:type="dxa" w:w="116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001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-7 246</w:t>
            </w:r>
          </w:p>
        </w:tc>
        <w:tc>
          <w:tcPr>
            <w:tcW w:type="dxa" w:w="8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101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69,54</w:t>
            </w:r>
          </w:p>
        </w:tc>
        <w:tc>
          <w:tcPr>
            <w:tcW w:type="dxa" w:w="6"/>
          </w:tcPr>
          <w:p/>
        </w:tc>
      </w:tr>
      <w:tr>
        <w:trPr>
          <w:trHeight w:hRule="atLeast" w:val="340"/>
        </w:trPr>
        <w:tc>
          <w:tcPr>
            <w:tcW w:type="dxa" w:w="4859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201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2. Внеоборотные активы, всего</w:t>
            </w:r>
          </w:p>
        </w:tc>
        <w:tc>
          <w:tcPr>
            <w:tcW w:type="dxa" w:w="96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301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881</w:t>
            </w:r>
          </w:p>
        </w:tc>
        <w:tc>
          <w:tcPr>
            <w:tcW w:type="dxa" w:w="132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401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841</w:t>
            </w:r>
          </w:p>
        </w:tc>
        <w:tc>
          <w:tcPr>
            <w:tcW w:type="dxa" w:w="116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501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-40</w:t>
            </w:r>
          </w:p>
        </w:tc>
        <w:tc>
          <w:tcPr>
            <w:tcW w:type="dxa" w:w="8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601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95,46</w:t>
            </w:r>
          </w:p>
        </w:tc>
        <w:tc>
          <w:tcPr>
            <w:tcW w:type="dxa" w:w="6"/>
          </w:tcPr>
          <w:p/>
        </w:tc>
      </w:tr>
      <w:tr>
        <w:trPr>
          <w:trHeight w:hRule="atLeast" w:val="340"/>
        </w:trPr>
        <w:tc>
          <w:tcPr>
            <w:tcW w:type="dxa" w:w="4859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701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В том числе:</w:t>
            </w:r>
          </w:p>
        </w:tc>
        <w:tc>
          <w:tcPr>
            <w:tcW w:type="dxa" w:w="96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801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 </w:t>
            </w:r>
          </w:p>
        </w:tc>
        <w:tc>
          <w:tcPr>
            <w:tcW w:type="dxa" w:w="132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901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 </w:t>
            </w:r>
          </w:p>
        </w:tc>
        <w:tc>
          <w:tcPr>
            <w:tcW w:type="dxa" w:w="116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A01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 </w:t>
            </w:r>
          </w:p>
        </w:tc>
        <w:tc>
          <w:tcPr>
            <w:tcW w:type="dxa" w:w="8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B01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 </w:t>
            </w:r>
          </w:p>
        </w:tc>
        <w:tc>
          <w:tcPr>
            <w:tcW w:type="dxa" w:w="6"/>
          </w:tcPr>
          <w:p/>
        </w:tc>
      </w:tr>
      <w:tr>
        <w:trPr>
          <w:trHeight w:hRule="atLeast" w:val="340"/>
        </w:trPr>
        <w:tc>
          <w:tcPr>
            <w:tcW w:type="dxa" w:w="4859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C01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Нематериальные активы</w:t>
            </w:r>
          </w:p>
        </w:tc>
        <w:tc>
          <w:tcPr>
            <w:tcW w:type="dxa" w:w="96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D01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83</w:t>
            </w:r>
          </w:p>
        </w:tc>
        <w:tc>
          <w:tcPr>
            <w:tcW w:type="dxa" w:w="132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E01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83</w:t>
            </w:r>
          </w:p>
        </w:tc>
        <w:tc>
          <w:tcPr>
            <w:tcW w:type="dxa" w:w="116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F01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</w:t>
            </w:r>
          </w:p>
        </w:tc>
        <w:tc>
          <w:tcPr>
            <w:tcW w:type="dxa" w:w="8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001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100,00</w:t>
            </w:r>
          </w:p>
        </w:tc>
        <w:tc>
          <w:tcPr>
            <w:tcW w:type="dxa" w:w="6"/>
          </w:tcPr>
          <w:p/>
        </w:tc>
      </w:tr>
      <w:tr>
        <w:trPr>
          <w:trHeight w:hRule="atLeast" w:val="340"/>
        </w:trPr>
        <w:tc>
          <w:tcPr>
            <w:tcW w:type="dxa" w:w="4859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101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Основные средства</w:t>
            </w:r>
          </w:p>
        </w:tc>
        <w:tc>
          <w:tcPr>
            <w:tcW w:type="dxa" w:w="96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201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798</w:t>
            </w:r>
          </w:p>
        </w:tc>
        <w:tc>
          <w:tcPr>
            <w:tcW w:type="dxa" w:w="132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301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758</w:t>
            </w:r>
          </w:p>
        </w:tc>
        <w:tc>
          <w:tcPr>
            <w:tcW w:type="dxa" w:w="116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401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-40</w:t>
            </w:r>
          </w:p>
        </w:tc>
        <w:tc>
          <w:tcPr>
            <w:tcW w:type="dxa" w:w="8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501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94,99</w:t>
            </w:r>
          </w:p>
        </w:tc>
        <w:tc>
          <w:tcPr>
            <w:tcW w:type="dxa" w:w="6"/>
          </w:tcPr>
          <w:p/>
        </w:tc>
      </w:tr>
      <w:tr>
        <w:trPr>
          <w:trHeight w:hRule="atLeast" w:val="340"/>
        </w:trPr>
        <w:tc>
          <w:tcPr>
            <w:tcW w:type="dxa" w:w="4859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601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3. Собственные оборотные средства</w:t>
            </w:r>
          </w:p>
        </w:tc>
        <w:tc>
          <w:tcPr>
            <w:tcW w:type="dxa" w:w="96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701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22 965</w:t>
            </w:r>
          </w:p>
        </w:tc>
        <w:tc>
          <w:tcPr>
            <w:tcW w:type="dxa" w:w="132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801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15 759</w:t>
            </w:r>
          </w:p>
        </w:tc>
        <w:tc>
          <w:tcPr>
            <w:tcW w:type="dxa" w:w="116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901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-7 206</w:t>
            </w:r>
          </w:p>
        </w:tc>
        <w:tc>
          <w:tcPr>
            <w:tcW w:type="dxa" w:w="8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A01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68,62</w:t>
            </w:r>
          </w:p>
        </w:tc>
        <w:tc>
          <w:tcPr>
            <w:tcW w:type="dxa" w:w="6"/>
          </w:tcPr>
          <w:p/>
        </w:tc>
      </w:tr>
    </w:tbl>
    <w:p w14:paraId="DB010000">
      <w:pPr>
        <w:rPr>
          <w:color w:themeColor="text1" w:val="000000"/>
          <w:sz w:val="28"/>
        </w:rPr>
      </w:pPr>
    </w:p>
    <w:p w14:paraId="DC010000">
      <w:pPr>
        <w:spacing w:line="360" w:lineRule="auto"/>
        <w:ind w:firstLine="709" w:left="170" w:right="57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 xml:space="preserve">По результатам таблицы </w:t>
      </w:r>
      <w:r>
        <w:rPr>
          <w:color w:themeColor="text1" w:val="000000"/>
          <w:sz w:val="24"/>
        </w:rPr>
        <w:t>5</w:t>
      </w:r>
      <w:r>
        <w:rPr>
          <w:color w:themeColor="text1" w:val="000000"/>
          <w:sz w:val="24"/>
        </w:rPr>
        <w:t xml:space="preserve"> можно сделать следующие выводы, снижение собственных оборотных средств</w:t>
      </w:r>
      <w:r>
        <w:rPr>
          <w:color w:themeColor="text1" w:val="000000"/>
          <w:sz w:val="24"/>
          <w:highlight w:val="white"/>
        </w:rPr>
        <w:t xml:space="preserve"> </w:t>
      </w:r>
      <w:r>
        <w:rPr>
          <w:color w:themeColor="text1" w:val="000000"/>
          <w:sz w:val="24"/>
        </w:rPr>
        <w:t>связано со снижением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внеоборотных активов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t xml:space="preserve"> </w:t>
      </w:r>
      <w:r>
        <w:t xml:space="preserve"> </w:t>
      </w:r>
      <w:r>
        <w:rPr>
          <w:color w:themeColor="text1" w:val="000000"/>
          <w:sz w:val="24"/>
        </w:rPr>
        <w:t>на 40тыс.руб., в том числе из-за снижения основных средств на 40тыс.руб., а также на снижение собственных оборотных средств повлияло снижение нераспределенной прибыли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t xml:space="preserve"> </w:t>
      </w:r>
      <w:r>
        <w:rPr>
          <w:sz w:val="24"/>
        </w:rPr>
        <w:t xml:space="preserve"> </w:t>
      </w:r>
      <w:r>
        <w:t xml:space="preserve"> </w:t>
      </w:r>
      <w:r>
        <w:rPr>
          <w:color w:themeColor="text1" w:val="000000"/>
          <w:sz w:val="24"/>
        </w:rPr>
        <w:t>в 202</w:t>
      </w:r>
      <w:r>
        <w:rPr>
          <w:color w:themeColor="text1" w:val="000000"/>
          <w:sz w:val="24"/>
        </w:rPr>
        <w:t>5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году  на 7246тыс.руб.</w:t>
      </w:r>
    </w:p>
    <w:p w14:paraId="DD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color w:themeColor="text1" w:val="000000"/>
          <w:sz w:val="24"/>
        </w:rPr>
        <w:t>Показатели деловой активности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t xml:space="preserve"> </w:t>
      </w:r>
      <w:r>
        <w:rPr>
          <w:color w:themeColor="text1" w:val="000000"/>
          <w:sz w:val="24"/>
        </w:rPr>
        <w:t>характеризуют темпы развития бизнеса и уровень эффективности использования ресурсов предприятия</w:t>
      </w:r>
      <w:r>
        <w:rPr>
          <w:sz w:val="24"/>
        </w:rPr>
        <w:t xml:space="preserve"> </w:t>
      </w:r>
    </w:p>
    <w:p w14:paraId="DE010000">
      <w:pPr>
        <w:spacing w:line="360" w:lineRule="auto"/>
        <w:ind w:firstLine="709" w:left="170" w:right="57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Объектом финансового анализа (в отличие от экономического анализа в целом) являются финансовые ресурсы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t xml:space="preserve"> </w:t>
      </w:r>
      <w:r>
        <w:rPr>
          <w:sz w:val="24"/>
        </w:rPr>
        <w:t xml:space="preserve"> </w:t>
      </w:r>
      <w:r>
        <w:rPr>
          <w:color w:themeColor="text1" w:val="000000"/>
          <w:sz w:val="24"/>
        </w:rPr>
        <w:t xml:space="preserve"> </w:t>
      </w:r>
    </w:p>
    <w:p w14:paraId="DF010000">
      <w:pPr>
        <w:spacing w:line="360" w:lineRule="auto"/>
        <w:ind w:firstLine="709" w:left="170" w:right="57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В соответствии с этим на основе баланса рассчитываются показатели оборачиваемости активов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t xml:space="preserve"> </w:t>
      </w:r>
      <w:r>
        <w:rPr>
          <w:color w:themeColor="text1" w:val="000000"/>
          <w:sz w:val="24"/>
        </w:rPr>
        <w:t>(в целом и по отдельным составляющим), которые характеризуют эффективность использования финансовых ресурсов, вложенных в активы предприятия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color w:themeColor="text1" w:val="000000"/>
          <w:sz w:val="24"/>
        </w:rPr>
        <w:t xml:space="preserve">, представленные в таблице </w:t>
      </w:r>
      <w:r>
        <w:rPr>
          <w:color w:themeColor="text1" w:val="000000"/>
          <w:sz w:val="24"/>
        </w:rPr>
        <w:t>6</w:t>
      </w:r>
      <w:r>
        <w:rPr>
          <w:color w:themeColor="text1" w:val="000000"/>
          <w:sz w:val="24"/>
        </w:rPr>
        <w:t>.</w:t>
      </w:r>
    </w:p>
    <w:p w14:paraId="E0010000">
      <w:pPr>
        <w:spacing w:line="360" w:lineRule="auto"/>
        <w:ind w:firstLine="709" w:left="170" w:right="57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 xml:space="preserve">Таблица </w:t>
      </w:r>
      <w:r>
        <w:rPr>
          <w:color w:themeColor="text1" w:val="000000"/>
          <w:sz w:val="24"/>
        </w:rPr>
        <w:t>6</w:t>
      </w:r>
      <w:r>
        <w:rPr>
          <w:color w:themeColor="text1" w:val="000000"/>
          <w:sz w:val="24"/>
        </w:rPr>
        <w:t xml:space="preserve">- </w:t>
      </w:r>
      <w:r>
        <w:rPr>
          <w:color w:themeColor="text1" w:val="000000"/>
          <w:sz w:val="24"/>
        </w:rPr>
        <w:t xml:space="preserve"> Показатели оборачиваемости активов</w:t>
      </w:r>
      <w:r>
        <w:rPr>
          <w:color w:themeColor="text1" w:val="000000"/>
          <w:sz w:val="24"/>
          <w:highlight w:val="white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t xml:space="preserve"> </w:t>
      </w:r>
    </w:p>
    <w:tbl>
      <w:tblPr>
        <w:tblStyle w:val="Style_2"/>
        <w:tblInd w:type="dxa" w:w="392"/>
        <w:tblLayout w:type="fixed"/>
      </w:tblPr>
      <w:tblGrid>
        <w:gridCol w:w="5118"/>
        <w:gridCol w:w="1101"/>
        <w:gridCol w:w="1101"/>
        <w:gridCol w:w="1737"/>
      </w:tblGrid>
      <w:tr>
        <w:trPr>
          <w:trHeight w:hRule="atLeast" w:val="332"/>
        </w:trPr>
        <w:tc>
          <w:tcPr>
            <w:tcW w:type="dxa" w:w="51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Показатель</w:t>
            </w:r>
          </w:p>
        </w:tc>
        <w:tc>
          <w:tcPr>
            <w:tcW w:type="dxa" w:w="110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202</w:t>
            </w:r>
            <w:r>
              <w:rPr>
                <w:color w:val="000000"/>
                <w:sz w:val="24"/>
              </w:rPr>
              <w:t>4</w:t>
            </w:r>
          </w:p>
        </w:tc>
        <w:tc>
          <w:tcPr>
            <w:tcW w:type="dxa" w:w="110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202</w:t>
            </w:r>
            <w:r>
              <w:rPr>
                <w:color w:val="000000"/>
                <w:sz w:val="24"/>
              </w:rPr>
              <w:t>5</w:t>
            </w:r>
          </w:p>
        </w:tc>
        <w:tc>
          <w:tcPr>
            <w:tcW w:type="dxa" w:w="173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1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Абсолютное отклонение</w:t>
            </w:r>
          </w:p>
        </w:tc>
      </w:tr>
      <w:tr>
        <w:trPr>
          <w:trHeight w:hRule="atLeast" w:val="332"/>
        </w:trPr>
        <w:tc>
          <w:tcPr>
            <w:tcW w:type="dxa" w:w="511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501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1.Среднегодовая стоимость текущих  (оборотных) активов,тыс. р.</w:t>
            </w:r>
          </w:p>
        </w:tc>
        <w:tc>
          <w:tcPr>
            <w:tcW w:type="dxa" w:w="11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601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19210,5</w:t>
            </w:r>
          </w:p>
        </w:tc>
        <w:tc>
          <w:tcPr>
            <w:tcW w:type="dxa" w:w="11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701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24338,5</w:t>
            </w:r>
          </w:p>
        </w:tc>
        <w:tc>
          <w:tcPr>
            <w:tcW w:type="dxa" w:w="173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801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5128</w:t>
            </w:r>
          </w:p>
        </w:tc>
      </w:tr>
      <w:tr>
        <w:trPr>
          <w:trHeight w:hRule="atLeast" w:val="166"/>
        </w:trPr>
        <w:tc>
          <w:tcPr>
            <w:tcW w:type="dxa" w:w="511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901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2.Выручка, тыс. р.</w:t>
            </w:r>
          </w:p>
        </w:tc>
        <w:tc>
          <w:tcPr>
            <w:tcW w:type="dxa" w:w="11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A01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85 586</w:t>
            </w:r>
          </w:p>
        </w:tc>
        <w:tc>
          <w:tcPr>
            <w:tcW w:type="dxa" w:w="11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B01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101 423</w:t>
            </w:r>
          </w:p>
        </w:tc>
        <w:tc>
          <w:tcPr>
            <w:tcW w:type="dxa" w:w="173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C01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15837</w:t>
            </w:r>
          </w:p>
        </w:tc>
      </w:tr>
      <w:tr>
        <w:trPr>
          <w:trHeight w:hRule="atLeast" w:val="166"/>
        </w:trPr>
        <w:tc>
          <w:tcPr>
            <w:tcW w:type="dxa" w:w="511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D01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3.Коэффициент оборачиваемости текущих активов</w:t>
            </w:r>
          </w:p>
        </w:tc>
        <w:tc>
          <w:tcPr>
            <w:tcW w:type="dxa" w:w="11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E01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4,46</w:t>
            </w:r>
          </w:p>
        </w:tc>
        <w:tc>
          <w:tcPr>
            <w:tcW w:type="dxa" w:w="11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F01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4,17</w:t>
            </w:r>
          </w:p>
        </w:tc>
        <w:tc>
          <w:tcPr>
            <w:tcW w:type="dxa" w:w="173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001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-0,29</w:t>
            </w:r>
          </w:p>
        </w:tc>
      </w:tr>
      <w:tr>
        <w:trPr>
          <w:trHeight w:hRule="atLeast" w:val="166"/>
        </w:trPr>
        <w:tc>
          <w:tcPr>
            <w:tcW w:type="dxa" w:w="511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101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4.Период оборачиваемости текущих активов, дни</w:t>
            </w:r>
          </w:p>
        </w:tc>
        <w:tc>
          <w:tcPr>
            <w:tcW w:type="dxa" w:w="11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201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80,81</w:t>
            </w:r>
          </w:p>
        </w:tc>
        <w:tc>
          <w:tcPr>
            <w:tcW w:type="dxa" w:w="11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301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86,39</w:t>
            </w:r>
          </w:p>
        </w:tc>
        <w:tc>
          <w:tcPr>
            <w:tcW w:type="dxa" w:w="173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401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5,58</w:t>
            </w:r>
          </w:p>
        </w:tc>
      </w:tr>
      <w:tr>
        <w:trPr>
          <w:trHeight w:hRule="atLeast" w:val="332"/>
        </w:trPr>
        <w:tc>
          <w:tcPr>
            <w:tcW w:type="dxa" w:w="511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501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5.Седнегодовая стоимость дебиторской задолженности,тыс. р.</w:t>
            </w:r>
          </w:p>
        </w:tc>
        <w:tc>
          <w:tcPr>
            <w:tcW w:type="dxa" w:w="11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601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10876,0</w:t>
            </w:r>
          </w:p>
        </w:tc>
        <w:tc>
          <w:tcPr>
            <w:tcW w:type="dxa" w:w="11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701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10523,5</w:t>
            </w:r>
          </w:p>
        </w:tc>
        <w:tc>
          <w:tcPr>
            <w:tcW w:type="dxa" w:w="173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801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-352,5</w:t>
            </w:r>
          </w:p>
        </w:tc>
      </w:tr>
      <w:tr>
        <w:trPr>
          <w:trHeight w:hRule="atLeast" w:val="332"/>
        </w:trPr>
        <w:tc>
          <w:tcPr>
            <w:tcW w:type="dxa" w:w="511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901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6.Коэффициент оборачиваемости дебиторской задолженности</w:t>
            </w:r>
          </w:p>
        </w:tc>
        <w:tc>
          <w:tcPr>
            <w:tcW w:type="dxa" w:w="11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A01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7,87</w:t>
            </w:r>
          </w:p>
        </w:tc>
        <w:tc>
          <w:tcPr>
            <w:tcW w:type="dxa" w:w="11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B01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9,64</w:t>
            </w:r>
          </w:p>
        </w:tc>
        <w:tc>
          <w:tcPr>
            <w:tcW w:type="dxa" w:w="173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C01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1,77</w:t>
            </w:r>
          </w:p>
        </w:tc>
      </w:tr>
      <w:tr>
        <w:trPr>
          <w:trHeight w:hRule="atLeast" w:val="332"/>
        </w:trPr>
        <w:tc>
          <w:tcPr>
            <w:tcW w:type="dxa" w:w="511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D01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7.Период оборачиваемости (срок погашения) дебиторской задолженности, дни</w:t>
            </w:r>
          </w:p>
        </w:tc>
        <w:tc>
          <w:tcPr>
            <w:tcW w:type="dxa" w:w="11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E01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45,75</w:t>
            </w:r>
          </w:p>
        </w:tc>
        <w:tc>
          <w:tcPr>
            <w:tcW w:type="dxa" w:w="11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F01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37,35</w:t>
            </w:r>
          </w:p>
        </w:tc>
        <w:tc>
          <w:tcPr>
            <w:tcW w:type="dxa" w:w="173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002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-8,39</w:t>
            </w:r>
          </w:p>
        </w:tc>
      </w:tr>
      <w:tr>
        <w:trPr>
          <w:trHeight w:hRule="atLeast" w:val="166"/>
        </w:trPr>
        <w:tc>
          <w:tcPr>
            <w:tcW w:type="dxa" w:w="511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102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8.Стоимость денежных средств, тыс. р.</w:t>
            </w:r>
          </w:p>
        </w:tc>
        <w:tc>
          <w:tcPr>
            <w:tcW w:type="dxa" w:w="11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202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8 335</w:t>
            </w:r>
          </w:p>
        </w:tc>
        <w:tc>
          <w:tcPr>
            <w:tcW w:type="dxa" w:w="11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302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13 815</w:t>
            </w:r>
          </w:p>
        </w:tc>
        <w:tc>
          <w:tcPr>
            <w:tcW w:type="dxa" w:w="173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402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5480,5</w:t>
            </w:r>
          </w:p>
        </w:tc>
      </w:tr>
      <w:tr>
        <w:trPr>
          <w:trHeight w:hRule="atLeast" w:val="332"/>
        </w:trPr>
        <w:tc>
          <w:tcPr>
            <w:tcW w:type="dxa" w:w="511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502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9.Коэффициент оборачиваемости денежных средств</w:t>
            </w:r>
          </w:p>
        </w:tc>
        <w:tc>
          <w:tcPr>
            <w:tcW w:type="dxa" w:w="11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602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10,27</w:t>
            </w:r>
          </w:p>
        </w:tc>
        <w:tc>
          <w:tcPr>
            <w:tcW w:type="dxa" w:w="11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702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7,34</w:t>
            </w:r>
          </w:p>
        </w:tc>
        <w:tc>
          <w:tcPr>
            <w:tcW w:type="dxa" w:w="173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802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-2,93</w:t>
            </w:r>
          </w:p>
        </w:tc>
      </w:tr>
      <w:tr>
        <w:trPr>
          <w:trHeight w:hRule="atLeast" w:val="332"/>
        </w:trPr>
        <w:tc>
          <w:tcPr>
            <w:tcW w:type="dxa" w:w="511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902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10. Период оборачиваемости денежных средств, дни</w:t>
            </w:r>
          </w:p>
        </w:tc>
        <w:tc>
          <w:tcPr>
            <w:tcW w:type="dxa" w:w="11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A02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35,06</w:t>
            </w:r>
          </w:p>
        </w:tc>
        <w:tc>
          <w:tcPr>
            <w:tcW w:type="dxa" w:w="11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B02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49,04</w:t>
            </w:r>
          </w:p>
        </w:tc>
        <w:tc>
          <w:tcPr>
            <w:tcW w:type="dxa" w:w="173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C02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13,98</w:t>
            </w:r>
          </w:p>
        </w:tc>
      </w:tr>
    </w:tbl>
    <w:p w14:paraId="0D020000">
      <w:pPr>
        <w:spacing w:line="360" w:lineRule="auto"/>
        <w:ind w:firstLine="709" w:left="170" w:right="57"/>
        <w:jc w:val="both"/>
        <w:rPr>
          <w:color w:themeColor="text1" w:val="000000"/>
          <w:sz w:val="24"/>
        </w:rPr>
      </w:pPr>
    </w:p>
    <w:p w14:paraId="0E020000">
      <w:pPr>
        <w:spacing w:line="360" w:lineRule="auto"/>
        <w:ind w:firstLine="709" w:left="170" w:right="57"/>
        <w:jc w:val="both"/>
        <w:rPr>
          <w:color w:themeColor="text1" w:val="000000"/>
          <w:sz w:val="24"/>
        </w:rPr>
      </w:pPr>
    </w:p>
    <w:p w14:paraId="0F020000">
      <w:pPr>
        <w:spacing w:line="360" w:lineRule="auto"/>
        <w:ind w:firstLine="709" w:left="170" w:right="57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 xml:space="preserve">По результатам таблицы </w:t>
      </w:r>
      <w:r>
        <w:rPr>
          <w:color w:themeColor="text1" w:val="000000"/>
          <w:sz w:val="24"/>
        </w:rPr>
        <w:t>6</w:t>
      </w:r>
      <w:r>
        <w:rPr>
          <w:color w:themeColor="text1" w:val="000000"/>
          <w:sz w:val="24"/>
        </w:rPr>
        <w:t xml:space="preserve"> можно сделать следующие выводы, коэффициент оборачиваемости текущих активов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t xml:space="preserve"> </w:t>
      </w:r>
      <w:r>
        <w:rPr>
          <w:color w:themeColor="text1" w:val="000000"/>
          <w:sz w:val="24"/>
        </w:rPr>
        <w:t>снизился на 0,29, это свидетельствует о том, что оборотные средства  используются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неэффективно, а период соответственно, увеличился на 5,58 дня и в 202</w:t>
      </w:r>
      <w:r>
        <w:rPr>
          <w:color w:themeColor="text1" w:val="000000"/>
          <w:sz w:val="24"/>
        </w:rPr>
        <w:t xml:space="preserve">5 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 xml:space="preserve">году составил 86,39дней. </w:t>
      </w:r>
    </w:p>
    <w:p w14:paraId="10020000">
      <w:pPr>
        <w:spacing w:line="360" w:lineRule="auto"/>
        <w:ind w:firstLine="709" w:left="170" w:right="57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Коэффициент оборачиваемости денежных средств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t xml:space="preserve"> </w:t>
      </w:r>
      <w:r>
        <w:t xml:space="preserve"> </w:t>
      </w:r>
      <w:r>
        <w:rPr>
          <w:color w:themeColor="text1" w:val="000000"/>
          <w:sz w:val="24"/>
        </w:rPr>
        <w:t>в 202</w:t>
      </w:r>
      <w:r>
        <w:rPr>
          <w:color w:themeColor="text1" w:val="000000"/>
          <w:sz w:val="24"/>
        </w:rPr>
        <w:t xml:space="preserve">4 </w:t>
      </w:r>
      <w:r>
        <w:rPr>
          <w:color w:themeColor="text1" w:val="000000"/>
          <w:sz w:val="24"/>
        </w:rPr>
        <w:t>году составлял 10,27 оборотов, а  в 202</w:t>
      </w:r>
      <w:r>
        <w:rPr>
          <w:color w:themeColor="text1" w:val="000000"/>
          <w:sz w:val="24"/>
        </w:rPr>
        <w:t xml:space="preserve">5 </w:t>
      </w:r>
      <w:r>
        <w:rPr>
          <w:color w:themeColor="text1" w:val="000000"/>
          <w:sz w:val="24"/>
        </w:rPr>
        <w:t xml:space="preserve"> году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>снизился на 2,93 оборота, соответственно, период оборачиваемости денежных средств</w:t>
      </w:r>
      <w:r>
        <w:rPr>
          <w:sz w:val="24"/>
        </w:rPr>
        <w:t xml:space="preserve"> </w:t>
      </w:r>
      <w:r>
        <w:rPr>
          <w:color w:themeColor="text1" w:val="000000"/>
          <w:sz w:val="24"/>
        </w:rPr>
        <w:t>увеличился на 13,98 дня и в 202</w:t>
      </w:r>
      <w:r>
        <w:rPr>
          <w:color w:themeColor="text1" w:val="000000"/>
          <w:sz w:val="24"/>
        </w:rPr>
        <w:t xml:space="preserve">5 </w:t>
      </w:r>
      <w:r>
        <w:rPr>
          <w:color w:themeColor="text1" w:val="000000"/>
          <w:sz w:val="24"/>
        </w:rPr>
        <w:t xml:space="preserve"> году составил 49,04 дней.</w:t>
      </w:r>
      <w:r>
        <w:rPr>
          <w:color w:themeColor="text1" w:val="000000"/>
          <w:sz w:val="24"/>
        </w:rPr>
        <w:t xml:space="preserve"> </w:t>
      </w:r>
      <w:r>
        <w:rPr>
          <w:color w:themeColor="text1" w:val="000000"/>
          <w:sz w:val="24"/>
        </w:rPr>
        <w:t xml:space="preserve">В таблице </w:t>
      </w:r>
      <w:r>
        <w:rPr>
          <w:color w:themeColor="text1" w:val="000000"/>
          <w:sz w:val="24"/>
        </w:rPr>
        <w:t>7</w:t>
      </w:r>
      <w:r>
        <w:rPr>
          <w:color w:themeColor="text1" w:val="000000"/>
          <w:sz w:val="24"/>
        </w:rPr>
        <w:t xml:space="preserve">  представлены основные показатели, характеризующие финансовое состояние предприятия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t xml:space="preserve"> </w:t>
      </w:r>
      <w:r>
        <w:rPr>
          <w:sz w:val="24"/>
        </w:rPr>
        <w:t xml:space="preserve"> </w:t>
      </w:r>
      <w:r>
        <w:t xml:space="preserve"> </w:t>
      </w:r>
    </w:p>
    <w:p w14:paraId="11020000">
      <w:pPr>
        <w:spacing w:line="360" w:lineRule="auto"/>
        <w:ind w:firstLine="709" w:left="170" w:right="57"/>
        <w:contextualSpacing w:val="1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 xml:space="preserve">Таблица </w:t>
      </w:r>
      <w:r>
        <w:rPr>
          <w:color w:themeColor="text1" w:val="000000"/>
          <w:sz w:val="24"/>
        </w:rPr>
        <w:t>7</w:t>
      </w:r>
      <w:r>
        <w:rPr>
          <w:color w:themeColor="text1" w:val="000000"/>
          <w:sz w:val="24"/>
        </w:rPr>
        <w:t xml:space="preserve"> -</w:t>
      </w:r>
      <w:r>
        <w:rPr>
          <w:color w:themeColor="text1" w:val="000000"/>
          <w:sz w:val="24"/>
        </w:rPr>
        <w:t xml:space="preserve"> Обобщение показателей, характеризующих финансовое состояние предприятия</w:t>
      </w:r>
      <w:r>
        <w:rPr>
          <w:color w:themeColor="text1" w:val="000000"/>
          <w:sz w:val="24"/>
          <w:highlight w:val="white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t xml:space="preserve"> </w:t>
      </w:r>
    </w:p>
    <w:tbl>
      <w:tblPr>
        <w:tblStyle w:val="Style_2"/>
        <w:tblInd w:type="dxa" w:w="250"/>
        <w:tblLayout w:type="fixed"/>
      </w:tblPr>
      <w:tblGrid>
        <w:gridCol w:w="5558"/>
        <w:gridCol w:w="960"/>
        <w:gridCol w:w="960"/>
        <w:gridCol w:w="1860"/>
      </w:tblGrid>
      <w:tr>
        <w:trPr>
          <w:trHeight w:hRule="atLeast" w:val="315"/>
        </w:trPr>
        <w:tc>
          <w:tcPr>
            <w:tcW w:type="dxa" w:w="5558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202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Показатель</w:t>
            </w:r>
          </w:p>
        </w:tc>
        <w:tc>
          <w:tcPr>
            <w:tcW w:type="dxa" w:w="960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302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202</w:t>
            </w:r>
            <w:r>
              <w:rPr>
                <w:color w:val="000000"/>
                <w:sz w:val="24"/>
              </w:rPr>
              <w:t>4</w:t>
            </w:r>
          </w:p>
        </w:tc>
        <w:tc>
          <w:tcPr>
            <w:tcW w:type="dxa" w:w="960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402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202</w:t>
            </w:r>
            <w:r>
              <w:rPr>
                <w:color w:val="000000"/>
                <w:sz w:val="24"/>
              </w:rPr>
              <w:t>5</w:t>
            </w:r>
          </w:p>
        </w:tc>
        <w:tc>
          <w:tcPr>
            <w:tcW w:type="dxa" w:w="1860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5020000">
            <w:pPr>
              <w:ind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Изменения, +,-</w:t>
            </w:r>
          </w:p>
        </w:tc>
      </w:tr>
      <w:tr>
        <w:trPr>
          <w:trHeight w:hRule="atLeast" w:val="315"/>
        </w:trPr>
        <w:tc>
          <w:tcPr>
            <w:tcW w:type="dxa" w:w="5558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602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1. Коэффициенты ликвидности: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702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802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 </w:t>
            </w:r>
          </w:p>
        </w:tc>
        <w:tc>
          <w:tcPr>
            <w:tcW w:type="dxa" w:w="18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902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 </w:t>
            </w:r>
          </w:p>
        </w:tc>
      </w:tr>
      <w:tr>
        <w:trPr>
          <w:trHeight w:hRule="atLeast" w:val="315"/>
        </w:trPr>
        <w:tc>
          <w:tcPr>
            <w:tcW w:type="dxa" w:w="5558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A02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а) Коэффициент абсолютной ликвидности (≥ 0,2- 0,5)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B02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3,71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C02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2,54</w:t>
            </w:r>
          </w:p>
        </w:tc>
        <w:tc>
          <w:tcPr>
            <w:tcW w:type="dxa" w:w="18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D02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-1,17</w:t>
            </w:r>
          </w:p>
        </w:tc>
      </w:tr>
      <w:tr>
        <w:trPr>
          <w:trHeight w:hRule="atLeast" w:val="315"/>
        </w:trPr>
        <w:tc>
          <w:tcPr>
            <w:tcW w:type="dxa" w:w="5558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E02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б) Коэффициент быстрой (критической) ликвидности (0,7 - 0,8)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F02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8,91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002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3,4</w:t>
            </w:r>
          </w:p>
        </w:tc>
        <w:tc>
          <w:tcPr>
            <w:tcW w:type="dxa" w:w="18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102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-5,51</w:t>
            </w:r>
          </w:p>
        </w:tc>
      </w:tr>
      <w:tr>
        <w:trPr>
          <w:trHeight w:hRule="atLeast" w:val="315"/>
        </w:trPr>
        <w:tc>
          <w:tcPr>
            <w:tcW w:type="dxa" w:w="5558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202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в) Коэффициент текущей ликвидности (Min =2 ,0; 2,5 - ,0)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302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8,91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402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3,4</w:t>
            </w:r>
          </w:p>
        </w:tc>
        <w:tc>
          <w:tcPr>
            <w:tcW w:type="dxa" w:w="18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502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-5,51</w:t>
            </w:r>
          </w:p>
        </w:tc>
      </w:tr>
      <w:tr>
        <w:trPr>
          <w:trHeight w:hRule="atLeast" w:val="315"/>
        </w:trPr>
        <w:tc>
          <w:tcPr>
            <w:tcW w:type="dxa" w:w="5558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602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г) Коэффициент обеспеченности собственными средствами (≥ 0,1)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702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0,87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802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0,71</w:t>
            </w:r>
          </w:p>
        </w:tc>
        <w:tc>
          <w:tcPr>
            <w:tcW w:type="dxa" w:w="18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902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-0,16</w:t>
            </w:r>
          </w:p>
        </w:tc>
      </w:tr>
      <w:tr>
        <w:trPr>
          <w:trHeight w:hRule="atLeast" w:val="315"/>
        </w:trPr>
        <w:tc>
          <w:tcPr>
            <w:tcW w:type="dxa" w:w="5558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A02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2. Коэффициенты финансовой устойчивости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B02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C02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 </w:t>
            </w:r>
          </w:p>
        </w:tc>
        <w:tc>
          <w:tcPr>
            <w:tcW w:type="dxa" w:w="18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D02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 </w:t>
            </w:r>
          </w:p>
        </w:tc>
      </w:tr>
      <w:tr>
        <w:trPr>
          <w:trHeight w:hRule="atLeast" w:val="315"/>
        </w:trPr>
        <w:tc>
          <w:tcPr>
            <w:tcW w:type="dxa" w:w="5558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E02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а) Капитализации (≤1,5) 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F02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0,14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002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0,4</w:t>
            </w:r>
          </w:p>
        </w:tc>
        <w:tc>
          <w:tcPr>
            <w:tcW w:type="dxa" w:w="18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102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0,26</w:t>
            </w:r>
          </w:p>
        </w:tc>
      </w:tr>
      <w:tr>
        <w:trPr>
          <w:trHeight w:hRule="atLeast" w:val="315"/>
        </w:trPr>
        <w:tc>
          <w:tcPr>
            <w:tcW w:type="dxa" w:w="5558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202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б) Обеспеченности собственными источниками финансирования (≥0,5)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302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0,87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402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0,71</w:t>
            </w:r>
          </w:p>
        </w:tc>
        <w:tc>
          <w:tcPr>
            <w:tcW w:type="dxa" w:w="18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502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-0,16</w:t>
            </w:r>
          </w:p>
        </w:tc>
      </w:tr>
      <w:tr>
        <w:trPr>
          <w:trHeight w:hRule="atLeast" w:val="315"/>
        </w:trPr>
        <w:tc>
          <w:tcPr>
            <w:tcW w:type="dxa" w:w="5558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602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в) Финансовой независимости(≥0,4 - 0,6)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702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0,88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802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0,72</w:t>
            </w:r>
          </w:p>
        </w:tc>
        <w:tc>
          <w:tcPr>
            <w:tcW w:type="dxa" w:w="18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902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-0,16</w:t>
            </w:r>
          </w:p>
        </w:tc>
      </w:tr>
      <w:tr>
        <w:trPr>
          <w:trHeight w:hRule="atLeast" w:val="315"/>
        </w:trPr>
        <w:tc>
          <w:tcPr>
            <w:tcW w:type="dxa" w:w="5558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A02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г) Финансовой устойчивости (≥0,6)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B02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0,89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C02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0,72</w:t>
            </w:r>
          </w:p>
        </w:tc>
        <w:tc>
          <w:tcPr>
            <w:tcW w:type="dxa" w:w="18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D02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-0,17</w:t>
            </w:r>
          </w:p>
        </w:tc>
      </w:tr>
      <w:tr>
        <w:trPr>
          <w:trHeight w:hRule="atLeast" w:val="315"/>
        </w:trPr>
        <w:tc>
          <w:tcPr>
            <w:tcW w:type="dxa" w:w="5558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E02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3. Коэффициент маневренности (0,5)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F02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0,96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002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0,95</w:t>
            </w:r>
          </w:p>
        </w:tc>
        <w:tc>
          <w:tcPr>
            <w:tcW w:type="dxa" w:w="18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102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-0,01</w:t>
            </w:r>
          </w:p>
        </w:tc>
      </w:tr>
      <w:tr>
        <w:trPr>
          <w:trHeight w:hRule="atLeast" w:val="315"/>
        </w:trPr>
        <w:tc>
          <w:tcPr>
            <w:tcW w:type="dxa" w:w="5558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202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4. Соотношение основных и оборотных средств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302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1,07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402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0,63</w:t>
            </w:r>
          </w:p>
        </w:tc>
        <w:tc>
          <w:tcPr>
            <w:tcW w:type="dxa" w:w="18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502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-0,44</w:t>
            </w:r>
          </w:p>
        </w:tc>
      </w:tr>
      <w:tr>
        <w:trPr>
          <w:trHeight w:hRule="atLeast" w:val="315"/>
        </w:trPr>
        <w:tc>
          <w:tcPr>
            <w:tcW w:type="dxa" w:w="5558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602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5. Соотношение собственных и заемных средств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702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7,06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802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2,53</w:t>
            </w:r>
          </w:p>
        </w:tc>
        <w:tc>
          <w:tcPr>
            <w:tcW w:type="dxa" w:w="18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9020000">
            <w:pPr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-4,53</w:t>
            </w:r>
          </w:p>
        </w:tc>
      </w:tr>
      <w:tr>
        <w:trPr>
          <w:trHeight w:hRule="atLeast" w:val="315"/>
        </w:trPr>
        <w:tc>
          <w:tcPr>
            <w:tcW w:type="dxa" w:w="5558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A02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6. Коэффициент утраты платежеспособности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B02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 </w:t>
            </w:r>
          </w:p>
        </w:tc>
        <w:tc>
          <w:tcPr>
            <w:tcW w:type="dxa" w:w="9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C02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 1,01</w:t>
            </w:r>
          </w:p>
        </w:tc>
        <w:tc>
          <w:tcPr>
            <w:tcW w:type="dxa" w:w="186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D020000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 </w:t>
            </w:r>
          </w:p>
        </w:tc>
      </w:tr>
    </w:tbl>
    <w:p w14:paraId="4E020000">
      <w:pPr>
        <w:spacing w:line="360" w:lineRule="auto"/>
        <w:ind w:firstLine="709" w:left="170" w:right="57"/>
        <w:jc w:val="both"/>
        <w:rPr>
          <w:color w:themeColor="text1" w:val="000000"/>
          <w:sz w:val="24"/>
        </w:rPr>
      </w:pPr>
    </w:p>
    <w:p w14:paraId="4F020000">
      <w:pPr>
        <w:spacing w:line="360" w:lineRule="auto"/>
        <w:ind w:firstLine="709" w:left="170" w:right="57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Таким образом, коэффициент оборачиваемости текущих активов и коэффициент денежных средств</w:t>
      </w:r>
      <w:r>
        <w:rPr>
          <w:sz w:val="24"/>
          <w:highlight w:val="white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t xml:space="preserve"> </w:t>
      </w:r>
      <w:r>
        <w:rPr>
          <w:color w:themeColor="text1" w:val="000000"/>
          <w:sz w:val="24"/>
        </w:rPr>
        <w:t>снижаются в анализируемом периоде, что характеризуют неэффективность использования финансовых ресурсов, вложенных в активы предприятия.</w:t>
      </w:r>
      <w:r>
        <w:rPr>
          <w:color w:themeColor="text1" w:val="000000"/>
          <w:sz w:val="24"/>
        </w:rPr>
        <w:t xml:space="preserve"> </w:t>
      </w:r>
      <w:r>
        <w:rPr>
          <w:sz w:val="24"/>
        </w:rPr>
        <w:t>Коэффициент утраты платежеспособности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t xml:space="preserve"> </w:t>
      </w:r>
      <w:r>
        <w:rPr>
          <w:sz w:val="24"/>
        </w:rPr>
        <w:t xml:space="preserve"> </w:t>
      </w:r>
      <w:r>
        <w:t xml:space="preserve"> </w:t>
      </w:r>
      <w:r>
        <w:rPr>
          <w:sz w:val="24"/>
        </w:rPr>
        <w:t>определяет возможность ухудшения показателя текущей ликвидности в течение трех месяцев.</w:t>
      </w:r>
      <w:r>
        <w:rPr>
          <w:sz w:val="24"/>
        </w:rPr>
        <w:t xml:space="preserve"> </w:t>
      </w:r>
      <w:r>
        <w:rPr>
          <w:color w:themeColor="text1" w:val="000000"/>
          <w:sz w:val="24"/>
        </w:rPr>
        <w:t>Кутратыплатеж.=(КТЛкп+3/Т*(КТЛкп–КТЛнп))/2=(3,40+3/12*(3,40-8,91))/2=1,01</w:t>
      </w:r>
    </w:p>
    <w:p w14:paraId="50020000">
      <w:pPr>
        <w:spacing w:line="360" w:lineRule="auto"/>
        <w:ind w:firstLine="709" w:left="170" w:right="57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Таким образом, значение показателя выше 1, следовательно, утратить свою платежеспособность</w:t>
      </w:r>
      <w:r>
        <w:rPr>
          <w:sz w:val="24"/>
          <w:highlight w:val="white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t xml:space="preserve"> </w:t>
      </w:r>
      <w:r>
        <w:t xml:space="preserve"> </w:t>
      </w:r>
      <w:r>
        <w:rPr>
          <w:color w:themeColor="text1" w:val="000000"/>
          <w:sz w:val="24"/>
        </w:rPr>
        <w:t>в ближайшие три месяца не сможет.</w:t>
      </w:r>
    </w:p>
    <w:p w14:paraId="51020000">
      <w:pPr>
        <w:pStyle w:val="Style_9"/>
        <w:spacing w:after="0" w:before="0" w:line="360" w:lineRule="auto"/>
        <w:ind w:firstLine="709" w:left="170" w:right="57"/>
        <w:jc w:val="both"/>
      </w:pPr>
      <w:r>
        <w:t>Э</w:t>
      </w:r>
      <w:r>
        <w:t>кономическ</w:t>
      </w:r>
      <w:r>
        <w:t xml:space="preserve">ая </w:t>
      </w:r>
      <w:r>
        <w:rPr>
          <w:rStyle w:val="Style_10_ch"/>
          <w:b w:val="0"/>
        </w:rPr>
        <w:t xml:space="preserve"> </w:t>
      </w:r>
      <w:r>
        <w:rPr>
          <w:rStyle w:val="Style_10_ch"/>
          <w:b w:val="0"/>
        </w:rPr>
        <w:t>стратегия компании</w:t>
      </w:r>
      <w:r>
        <w:t> </w:t>
      </w:r>
      <w:r>
        <w:t>ООО «ГРАФИТ»</w:t>
      </w:r>
      <w:r>
        <w:t xml:space="preserve"> </w:t>
      </w:r>
      <w:r>
        <w:t xml:space="preserve"> </w:t>
      </w:r>
      <w:r>
        <w:t xml:space="preserve"> -</w:t>
      </w:r>
      <w:r>
        <w:t xml:space="preserve"> это совокупность целей организации, направленных на повышение её рыночной стоимости и увеличение доходов собственников.  </w:t>
      </w:r>
    </w:p>
    <w:p w14:paraId="52020000">
      <w:pPr>
        <w:pStyle w:val="Style_9"/>
        <w:spacing w:after="0" w:before="0" w:line="360" w:lineRule="auto"/>
        <w:ind w:firstLine="709" w:left="170" w:right="57"/>
        <w:jc w:val="both"/>
      </w:pPr>
      <w:r>
        <w:rPr>
          <w:rStyle w:val="Style_10_ch"/>
          <w:b w:val="0"/>
        </w:rPr>
        <w:t xml:space="preserve">Ключевые компоненты </w:t>
      </w:r>
      <w:r>
        <w:t>экономической</w:t>
      </w:r>
      <w:r>
        <w:rPr>
          <w:rStyle w:val="Style_10_ch"/>
          <w:b w:val="0"/>
        </w:rPr>
        <w:t xml:space="preserve"> </w:t>
      </w:r>
      <w:r>
        <w:rPr>
          <w:rStyle w:val="Style_10_ch"/>
          <w:b w:val="0"/>
        </w:rPr>
        <w:t>стратегии</w:t>
      </w:r>
      <w:r>
        <w:t xml:space="preserve"> </w:t>
      </w:r>
      <w:r>
        <w:t>ООО «ГРАФИТ»</w:t>
      </w:r>
      <w:r>
        <w:t>:</w:t>
      </w:r>
    </w:p>
    <w:p w14:paraId="53020000">
      <w:pPr>
        <w:pStyle w:val="Style_9"/>
        <w:spacing w:after="0" w:before="0" w:line="360" w:lineRule="auto"/>
        <w:ind w:firstLine="709" w:left="170" w:right="57"/>
        <w:jc w:val="both"/>
      </w:pPr>
      <w:r>
        <w:rPr>
          <w:rStyle w:val="Style_10_ch"/>
          <w:b w:val="0"/>
        </w:rPr>
        <w:t>-</w:t>
      </w:r>
      <w:r>
        <w:rPr>
          <w:rStyle w:val="Style_10_ch"/>
          <w:b w:val="0"/>
        </w:rPr>
        <w:t>Финансовая структура</w:t>
      </w:r>
      <w:r>
        <w:t>. Определяется расстановка центров ответственности. </w:t>
      </w:r>
    </w:p>
    <w:p w14:paraId="54020000">
      <w:pPr>
        <w:pStyle w:val="Style_9"/>
        <w:spacing w:after="0" w:before="0" w:line="360" w:lineRule="auto"/>
        <w:ind w:firstLine="709" w:left="170" w:right="57"/>
        <w:jc w:val="both"/>
      </w:pPr>
      <w:r>
        <w:t>-</w:t>
      </w:r>
      <w:r>
        <w:rPr>
          <w:rStyle w:val="Style_10_ch"/>
          <w:b w:val="0"/>
        </w:rPr>
        <w:t>Финансовые ресурсы</w:t>
      </w:r>
      <w:r>
        <w:t>. К ним относятся оборотные и внеоборотные активы. </w:t>
      </w:r>
    </w:p>
    <w:p w14:paraId="55020000">
      <w:pPr>
        <w:pStyle w:val="Style_9"/>
        <w:spacing w:after="0" w:before="0" w:line="360" w:lineRule="auto"/>
        <w:ind w:firstLine="709" w:left="170" w:right="57"/>
        <w:jc w:val="both"/>
      </w:pPr>
      <w:r>
        <w:t>-</w:t>
      </w:r>
      <w:r>
        <w:rPr>
          <w:rStyle w:val="Style_10_ch"/>
          <w:b w:val="0"/>
        </w:rPr>
        <w:t>Источники финансирования</w:t>
      </w:r>
      <w:r>
        <w:t>. Это может быть собственный или заёмный капитал организации. </w:t>
      </w:r>
    </w:p>
    <w:p w14:paraId="56020000">
      <w:pPr>
        <w:pStyle w:val="Style_9"/>
        <w:spacing w:after="0" w:before="0" w:line="360" w:lineRule="auto"/>
        <w:ind w:firstLine="709" w:left="170" w:right="57"/>
        <w:jc w:val="both"/>
      </w:pPr>
      <w:r>
        <w:t>-</w:t>
      </w:r>
      <w:r>
        <w:rPr>
          <w:rStyle w:val="Style_10_ch"/>
          <w:b w:val="0"/>
        </w:rPr>
        <w:t>Финансовые риски</w:t>
      </w:r>
      <w:r>
        <w:t>. Минимизировать их позволяет стратегия финансовой безопасности. </w:t>
      </w:r>
    </w:p>
    <w:p w14:paraId="57020000">
      <w:pPr>
        <w:pStyle w:val="Style_9"/>
        <w:spacing w:after="0" w:before="0" w:line="360" w:lineRule="auto"/>
        <w:ind w:firstLine="709" w:left="170" w:right="57"/>
        <w:jc w:val="both"/>
      </w:pPr>
      <w:r>
        <w:t>-</w:t>
      </w:r>
      <w:r>
        <w:rPr>
          <w:rStyle w:val="Style_10_ch"/>
          <w:b w:val="0"/>
        </w:rPr>
        <w:t>Налоговая стратегия</w:t>
      </w:r>
      <w:r>
        <w:t>. Включает график необходимых платежей и налоговые риски. </w:t>
      </w:r>
    </w:p>
    <w:p w14:paraId="58020000">
      <w:pPr>
        <w:pStyle w:val="Style_9"/>
        <w:spacing w:after="0" w:before="0" w:line="360" w:lineRule="auto"/>
        <w:ind w:firstLine="709" w:left="170" w:right="57"/>
        <w:jc w:val="both"/>
      </w:pPr>
      <w:r>
        <w:t>-</w:t>
      </w:r>
      <w:r>
        <w:rPr>
          <w:rStyle w:val="Style_10_ch"/>
          <w:b w:val="0"/>
        </w:rPr>
        <w:t>Финансовые отношения</w:t>
      </w:r>
      <w:r>
        <w:t> между предприятием, партнёрами, контрагентами, клиентами, сотрудниками. </w:t>
      </w:r>
      <w:r>
        <w:t xml:space="preserve"> </w:t>
      </w:r>
    </w:p>
    <w:p w14:paraId="59020000">
      <w:pPr>
        <w:pStyle w:val="Style_9"/>
        <w:spacing w:after="0" w:before="0" w:line="360" w:lineRule="auto"/>
        <w:ind w:firstLine="709" w:left="170" w:right="57"/>
        <w:jc w:val="both"/>
      </w:pPr>
      <w:r>
        <w:rPr>
          <w:rStyle w:val="Style_10_ch"/>
          <w:b w:val="0"/>
        </w:rPr>
        <w:t>Р</w:t>
      </w:r>
      <w:r>
        <w:rPr>
          <w:rStyle w:val="Style_10_ch"/>
          <w:b w:val="0"/>
        </w:rPr>
        <w:t xml:space="preserve">азработка </w:t>
      </w:r>
      <w:r>
        <w:t>экономической</w:t>
      </w:r>
      <w:r>
        <w:rPr>
          <w:rStyle w:val="Style_10_ch"/>
          <w:b w:val="0"/>
        </w:rPr>
        <w:t xml:space="preserve"> </w:t>
      </w:r>
      <w:r>
        <w:rPr>
          <w:rStyle w:val="Style_10_ch"/>
          <w:b w:val="0"/>
        </w:rPr>
        <w:t>стратегии</w:t>
      </w:r>
      <w:r>
        <w:rPr>
          <w:highlight w:val="white"/>
        </w:rPr>
        <w:t xml:space="preserve"> </w:t>
      </w:r>
      <w:r>
        <w:t>ООО «ГРАФИТ»</w:t>
      </w:r>
      <w:r>
        <w:t xml:space="preserve"> </w:t>
      </w:r>
      <w:r>
        <w:t xml:space="preserve"> </w:t>
      </w:r>
      <w:r>
        <w:rPr>
          <w:rStyle w:val="Style_10_ch"/>
          <w:b w:val="0"/>
        </w:rPr>
        <w:t>включает несколько этапов</w:t>
      </w:r>
      <w:r>
        <w:t xml:space="preserve">:  </w:t>
      </w:r>
    </w:p>
    <w:p w14:paraId="5A020000">
      <w:pPr>
        <w:widowControl w:val="1"/>
        <w:numPr>
          <w:ilvl w:val="0"/>
          <w:numId w:val="4"/>
        </w:numPr>
        <w:spacing w:line="360" w:lineRule="auto"/>
        <w:ind w:firstLine="709" w:left="170" w:right="57"/>
        <w:jc w:val="both"/>
        <w:rPr>
          <w:sz w:val="24"/>
        </w:rPr>
      </w:pPr>
      <w:r>
        <w:rPr>
          <w:rStyle w:val="Style_10_ch"/>
          <w:b w:val="0"/>
          <w:sz w:val="24"/>
        </w:rPr>
        <w:t>Определение срока</w:t>
      </w:r>
      <w:r>
        <w:rPr>
          <w:sz w:val="24"/>
        </w:rPr>
        <w:t xml:space="preserve">. От него будут зависеть цели и степень детализации стратегии. При разработке долгосрочной стратегии определяются валовой доход и затраты, выявляются источники денежных поступлений и направления использования доходов (в перспективе до 5 лет). В случае краткосрочной финансовой стратегии определяется, как будут вести себя финансовые потоки в ближайшей перспективе (до 1 года).  </w:t>
      </w:r>
    </w:p>
    <w:p w14:paraId="5B020000">
      <w:pPr>
        <w:widowControl w:val="1"/>
        <w:numPr>
          <w:ilvl w:val="0"/>
          <w:numId w:val="4"/>
        </w:numPr>
        <w:spacing w:line="360" w:lineRule="auto"/>
        <w:ind w:firstLine="709" w:left="170" w:right="57"/>
        <w:jc w:val="both"/>
        <w:rPr>
          <w:sz w:val="24"/>
        </w:rPr>
      </w:pPr>
      <w:r>
        <w:rPr>
          <w:rStyle w:val="Style_10_ch"/>
          <w:b w:val="0"/>
          <w:sz w:val="24"/>
        </w:rPr>
        <w:t>Определение целей финансовой деятельности</w:t>
      </w:r>
      <w:r>
        <w:rPr>
          <w:sz w:val="24"/>
        </w:rPr>
        <w:t xml:space="preserve">. Предприятие должно быть достаточно рентабельным, чтобы обеспечивать все процессы (производство, дистрибуция и пр.), а также иметь возможность выплачивать налоги, оплачивать труд сотрудников, аренду производственных помещений и пр.  </w:t>
      </w:r>
    </w:p>
    <w:p w14:paraId="5C020000">
      <w:pPr>
        <w:widowControl w:val="1"/>
        <w:numPr>
          <w:ilvl w:val="0"/>
          <w:numId w:val="4"/>
        </w:numPr>
        <w:spacing w:line="360" w:lineRule="auto"/>
        <w:ind w:firstLine="709" w:left="170" w:right="57"/>
        <w:jc w:val="both"/>
        <w:rPr>
          <w:sz w:val="24"/>
        </w:rPr>
      </w:pPr>
      <w:r>
        <w:rPr>
          <w:rStyle w:val="Style_10_ch"/>
          <w:b w:val="0"/>
          <w:sz w:val="24"/>
        </w:rPr>
        <w:t>Регулярный анализ текущей ситуации</w:t>
      </w:r>
      <w:r>
        <w:rPr>
          <w:sz w:val="24"/>
        </w:rPr>
        <w:t xml:space="preserve">. Это помогает корректировать постановку конкретных тактических задач. Например, при низком спросе на продукцию необходимо переместить внимание с объёмов производства на объёмы дистрибуции, поискать новые торговые точки, инвестировать в маркетинговые активности.  </w:t>
      </w:r>
    </w:p>
    <w:p w14:paraId="5D020000">
      <w:pPr>
        <w:pStyle w:val="Style_9"/>
        <w:spacing w:after="0" w:before="0" w:line="360" w:lineRule="auto"/>
        <w:ind w:firstLine="709" w:left="170" w:right="57"/>
        <w:jc w:val="both"/>
      </w:pPr>
      <w:r>
        <w:t>Э</w:t>
      </w:r>
      <w:r>
        <w:t>кономическ</w:t>
      </w:r>
      <w:r>
        <w:t>ую</w:t>
      </w:r>
      <w:r>
        <w:t xml:space="preserve"> стратеги</w:t>
      </w:r>
      <w:r>
        <w:t>ю</w:t>
      </w:r>
      <w:r>
        <w:t xml:space="preserve"> </w:t>
      </w:r>
      <w:r>
        <w:t>ООО «ГРАФИТ»</w:t>
      </w:r>
      <w:r>
        <w:t xml:space="preserve"> </w:t>
      </w:r>
      <w:r>
        <w:t xml:space="preserve"> </w:t>
      </w:r>
      <w:r>
        <w:t>можно условно разделить на два направления: </w:t>
      </w:r>
      <w:r>
        <w:rPr>
          <w:rStyle w:val="Style_10_ch"/>
          <w:b w:val="0"/>
        </w:rPr>
        <w:t>кредитное и инвестиционное</w:t>
      </w:r>
      <w:r>
        <w:t xml:space="preserve">. В рамках первого направления предприятие привлекает ресурсы. </w:t>
      </w:r>
    </w:p>
    <w:p w14:paraId="5E020000">
      <w:pPr>
        <w:pStyle w:val="Style_9"/>
        <w:spacing w:after="0" w:before="0" w:line="360" w:lineRule="auto"/>
        <w:ind w:firstLine="709" w:left="170" w:right="57"/>
        <w:jc w:val="both"/>
      </w:pPr>
      <w:r>
        <w:t xml:space="preserve">Для этих целей может использоваться акционерный и ссудный капитал, кредиторская задолженность, реинвестируемая прибыль и фонды. </w:t>
      </w:r>
    </w:p>
    <w:p w14:paraId="5F020000">
      <w:pPr>
        <w:pStyle w:val="Style_9"/>
        <w:spacing w:after="0" w:before="0" w:line="360" w:lineRule="auto"/>
        <w:ind w:firstLine="709" w:left="170" w:right="57"/>
        <w:jc w:val="both"/>
      </w:pPr>
      <w:r>
        <w:t>В рамках второго направления предприятие</w:t>
      </w:r>
      <w:r>
        <w:t xml:space="preserve"> </w:t>
      </w:r>
      <w:r>
        <w:t>ООО «ГРАФИТ»</w:t>
      </w:r>
      <w:r>
        <w:t xml:space="preserve"> </w:t>
      </w:r>
      <w:r>
        <w:t xml:space="preserve"> </w:t>
      </w:r>
      <w:r>
        <w:t xml:space="preserve"> вкладывает средства в собственную деятельность, в том числе в производственные процессы (реальные инвестиции), в приобретение финансовых инструментов (финансовые инвестиции), в обучение персонала и разработку производственных технологий (интеллектуальные инвестиции).</w:t>
      </w:r>
    </w:p>
    <w:p w14:paraId="60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Выводы</w:t>
      </w:r>
      <w:r>
        <w:rPr>
          <w:sz w:val="24"/>
        </w:rPr>
        <w:t>:</w:t>
      </w:r>
    </w:p>
    <w:p w14:paraId="61020000">
      <w:pPr>
        <w:spacing w:line="360" w:lineRule="auto"/>
        <w:ind w:firstLine="709" w:left="170" w:right="57"/>
        <w:contextualSpacing w:val="1"/>
        <w:jc w:val="both"/>
        <w:rPr>
          <w:sz w:val="24"/>
        </w:rPr>
      </w:pPr>
      <w:r>
        <w:rPr>
          <w:color w:val="000000"/>
          <w:sz w:val="24"/>
        </w:rPr>
        <w:t>-</w:t>
      </w:r>
      <w:r>
        <w:rPr>
          <w:color w:val="000000"/>
          <w:sz w:val="24"/>
        </w:rPr>
        <w:t>Анализ деятельности организации показал, что</w:t>
      </w:r>
      <w:r>
        <w:rPr>
          <w:sz w:val="24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t xml:space="preserve"> </w:t>
      </w:r>
      <w:r>
        <w:rPr>
          <w:sz w:val="24"/>
        </w:rPr>
        <w:t xml:space="preserve">осуществляет свою деятельность согласно действующего законодательства:  Гражданским кодексом РФ, Федеральным Законом РФ «Об обществах с ограниченной ответственностью», другими нормативными актами. </w:t>
      </w:r>
    </w:p>
    <w:p w14:paraId="62020000">
      <w:pPr>
        <w:spacing w:line="360" w:lineRule="auto"/>
        <w:ind w:firstLine="709" w:left="170" w:right="57"/>
        <w:contextualSpacing w:val="1"/>
        <w:jc w:val="both"/>
        <w:rPr>
          <w:sz w:val="24"/>
        </w:rPr>
      </w:pPr>
      <w:r>
        <w:rPr>
          <w:sz w:val="24"/>
        </w:rPr>
        <w:t xml:space="preserve">-Предприятие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t xml:space="preserve"> </w:t>
      </w:r>
      <w:r>
        <w:rPr>
          <w:sz w:val="24"/>
        </w:rPr>
        <w:t xml:space="preserve">являясь коммерческой организацией, хозяйственным обществом в форме общества с ограниченной ответственностью. </w:t>
      </w:r>
      <w:r>
        <w:rPr>
          <w:sz w:val="24"/>
        </w:rPr>
        <w:t xml:space="preserve"> </w:t>
      </w:r>
      <w:r>
        <w:rPr>
          <w:sz w:val="24"/>
        </w:rPr>
        <w:t xml:space="preserve">Общество  является юридическим лицом и строит свою деятельность на основании настоящего Устава и действующего законодательства Российской Федерации. </w:t>
      </w:r>
    </w:p>
    <w:p w14:paraId="63020000">
      <w:pPr>
        <w:tabs>
          <w:tab w:leader="none" w:pos="5373" w:val="left"/>
        </w:tabs>
        <w:spacing w:line="360" w:lineRule="auto"/>
        <w:ind w:firstLine="709" w:left="170" w:right="57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-</w:t>
      </w:r>
      <w:r>
        <w:rPr>
          <w:color w:themeColor="text1" w:val="000000"/>
          <w:sz w:val="24"/>
        </w:rPr>
        <w:t>В 202</w:t>
      </w:r>
      <w:r>
        <w:rPr>
          <w:color w:themeColor="text1" w:val="000000"/>
          <w:sz w:val="24"/>
        </w:rPr>
        <w:t>5</w:t>
      </w:r>
      <w:r>
        <w:rPr>
          <w:color w:themeColor="text1" w:val="000000"/>
          <w:sz w:val="24"/>
        </w:rPr>
        <w:t xml:space="preserve"> году  у предприятия</w:t>
      </w:r>
      <w:r>
        <w:rPr>
          <w:sz w:val="24"/>
          <w:highlight w:val="white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t xml:space="preserve"> </w:t>
      </w:r>
      <w:r>
        <w:rPr>
          <w:color w:themeColor="text1" w:val="000000"/>
          <w:sz w:val="24"/>
        </w:rPr>
        <w:t xml:space="preserve">достаточно денежных средств для погашения наиболее срочных обязательств (излишек10103тыс.руб.). Выполненный расчет абсолютных величин по платежному излишку показывает, что наиболее ликвидные активы покрывают лишь 253,9% обязательств. </w:t>
      </w:r>
    </w:p>
    <w:p w14:paraId="64020000">
      <w:pPr>
        <w:tabs>
          <w:tab w:leader="none" w:pos="5373" w:val="left"/>
        </w:tabs>
        <w:spacing w:line="360" w:lineRule="auto"/>
        <w:ind w:firstLine="709" w:left="170" w:right="57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-</w:t>
      </w:r>
      <w:r>
        <w:rPr>
          <w:color w:themeColor="text1" w:val="000000"/>
          <w:sz w:val="24"/>
        </w:rPr>
        <w:t>В соответствии с принципами оптимальной структуры активов</w:t>
      </w:r>
      <w:r>
        <w:rPr>
          <w:sz w:val="24"/>
          <w:highlight w:val="white"/>
        </w:rPr>
        <w:t xml:space="preserve"> </w:t>
      </w:r>
      <w:r>
        <w:rPr>
          <w:sz w:val="24"/>
        </w:rPr>
        <w:t>ООО «ГРАФИТ»</w:t>
      </w:r>
      <w:r>
        <w:rPr>
          <w:sz w:val="24"/>
        </w:rPr>
        <w:t xml:space="preserve"> </w:t>
      </w:r>
      <w:r>
        <w:rPr>
          <w:color w:themeColor="text1" w:val="000000"/>
          <w:sz w:val="24"/>
        </w:rPr>
        <w:t xml:space="preserve">по степени ликвидности, краткосрочной дебиторской задолженности должно быть достаточно для покрытия среднесрочных обязательств (краткосрочной задолженности за минусом текущей кредиторской задолженности). </w:t>
      </w:r>
    </w:p>
    <w:p w14:paraId="65020000">
      <w:pPr>
        <w:pStyle w:val="Style_9"/>
        <w:spacing w:after="0" w:before="0" w:line="360" w:lineRule="auto"/>
        <w:ind w:firstLine="709" w:left="170" w:right="57"/>
        <w:jc w:val="both"/>
      </w:pPr>
      <w:r>
        <w:rPr>
          <w:rStyle w:val="Style_10_ch"/>
          <w:b w:val="0"/>
        </w:rPr>
        <w:t>-</w:t>
      </w:r>
      <w:r>
        <w:rPr>
          <w:rStyle w:val="Style_10_ch"/>
          <w:b w:val="0"/>
        </w:rPr>
        <w:t>Э</w:t>
      </w:r>
      <w:r>
        <w:t>кономическ</w:t>
      </w:r>
      <w:r>
        <w:t>ая</w:t>
      </w:r>
      <w:r>
        <w:rPr>
          <w:rStyle w:val="Style_10_ch"/>
          <w:b w:val="0"/>
        </w:rPr>
        <w:t xml:space="preserve"> </w:t>
      </w:r>
      <w:r>
        <w:rPr>
          <w:rStyle w:val="Style_10_ch"/>
          <w:b w:val="0"/>
        </w:rPr>
        <w:t xml:space="preserve">стратегия </w:t>
      </w:r>
      <w:r>
        <w:rPr>
          <w:rStyle w:val="Style_10_ch"/>
          <w:b w:val="0"/>
        </w:rPr>
        <w:t>компании</w:t>
      </w:r>
      <w:r>
        <w:t> </w:t>
      </w:r>
      <w:r>
        <w:t>ООО «ГРАФИТ»</w:t>
      </w:r>
      <w:r>
        <w:t xml:space="preserve"> - это совокупность целей организации, направленных на повышение её рыночной стоимости и увеличение доходов собственников.  </w:t>
      </w:r>
    </w:p>
    <w:p w14:paraId="66020000">
      <w:pPr>
        <w:pStyle w:val="Style_9"/>
        <w:spacing w:after="0" w:before="0" w:line="360" w:lineRule="auto"/>
        <w:ind w:firstLine="709" w:left="170" w:right="57"/>
        <w:jc w:val="both"/>
      </w:pPr>
      <w:r>
        <w:rPr>
          <w:rStyle w:val="Style_10_ch"/>
          <w:b w:val="0"/>
        </w:rPr>
        <w:t xml:space="preserve">Основные </w:t>
      </w:r>
      <w:r>
        <w:t>предложения по оптимизации управления финансовыми потоками в организации</w:t>
      </w:r>
      <w:r>
        <w:t xml:space="preserve"> </w:t>
      </w:r>
      <w:r>
        <w:t>ООО «ГРАФИТ»</w:t>
      </w:r>
      <w:r>
        <w:t>:</w:t>
      </w:r>
    </w:p>
    <w:p w14:paraId="67020000">
      <w:pPr>
        <w:pStyle w:val="Style_9"/>
        <w:spacing w:after="0" w:before="0" w:line="360" w:lineRule="auto"/>
        <w:ind w:firstLine="709" w:left="170" w:right="57"/>
        <w:jc w:val="both"/>
      </w:pPr>
      <w:r>
        <w:rPr>
          <w:rStyle w:val="Style_10_ch"/>
          <w:b w:val="0"/>
        </w:rPr>
        <w:t xml:space="preserve">1) </w:t>
      </w:r>
      <w:r>
        <w:rPr>
          <w:rStyle w:val="Style_10_ch"/>
          <w:b w:val="0"/>
        </w:rPr>
        <w:t>Увеличение входящего финансового потока</w:t>
      </w:r>
      <w:r>
        <w:t>. Полная или частичная предоплата за реализуемые товары (услуги, работы), уменьшение сроков или отказ от предоставления рассрочек и кредитов потребителям, увеличение оборота за счёт установления скидок на неликвидную продукцию, активная работа с дебиторской задолженностью, реструктуризация компании, привлечение инвесторов или партнёров, реализация непрофильных активов. </w:t>
      </w:r>
    </w:p>
    <w:p w14:paraId="68020000">
      <w:pPr>
        <w:pStyle w:val="Style_9"/>
        <w:spacing w:after="0" w:before="0" w:line="360" w:lineRule="auto"/>
        <w:ind w:firstLine="709" w:left="170" w:right="57"/>
        <w:jc w:val="both"/>
      </w:pPr>
      <w:r>
        <w:rPr>
          <w:rStyle w:val="Style_10_ch"/>
          <w:b w:val="0"/>
        </w:rPr>
        <w:t xml:space="preserve">2) </w:t>
      </w:r>
      <w:r>
        <w:rPr>
          <w:rStyle w:val="Style_10_ch"/>
          <w:b w:val="0"/>
        </w:rPr>
        <w:t>Уменьшение исходящего потока денежных средств</w:t>
      </w:r>
      <w:r>
        <w:t xml:space="preserve">. Согласование с поставщиками постоплаты или увеличение срока постоплаты, перевод краткосрочных </w:t>
      </w:r>
      <w:r>
        <w:t>займов в долгосрочные, приобретение активов в лизинг, оптимизация налогообложения, сокращение расходов. </w:t>
      </w:r>
    </w:p>
    <w:p w14:paraId="69020000">
      <w:pPr>
        <w:pStyle w:val="Style_9"/>
        <w:spacing w:after="0" w:before="0" w:line="360" w:lineRule="auto"/>
        <w:ind w:firstLine="709" w:left="170" w:right="57"/>
        <w:jc w:val="both"/>
      </w:pPr>
      <w:r>
        <w:rPr>
          <w:rStyle w:val="Style_10_ch"/>
          <w:b w:val="0"/>
        </w:rPr>
        <w:t xml:space="preserve">3) </w:t>
      </w:r>
      <w:r>
        <w:rPr>
          <w:rStyle w:val="Style_10_ch"/>
          <w:b w:val="0"/>
        </w:rPr>
        <w:t>Использование технологий для сокращения цикла оборота денежных средств</w:t>
      </w:r>
      <w:r>
        <w:t>. Например, предоставление счетов-фактур в электронном виде, чтобы ускорить выставление и принятие к оплате счетов контрагентов. </w:t>
      </w:r>
    </w:p>
    <w:p w14:paraId="6A020000">
      <w:pPr>
        <w:pStyle w:val="Style_9"/>
        <w:spacing w:after="0" w:before="0" w:line="360" w:lineRule="auto"/>
        <w:ind w:firstLine="709" w:left="170" w:right="57"/>
        <w:jc w:val="both"/>
      </w:pPr>
      <w:r>
        <w:rPr>
          <w:rStyle w:val="Style_10_ch"/>
          <w:b w:val="0"/>
        </w:rPr>
        <w:t xml:space="preserve">4) </w:t>
      </w:r>
      <w:r>
        <w:rPr>
          <w:rStyle w:val="Style_10_ch"/>
          <w:b w:val="0"/>
        </w:rPr>
        <w:t>Чёткая регламентация процессов управления денежными средствами</w:t>
      </w:r>
      <w:r>
        <w:t>. Это позволит сократить трудозатраты топ-менеджеров компании на контроль расходования средств. Например, можно установить сроки и последовательность прохождения заявок на оплату. </w:t>
      </w:r>
    </w:p>
    <w:p w14:paraId="6B020000">
      <w:pPr>
        <w:pStyle w:val="Style_9"/>
        <w:spacing w:after="0" w:before="0" w:line="360" w:lineRule="auto"/>
        <w:ind w:firstLine="709" w:left="170" w:right="57"/>
        <w:jc w:val="both"/>
      </w:pPr>
      <w:r>
        <w:rPr>
          <w:rStyle w:val="Style_10_ch"/>
          <w:b w:val="0"/>
        </w:rPr>
        <w:t xml:space="preserve">5) </w:t>
      </w:r>
      <w:r>
        <w:rPr>
          <w:rStyle w:val="Style_10_ch"/>
          <w:b w:val="0"/>
        </w:rPr>
        <w:t>Ранжирование платежей по степени их приоритетности</w:t>
      </w:r>
      <w:r>
        <w:t xml:space="preserve">. Статьи с наиболее высоким приоритетом оплачиваются в обязательном порядке, статьи с пониженным приоритетом </w:t>
      </w:r>
      <w:r>
        <w:t>-</w:t>
      </w:r>
      <w:r>
        <w:t xml:space="preserve"> при выполнении дополнительных условий.</w:t>
      </w:r>
    </w:p>
    <w:p w14:paraId="6C020000">
      <w:pPr>
        <w:pStyle w:val="Style_9"/>
        <w:spacing w:after="0" w:before="0" w:line="360" w:lineRule="auto"/>
        <w:ind w:firstLine="709" w:left="170" w:right="57"/>
        <w:jc w:val="both"/>
      </w:pPr>
    </w:p>
    <w:p w14:paraId="6D020000">
      <w:pPr>
        <w:pStyle w:val="Style_9"/>
        <w:spacing w:after="0" w:before="0" w:line="360" w:lineRule="auto"/>
        <w:ind w:firstLine="709" w:left="170" w:right="57"/>
        <w:jc w:val="both"/>
      </w:pPr>
      <w:r>
        <w:t>Список основных источников и литературы</w:t>
      </w:r>
    </w:p>
    <w:p w14:paraId="6E020000">
      <w:pPr>
        <w:pStyle w:val="Style_9"/>
        <w:spacing w:after="0" w:before="0" w:line="360" w:lineRule="auto"/>
        <w:ind w:firstLine="709" w:left="170" w:right="57"/>
        <w:jc w:val="both"/>
      </w:pPr>
      <w:r>
        <w:rPr>
          <w:rStyle w:val="Style_10_ch"/>
          <w:b w:val="0"/>
        </w:rPr>
        <w:t>1.</w:t>
      </w:r>
      <w:r>
        <w:rPr>
          <w:rStyle w:val="Style_10_ch"/>
          <w:b w:val="0"/>
        </w:rPr>
        <w:t>Бурмистрова Л. М.</w:t>
      </w:r>
      <w:r>
        <w:t> «Финансы организаций (предприятий)». Учебное пособие. Москва: ИНФРА-М, 20</w:t>
      </w:r>
      <w:r>
        <w:t>2</w:t>
      </w:r>
      <w:r>
        <w:t>4</w:t>
      </w:r>
      <w:r>
        <w:t>.</w:t>
      </w:r>
    </w:p>
    <w:p w14:paraId="6F020000">
      <w:pPr>
        <w:pStyle w:val="Style_9"/>
        <w:spacing w:after="0" w:before="0" w:line="360" w:lineRule="auto"/>
        <w:ind w:firstLine="709" w:left="170" w:right="57"/>
        <w:jc w:val="both"/>
      </w:pPr>
      <w:r>
        <w:rPr>
          <w:rStyle w:val="Style_10_ch"/>
          <w:b w:val="0"/>
        </w:rPr>
        <w:t>2.</w:t>
      </w:r>
      <w:r>
        <w:rPr>
          <w:rStyle w:val="Style_10_ch"/>
          <w:b w:val="0"/>
        </w:rPr>
        <w:t>Дорман В. Н.</w:t>
      </w:r>
      <w:r>
        <w:t> «Экономика организации. Ресурсы коммерческой организации» : учебное пособие для вузов / В. Н. Дорман; под научной редакцией Н. Р. Кельчевской. — Москва: Издательство Юрайт, 202</w:t>
      </w:r>
      <w:r>
        <w:t>4</w:t>
      </w:r>
      <w:r>
        <w:t>.</w:t>
      </w:r>
    </w:p>
    <w:p w14:paraId="70020000">
      <w:pPr>
        <w:pStyle w:val="Style_9"/>
        <w:spacing w:after="0" w:before="0" w:line="360" w:lineRule="auto"/>
        <w:ind w:firstLine="709" w:left="170" w:right="57"/>
        <w:jc w:val="both"/>
      </w:pPr>
      <w:r>
        <w:rPr>
          <w:rStyle w:val="Style_10_ch"/>
          <w:b w:val="0"/>
        </w:rPr>
        <w:t>3.</w:t>
      </w:r>
      <w:r>
        <w:rPr>
          <w:rStyle w:val="Style_10_ch"/>
          <w:b w:val="0"/>
        </w:rPr>
        <w:t>Жилкина А. Н.</w:t>
      </w:r>
      <w:r>
        <w:t> «Управление финансами. Финансовый анализ предприятия». Учебник. Москва: ИНФРА-М, 20</w:t>
      </w:r>
      <w:r>
        <w:t>2</w:t>
      </w:r>
      <w:r>
        <w:t>4</w:t>
      </w:r>
      <w:r>
        <w:t>.</w:t>
      </w:r>
    </w:p>
    <w:p w14:paraId="71020000">
      <w:pPr>
        <w:pStyle w:val="Style_9"/>
        <w:spacing w:after="0" w:before="0" w:line="360" w:lineRule="auto"/>
        <w:ind w:firstLine="709" w:left="170" w:right="57"/>
        <w:jc w:val="both"/>
      </w:pPr>
      <w:r>
        <w:rPr>
          <w:rStyle w:val="Style_10_ch"/>
          <w:b w:val="0"/>
        </w:rPr>
        <w:t>4.</w:t>
      </w:r>
      <w:r>
        <w:rPr>
          <w:rStyle w:val="Style_10_ch"/>
          <w:b w:val="0"/>
        </w:rPr>
        <w:t>Ивасенко А. Г., Никонова Я. И.</w:t>
      </w:r>
      <w:r>
        <w:t> «Финансы организаций (предприятий)». Учебное пособие. Москва: КноРус, 20</w:t>
      </w:r>
      <w:r>
        <w:t>2</w:t>
      </w:r>
      <w:r>
        <w:t>4</w:t>
      </w:r>
      <w:r>
        <w:t>. </w:t>
      </w:r>
    </w:p>
    <w:p w14:paraId="72020000">
      <w:pPr>
        <w:pStyle w:val="Style_9"/>
        <w:spacing w:after="0" w:before="0" w:line="360" w:lineRule="auto"/>
        <w:ind w:firstLine="709" w:left="170" w:right="57"/>
        <w:jc w:val="both"/>
      </w:pPr>
      <w:r>
        <w:rPr>
          <w:rStyle w:val="Style_10_ch"/>
          <w:b w:val="0"/>
        </w:rPr>
        <w:t>5.</w:t>
      </w:r>
      <w:r>
        <w:rPr>
          <w:rStyle w:val="Style_10_ch"/>
          <w:b w:val="0"/>
        </w:rPr>
        <w:t>Коршунов В. В.</w:t>
      </w:r>
      <w:r>
        <w:t> «Экономика организации (предприятия)» : учебник и практикум для вузов / В. В. Коршунов. — 5-е изд., перераб. и доп. — Москва : Издательство Юрайт, 202</w:t>
      </w:r>
      <w:r>
        <w:t>4</w:t>
      </w:r>
      <w:r>
        <w:t>. </w:t>
      </w:r>
    </w:p>
    <w:p w14:paraId="73020000">
      <w:pPr>
        <w:pStyle w:val="Style_9"/>
        <w:spacing w:after="0" w:before="0" w:line="360" w:lineRule="auto"/>
        <w:ind w:firstLine="709" w:left="170" w:right="57"/>
        <w:jc w:val="both"/>
      </w:pPr>
      <w:r>
        <w:rPr>
          <w:rStyle w:val="Style_10_ch"/>
          <w:b w:val="0"/>
        </w:rPr>
        <w:t>6.</w:t>
      </w:r>
      <w:r>
        <w:rPr>
          <w:rStyle w:val="Style_10_ch"/>
          <w:b w:val="0"/>
        </w:rPr>
        <w:t>Клишевич Н. Б.</w:t>
      </w:r>
      <w:r>
        <w:t> «Финансы организаций: менеджмент и анализ». Учебное пособие. Москва: КноРус, 202</w:t>
      </w:r>
      <w:r>
        <w:t>4</w:t>
      </w:r>
      <w:r>
        <w:t>. </w:t>
      </w:r>
    </w:p>
    <w:p w14:paraId="74020000">
      <w:pPr>
        <w:pStyle w:val="Style_9"/>
        <w:spacing w:after="0" w:before="0" w:line="360" w:lineRule="auto"/>
        <w:ind w:firstLine="709" w:left="170" w:right="57"/>
        <w:jc w:val="both"/>
      </w:pPr>
      <w:r>
        <w:rPr>
          <w:rStyle w:val="Style_10_ch"/>
          <w:b w:val="0"/>
        </w:rPr>
        <w:t>7.</w:t>
      </w:r>
      <w:r>
        <w:rPr>
          <w:rStyle w:val="Style_10_ch"/>
          <w:b w:val="0"/>
        </w:rPr>
        <w:t>Ковалев В. В., Ковалев Вит. В.</w:t>
      </w:r>
      <w:r>
        <w:t> «Финансы организаций (предприятий)». Учебник. Москва: Проспект, 20</w:t>
      </w:r>
      <w:r>
        <w:t>2</w:t>
      </w:r>
      <w:r>
        <w:t>4</w:t>
      </w:r>
      <w:r>
        <w:t>. </w:t>
      </w:r>
    </w:p>
    <w:p w14:paraId="75020000">
      <w:pPr>
        <w:pStyle w:val="Style_9"/>
        <w:spacing w:after="0" w:before="0" w:line="360" w:lineRule="auto"/>
        <w:ind w:firstLine="709" w:left="170" w:right="57"/>
        <w:jc w:val="both"/>
      </w:pPr>
      <w:r>
        <w:rPr>
          <w:rStyle w:val="Style_10_ch"/>
          <w:b w:val="0"/>
        </w:rPr>
        <w:t>8.</w:t>
      </w:r>
      <w:r>
        <w:rPr>
          <w:rStyle w:val="Style_10_ch"/>
          <w:b w:val="0"/>
        </w:rPr>
        <w:t>Лапуста М. Г., Мазурина Т. Ю., Скамай Л. Г.</w:t>
      </w:r>
      <w:r>
        <w:t> «Финансы организаций (предприятий)». Учебник. Москва: ИНФРА-М, 20</w:t>
      </w:r>
      <w:r>
        <w:t>2</w:t>
      </w:r>
      <w:r>
        <w:t>4</w:t>
      </w:r>
      <w:r>
        <w:t>. </w:t>
      </w:r>
    </w:p>
    <w:p w14:paraId="76020000">
      <w:pPr>
        <w:pStyle w:val="Style_9"/>
        <w:spacing w:after="0" w:before="0" w:line="360" w:lineRule="auto"/>
        <w:ind w:firstLine="709" w:left="170" w:right="57"/>
        <w:jc w:val="both"/>
      </w:pPr>
      <w:r>
        <w:rPr>
          <w:rStyle w:val="Style_10_ch"/>
          <w:b w:val="0"/>
        </w:rPr>
        <w:t>9.</w:t>
      </w:r>
      <w:r>
        <w:rPr>
          <w:rStyle w:val="Style_10_ch"/>
          <w:b w:val="0"/>
        </w:rPr>
        <w:t>Николаева Т. П.</w:t>
      </w:r>
      <w:r>
        <w:t> «Финансы предприятия». Краткий курс лекций. Москва: Юрайт, 20</w:t>
      </w:r>
      <w:r>
        <w:t>24</w:t>
      </w:r>
      <w:r>
        <w:t>. </w:t>
      </w:r>
    </w:p>
    <w:p w14:paraId="77020000">
      <w:pPr>
        <w:pStyle w:val="Style_9"/>
        <w:spacing w:after="0" w:before="0" w:line="360" w:lineRule="auto"/>
        <w:ind w:firstLine="709" w:left="170" w:right="57"/>
        <w:jc w:val="both"/>
      </w:pPr>
      <w:r>
        <w:rPr>
          <w:rStyle w:val="Style_10_ch"/>
          <w:b w:val="0"/>
        </w:rPr>
        <w:t>10.</w:t>
      </w:r>
      <w:r>
        <w:rPr>
          <w:rStyle w:val="Style_10_ch"/>
          <w:b w:val="0"/>
        </w:rPr>
        <w:t>Слепов В. А., Шубина Т. В.</w:t>
      </w:r>
      <w:r>
        <w:t> «Финансы организаций (предприятий)». Учебник. Москва: Магистр: ИНФРА-М, 20</w:t>
      </w:r>
      <w:r>
        <w:t>2</w:t>
      </w:r>
      <w:r>
        <w:t>4</w:t>
      </w:r>
      <w:r>
        <w:t>. </w:t>
      </w:r>
    </w:p>
    <w:p w14:paraId="78020000">
      <w:pPr>
        <w:pStyle w:val="Style_9"/>
        <w:spacing w:after="0" w:before="0" w:line="360" w:lineRule="auto"/>
        <w:ind w:firstLine="709" w:left="170" w:right="57"/>
        <w:jc w:val="both"/>
      </w:pPr>
      <w:r>
        <w:rPr>
          <w:rStyle w:val="Style_10_ch"/>
          <w:b w:val="0"/>
        </w:rPr>
        <w:t>11.</w:t>
      </w:r>
      <w:r>
        <w:rPr>
          <w:rStyle w:val="Style_10_ch"/>
          <w:b w:val="0"/>
        </w:rPr>
        <w:t>Тютюкина Е. Б.</w:t>
      </w:r>
      <w:r>
        <w:t> «Финансы организаций (предприятий)». Учебник. Москва: Дашков и К°, 20</w:t>
      </w:r>
      <w:r>
        <w:t>2</w:t>
      </w:r>
      <w:r>
        <w:t>4</w:t>
      </w:r>
      <w:r>
        <w:t>. </w:t>
      </w:r>
    </w:p>
    <w:p w14:paraId="79020000">
      <w:pPr>
        <w:pStyle w:val="Style_9"/>
        <w:spacing w:after="0" w:before="0" w:line="360" w:lineRule="auto"/>
        <w:ind w:firstLine="709" w:left="170" w:right="57"/>
        <w:jc w:val="both"/>
      </w:pPr>
      <w:r>
        <w:rPr>
          <w:rStyle w:val="Style_10_ch"/>
          <w:b w:val="0"/>
        </w:rPr>
        <w:t>12.</w:t>
      </w:r>
      <w:r>
        <w:rPr>
          <w:rStyle w:val="Style_10_ch"/>
          <w:b w:val="0"/>
        </w:rPr>
        <w:t>Экономика организации</w:t>
      </w:r>
      <w:r>
        <w:t xml:space="preserve">: учебник и практикум для академического бакалавриата / Л. А. Чалдаева и др.; под редакцией Л. А. Чалдаевой, А. В. Шарковой. </w:t>
      </w:r>
      <w:r>
        <w:t>-</w:t>
      </w:r>
      <w:r>
        <w:t xml:space="preserve"> </w:t>
      </w:r>
      <w:r>
        <w:t>7</w:t>
      </w:r>
      <w:r>
        <w:t xml:space="preserve">-е изд., перераб. и доп. </w:t>
      </w:r>
      <w:r>
        <w:t>-</w:t>
      </w:r>
      <w:r>
        <w:t xml:space="preserve"> Москва: Издательство Юрайт, 202</w:t>
      </w:r>
      <w:r>
        <w:t>4</w:t>
      </w:r>
      <w:r>
        <w:t>.</w:t>
      </w:r>
    </w:p>
    <w:p w14:paraId="7A020000">
      <w:pPr>
        <w:ind/>
        <w:jc w:val="center"/>
      </w:pPr>
    </w:p>
    <w:p w14:paraId="7B020000">
      <w:pPr>
        <w:ind/>
        <w:jc w:val="center"/>
      </w:pPr>
    </w:p>
    <w:p w14:paraId="7C020000">
      <w:pPr>
        <w:ind/>
        <w:jc w:val="center"/>
      </w:pPr>
    </w:p>
    <w:p w14:paraId="7D020000">
      <w:pPr>
        <w:ind/>
        <w:jc w:val="center"/>
      </w:pPr>
    </w:p>
    <w:p w14:paraId="7E020000">
      <w:pPr>
        <w:ind/>
        <w:jc w:val="center"/>
      </w:pPr>
    </w:p>
    <w:p w14:paraId="7F020000">
      <w:pPr>
        <w:ind/>
        <w:jc w:val="center"/>
      </w:pPr>
    </w:p>
    <w:p w14:paraId="80020000">
      <w:pPr>
        <w:ind/>
        <w:jc w:val="center"/>
      </w:pPr>
    </w:p>
    <w:p w14:paraId="81020000">
      <w:pPr>
        <w:ind/>
        <w:jc w:val="center"/>
      </w:pPr>
    </w:p>
    <w:p w14:paraId="82020000">
      <w:pPr>
        <w:rPr>
          <w:sz w:val="24"/>
        </w:rPr>
      </w:pPr>
      <w:r>
        <w:rPr>
          <w:b w:val="1"/>
          <w:color w:val="000000"/>
          <w:spacing w:val="-4"/>
          <w:sz w:val="24"/>
        </w:rPr>
        <w:t xml:space="preserve"> </w:t>
      </w:r>
      <w:r>
        <w:rPr>
          <w:b w:val="1"/>
          <w:color w:val="000000"/>
          <w:spacing w:val="-4"/>
          <w:sz w:val="24"/>
        </w:rPr>
        <w:t xml:space="preserve">«___»______________ </w:t>
      </w:r>
      <w:r>
        <w:rPr>
          <w:color w:val="000000"/>
          <w:spacing w:val="-4"/>
          <w:sz w:val="24"/>
        </w:rPr>
        <w:t xml:space="preserve">202__г.                </w:t>
      </w:r>
      <w:r>
        <w:rPr>
          <w:sz w:val="24"/>
        </w:rPr>
        <w:t>________________    ________________________</w:t>
      </w:r>
    </w:p>
    <w:p w14:paraId="83020000">
      <w:pPr>
        <w:widowControl w:val="1"/>
        <w:ind w:firstLine="0" w:left="360"/>
        <w:rPr>
          <w:sz w:val="28"/>
        </w:rPr>
      </w:pPr>
      <w:r>
        <w:rPr>
          <w:sz w:val="16"/>
        </w:rPr>
        <w:t xml:space="preserve">                                                                                                                подпись                                И.О. Фамилия </w:t>
      </w:r>
      <w:r>
        <w:rPr>
          <w:color w:val="000000"/>
          <w:spacing w:val="-5"/>
          <w:sz w:val="16"/>
        </w:rPr>
        <w:t>обучающегося</w:t>
      </w:r>
    </w:p>
    <w:p w14:paraId="84020000">
      <w:pPr>
        <w:widowControl w:val="1"/>
        <w:spacing w:after="160" w:line="264" w:lineRule="auto"/>
        <w:ind/>
        <w:jc w:val="center"/>
        <w:rPr>
          <w:b w:val="1"/>
          <w:sz w:val="24"/>
        </w:rPr>
      </w:pPr>
    </w:p>
    <w:p w14:paraId="85020000">
      <w:pPr>
        <w:widowControl w:val="1"/>
        <w:spacing w:after="160" w:line="264" w:lineRule="auto"/>
        <w:ind/>
        <w:rPr>
          <w:b w:val="1"/>
          <w:sz w:val="24"/>
        </w:rPr>
      </w:pPr>
      <w:r>
        <w:rPr>
          <w:b w:val="1"/>
          <w:sz w:val="24"/>
        </w:rPr>
        <w:br w:type="page"/>
      </w:r>
    </w:p>
    <w:p w14:paraId="86020000">
      <w:pPr>
        <w:widowControl w:val="1"/>
        <w:spacing w:after="160" w:line="264" w:lineRule="auto"/>
        <w:ind/>
        <w:jc w:val="center"/>
        <w:rPr>
          <w:b w:val="1"/>
          <w:sz w:val="24"/>
        </w:rPr>
      </w:pPr>
    </w:p>
    <w:p w14:paraId="87020000">
      <w:pPr>
        <w:widowControl w:val="1"/>
        <w:spacing w:after="160" w:line="264" w:lineRule="auto"/>
        <w:ind/>
        <w:jc w:val="center"/>
        <w:rPr>
          <w:b w:val="1"/>
          <w:sz w:val="24"/>
        </w:rPr>
      </w:pPr>
      <w:r>
        <w:rPr>
          <w:b w:val="1"/>
          <w:sz w:val="24"/>
        </w:rPr>
        <w:t>4. Заключение руководителя от организации</w:t>
      </w:r>
    </w:p>
    <w:tbl>
      <w:tblPr>
        <w:tblStyle w:val="Style_2"/>
        <w:tblLayout w:type="fixed"/>
      </w:tblPr>
      <w:tblGrid>
        <w:gridCol w:w="9350"/>
      </w:tblGrid>
      <w:tr>
        <w:trPr>
          <w:trHeight w:hRule="atLeast" w:val="1528"/>
        </w:trPr>
        <w:tc>
          <w:tcPr>
            <w:tcW w:type="dxa" w:w="9350"/>
            <w:shd w:fill="auto" w:val="clear"/>
          </w:tcPr>
          <w:p w14:paraId="88020000">
            <w:pPr>
              <w:spacing w:before="120" w:line="360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>За время прохождения  практики в</w:t>
            </w:r>
            <w:r>
              <w:rPr>
                <w:sz w:val="24"/>
                <w:highlight w:val="white"/>
              </w:rPr>
              <w:t xml:space="preserve"> </w:t>
            </w:r>
            <w:r>
              <w:rPr>
                <w:sz w:val="24"/>
              </w:rPr>
              <w:t>ООО «ГРАФИТ»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color w:val="000000"/>
                <w:spacing w:val="-4"/>
                <w:sz w:val="24"/>
              </w:rPr>
              <w:t>бучающ</w:t>
            </w:r>
            <w:r>
              <w:rPr>
                <w:color w:val="000000"/>
                <w:spacing w:val="-4"/>
                <w:sz w:val="24"/>
              </w:rPr>
              <w:t>ий</w:t>
            </w:r>
            <w:r>
              <w:rPr>
                <w:color w:val="000000"/>
                <w:spacing w:val="-4"/>
                <w:sz w:val="24"/>
              </w:rPr>
              <w:t>ся</w:t>
            </w:r>
            <w:r>
              <w:rPr>
                <w:sz w:val="24"/>
              </w:rPr>
              <w:t xml:space="preserve"> подготовил  отчет о прохождении производственной</w:t>
            </w:r>
            <w:r>
              <w:rPr>
                <w:sz w:val="24"/>
              </w:rPr>
              <w:t xml:space="preserve"> практики и  аналитическую записку включающие следующее: </w:t>
            </w:r>
          </w:p>
          <w:p w14:paraId="89020000">
            <w:pPr>
              <w:spacing w:before="120" w:line="360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>- Проведен а</w:t>
            </w:r>
            <w:r>
              <w:rPr>
                <w:sz w:val="24"/>
              </w:rPr>
              <w:t>нализ деятельности организации</w:t>
            </w:r>
            <w:r>
              <w:rPr>
                <w:sz w:val="24"/>
              </w:rPr>
              <w:t xml:space="preserve"> ООО «ГРАФИТ»</w:t>
            </w:r>
            <w:r>
              <w:rPr>
                <w:sz w:val="24"/>
              </w:rPr>
              <w:t xml:space="preserve"> </w:t>
            </w:r>
            <w:r>
              <w:t xml:space="preserve"> </w:t>
            </w:r>
          </w:p>
          <w:p w14:paraId="8A020000">
            <w:pPr>
              <w:spacing w:before="120" w:line="360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>-Проведен а</w:t>
            </w:r>
            <w:r>
              <w:rPr>
                <w:sz w:val="24"/>
              </w:rPr>
              <w:t xml:space="preserve">нализ </w:t>
            </w:r>
            <w:r>
              <w:rPr>
                <w:sz w:val="24"/>
              </w:rPr>
              <w:t>организационной структуры организации</w:t>
            </w:r>
            <w:r>
              <w:rPr>
                <w:sz w:val="24"/>
              </w:rPr>
              <w:t xml:space="preserve"> ООО «ГРАФИТ»</w:t>
            </w:r>
            <w:r>
              <w:rPr>
                <w:sz w:val="24"/>
              </w:rPr>
              <w:t xml:space="preserve"> </w:t>
            </w:r>
            <w:r>
              <w:t xml:space="preserve"> </w:t>
            </w:r>
          </w:p>
          <w:p w14:paraId="8B020000">
            <w:pPr>
              <w:spacing w:before="120" w:line="360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>-Проведен а</w:t>
            </w:r>
            <w:r>
              <w:rPr>
                <w:sz w:val="24"/>
              </w:rPr>
              <w:t xml:space="preserve">нализ </w:t>
            </w:r>
            <w:r>
              <w:rPr>
                <w:sz w:val="24"/>
              </w:rPr>
              <w:t>эффективности управления финансами</w:t>
            </w:r>
            <w:r>
              <w:rPr>
                <w:sz w:val="24"/>
              </w:rPr>
              <w:t xml:space="preserve"> ООО «ГРАФИТ»</w:t>
            </w:r>
            <w:r>
              <w:rPr>
                <w:sz w:val="24"/>
              </w:rPr>
              <w:t xml:space="preserve"> </w:t>
            </w:r>
            <w:r>
              <w:t xml:space="preserve"> </w:t>
            </w:r>
          </w:p>
          <w:p w14:paraId="8C020000">
            <w:pPr>
              <w:spacing w:before="120" w:line="360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>-Проведен а</w:t>
            </w:r>
            <w:r>
              <w:rPr>
                <w:sz w:val="24"/>
              </w:rPr>
              <w:t xml:space="preserve">нализ </w:t>
            </w:r>
            <w:r>
              <w:rPr>
                <w:sz w:val="24"/>
              </w:rPr>
              <w:t xml:space="preserve">экономической </w:t>
            </w:r>
            <w:r>
              <w:rPr>
                <w:sz w:val="24"/>
              </w:rPr>
              <w:t>стратегии организации</w:t>
            </w:r>
            <w:r>
              <w:rPr>
                <w:sz w:val="24"/>
              </w:rPr>
              <w:t xml:space="preserve"> ООО «ГРАФИТ»</w:t>
            </w:r>
            <w:r>
              <w:rPr>
                <w:sz w:val="24"/>
              </w:rPr>
              <w:t xml:space="preserve"> </w:t>
            </w:r>
            <w:r>
              <w:t xml:space="preserve"> </w:t>
            </w:r>
          </w:p>
          <w:p w14:paraId="8D020000">
            <w:pPr>
              <w:spacing w:before="120" w:line="360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>- Сделаны в</w:t>
            </w:r>
            <w:r>
              <w:rPr>
                <w:sz w:val="24"/>
              </w:rPr>
              <w:t>ыводы и предложения по оптимизации управления финансовыми потоками в организации</w:t>
            </w:r>
            <w:r>
              <w:rPr>
                <w:sz w:val="24"/>
              </w:rPr>
              <w:t xml:space="preserve"> ООО «ГРАФИТ»</w:t>
            </w:r>
            <w:r>
              <w:rPr>
                <w:sz w:val="24"/>
              </w:rPr>
              <w:t xml:space="preserve"> </w:t>
            </w:r>
            <w:r>
              <w:t xml:space="preserve"> </w:t>
            </w:r>
          </w:p>
          <w:p w14:paraId="8E020000">
            <w:pPr>
              <w:spacing w:before="120" w:line="360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Во время практики в  </w:t>
            </w:r>
            <w:r>
              <w:rPr>
                <w:sz w:val="24"/>
              </w:rPr>
              <w:t>ООО «ГРАФИТ»</w:t>
            </w:r>
            <w:r>
              <w:t xml:space="preserve"> </w:t>
            </w:r>
            <w:r>
              <w:rPr>
                <w:sz w:val="24"/>
              </w:rPr>
              <w:t xml:space="preserve">проявил  себя как добросовестный работник и грамотный специалист, правильно и своевременно составлял порученные служебные документы, качественно и в установленные сроки исполнял обязанности, проявил себя как ответственный, пунктуальный и трудолюбивый сотрудник. </w:t>
            </w:r>
          </w:p>
          <w:p w14:paraId="8F020000">
            <w:pPr>
              <w:spacing w:before="120" w:line="360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>С сотрудниками компании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ООО «ГРАФИТ»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поддерживал ровные и  деловые отношения.  Замечаний  со стороны руководителя  практики от</w:t>
            </w:r>
            <w:r>
              <w:rPr>
                <w:sz w:val="24"/>
              </w:rPr>
              <w:t xml:space="preserve"> предприятия </w:t>
            </w:r>
            <w:r>
              <w:rPr>
                <w:sz w:val="24"/>
              </w:rPr>
              <w:t xml:space="preserve"> обнаружены не были. </w:t>
            </w:r>
          </w:p>
          <w:p w14:paraId="90020000">
            <w:pPr>
              <w:pStyle w:val="Style_6"/>
              <w:spacing w:after="0" w:before="120" w:line="360" w:lineRule="auto"/>
              <w:ind w:firstLine="709" w:left="170" w:right="57"/>
              <w:jc w:val="both"/>
              <w:rPr>
                <w:highlight w:val="white"/>
              </w:rPr>
            </w:pPr>
            <w:r>
              <w:rPr>
                <w:highlight w:val="white"/>
              </w:rPr>
              <w:t xml:space="preserve">В ходе пройденной практики </w:t>
            </w:r>
            <w:r>
              <w:t>в</w:t>
            </w:r>
            <w:r>
              <w:t xml:space="preserve"> ООО «ГРАФИТ»</w:t>
            </w:r>
            <w:r>
              <w:t xml:space="preserve"> </w:t>
            </w:r>
            <w:r>
              <w:t xml:space="preserve"> </w:t>
            </w:r>
            <w:r>
              <w:t>о</w:t>
            </w:r>
            <w:r>
              <w:rPr>
                <w:color w:val="000000"/>
                <w:spacing w:val="-4"/>
              </w:rPr>
              <w:t>бучающ</w:t>
            </w:r>
            <w:r>
              <w:rPr>
                <w:color w:val="000000"/>
                <w:spacing w:val="-4"/>
              </w:rPr>
              <w:t>ий</w:t>
            </w:r>
            <w:r>
              <w:rPr>
                <w:color w:val="000000"/>
                <w:spacing w:val="-4"/>
              </w:rPr>
              <w:t>ся</w:t>
            </w:r>
            <w:r>
              <w:rPr>
                <w:highlight w:val="white"/>
              </w:rPr>
              <w:t xml:space="preserve">, всю порученную  работу выполнял добросовестно и аккуратно, проявил себя как активный и дисциплинированный сотрудник. </w:t>
            </w:r>
          </w:p>
          <w:p w14:paraId="91020000">
            <w:pPr>
              <w:ind w:firstLine="708" w:left="0"/>
              <w:jc w:val="both"/>
              <w:rPr>
                <w:color w:val="000000"/>
                <w:spacing w:val="-4"/>
                <w:sz w:val="24"/>
              </w:rPr>
            </w:pPr>
          </w:p>
          <w:p w14:paraId="92020000">
            <w:pPr>
              <w:spacing w:line="360" w:lineRule="auto"/>
              <w:ind w:firstLine="708" w:left="0"/>
              <w:jc w:val="both"/>
              <w:rPr>
                <w:color w:val="000000"/>
                <w:spacing w:val="-4"/>
                <w:sz w:val="24"/>
              </w:rPr>
            </w:pPr>
            <w:r>
              <w:rPr>
                <w:sz w:val="24"/>
              </w:rPr>
              <w:t>Обучающийся по итогам технологической практики (проектно-технологической) з</w:t>
            </w:r>
            <w:r>
              <w:rPr>
                <w:color w:val="000000"/>
                <w:spacing w:val="-4"/>
                <w:sz w:val="24"/>
              </w:rPr>
              <w:t>аслуживает оценку «ОТЛИЧНО»</w:t>
            </w:r>
          </w:p>
          <w:p w14:paraId="93020000">
            <w:pPr>
              <w:ind/>
              <w:jc w:val="both"/>
              <w:rPr>
                <w:sz w:val="24"/>
              </w:rPr>
            </w:pPr>
          </w:p>
          <w:p w14:paraId="94020000">
            <w:pPr>
              <w:ind/>
              <w:jc w:val="both"/>
              <w:rPr>
                <w:sz w:val="24"/>
              </w:rPr>
            </w:pPr>
          </w:p>
        </w:tc>
      </w:tr>
    </w:tbl>
    <w:p w14:paraId="95020000">
      <w:pPr>
        <w:rPr/>
      </w:pPr>
    </w:p>
    <w:p w14:paraId="96020000">
      <w:pPr>
        <w:rPr/>
      </w:pPr>
    </w:p>
    <w:tbl>
      <w:tblPr>
        <w:tblStyle w:val="Style_2"/>
        <w:tblLayout w:type="fixed"/>
      </w:tblPr>
      <w:tblGrid>
        <w:gridCol w:w="3597"/>
        <w:gridCol w:w="6009"/>
      </w:tblGrid>
      <w:tr>
        <w:tc>
          <w:tcPr>
            <w:tcW w:type="dxa" w:w="3597"/>
          </w:tcPr>
          <w:p w14:paraId="9702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>Дата: _________</w:t>
            </w:r>
          </w:p>
        </w:tc>
        <w:tc>
          <w:tcPr>
            <w:tcW w:type="dxa" w:w="6009"/>
          </w:tcPr>
          <w:p w14:paraId="98020000">
            <w:pPr>
              <w:spacing w:line="276" w:lineRule="auto"/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_________            </w:t>
            </w:r>
            <w:r>
              <w:rPr>
                <w:sz w:val="28"/>
              </w:rPr>
              <w:t xml:space="preserve"> </w:t>
            </w:r>
          </w:p>
          <w:p w14:paraId="99020000">
            <w:pPr>
              <w:spacing w:line="276" w:lineRule="auto"/>
              <w:ind/>
            </w:pPr>
            <w:r>
              <w:t xml:space="preserve">   подпись                            </w:t>
            </w:r>
            <w:r>
              <w:rPr>
                <w:sz w:val="16"/>
              </w:rPr>
              <w:t xml:space="preserve">И.О. Фамилия </w:t>
            </w:r>
            <w:r>
              <w:rPr>
                <w:spacing w:val="-5"/>
                <w:sz w:val="16"/>
              </w:rPr>
              <w:t>руководителя практики от организации</w:t>
            </w:r>
          </w:p>
        </w:tc>
      </w:tr>
    </w:tbl>
    <w:p w14:paraId="9A020000">
      <w:pPr>
        <w:widowControl w:val="1"/>
        <w:spacing w:line="360" w:lineRule="auto"/>
        <w:ind w:firstLine="0" w:left="425"/>
        <w:jc w:val="center"/>
        <w:rPr>
          <w:sz w:val="24"/>
        </w:rPr>
      </w:pPr>
      <w:r>
        <w:rPr>
          <w:sz w:val="24"/>
        </w:rPr>
        <w:t>МП</w:t>
      </w:r>
    </w:p>
    <w:p w14:paraId="9B020000">
      <w:pPr>
        <w:pStyle w:val="Style_4"/>
        <w:widowControl w:val="1"/>
        <w:spacing w:line="360" w:lineRule="auto"/>
        <w:ind w:firstLine="0" w:left="429"/>
        <w:jc w:val="both"/>
        <w:rPr>
          <w:sz w:val="24"/>
        </w:rPr>
      </w:pPr>
    </w:p>
    <w:p w14:paraId="9C020000">
      <w:pPr>
        <w:pStyle w:val="Style_4"/>
        <w:widowControl w:val="1"/>
        <w:spacing w:line="360" w:lineRule="auto"/>
        <w:ind w:firstLine="0" w:left="429"/>
        <w:jc w:val="both"/>
        <w:rPr>
          <w:sz w:val="24"/>
        </w:rPr>
      </w:pPr>
    </w:p>
    <w:p w14:paraId="9D020000">
      <w:pPr>
        <w:pStyle w:val="Style_4"/>
        <w:widowControl w:val="1"/>
        <w:spacing w:line="360" w:lineRule="auto"/>
        <w:ind w:firstLine="0" w:left="429"/>
        <w:jc w:val="both"/>
        <w:rPr>
          <w:sz w:val="24"/>
        </w:rPr>
      </w:pPr>
    </w:p>
    <w:p w14:paraId="9E020000">
      <w:pPr>
        <w:pStyle w:val="Style_4"/>
        <w:widowControl w:val="1"/>
        <w:spacing w:line="360" w:lineRule="auto"/>
        <w:ind w:firstLine="0" w:left="429"/>
        <w:jc w:val="both"/>
        <w:rPr>
          <w:sz w:val="24"/>
        </w:rPr>
      </w:pPr>
    </w:p>
    <w:p w14:paraId="9F020000">
      <w:pPr>
        <w:pStyle w:val="Style_4"/>
        <w:widowControl w:val="1"/>
        <w:spacing w:after="160" w:line="264" w:lineRule="auto"/>
        <w:ind w:firstLine="0" w:left="429"/>
        <w:rPr>
          <w:b w:val="1"/>
          <w:sz w:val="24"/>
        </w:rPr>
      </w:pPr>
    </w:p>
    <w:p w14:paraId="A0020000">
      <w:pPr>
        <w:widowControl w:val="1"/>
        <w:spacing w:after="160" w:line="264" w:lineRule="auto"/>
        <w:ind/>
        <w:jc w:val="center"/>
        <w:rPr>
          <w:b w:val="1"/>
          <w:sz w:val="24"/>
        </w:rPr>
      </w:pPr>
      <w:r>
        <w:rPr>
          <w:b w:val="1"/>
          <w:sz w:val="24"/>
        </w:rPr>
        <w:t>5. Заключение руководителя от Института</w:t>
      </w:r>
    </w:p>
    <w:p w14:paraId="A1020000">
      <w:pPr>
        <w:widowControl w:val="1"/>
        <w:ind w:firstLine="709" w:left="0"/>
        <w:jc w:val="both"/>
        <w:rPr>
          <w:sz w:val="24"/>
        </w:rPr>
      </w:pPr>
      <w:r>
        <w:rPr>
          <w:sz w:val="24"/>
        </w:rPr>
        <w:t>Руководитель практики от Института дает оценку работе обучающегося исходя из анализа отчета о прохождении технологической практики, выставляя балл от 0 до 20 (где 20 указывает на полное соответствие критерию, 0 – полное несоответствие) по каждому критерию. В случае выставления балла ниже пяти, руководителю рекомендуется сделать комментарий.</w:t>
      </w:r>
    </w:p>
    <w:p w14:paraId="A2020000">
      <w:pPr>
        <w:widowControl w:val="1"/>
        <w:ind w:firstLine="709" w:left="0"/>
        <w:jc w:val="both"/>
        <w:rPr>
          <w:sz w:val="24"/>
        </w:rPr>
      </w:pPr>
      <w:r>
        <w:rPr>
          <w:sz w:val="24"/>
        </w:rPr>
        <w:t>Итоговый балл представляет собой сумму баллов, выставленных руководителем от Института.</w:t>
      </w:r>
    </w:p>
    <w:p w14:paraId="A3020000">
      <w:pPr>
        <w:widowControl w:val="1"/>
        <w:ind w:firstLine="709" w:left="0"/>
        <w:jc w:val="both"/>
        <w:rPr>
          <w:sz w:val="24"/>
        </w:rPr>
      </w:pPr>
    </w:p>
    <w:tbl>
      <w:tblPr>
        <w:tblStyle w:val="Style_11"/>
        <w:tblBorders>
          <w:top w:color="000000" w:sz="6" w:val="single"/>
          <w:left w:color="000000" w:sz="6" w:val="single"/>
          <w:bottom w:color="000000" w:sz="6" w:val="single"/>
          <w:right w:color="000000" w:sz="6" w:val="single"/>
          <w:insideH w:color="000000" w:sz="6" w:val="single"/>
          <w:insideV w:color="000000" w:sz="6" w:val="single"/>
        </w:tblBorders>
        <w:tblLayout w:type="fixed"/>
      </w:tblPr>
      <w:tblGrid>
        <w:gridCol w:w="651"/>
        <w:gridCol w:w="5153"/>
        <w:gridCol w:w="1156"/>
        <w:gridCol w:w="2671"/>
      </w:tblGrid>
      <w:tr>
        <w:tc>
          <w:tcPr>
            <w:tcW w:type="dxa" w:w="65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A4020000">
            <w:pPr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№</w:t>
            </w:r>
          </w:p>
          <w:p w14:paraId="A5020000">
            <w:pPr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п/п</w:t>
            </w:r>
          </w:p>
        </w:tc>
        <w:tc>
          <w:tcPr>
            <w:tcW w:type="dxa" w:w="515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A6020000">
            <w:pPr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Критерии</w:t>
            </w:r>
          </w:p>
        </w:tc>
        <w:tc>
          <w:tcPr>
            <w:tcW w:type="dxa" w:w="115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A7020000">
            <w:pPr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Балл</w:t>
            </w:r>
          </w:p>
          <w:p w14:paraId="A8020000">
            <w:pPr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(0…20)</w:t>
            </w:r>
          </w:p>
        </w:tc>
        <w:tc>
          <w:tcPr>
            <w:tcW w:type="dxa" w:w="267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A9020000">
            <w:pPr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Комментарии</w:t>
            </w:r>
          </w:p>
          <w:p w14:paraId="AA020000">
            <w:pPr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(при необходимости)</w:t>
            </w:r>
          </w:p>
        </w:tc>
      </w:tr>
      <w:tr>
        <w:tc>
          <w:tcPr>
            <w:tcW w:type="dxa" w:w="65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AB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515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AC020000">
            <w:pPr>
              <w:widowControl w:val="1"/>
              <w:ind/>
              <w:rPr>
                <w:sz w:val="24"/>
              </w:rPr>
            </w:pPr>
            <w:r>
              <w:rPr>
                <w:sz w:val="24"/>
              </w:rPr>
              <w:t>Понимание цели и задач задания на преддипломную практику.</w:t>
            </w:r>
          </w:p>
        </w:tc>
        <w:tc>
          <w:tcPr>
            <w:tcW w:type="dxa" w:w="115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AD020000">
            <w:pPr>
              <w:widowControl w:val="1"/>
              <w:ind/>
              <w:rPr>
                <w:sz w:val="24"/>
              </w:rPr>
            </w:pPr>
          </w:p>
        </w:tc>
        <w:tc>
          <w:tcPr>
            <w:tcW w:type="dxa" w:w="267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AE020000">
            <w:pPr>
              <w:widowControl w:val="1"/>
              <w:ind/>
              <w:rPr>
                <w:sz w:val="24"/>
              </w:rPr>
            </w:pPr>
          </w:p>
        </w:tc>
      </w:tr>
      <w:tr>
        <w:tc>
          <w:tcPr>
            <w:tcW w:type="dxa" w:w="65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AF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type="dxa" w:w="515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B0020000">
            <w:pPr>
              <w:widowControl w:val="1"/>
              <w:ind/>
              <w:rPr>
                <w:sz w:val="24"/>
              </w:rPr>
            </w:pPr>
            <w:r>
              <w:rPr>
                <w:sz w:val="24"/>
              </w:rPr>
              <w:t>Полнота и качество индивидуального плана и отчетных материалов.</w:t>
            </w:r>
          </w:p>
        </w:tc>
        <w:tc>
          <w:tcPr>
            <w:tcW w:type="dxa" w:w="115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B1020000">
            <w:pPr>
              <w:widowControl w:val="1"/>
              <w:ind/>
              <w:rPr>
                <w:sz w:val="24"/>
              </w:rPr>
            </w:pPr>
          </w:p>
        </w:tc>
        <w:tc>
          <w:tcPr>
            <w:tcW w:type="dxa" w:w="267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B2020000">
            <w:pPr>
              <w:widowControl w:val="1"/>
              <w:ind/>
              <w:rPr>
                <w:sz w:val="24"/>
              </w:rPr>
            </w:pPr>
          </w:p>
        </w:tc>
      </w:tr>
      <w:tr>
        <w:tc>
          <w:tcPr>
            <w:tcW w:type="dxa" w:w="65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B3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type="dxa" w:w="515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B4020000">
            <w:pPr>
              <w:widowControl w:val="1"/>
              <w:ind/>
              <w:rPr>
                <w:sz w:val="24"/>
              </w:rPr>
            </w:pPr>
            <w:r>
              <w:rPr>
                <w:sz w:val="24"/>
              </w:rPr>
              <w:t>Владение профессиональной терминологией при составлении отчета.</w:t>
            </w:r>
          </w:p>
        </w:tc>
        <w:tc>
          <w:tcPr>
            <w:tcW w:type="dxa" w:w="115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B5020000">
            <w:pPr>
              <w:widowControl w:val="1"/>
              <w:ind/>
              <w:rPr>
                <w:sz w:val="24"/>
              </w:rPr>
            </w:pPr>
          </w:p>
        </w:tc>
        <w:tc>
          <w:tcPr>
            <w:tcW w:type="dxa" w:w="267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B6020000">
            <w:pPr>
              <w:widowControl w:val="1"/>
              <w:ind/>
              <w:rPr>
                <w:sz w:val="24"/>
              </w:rPr>
            </w:pPr>
          </w:p>
        </w:tc>
      </w:tr>
      <w:tr>
        <w:tc>
          <w:tcPr>
            <w:tcW w:type="dxa" w:w="65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B7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type="dxa" w:w="515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B8020000">
            <w:pPr>
              <w:widowControl w:val="1"/>
              <w:ind/>
              <w:rPr>
                <w:sz w:val="24"/>
              </w:rPr>
            </w:pPr>
            <w:r>
              <w:rPr>
                <w:sz w:val="24"/>
              </w:rPr>
              <w:t>Соответствие требованиям оформления отчетных документов.</w:t>
            </w:r>
          </w:p>
        </w:tc>
        <w:tc>
          <w:tcPr>
            <w:tcW w:type="dxa" w:w="115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B9020000">
            <w:pPr>
              <w:widowControl w:val="1"/>
              <w:ind/>
              <w:rPr>
                <w:sz w:val="24"/>
              </w:rPr>
            </w:pPr>
          </w:p>
        </w:tc>
        <w:tc>
          <w:tcPr>
            <w:tcW w:type="dxa" w:w="267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BA020000">
            <w:pPr>
              <w:widowControl w:val="1"/>
              <w:ind/>
              <w:rPr>
                <w:sz w:val="24"/>
              </w:rPr>
            </w:pPr>
          </w:p>
        </w:tc>
      </w:tr>
      <w:tr>
        <w:trPr>
          <w:trHeight w:hRule="atLeast" w:val="397"/>
        </w:trPr>
        <w:tc>
          <w:tcPr>
            <w:tcW w:type="dxa" w:w="65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BB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type="dxa" w:w="515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BC020000">
            <w:pPr>
              <w:widowControl w:val="1"/>
              <w:ind/>
              <w:rPr>
                <w:b w:val="1"/>
                <w:sz w:val="24"/>
              </w:rPr>
            </w:pPr>
            <w:r>
              <w:rPr>
                <w:sz w:val="24"/>
              </w:rPr>
              <w:t>Использование источников информации, документов, библиотечного фонда.</w:t>
            </w:r>
          </w:p>
        </w:tc>
        <w:tc>
          <w:tcPr>
            <w:tcW w:type="dxa" w:w="115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BD020000">
            <w:pPr>
              <w:widowControl w:val="1"/>
              <w:ind/>
              <w:rPr>
                <w:sz w:val="24"/>
              </w:rPr>
            </w:pPr>
          </w:p>
        </w:tc>
        <w:tc>
          <w:tcPr>
            <w:tcW w:type="dxa" w:w="267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BE020000">
            <w:pPr>
              <w:widowControl w:val="1"/>
              <w:ind/>
              <w:rPr>
                <w:sz w:val="24"/>
              </w:rPr>
            </w:pPr>
          </w:p>
        </w:tc>
      </w:tr>
      <w:tr>
        <w:trPr>
          <w:trHeight w:hRule="atLeast" w:val="397"/>
        </w:trPr>
        <w:tc>
          <w:tcPr>
            <w:tcW w:type="dxa" w:w="65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BF02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515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C0020000">
            <w:pPr>
              <w:widowControl w:val="1"/>
              <w:ind/>
              <w:jc w:val="right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Итоговый балл:</w:t>
            </w:r>
          </w:p>
        </w:tc>
        <w:tc>
          <w:tcPr>
            <w:tcW w:type="dxa" w:w="115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C1020000">
            <w:pPr>
              <w:widowControl w:val="1"/>
              <w:ind/>
              <w:rPr>
                <w:sz w:val="24"/>
              </w:rPr>
            </w:pPr>
          </w:p>
        </w:tc>
        <w:tc>
          <w:tcPr>
            <w:tcW w:type="dxa" w:w="267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C2020000">
            <w:pPr>
              <w:widowControl w:val="1"/>
              <w:ind/>
              <w:rPr>
                <w:sz w:val="24"/>
              </w:rPr>
            </w:pPr>
          </w:p>
        </w:tc>
      </w:tr>
    </w:tbl>
    <w:p w14:paraId="C3020000">
      <w:pPr>
        <w:widowControl w:val="1"/>
        <w:ind/>
        <w:rPr>
          <w:sz w:val="24"/>
        </w:rPr>
      </w:pPr>
    </w:p>
    <w:p w14:paraId="C4020000">
      <w:pPr>
        <w:widowControl w:val="1"/>
        <w:ind w:firstLine="709" w:left="0"/>
        <w:rPr>
          <w:b w:val="1"/>
          <w:sz w:val="24"/>
        </w:rPr>
      </w:pPr>
      <w:r>
        <w:rPr>
          <w:b w:val="1"/>
          <w:sz w:val="24"/>
        </w:rPr>
        <w:t>Особое мнение руководителя от Института (при необходимости):</w:t>
      </w:r>
    </w:p>
    <w:p w14:paraId="C5020000">
      <w:pPr>
        <w:widowControl w:val="1"/>
        <w:ind/>
        <w:rPr>
          <w:sz w:val="24"/>
        </w:rPr>
      </w:pPr>
    </w:p>
    <w:tbl>
      <w:tblPr>
        <w:tblStyle w:val="Style_11"/>
        <w:tblBorders>
          <w:top w:color="000000" w:sz="4" w:val="single"/>
          <w:left w:color="000000" w:val="nil"/>
          <w:bottom w:color="000000" w:sz="4" w:val="single"/>
          <w:right w:color="000000" w:val="nil"/>
          <w:insideH w:color="000000" w:sz="4" w:val="single"/>
          <w:insideV w:color="000000" w:sz="4" w:val="single"/>
        </w:tblBorders>
        <w:tblLayout w:type="fixed"/>
      </w:tblPr>
      <w:tblGrid>
        <w:gridCol w:w="9571"/>
      </w:tblGrid>
      <w:tr>
        <w:tc>
          <w:tcPr>
            <w:tcW w:type="dxa" w:w="9571"/>
            <w:tcBorders>
              <w:top w:color="000000" w:sz="4" w:val="single"/>
              <w:left w:sz="4" w:val="nil"/>
              <w:bottom w:color="000000" w:sz="4" w:val="single"/>
              <w:right w:sz="4" w:val="nil"/>
            </w:tcBorders>
          </w:tcPr>
          <w:p w14:paraId="C6020000">
            <w:pPr>
              <w:rPr>
                <w:sz w:val="24"/>
              </w:rPr>
            </w:pPr>
          </w:p>
        </w:tc>
      </w:tr>
      <w:tr>
        <w:tc>
          <w:tcPr>
            <w:tcW w:type="dxa" w:w="9571"/>
            <w:tcBorders>
              <w:top w:color="000000" w:sz="4" w:val="single"/>
              <w:left w:sz="4" w:val="nil"/>
              <w:bottom w:color="000000" w:sz="4" w:val="single"/>
              <w:right w:sz="4" w:val="nil"/>
            </w:tcBorders>
          </w:tcPr>
          <w:p w14:paraId="C7020000">
            <w:pPr>
              <w:rPr>
                <w:sz w:val="24"/>
              </w:rPr>
            </w:pPr>
          </w:p>
        </w:tc>
      </w:tr>
      <w:tr>
        <w:tc>
          <w:tcPr>
            <w:tcW w:type="dxa" w:w="9571"/>
            <w:tcBorders>
              <w:top w:color="000000" w:sz="4" w:val="single"/>
              <w:left w:sz="4" w:val="nil"/>
              <w:bottom w:color="000000" w:sz="4" w:val="single"/>
              <w:right w:sz="4" w:val="nil"/>
            </w:tcBorders>
          </w:tcPr>
          <w:p w14:paraId="C8020000">
            <w:pPr>
              <w:rPr>
                <w:sz w:val="24"/>
              </w:rPr>
            </w:pPr>
          </w:p>
        </w:tc>
      </w:tr>
      <w:tr>
        <w:tc>
          <w:tcPr>
            <w:tcW w:type="dxa" w:w="9571"/>
            <w:tcBorders>
              <w:top w:color="000000" w:sz="4" w:val="single"/>
              <w:left w:sz="4" w:val="nil"/>
              <w:bottom w:color="000000" w:sz="4" w:val="single"/>
              <w:right w:sz="4" w:val="nil"/>
            </w:tcBorders>
          </w:tcPr>
          <w:p w14:paraId="C9020000">
            <w:pPr>
              <w:rPr>
                <w:sz w:val="24"/>
              </w:rPr>
            </w:pPr>
          </w:p>
        </w:tc>
      </w:tr>
      <w:tr>
        <w:tc>
          <w:tcPr>
            <w:tcW w:type="dxa" w:w="9571"/>
            <w:tcBorders>
              <w:top w:color="000000" w:sz="4" w:val="single"/>
              <w:left w:sz="4" w:val="nil"/>
              <w:bottom w:color="000000" w:sz="4" w:val="single"/>
              <w:right w:sz="4" w:val="nil"/>
            </w:tcBorders>
          </w:tcPr>
          <w:p w14:paraId="CA020000">
            <w:pPr>
              <w:rPr>
                <w:sz w:val="24"/>
              </w:rPr>
            </w:pPr>
          </w:p>
        </w:tc>
      </w:tr>
      <w:tr>
        <w:tc>
          <w:tcPr>
            <w:tcW w:type="dxa" w:w="9571"/>
            <w:tcBorders>
              <w:top w:color="000000" w:sz="4" w:val="single"/>
              <w:left w:sz="4" w:val="nil"/>
              <w:bottom w:color="000000" w:sz="4" w:val="single"/>
              <w:right w:sz="4" w:val="nil"/>
            </w:tcBorders>
          </w:tcPr>
          <w:p w14:paraId="CB020000">
            <w:pPr>
              <w:rPr>
                <w:sz w:val="24"/>
              </w:rPr>
            </w:pPr>
          </w:p>
        </w:tc>
      </w:tr>
    </w:tbl>
    <w:p w14:paraId="CC020000">
      <w:pPr>
        <w:widowControl w:val="1"/>
        <w:ind/>
        <w:rPr>
          <w:sz w:val="24"/>
        </w:rPr>
      </w:pPr>
    </w:p>
    <w:p w14:paraId="CD020000">
      <w:pPr>
        <w:widowControl w:val="1"/>
        <w:ind/>
        <w:jc w:val="both"/>
        <w:rPr>
          <w:sz w:val="24"/>
        </w:rPr>
      </w:pPr>
      <w:r>
        <w:rPr>
          <w:sz w:val="24"/>
        </w:rPr>
        <w:t>Обучающийся по итогам технологической практики (проектно-технологической) заслуживает оценку «____________________________».</w:t>
      </w:r>
    </w:p>
    <w:p w14:paraId="CE020000">
      <w:pPr>
        <w:widowControl w:val="1"/>
        <w:ind/>
        <w:rPr>
          <w:sz w:val="24"/>
        </w:rPr>
      </w:pPr>
    </w:p>
    <w:p w14:paraId="CF020000">
      <w:pPr>
        <w:widowControl w:val="1"/>
        <w:ind/>
        <w:rPr>
          <w:sz w:val="24"/>
        </w:rPr>
      </w:pPr>
      <w:r>
        <w:rPr>
          <w:sz w:val="24"/>
        </w:rPr>
        <w:t>«   » ____________ 202__ г.</w:t>
      </w:r>
    </w:p>
    <w:p w14:paraId="D0020000">
      <w:pPr>
        <w:widowControl w:val="1"/>
        <w:ind/>
        <w:rPr>
          <w:sz w:val="24"/>
        </w:rPr>
      </w:pPr>
    </w:p>
    <w:p w14:paraId="D1020000">
      <w:pPr>
        <w:widowControl w:val="1"/>
        <w:ind/>
        <w:rPr>
          <w:sz w:val="24"/>
        </w:rPr>
      </w:pPr>
      <w:r>
        <w:rPr>
          <w:sz w:val="24"/>
        </w:rPr>
        <w:t>Руководитель от Института</w:t>
      </w:r>
    </w:p>
    <w:tbl>
      <w:tblPr>
        <w:tblStyle w:val="Style_11"/>
        <w:tblBorders>
          <w:top w:color="000000" w:val="nil"/>
          <w:left w:color="000000" w:val="nil"/>
          <w:bottom w:color="000000" w:val="nil"/>
          <w:right w:color="000000" w:val="nil"/>
          <w:insideH w:color="000000" w:val="nil"/>
          <w:insideV w:color="000000" w:val="nil"/>
        </w:tblBorders>
        <w:tblLayout w:type="fixed"/>
      </w:tblPr>
      <w:tblGrid>
        <w:gridCol w:w="3936"/>
        <w:gridCol w:w="425"/>
        <w:gridCol w:w="5210"/>
      </w:tblGrid>
      <w:tr>
        <w:tc>
          <w:tcPr>
            <w:tcW w:type="dxa" w:w="3936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D2020000">
            <w:pPr>
              <w:widowControl w:val="1"/>
              <w:ind/>
              <w:rPr>
                <w:sz w:val="24"/>
              </w:rPr>
            </w:pPr>
          </w:p>
        </w:tc>
        <w:tc>
          <w:tcPr>
            <w:tcW w:type="dxa" w:w="425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D3020000">
            <w:pPr>
              <w:widowControl w:val="1"/>
              <w:ind/>
              <w:rPr>
                <w:sz w:val="24"/>
              </w:rPr>
            </w:pPr>
          </w:p>
        </w:tc>
        <w:tc>
          <w:tcPr>
            <w:tcW w:type="dxa" w:w="5210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D4020000">
            <w:pPr>
              <w:widowControl w:val="1"/>
              <w:ind/>
              <w:jc w:val="center"/>
              <w:rPr>
                <w:sz w:val="24"/>
              </w:rPr>
            </w:pPr>
          </w:p>
        </w:tc>
      </w:tr>
      <w:tr>
        <w:tc>
          <w:tcPr>
            <w:tcW w:type="dxa" w:w="3936"/>
            <w:tcBorders>
              <w:top w:color="000000" w:sz="4" w:val="single"/>
              <w:left w:sz="4" w:val="nil"/>
              <w:bottom w:sz="4" w:val="nil"/>
              <w:right w:sz="4" w:val="nil"/>
            </w:tcBorders>
          </w:tcPr>
          <w:p w14:paraId="D5020000">
            <w:pPr>
              <w:widowControl w:val="1"/>
              <w:ind/>
              <w:jc w:val="center"/>
            </w:pPr>
            <w:r>
              <w:t>(подпись)</w:t>
            </w:r>
          </w:p>
        </w:tc>
        <w:tc>
          <w:tcPr>
            <w:tcW w:type="dxa" w:w="425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D6020000">
            <w:pPr>
              <w:widowControl w:val="1"/>
              <w:ind/>
              <w:rPr>
                <w:sz w:val="24"/>
              </w:rPr>
            </w:pPr>
          </w:p>
        </w:tc>
        <w:tc>
          <w:tcPr>
            <w:tcW w:type="dxa" w:w="5210"/>
            <w:tcBorders>
              <w:top w:color="000000" w:sz="4" w:val="single"/>
              <w:left w:sz="4" w:val="nil"/>
              <w:bottom w:sz="4" w:val="nil"/>
              <w:right w:sz="4" w:val="nil"/>
            </w:tcBorders>
          </w:tcPr>
          <w:p w14:paraId="D7020000">
            <w:pPr>
              <w:widowControl w:val="1"/>
              <w:ind/>
              <w:jc w:val="center"/>
            </w:pPr>
            <w:r>
              <w:t>И.О. Фамилия</w:t>
            </w:r>
          </w:p>
        </w:tc>
      </w:tr>
    </w:tbl>
    <w:p w14:paraId="D8020000">
      <w:pPr>
        <w:widowControl w:val="1"/>
        <w:ind/>
        <w:rPr>
          <w:sz w:val="24"/>
        </w:rPr>
      </w:pPr>
    </w:p>
    <w:p w14:paraId="D9020000">
      <w:pPr>
        <w:ind/>
        <w:jc w:val="center"/>
        <w:rPr>
          <w:b w:val="1"/>
          <w:sz w:val="24"/>
        </w:rPr>
      </w:pPr>
    </w:p>
    <w:sectPr>
      <w:footerReference r:id="rId1" w:type="default"/>
      <w:pgSz w:h="16838" w:orient="portrait" w:w="11906"/>
      <w:pgMar w:bottom="1134" w:footer="709" w:gutter="0" w:header="709" w:left="1701" w:right="567" w:top="568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1000000">
    <w:pPr>
      <w:pStyle w:val="Style_1"/>
      <w:ind/>
      <w:jc w:val="center"/>
    </w:pPr>
  </w:p>
  <w:p w14:paraId="02000000">
    <w:pPr>
      <w:pStyle w:val="Style_1"/>
    </w:pPr>
  </w:p>
</w:ft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ind w:hanging="360" w:left="429"/>
      </w:pPr>
    </w:lvl>
    <w:lvl w:ilvl="1">
      <w:start w:val="1"/>
      <w:numFmt w:val="lowerLetter"/>
      <w:lvlText w:val="%2."/>
      <w:lvlJc w:val="left"/>
      <w:pPr>
        <w:ind w:hanging="360" w:left="1149"/>
      </w:pPr>
    </w:lvl>
    <w:lvl w:ilvl="2">
      <w:start w:val="1"/>
      <w:numFmt w:val="lowerRoman"/>
      <w:lvlText w:val="%3."/>
      <w:lvlJc w:val="right"/>
      <w:pPr>
        <w:ind w:hanging="180" w:left="1869"/>
      </w:pPr>
    </w:lvl>
    <w:lvl w:ilvl="3">
      <w:start w:val="1"/>
      <w:numFmt w:val="decimal"/>
      <w:lvlText w:val="%4."/>
      <w:lvlJc w:val="left"/>
      <w:pPr>
        <w:ind w:hanging="360" w:left="2589"/>
      </w:pPr>
    </w:lvl>
    <w:lvl w:ilvl="4">
      <w:start w:val="1"/>
      <w:numFmt w:val="lowerLetter"/>
      <w:lvlText w:val="%5."/>
      <w:lvlJc w:val="left"/>
      <w:pPr>
        <w:ind w:hanging="360" w:left="3309"/>
      </w:pPr>
    </w:lvl>
    <w:lvl w:ilvl="5">
      <w:start w:val="1"/>
      <w:numFmt w:val="lowerRoman"/>
      <w:lvlText w:val="%6."/>
      <w:lvlJc w:val="right"/>
      <w:pPr>
        <w:ind w:hanging="180" w:left="4029"/>
      </w:pPr>
    </w:lvl>
    <w:lvl w:ilvl="6">
      <w:start w:val="1"/>
      <w:numFmt w:val="decimal"/>
      <w:lvlText w:val="%7."/>
      <w:lvlJc w:val="left"/>
      <w:pPr>
        <w:ind w:hanging="360" w:left="4749"/>
      </w:pPr>
    </w:lvl>
    <w:lvl w:ilvl="7">
      <w:start w:val="1"/>
      <w:numFmt w:val="lowerLetter"/>
      <w:lvlText w:val="%8."/>
      <w:lvlJc w:val="left"/>
      <w:pPr>
        <w:ind w:hanging="360" w:left="5469"/>
      </w:pPr>
    </w:lvl>
    <w:lvl w:ilvl="8">
      <w:start w:val="1"/>
      <w:numFmt w:val="lowerRoman"/>
      <w:lvlText w:val="%9."/>
      <w:lvlJc w:val="right"/>
      <w:pPr>
        <w:ind w:hanging="180" w:left="6189"/>
      </w:pPr>
    </w:lvl>
  </w:abstractNum>
  <w:abstractNum w:abstractNumId="1">
    <w:lvl w:ilvl="0">
      <w:start w:val="1"/>
      <w:numFmt w:val="bullet"/>
      <w:lvlText w:val="̶"/>
      <w:lvlJc w:val="left"/>
      <w:pPr>
        <w:ind w:hanging="360" w:left="1429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ind w:hanging="360" w:left="2149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869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3589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4309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5029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749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6469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7189"/>
      </w:pPr>
      <w:rPr>
        <w:rFonts w:ascii="Wingdings" w:hAnsi="Wingdings"/>
      </w:rPr>
    </w:lvl>
  </w:abstractNum>
  <w:abstractNum w:abstractNumId="2">
    <w:lvl w:ilvl="0">
      <w:start w:val="1"/>
      <w:numFmt w:val="decimal"/>
      <w:lvlText w:val="%1)"/>
      <w:lvlJc w:val="left"/>
      <w:pPr>
        <w:ind w:hanging="360" w:left="1429"/>
      </w:pPr>
      <w:rPr>
        <w:rFonts w:ascii="Times New Roman" w:hAnsi="Times New Roman"/>
      </w:rPr>
    </w:lvl>
    <w:lvl w:ilvl="1">
      <w:start w:val="1"/>
      <w:numFmt w:val="lowerLetter"/>
      <w:lvlText w:val="%2."/>
      <w:lvlJc w:val="left"/>
      <w:pPr>
        <w:ind w:hanging="360" w:left="2149"/>
      </w:pPr>
    </w:lvl>
    <w:lvl w:ilvl="2">
      <w:start w:val="1"/>
      <w:numFmt w:val="lowerRoman"/>
      <w:lvlText w:val="%3."/>
      <w:lvlJc w:val="right"/>
      <w:pPr>
        <w:ind w:hanging="180" w:left="2869"/>
      </w:pPr>
    </w:lvl>
    <w:lvl w:ilvl="3">
      <w:start w:val="1"/>
      <w:numFmt w:val="decimal"/>
      <w:lvlText w:val="%4."/>
      <w:lvlJc w:val="left"/>
      <w:pPr>
        <w:ind w:hanging="360" w:left="3589"/>
      </w:pPr>
    </w:lvl>
    <w:lvl w:ilvl="4">
      <w:start w:val="1"/>
      <w:numFmt w:val="lowerLetter"/>
      <w:lvlText w:val="%5."/>
      <w:lvlJc w:val="left"/>
      <w:pPr>
        <w:ind w:hanging="360" w:left="4309"/>
      </w:pPr>
    </w:lvl>
    <w:lvl w:ilvl="5">
      <w:start w:val="1"/>
      <w:numFmt w:val="lowerRoman"/>
      <w:lvlText w:val="%6."/>
      <w:lvlJc w:val="right"/>
      <w:pPr>
        <w:ind w:hanging="180" w:left="5029"/>
      </w:pPr>
    </w:lvl>
    <w:lvl w:ilvl="6">
      <w:start w:val="1"/>
      <w:numFmt w:val="decimal"/>
      <w:lvlText w:val="%7."/>
      <w:lvlJc w:val="left"/>
      <w:pPr>
        <w:ind w:hanging="360" w:left="5749"/>
      </w:pPr>
    </w:lvl>
    <w:lvl w:ilvl="7">
      <w:start w:val="1"/>
      <w:numFmt w:val="lowerLetter"/>
      <w:lvlText w:val="%8."/>
      <w:lvlJc w:val="left"/>
      <w:pPr>
        <w:ind w:hanging="360" w:left="6469"/>
      </w:pPr>
    </w:lvl>
    <w:lvl w:ilvl="8">
      <w:start w:val="1"/>
      <w:numFmt w:val="lowerRoman"/>
      <w:lvlText w:val="%9."/>
      <w:lvlJc w:val="right"/>
      <w:pPr>
        <w:ind w:hanging="180" w:left="7189"/>
      </w:pPr>
    </w:lvl>
  </w:abstractNum>
  <w:abstractNum w:abstractNumId="3">
    <w:lvl w:ilvl="0">
      <w:start w:val="1"/>
      <w:numFmt w:val="decimal"/>
      <w:lvlText w:val="%1."/>
      <w:lvlJc w:val="left"/>
      <w:pPr>
        <w:tabs>
          <w:tab w:leader="none" w:pos="720" w:val="left"/>
        </w:tabs>
        <w:ind w:hanging="360" w:left="720"/>
      </w:pPr>
    </w:lvl>
    <w:lvl w:ilvl="1">
      <w:start w:val="1"/>
      <w:numFmt w:val="decimal"/>
      <w:lvlText w:val="%2."/>
      <w:lvlJc w:val="left"/>
      <w:pPr>
        <w:tabs>
          <w:tab w:leader="none" w:pos="1440" w:val="left"/>
        </w:tabs>
        <w:ind w:hanging="360" w:left="1440"/>
      </w:pPr>
    </w:lvl>
    <w:lvl w:ilvl="2">
      <w:start w:val="1"/>
      <w:numFmt w:val="decimal"/>
      <w:lvlText w:val="%3."/>
      <w:lvlJc w:val="left"/>
      <w:pPr>
        <w:tabs>
          <w:tab w:leader="none" w:pos="2160" w:val="left"/>
        </w:tabs>
        <w:ind w:hanging="360" w:left="2160"/>
      </w:pPr>
    </w:lvl>
    <w:lvl w:ilvl="3">
      <w:start w:val="1"/>
      <w:numFmt w:val="decimal"/>
      <w:lvlText w:val="%4."/>
      <w:lvlJc w:val="left"/>
      <w:pPr>
        <w:tabs>
          <w:tab w:leader="none" w:pos="2880" w:val="left"/>
        </w:tabs>
        <w:ind w:hanging="360" w:left="2880"/>
      </w:pPr>
    </w:lvl>
    <w:lvl w:ilvl="4">
      <w:start w:val="1"/>
      <w:numFmt w:val="decimal"/>
      <w:lvlText w:val="%5."/>
      <w:lvlJc w:val="left"/>
      <w:pPr>
        <w:tabs>
          <w:tab w:leader="none" w:pos="3600" w:val="left"/>
        </w:tabs>
        <w:ind w:hanging="360" w:left="3600"/>
      </w:pPr>
    </w:lvl>
    <w:lvl w:ilvl="5">
      <w:start w:val="1"/>
      <w:numFmt w:val="decimal"/>
      <w:lvlText w:val="%6."/>
      <w:lvlJc w:val="left"/>
      <w:pPr>
        <w:tabs>
          <w:tab w:leader="none" w:pos="4320" w:val="left"/>
        </w:tabs>
        <w:ind w:hanging="360" w:left="4320"/>
      </w:pPr>
    </w:lvl>
    <w:lvl w:ilvl="6">
      <w:start w:val="1"/>
      <w:numFmt w:val="decimal"/>
      <w:lvlText w:val="%7."/>
      <w:lvlJc w:val="left"/>
      <w:pPr>
        <w:tabs>
          <w:tab w:leader="none" w:pos="5040" w:val="left"/>
        </w:tabs>
        <w:ind w:hanging="360" w:left="5040"/>
      </w:pPr>
    </w:lvl>
    <w:lvl w:ilvl="7">
      <w:start w:val="1"/>
      <w:numFmt w:val="decimal"/>
      <w:lvlText w:val="%8."/>
      <w:lvlJc w:val="left"/>
      <w:pPr>
        <w:tabs>
          <w:tab w:leader="none" w:pos="5760" w:val="left"/>
        </w:tabs>
        <w:ind w:hanging="360" w:left="5760"/>
      </w:pPr>
    </w:lvl>
    <w:lvl w:ilvl="8">
      <w:start w:val="1"/>
      <w:numFmt w:val="decimal"/>
      <w:lvlText w:val="%9."/>
      <w:lvlJc w:val="left"/>
      <w:pPr>
        <w:tabs>
          <w:tab w:leader="none" w:pos="6480" w:val="left"/>
        </w:tabs>
        <w:ind w:hanging="360" w:left="6480"/>
      </w:pPr>
    </w:lvl>
  </w:abstractNum>
  <w:abstractNum w:abstractNumId="4">
    <w:lvl w:ilvl="0">
      <w:start w:val="1"/>
      <w:numFmt w:val="decimal"/>
      <w:pStyle w:val="Style_29"/>
      <w:lvlText w:val="%1."/>
      <w:lvlJc w:val="left"/>
      <w:pPr>
        <w:ind w:hanging="360" w:left="720"/>
      </w:pPr>
    </w:lvl>
    <w:lvl w:ilvl="1">
      <w:start w:val="1"/>
      <w:numFmt w:val="lowerLetter"/>
      <w:lvlText w:val="%2."/>
      <w:lvlJc w:val="left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180" w:left="2160"/>
      </w:pPr>
    </w:lvl>
    <w:lvl w:ilvl="3">
      <w:start w:val="1"/>
      <w:numFmt w:val="decimal"/>
      <w:lvlText w:val="%4."/>
      <w:lvlJc w:val="left"/>
      <w:pPr>
        <w:ind w:hanging="360" w:left="2880"/>
      </w:pPr>
    </w:lvl>
    <w:lvl w:ilvl="4">
      <w:start w:val="1"/>
      <w:numFmt w:val="lowerLetter"/>
      <w:lvlText w:val="%5."/>
      <w:lvlJc w:val="left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18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lowerLett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180" w:left="64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2" w:type="paragraph">
    <w:name w:val="Normal"/>
    <w:link w:val="Style_12_ch"/>
    <w:uiPriority w:val="0"/>
    <w:qFormat/>
    <w:pPr>
      <w:widowControl w:val="0"/>
      <w:spacing w:after="0" w:line="240" w:lineRule="auto"/>
      <w:ind/>
    </w:pPr>
    <w:rPr>
      <w:rFonts w:ascii="Times New Roman" w:hAnsi="Times New Roman"/>
      <w:sz w:val="20"/>
    </w:rPr>
  </w:style>
  <w:style w:default="1" w:styleId="Style_12_ch" w:type="character">
    <w:name w:val="Normal"/>
    <w:link w:val="Style_12"/>
    <w:rPr>
      <w:rFonts w:ascii="Times New Roman" w:hAnsi="Times New Roman"/>
      <w:sz w:val="20"/>
    </w:rPr>
  </w:style>
  <w:style w:styleId="Style_13" w:type="paragraph">
    <w:name w:val="toc 2"/>
    <w:basedOn w:val="Style_12"/>
    <w:next w:val="Style_12"/>
    <w:link w:val="Style_13_ch"/>
    <w:uiPriority w:val="39"/>
    <w:pPr>
      <w:spacing w:after="100"/>
      <w:ind w:firstLine="0" w:left="200"/>
    </w:pPr>
  </w:style>
  <w:style w:styleId="Style_13_ch" w:type="character">
    <w:name w:val="toc 2"/>
    <w:basedOn w:val="Style_12_ch"/>
    <w:link w:val="Style_13"/>
  </w:style>
  <w:style w:styleId="Style_14" w:type="paragraph">
    <w:name w:val="toc 4"/>
    <w:next w:val="Style_12"/>
    <w:link w:val="Style_14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14_ch" w:type="character">
    <w:name w:val="toc 4"/>
    <w:link w:val="Style_14"/>
    <w:rPr>
      <w:rFonts w:ascii="XO Thames" w:hAnsi="XO Thames"/>
      <w:sz w:val="28"/>
    </w:rPr>
  </w:style>
  <w:style w:styleId="Style_15" w:type="paragraph">
    <w:name w:val="c6"/>
    <w:basedOn w:val="Style_12"/>
    <w:link w:val="Style_15_ch"/>
    <w:pPr>
      <w:widowControl w:val="1"/>
      <w:spacing w:afterAutospacing="on" w:beforeAutospacing="on"/>
      <w:ind/>
    </w:pPr>
    <w:rPr>
      <w:sz w:val="24"/>
    </w:rPr>
  </w:style>
  <w:style w:styleId="Style_15_ch" w:type="character">
    <w:name w:val="c6"/>
    <w:basedOn w:val="Style_12_ch"/>
    <w:link w:val="Style_15"/>
    <w:rPr>
      <w:sz w:val="24"/>
    </w:rPr>
  </w:style>
  <w:style w:styleId="Style_16" w:type="paragraph">
    <w:name w:val="Default"/>
    <w:link w:val="Style_16_ch"/>
    <w:pPr>
      <w:spacing w:after="0" w:line="240" w:lineRule="auto"/>
      <w:ind/>
    </w:pPr>
    <w:rPr>
      <w:rFonts w:ascii="Times New Roman" w:hAnsi="Times New Roman"/>
      <w:color w:val="000000"/>
      <w:sz w:val="24"/>
    </w:rPr>
  </w:style>
  <w:style w:styleId="Style_16_ch" w:type="character">
    <w:name w:val="Default"/>
    <w:link w:val="Style_16"/>
    <w:rPr>
      <w:rFonts w:ascii="Times New Roman" w:hAnsi="Times New Roman"/>
      <w:color w:val="000000"/>
      <w:sz w:val="24"/>
    </w:rPr>
  </w:style>
  <w:style w:styleId="Style_17" w:type="paragraph">
    <w:name w:val="toc 6"/>
    <w:next w:val="Style_12"/>
    <w:link w:val="Style_17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7_ch" w:type="character">
    <w:name w:val="toc 6"/>
    <w:link w:val="Style_17"/>
    <w:rPr>
      <w:rFonts w:ascii="XO Thames" w:hAnsi="XO Thames"/>
      <w:sz w:val="28"/>
    </w:rPr>
  </w:style>
  <w:style w:styleId="Style_18" w:type="paragraph">
    <w:name w:val="TOC Heading"/>
    <w:basedOn w:val="Style_19"/>
    <w:next w:val="Style_12"/>
    <w:link w:val="Style_18_ch"/>
    <w:pPr>
      <w:keepNext w:val="1"/>
      <w:keepLines w:val="1"/>
      <w:spacing w:after="0" w:before="240" w:line="264" w:lineRule="auto"/>
      <w:ind/>
      <w:outlineLvl w:val="8"/>
    </w:pPr>
    <w:rPr>
      <w:rFonts w:asciiTheme="majorAscii" w:hAnsiTheme="majorHAnsi"/>
      <w:b w:val="0"/>
      <w:color w:themeColor="accent1" w:themeShade="BF" w:val="2E75B5"/>
      <w:sz w:val="32"/>
    </w:rPr>
  </w:style>
  <w:style w:styleId="Style_18_ch" w:type="character">
    <w:name w:val="TOC Heading"/>
    <w:basedOn w:val="Style_19_ch"/>
    <w:link w:val="Style_18"/>
    <w:rPr>
      <w:rFonts w:asciiTheme="majorAscii" w:hAnsiTheme="majorHAnsi"/>
      <w:b w:val="0"/>
      <w:color w:themeColor="accent1" w:themeShade="BF" w:val="2E75B5"/>
      <w:sz w:val="32"/>
    </w:rPr>
  </w:style>
  <w:style w:styleId="Style_20" w:type="paragraph">
    <w:name w:val="toc 7"/>
    <w:next w:val="Style_12"/>
    <w:link w:val="Style_20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20_ch" w:type="character">
    <w:name w:val="toc 7"/>
    <w:link w:val="Style_20"/>
    <w:rPr>
      <w:rFonts w:ascii="XO Thames" w:hAnsi="XO Thames"/>
      <w:sz w:val="28"/>
    </w:rPr>
  </w:style>
  <w:style w:styleId="Style_21" w:type="paragraph">
    <w:name w:val="heading 3"/>
    <w:basedOn w:val="Style_12"/>
    <w:next w:val="Style_12"/>
    <w:link w:val="Style_21_ch"/>
    <w:uiPriority w:val="9"/>
    <w:qFormat/>
    <w:pPr>
      <w:keepNext w:val="1"/>
      <w:keepLines w:val="1"/>
      <w:spacing w:before="40"/>
      <w:ind/>
      <w:outlineLvl w:val="2"/>
    </w:pPr>
    <w:rPr>
      <w:rFonts w:asciiTheme="majorAscii" w:hAnsiTheme="majorHAnsi"/>
      <w:color w:themeColor="accent1" w:themeShade="7F" w:val="1F4E79"/>
      <w:sz w:val="24"/>
    </w:rPr>
  </w:style>
  <w:style w:styleId="Style_21_ch" w:type="character">
    <w:name w:val="heading 3"/>
    <w:basedOn w:val="Style_12_ch"/>
    <w:link w:val="Style_21"/>
    <w:rPr>
      <w:rFonts w:asciiTheme="majorAscii" w:hAnsiTheme="majorHAnsi"/>
      <w:color w:themeColor="accent1" w:themeShade="7F" w:val="1F4E79"/>
      <w:sz w:val="24"/>
    </w:rPr>
  </w:style>
  <w:style w:styleId="Style_22" w:type="paragraph">
    <w:name w:val="annotation subject"/>
    <w:basedOn w:val="Style_23"/>
    <w:next w:val="Style_23"/>
    <w:link w:val="Style_22_ch"/>
    <w:rPr>
      <w:b w:val="1"/>
    </w:rPr>
  </w:style>
  <w:style w:styleId="Style_22_ch" w:type="character">
    <w:name w:val="annotation subject"/>
    <w:basedOn w:val="Style_23_ch"/>
    <w:link w:val="Style_22"/>
    <w:rPr>
      <w:b w:val="1"/>
    </w:rPr>
  </w:style>
  <w:style w:styleId="Style_24" w:type="paragraph">
    <w:name w:val="annotation reference"/>
    <w:basedOn w:val="Style_25"/>
    <w:link w:val="Style_24_ch"/>
    <w:rPr>
      <w:sz w:val="16"/>
    </w:rPr>
  </w:style>
  <w:style w:styleId="Style_24_ch" w:type="character">
    <w:name w:val="annotation reference"/>
    <w:basedOn w:val="Style_25_ch"/>
    <w:link w:val="Style_24"/>
    <w:rPr>
      <w:sz w:val="16"/>
    </w:rPr>
  </w:style>
  <w:style w:styleId="Style_26" w:type="paragraph">
    <w:name w:val="c0"/>
    <w:basedOn w:val="Style_25"/>
    <w:link w:val="Style_26_ch"/>
  </w:style>
  <w:style w:styleId="Style_26_ch" w:type="character">
    <w:name w:val="c0"/>
    <w:basedOn w:val="Style_25_ch"/>
    <w:link w:val="Style_26"/>
  </w:style>
  <w:style w:styleId="Style_6" w:type="paragraph">
    <w:name w:val="enquiry-text"/>
    <w:basedOn w:val="Style_12"/>
    <w:link w:val="Style_6_ch"/>
    <w:pPr>
      <w:widowControl w:val="1"/>
      <w:spacing w:afterAutospacing="on" w:beforeAutospacing="on"/>
      <w:ind/>
    </w:pPr>
    <w:rPr>
      <w:sz w:val="24"/>
    </w:rPr>
  </w:style>
  <w:style w:styleId="Style_6_ch" w:type="character">
    <w:name w:val="enquiry-text"/>
    <w:basedOn w:val="Style_12_ch"/>
    <w:link w:val="Style_6"/>
    <w:rPr>
      <w:sz w:val="24"/>
    </w:rPr>
  </w:style>
  <w:style w:styleId="Style_27" w:type="paragraph">
    <w:name w:val="Emphasis"/>
    <w:link w:val="Style_27_ch"/>
    <w:rPr>
      <w:i w:val="1"/>
    </w:rPr>
  </w:style>
  <w:style w:styleId="Style_27_ch" w:type="character">
    <w:name w:val="Emphasis"/>
    <w:link w:val="Style_27"/>
    <w:rPr>
      <w:i w:val="1"/>
    </w:rPr>
  </w:style>
  <w:style w:styleId="Style_10" w:type="paragraph">
    <w:name w:val="Strong"/>
    <w:link w:val="Style_10_ch"/>
    <w:rPr>
      <w:b w:val="1"/>
    </w:rPr>
  </w:style>
  <w:style w:styleId="Style_10_ch" w:type="character">
    <w:name w:val="Strong"/>
    <w:link w:val="Style_10"/>
    <w:rPr>
      <w:b w:val="1"/>
    </w:rPr>
  </w:style>
  <w:style w:styleId="Style_28" w:type="paragraph">
    <w:name w:val="ConsPlusNormal"/>
    <w:link w:val="Style_28_ch"/>
    <w:pPr>
      <w:widowControl w:val="0"/>
      <w:spacing w:after="0" w:line="240" w:lineRule="auto"/>
      <w:ind/>
    </w:pPr>
    <w:rPr>
      <w:rFonts w:ascii="Times New Roman" w:hAnsi="Times New Roman"/>
      <w:sz w:val="24"/>
    </w:rPr>
  </w:style>
  <w:style w:styleId="Style_28_ch" w:type="character">
    <w:name w:val="ConsPlusNormal"/>
    <w:link w:val="Style_28"/>
    <w:rPr>
      <w:rFonts w:ascii="Times New Roman" w:hAnsi="Times New Roman"/>
      <w:sz w:val="24"/>
    </w:rPr>
  </w:style>
  <w:style w:styleId="Style_29" w:type="paragraph">
    <w:name w:val="toc 3"/>
    <w:basedOn w:val="Style_12"/>
    <w:next w:val="Style_12"/>
    <w:link w:val="Style_29_ch"/>
    <w:uiPriority w:val="39"/>
    <w:pPr>
      <w:widowControl w:val="1"/>
      <w:numPr>
        <w:numId w:val="5"/>
      </w:numPr>
      <w:spacing w:after="100" w:line="360" w:lineRule="auto"/>
      <w:ind w:firstLine="0" w:left="296"/>
      <w:jc w:val="both"/>
    </w:pPr>
    <w:rPr>
      <w:sz w:val="28"/>
    </w:rPr>
  </w:style>
  <w:style w:styleId="Style_29_ch" w:type="character">
    <w:name w:val="toc 3"/>
    <w:basedOn w:val="Style_12_ch"/>
    <w:link w:val="Style_29"/>
    <w:rPr>
      <w:sz w:val="28"/>
    </w:rPr>
  </w:style>
  <w:style w:styleId="Style_30" w:type="paragraph">
    <w:name w:val="header"/>
    <w:basedOn w:val="Style_12"/>
    <w:link w:val="Style_30_ch"/>
    <w:pPr>
      <w:tabs>
        <w:tab w:leader="none" w:pos="4677" w:val="center"/>
        <w:tab w:leader="none" w:pos="9355" w:val="right"/>
      </w:tabs>
      <w:ind/>
    </w:pPr>
  </w:style>
  <w:style w:styleId="Style_30_ch" w:type="character">
    <w:name w:val="header"/>
    <w:basedOn w:val="Style_12_ch"/>
    <w:link w:val="Style_30"/>
  </w:style>
  <w:style w:styleId="Style_7" w:type="paragraph">
    <w:name w:val="resume-tile__text"/>
    <w:basedOn w:val="Style_12"/>
    <w:link w:val="Style_7_ch"/>
    <w:pPr>
      <w:widowControl w:val="1"/>
      <w:spacing w:afterAutospacing="on" w:beforeAutospacing="on"/>
      <w:ind/>
    </w:pPr>
    <w:rPr>
      <w:sz w:val="24"/>
    </w:rPr>
  </w:style>
  <w:style w:styleId="Style_7_ch" w:type="character">
    <w:name w:val="resume-tile__text"/>
    <w:basedOn w:val="Style_12_ch"/>
    <w:link w:val="Style_7"/>
    <w:rPr>
      <w:sz w:val="24"/>
    </w:rPr>
  </w:style>
  <w:style w:styleId="Style_31" w:type="paragraph">
    <w:name w:val="Body Text Indent"/>
    <w:basedOn w:val="Style_12"/>
    <w:link w:val="Style_31_ch"/>
    <w:pPr>
      <w:spacing w:after="120"/>
      <w:ind w:firstLine="0" w:left="283"/>
    </w:pPr>
  </w:style>
  <w:style w:styleId="Style_31_ch" w:type="character">
    <w:name w:val="Body Text Indent"/>
    <w:basedOn w:val="Style_12_ch"/>
    <w:link w:val="Style_31"/>
  </w:style>
  <w:style w:styleId="Style_32" w:type="paragraph">
    <w:name w:val="western"/>
    <w:basedOn w:val="Style_12"/>
    <w:link w:val="Style_32_ch"/>
    <w:pPr>
      <w:widowControl w:val="1"/>
      <w:spacing w:afterAutospacing="on" w:beforeAutospacing="on"/>
      <w:ind/>
    </w:pPr>
    <w:rPr>
      <w:sz w:val="24"/>
    </w:rPr>
  </w:style>
  <w:style w:styleId="Style_32_ch" w:type="character">
    <w:name w:val="western"/>
    <w:basedOn w:val="Style_12_ch"/>
    <w:link w:val="Style_32"/>
    <w:rPr>
      <w:sz w:val="24"/>
    </w:rPr>
  </w:style>
  <w:style w:styleId="Style_33" w:type="paragraph">
    <w:name w:val="apple-converted-space"/>
    <w:basedOn w:val="Style_25"/>
    <w:link w:val="Style_33_ch"/>
  </w:style>
  <w:style w:styleId="Style_33_ch" w:type="character">
    <w:name w:val="apple-converted-space"/>
    <w:basedOn w:val="Style_25_ch"/>
    <w:link w:val="Style_33"/>
  </w:style>
  <w:style w:styleId="Style_34" w:type="paragraph">
    <w:name w:val="heading 5"/>
    <w:next w:val="Style_12"/>
    <w:link w:val="Style_34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34_ch" w:type="character">
    <w:name w:val="heading 5"/>
    <w:link w:val="Style_34"/>
    <w:rPr>
      <w:rFonts w:ascii="XO Thames" w:hAnsi="XO Thames"/>
      <w:b w:val="1"/>
      <w:sz w:val="22"/>
    </w:rPr>
  </w:style>
  <w:style w:styleId="Style_35" w:type="paragraph">
    <w:name w:val="apple-style-span"/>
    <w:basedOn w:val="Style_25"/>
    <w:link w:val="Style_35_ch"/>
  </w:style>
  <w:style w:styleId="Style_35_ch" w:type="character">
    <w:name w:val="apple-style-span"/>
    <w:basedOn w:val="Style_25_ch"/>
    <w:link w:val="Style_35"/>
  </w:style>
  <w:style w:styleId="Style_25" w:type="paragraph">
    <w:name w:val="Default Paragraph Font"/>
    <w:link w:val="Style_25_ch"/>
  </w:style>
  <w:style w:styleId="Style_25_ch" w:type="character">
    <w:name w:val="Default Paragraph Font"/>
    <w:link w:val="Style_25"/>
  </w:style>
  <w:style w:styleId="Style_19" w:type="paragraph">
    <w:name w:val="heading 1"/>
    <w:basedOn w:val="Style_12"/>
    <w:link w:val="Style_19_ch"/>
    <w:uiPriority w:val="9"/>
    <w:qFormat/>
    <w:pPr>
      <w:widowControl w:val="1"/>
      <w:spacing w:afterAutospacing="on" w:beforeAutospacing="on"/>
      <w:ind/>
      <w:outlineLvl w:val="0"/>
    </w:pPr>
    <w:rPr>
      <w:b w:val="1"/>
      <w:sz w:val="48"/>
    </w:rPr>
  </w:style>
  <w:style w:styleId="Style_19_ch" w:type="character">
    <w:name w:val="heading 1"/>
    <w:basedOn w:val="Style_12_ch"/>
    <w:link w:val="Style_19"/>
    <w:rPr>
      <w:b w:val="1"/>
      <w:sz w:val="48"/>
    </w:rPr>
  </w:style>
  <w:style w:styleId="Style_36" w:type="paragraph">
    <w:name w:val="No Spacing"/>
    <w:basedOn w:val="Style_12"/>
    <w:link w:val="Style_36_ch"/>
    <w:pPr>
      <w:widowControl w:val="1"/>
      <w:spacing w:line="360" w:lineRule="auto"/>
      <w:ind/>
      <w:jc w:val="both"/>
    </w:pPr>
    <w:rPr>
      <w:b w:val="1"/>
      <w:sz w:val="24"/>
    </w:rPr>
  </w:style>
  <w:style w:styleId="Style_36_ch" w:type="character">
    <w:name w:val="No Spacing"/>
    <w:basedOn w:val="Style_12_ch"/>
    <w:link w:val="Style_36"/>
    <w:rPr>
      <w:b w:val="1"/>
      <w:sz w:val="24"/>
    </w:rPr>
  </w:style>
  <w:style w:styleId="Style_8" w:type="paragraph">
    <w:name w:val="Hyperlink"/>
    <w:basedOn w:val="Style_25"/>
    <w:link w:val="Style_8_ch"/>
    <w:rPr>
      <w:color w:val="0000FF"/>
      <w:u w:val="single"/>
    </w:rPr>
  </w:style>
  <w:style w:styleId="Style_8_ch" w:type="character">
    <w:name w:val="Hyperlink"/>
    <w:basedOn w:val="Style_25_ch"/>
    <w:link w:val="Style_8"/>
    <w:rPr>
      <w:color w:val="0000FF"/>
      <w:u w:val="single"/>
    </w:rPr>
  </w:style>
  <w:style w:styleId="Style_37" w:type="paragraph">
    <w:name w:val="Footnote"/>
    <w:basedOn w:val="Style_12"/>
    <w:link w:val="Style_37_ch"/>
    <w:pPr>
      <w:widowControl w:val="1"/>
      <w:ind/>
    </w:pPr>
  </w:style>
  <w:style w:styleId="Style_37_ch" w:type="character">
    <w:name w:val="Footnote"/>
    <w:basedOn w:val="Style_12_ch"/>
    <w:link w:val="Style_37"/>
  </w:style>
  <w:style w:styleId="Style_38" w:type="paragraph">
    <w:name w:val="FollowedHyperlink"/>
    <w:basedOn w:val="Style_25"/>
    <w:link w:val="Style_38_ch"/>
    <w:rPr>
      <w:color w:themeColor="followedHyperlink" w:val="954F72"/>
      <w:u w:val="single"/>
    </w:rPr>
  </w:style>
  <w:style w:styleId="Style_38_ch" w:type="character">
    <w:name w:val="FollowedHyperlink"/>
    <w:basedOn w:val="Style_25_ch"/>
    <w:link w:val="Style_38"/>
    <w:rPr>
      <w:color w:themeColor="followedHyperlink" w:val="954F72"/>
      <w:u w:val="single"/>
    </w:rPr>
  </w:style>
  <w:style w:styleId="Style_3" w:type="paragraph">
    <w:name w:val="Normal (Web)"/>
    <w:basedOn w:val="Style_12"/>
    <w:link w:val="Style_3_ch"/>
    <w:pPr>
      <w:widowControl w:val="1"/>
      <w:spacing w:afterAutospacing="on" w:beforeAutospacing="on"/>
      <w:ind/>
    </w:pPr>
    <w:rPr>
      <w:sz w:val="24"/>
    </w:rPr>
  </w:style>
  <w:style w:styleId="Style_3_ch" w:type="character">
    <w:name w:val="Normal (Web)"/>
    <w:basedOn w:val="Style_12_ch"/>
    <w:link w:val="Style_3"/>
    <w:rPr>
      <w:sz w:val="24"/>
    </w:rPr>
  </w:style>
  <w:style w:styleId="Style_39" w:type="paragraph">
    <w:name w:val="toc 1"/>
    <w:basedOn w:val="Style_12"/>
    <w:next w:val="Style_12"/>
    <w:link w:val="Style_39_ch"/>
    <w:uiPriority w:val="39"/>
    <w:pPr>
      <w:tabs>
        <w:tab w:leader="dot" w:pos="9629" w:val="right"/>
      </w:tabs>
      <w:spacing w:after="120"/>
      <w:ind/>
    </w:pPr>
  </w:style>
  <w:style w:styleId="Style_39_ch" w:type="character">
    <w:name w:val="toc 1"/>
    <w:basedOn w:val="Style_12_ch"/>
    <w:link w:val="Style_39"/>
  </w:style>
  <w:style w:styleId="Style_40" w:type="paragraph">
    <w:name w:val="Основной текст + 10;5 pt;Не полужирный;Курсив;Интервал 0 pt"/>
    <w:basedOn w:val="Style_25"/>
    <w:link w:val="Style_40_ch"/>
    <w:rPr>
      <w:rFonts w:ascii="Times New Roman" w:hAnsi="Times New Roman"/>
      <w:b w:val="1"/>
      <w:i w:val="1"/>
      <w:smallCaps w:val="0"/>
      <w:strike w:val="0"/>
      <w:spacing w:val="-10"/>
      <w:sz w:val="21"/>
    </w:rPr>
  </w:style>
  <w:style w:styleId="Style_40_ch" w:type="character">
    <w:name w:val="Основной текст + 10;5 pt;Не полужирный;Курсив;Интервал 0 pt"/>
    <w:basedOn w:val="Style_25_ch"/>
    <w:link w:val="Style_40"/>
    <w:rPr>
      <w:rFonts w:ascii="Times New Roman" w:hAnsi="Times New Roman"/>
      <w:b w:val="1"/>
      <w:i w:val="1"/>
      <w:smallCaps w:val="0"/>
      <w:strike w:val="0"/>
      <w:spacing w:val="-10"/>
      <w:sz w:val="21"/>
    </w:rPr>
  </w:style>
  <w:style w:styleId="Style_41" w:type="paragraph">
    <w:name w:val="Header and Footer"/>
    <w:link w:val="Style_41_ch"/>
    <w:pPr>
      <w:spacing w:line="240" w:lineRule="auto"/>
      <w:ind/>
      <w:jc w:val="both"/>
    </w:pPr>
    <w:rPr>
      <w:rFonts w:ascii="XO Thames" w:hAnsi="XO Thames"/>
      <w:sz w:val="20"/>
    </w:rPr>
  </w:style>
  <w:style w:styleId="Style_41_ch" w:type="character">
    <w:name w:val="Header and Footer"/>
    <w:link w:val="Style_41"/>
    <w:rPr>
      <w:rFonts w:ascii="XO Thames" w:hAnsi="XO Thames"/>
      <w:sz w:val="20"/>
    </w:rPr>
  </w:style>
  <w:style w:styleId="Style_42" w:type="paragraph">
    <w:name w:val="toc 9"/>
    <w:next w:val="Style_12"/>
    <w:link w:val="Style_42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42_ch" w:type="character">
    <w:name w:val="toc 9"/>
    <w:link w:val="Style_42"/>
    <w:rPr>
      <w:rFonts w:ascii="XO Thames" w:hAnsi="XO Thames"/>
      <w:sz w:val="28"/>
    </w:rPr>
  </w:style>
  <w:style w:styleId="Style_43" w:type="paragraph">
    <w:name w:val="Table Paragraph"/>
    <w:basedOn w:val="Style_12"/>
    <w:link w:val="Style_43_ch"/>
    <w:pPr>
      <w:ind w:firstLine="0" w:left="110"/>
    </w:pPr>
    <w:rPr>
      <w:sz w:val="22"/>
    </w:rPr>
  </w:style>
  <w:style w:styleId="Style_43_ch" w:type="character">
    <w:name w:val="Table Paragraph"/>
    <w:basedOn w:val="Style_12_ch"/>
    <w:link w:val="Style_43"/>
    <w:rPr>
      <w:sz w:val="22"/>
    </w:rPr>
  </w:style>
  <w:style w:styleId="Style_44" w:type="paragraph">
    <w:name w:val="Обычный1"/>
    <w:link w:val="Style_44_ch"/>
    <w:pPr>
      <w:widowControl w:val="0"/>
      <w:spacing w:after="0" w:line="480" w:lineRule="auto"/>
      <w:ind w:hanging="460" w:left="480"/>
      <w:jc w:val="both"/>
    </w:pPr>
    <w:rPr>
      <w:rFonts w:ascii="Times New Roman" w:hAnsi="Times New Roman"/>
      <w:sz w:val="16"/>
    </w:rPr>
  </w:style>
  <w:style w:styleId="Style_44_ch" w:type="character">
    <w:name w:val="Обычный1"/>
    <w:link w:val="Style_44"/>
    <w:rPr>
      <w:rFonts w:ascii="Times New Roman" w:hAnsi="Times New Roman"/>
      <w:sz w:val="16"/>
    </w:rPr>
  </w:style>
  <w:style w:styleId="Style_45" w:type="paragraph">
    <w:name w:val="short_name"/>
    <w:basedOn w:val="Style_25"/>
    <w:link w:val="Style_45_ch"/>
  </w:style>
  <w:style w:styleId="Style_45_ch" w:type="character">
    <w:name w:val="short_name"/>
    <w:basedOn w:val="Style_25_ch"/>
    <w:link w:val="Style_45"/>
  </w:style>
  <w:style w:styleId="Style_46" w:type="paragraph">
    <w:name w:val="enquiry-tile__text"/>
    <w:basedOn w:val="Style_12"/>
    <w:link w:val="Style_46_ch"/>
    <w:pPr>
      <w:widowControl w:val="1"/>
      <w:spacing w:afterAutospacing="on" w:beforeAutospacing="on"/>
      <w:ind/>
    </w:pPr>
    <w:rPr>
      <w:sz w:val="24"/>
    </w:rPr>
  </w:style>
  <w:style w:styleId="Style_46_ch" w:type="character">
    <w:name w:val="enquiry-tile__text"/>
    <w:basedOn w:val="Style_12_ch"/>
    <w:link w:val="Style_46"/>
    <w:rPr>
      <w:sz w:val="24"/>
    </w:rPr>
  </w:style>
  <w:style w:styleId="Style_47" w:type="paragraph">
    <w:name w:val="toc 8"/>
    <w:next w:val="Style_12"/>
    <w:link w:val="Style_47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47_ch" w:type="character">
    <w:name w:val="toc 8"/>
    <w:link w:val="Style_47"/>
    <w:rPr>
      <w:rFonts w:ascii="XO Thames" w:hAnsi="XO Thames"/>
      <w:sz w:val="28"/>
    </w:rPr>
  </w:style>
  <w:style w:styleId="Style_48" w:type="paragraph">
    <w:name w:val="Body Text"/>
    <w:basedOn w:val="Style_12"/>
    <w:link w:val="Style_48_ch"/>
    <w:pPr>
      <w:spacing w:after="120"/>
      <w:ind/>
    </w:pPr>
  </w:style>
  <w:style w:styleId="Style_48_ch" w:type="character">
    <w:name w:val="Body Text"/>
    <w:basedOn w:val="Style_12_ch"/>
    <w:link w:val="Style_48"/>
  </w:style>
  <w:style w:styleId="Style_49" w:type="paragraph">
    <w:name w:val="Абзац списка1"/>
    <w:basedOn w:val="Style_12"/>
    <w:link w:val="Style_49_ch"/>
    <w:pPr>
      <w:widowControl w:val="1"/>
      <w:ind w:firstLine="0" w:left="708"/>
    </w:pPr>
  </w:style>
  <w:style w:styleId="Style_49_ch" w:type="character">
    <w:name w:val="Абзац списка1"/>
    <w:basedOn w:val="Style_12_ch"/>
    <w:link w:val="Style_49"/>
  </w:style>
  <w:style w:styleId="Style_50" w:type="paragraph">
    <w:name w:val="toc 5"/>
    <w:next w:val="Style_12"/>
    <w:link w:val="Style_50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50_ch" w:type="character">
    <w:name w:val="toc 5"/>
    <w:link w:val="Style_50"/>
    <w:rPr>
      <w:rFonts w:ascii="XO Thames" w:hAnsi="XO Thames"/>
      <w:sz w:val="28"/>
    </w:rPr>
  </w:style>
  <w:style w:styleId="Style_51" w:type="paragraph">
    <w:name w:val="Balloon Text"/>
    <w:basedOn w:val="Style_12"/>
    <w:link w:val="Style_51_ch"/>
    <w:rPr>
      <w:rFonts w:ascii="Arial" w:hAnsi="Arial"/>
      <w:sz w:val="18"/>
    </w:rPr>
  </w:style>
  <w:style w:styleId="Style_51_ch" w:type="character">
    <w:name w:val="Balloon Text"/>
    <w:basedOn w:val="Style_12_ch"/>
    <w:link w:val="Style_51"/>
    <w:rPr>
      <w:rFonts w:ascii="Arial" w:hAnsi="Arial"/>
      <w:sz w:val="18"/>
    </w:rPr>
  </w:style>
  <w:style w:styleId="Style_52" w:type="paragraph">
    <w:name w:val="footnote reference"/>
    <w:link w:val="Style_52_ch"/>
    <w:rPr>
      <w:vertAlign w:val="superscript"/>
    </w:rPr>
  </w:style>
  <w:style w:styleId="Style_52_ch" w:type="character">
    <w:name w:val="footnote reference"/>
    <w:link w:val="Style_52"/>
    <w:rPr>
      <w:vertAlign w:val="superscript"/>
    </w:rPr>
  </w:style>
  <w:style w:styleId="Style_53" w:type="paragraph">
    <w:name w:val="short_author"/>
    <w:basedOn w:val="Style_25"/>
    <w:link w:val="Style_53_ch"/>
  </w:style>
  <w:style w:styleId="Style_53_ch" w:type="character">
    <w:name w:val="short_author"/>
    <w:basedOn w:val="Style_25_ch"/>
    <w:link w:val="Style_53"/>
  </w:style>
  <w:style w:styleId="Style_9" w:type="paragraph">
    <w:name w:val="futurismarkdown-paragraph"/>
    <w:basedOn w:val="Style_12"/>
    <w:link w:val="Style_9_ch"/>
    <w:pPr>
      <w:widowControl w:val="1"/>
      <w:spacing w:afterAutospacing="on" w:beforeAutospacing="on"/>
      <w:ind/>
    </w:pPr>
    <w:rPr>
      <w:sz w:val="24"/>
    </w:rPr>
  </w:style>
  <w:style w:styleId="Style_9_ch" w:type="character">
    <w:name w:val="futurismarkdown-paragraph"/>
    <w:basedOn w:val="Style_12_ch"/>
    <w:link w:val="Style_9"/>
    <w:rPr>
      <w:sz w:val="24"/>
    </w:rPr>
  </w:style>
  <w:style w:styleId="Style_1" w:type="paragraph">
    <w:name w:val="footer"/>
    <w:basedOn w:val="Style_12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footer"/>
    <w:basedOn w:val="Style_12_ch"/>
    <w:link w:val="Style_1"/>
  </w:style>
  <w:style w:styleId="Style_54" w:type="paragraph">
    <w:name w:val="Subtitle"/>
    <w:next w:val="Style_12"/>
    <w:link w:val="Style_54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54_ch" w:type="character">
    <w:name w:val="Subtitle"/>
    <w:link w:val="Style_54"/>
    <w:rPr>
      <w:rFonts w:ascii="XO Thames" w:hAnsi="XO Thames"/>
      <w:i w:val="1"/>
      <w:sz w:val="24"/>
    </w:rPr>
  </w:style>
  <w:style w:styleId="Style_55" w:type="paragraph">
    <w:name w:val="Схема"/>
    <w:basedOn w:val="Style_12"/>
    <w:link w:val="Style_55_ch"/>
    <w:pPr>
      <w:widowControl w:val="1"/>
      <w:ind/>
      <w:jc w:val="center"/>
    </w:pPr>
    <w:rPr>
      <w:sz w:val="24"/>
    </w:rPr>
  </w:style>
  <w:style w:styleId="Style_55_ch" w:type="character">
    <w:name w:val="Схема"/>
    <w:basedOn w:val="Style_12_ch"/>
    <w:link w:val="Style_55"/>
    <w:rPr>
      <w:sz w:val="24"/>
    </w:rPr>
  </w:style>
  <w:style w:styleId="Style_23" w:type="paragraph">
    <w:name w:val="annotation text"/>
    <w:basedOn w:val="Style_12"/>
    <w:link w:val="Style_23_ch"/>
  </w:style>
  <w:style w:styleId="Style_23_ch" w:type="character">
    <w:name w:val="annotation text"/>
    <w:basedOn w:val="Style_12_ch"/>
    <w:link w:val="Style_23"/>
  </w:style>
  <w:style w:styleId="Style_56" w:type="paragraph">
    <w:name w:val="Title"/>
    <w:next w:val="Style_12"/>
    <w:link w:val="Style_56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56_ch" w:type="character">
    <w:name w:val="Title"/>
    <w:link w:val="Style_56"/>
    <w:rPr>
      <w:rFonts w:ascii="XO Thames" w:hAnsi="XO Thames"/>
      <w:b w:val="1"/>
      <w:caps w:val="1"/>
      <w:sz w:val="40"/>
    </w:rPr>
  </w:style>
  <w:style w:styleId="Style_57" w:type="paragraph">
    <w:name w:val="heading 4"/>
    <w:next w:val="Style_12"/>
    <w:link w:val="Style_57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57_ch" w:type="character">
    <w:name w:val="heading 4"/>
    <w:link w:val="Style_57"/>
    <w:rPr>
      <w:rFonts w:ascii="XO Thames" w:hAnsi="XO Thames"/>
      <w:b w:val="1"/>
      <w:sz w:val="24"/>
    </w:rPr>
  </w:style>
  <w:style w:styleId="Style_58" w:type="paragraph">
    <w:name w:val="heading 2"/>
    <w:basedOn w:val="Style_12"/>
    <w:next w:val="Style_12"/>
    <w:link w:val="Style_58_ch"/>
    <w:uiPriority w:val="9"/>
    <w:qFormat/>
    <w:pPr>
      <w:keepNext w:val="1"/>
      <w:keepLines w:val="1"/>
      <w:spacing w:before="200"/>
      <w:ind/>
      <w:outlineLvl w:val="1"/>
    </w:pPr>
    <w:rPr>
      <w:rFonts w:asciiTheme="majorAscii" w:hAnsiTheme="majorHAnsi"/>
      <w:b w:val="1"/>
      <w:color w:themeColor="accent1" w:val="5B9BD5"/>
      <w:sz w:val="26"/>
    </w:rPr>
  </w:style>
  <w:style w:styleId="Style_58_ch" w:type="character">
    <w:name w:val="heading 2"/>
    <w:basedOn w:val="Style_12_ch"/>
    <w:link w:val="Style_58"/>
    <w:rPr>
      <w:rFonts w:asciiTheme="majorAscii" w:hAnsiTheme="majorHAnsi"/>
      <w:b w:val="1"/>
      <w:color w:themeColor="accent1" w:val="5B9BD5"/>
      <w:sz w:val="26"/>
    </w:rPr>
  </w:style>
  <w:style w:styleId="Style_4" w:type="paragraph">
    <w:name w:val="List Paragraph"/>
    <w:basedOn w:val="Style_12"/>
    <w:link w:val="Style_4_ch"/>
    <w:pPr>
      <w:ind w:firstLine="0" w:left="720"/>
      <w:contextualSpacing w:val="1"/>
    </w:pPr>
  </w:style>
  <w:style w:styleId="Style_4_ch" w:type="character">
    <w:name w:val="List Paragraph"/>
    <w:basedOn w:val="Style_12_ch"/>
    <w:link w:val="Style_4"/>
  </w:style>
  <w:style w:styleId="Style_5" w:type="table">
    <w:name w:val="Сетка таблицы1"/>
    <w:basedOn w:val="Style_2"/>
    <w:pPr>
      <w:spacing w:after="0" w:line="240" w:lineRule="auto"/>
      <w:ind/>
    </w:p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1" w:type="table">
    <w:name w:val="Table Grid"/>
    <w:basedOn w:val="Style_2"/>
    <w:pPr>
      <w:spacing w:after="0" w:line="240" w:lineRule="auto"/>
      <w:ind/>
    </w:p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10" Target="numbering.xml" Type="http://schemas.openxmlformats.org/officeDocument/2006/relationships/numbering"/>
  <Relationship Id="rId9" Target="theme/theme1.xml" Type="http://schemas.openxmlformats.org/officeDocument/2006/relationships/theme"/>
  <Relationship Id="rId8" Target="webSettings.xml" Type="http://schemas.openxmlformats.org/officeDocument/2006/relationships/webSettings"/>
  <Relationship Id="rId7" Target="stylesWithEffects.xml" Type="http://schemas.microsoft.com/office/2007/relationships/stylesWithEffects"/>
  <Relationship Id="rId6" Target="styles.xml" Type="http://schemas.openxmlformats.org/officeDocument/2006/relationships/styles"/>
  <Relationship Id="rId5" Target="settings.xml" Type="http://schemas.openxmlformats.org/officeDocument/2006/relationships/settings"/>
  <Relationship Id="rId4" Target="fontTable.xml" Type="http://schemas.openxmlformats.org/officeDocument/2006/relationships/fontTable"/>
  <Relationship Id="rId3" Target="media/2.jpeg" Type="http://schemas.openxmlformats.org/officeDocument/2006/relationships/image"/>
  <Relationship Id="rId2" Target="media/1.png" Type="http://schemas.openxmlformats.org/officeDocument/2006/relationships/image"/>
  <Relationship Id="rId1" Target="footer1.xml" Type="http://schemas.openxmlformats.org/officeDocument/2006/relationships/foot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2026-09-01T10:27:09Z</dcterms:modified>
</cp:coreProperties>
</file>