
<file path=[Content_Types].xml><?xml version="1.0" encoding="utf-8"?>
<Types xmlns="http://schemas.openxmlformats.org/package/2006/content-types">
  <Default ContentType="image/png" Extension="png"/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160" w:line="252" w:lineRule="auto"/>
        <w:ind w:firstLine="0" w:left="786"/>
        <w:jc w:val="center"/>
        <w:rPr>
          <w:sz w:val="24"/>
        </w:rPr>
      </w:pPr>
    </w:p>
    <w:p w14:paraId="02000000">
      <w:pPr>
        <w:pStyle w:val="Style_1"/>
        <w:widowControl w:val="1"/>
        <w:spacing w:after="160" w:line="252" w:lineRule="auto"/>
        <w:ind w:firstLine="0" w:left="786"/>
        <w:jc w:val="center"/>
        <w:rPr>
          <w:sz w:val="24"/>
        </w:rPr>
      </w:pPr>
      <w:r>
        <w:rPr>
          <w:b w:val="1"/>
          <w:sz w:val="24"/>
        </w:rPr>
        <w:t>3. Технический отчет.</w:t>
      </w:r>
    </w:p>
    <w:p w14:paraId="03000000">
      <w:pPr>
        <w:ind/>
        <w:jc w:val="center"/>
      </w:pPr>
      <w:r>
        <w:t>(краткая характеристика проделанной обучающимся работы, краткие выводы по результатам практики)</w:t>
      </w:r>
    </w:p>
    <w:p w14:paraId="04000000">
      <w:pPr>
        <w:ind/>
        <w:jc w:val="center"/>
      </w:pPr>
    </w:p>
    <w:p w14:paraId="05000000">
      <w:pPr>
        <w:pStyle w:val="Style_2"/>
        <w:spacing w:after="0" w:before="0" w:line="360" w:lineRule="auto"/>
        <w:ind w:firstLine="709" w:left="170" w:right="57"/>
        <w:jc w:val="both"/>
      </w:pPr>
      <w:r>
        <w:t xml:space="preserve">Пройден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в компании ООО «АЛАДДИН»  по адресу:  город Москва, </w:t>
      </w:r>
      <w:r>
        <w:t>ул</w:t>
      </w:r>
      <w:r>
        <w:t xml:space="preserve"> Арбат, д. 6/2, </w:t>
      </w:r>
      <w:r>
        <w:t>помещ</w:t>
      </w:r>
      <w:r>
        <w:t xml:space="preserve">. 2/1/4 </w:t>
      </w:r>
    </w:p>
    <w:p w14:paraId="06000000">
      <w:pPr>
        <w:pStyle w:val="Style_3"/>
        <w:spacing w:after="0" w:before="0" w:line="360" w:lineRule="auto"/>
        <w:ind w:firstLine="709" w:left="170" w:right="57"/>
        <w:jc w:val="both"/>
      </w:pPr>
      <w:r>
        <w:t xml:space="preserve">Собрана и проанализирована информация о деятельности компании ООО «АЛАДДИН», которая  была зарегистрировано 30.06.2022 регистратором Межрайонная инспекция Федеральной налоговой службы № 46 по </w:t>
      </w:r>
      <w:r>
        <w:t>г</w:t>
      </w:r>
      <w:r>
        <w:t xml:space="preserve">. Москве. Руководитель организации: генеральный директор </w:t>
      </w:r>
      <w:r>
        <w:t>Дзаварян</w:t>
      </w:r>
      <w:r>
        <w:t xml:space="preserve"> Сережа </w:t>
      </w:r>
      <w:r>
        <w:t>Грачьяевич</w:t>
      </w:r>
    </w:p>
    <w:p w14:paraId="07000000">
      <w:pPr>
        <w:pStyle w:val="Style_2"/>
        <w:spacing w:after="0" w:before="0" w:line="360" w:lineRule="auto"/>
        <w:ind w:firstLine="709" w:left="170" w:right="57"/>
        <w:jc w:val="both"/>
      </w:pPr>
      <w:r>
        <w:t>ОКФС: </w:t>
      </w:r>
      <w:r>
        <w:rPr>
          <w:rStyle w:val="Style_4_ch"/>
        </w:rPr>
        <w:t>16</w:t>
      </w:r>
      <w:r>
        <w:t> - Частная собственность</w:t>
      </w:r>
    </w:p>
    <w:p w14:paraId="08000000">
      <w:pPr>
        <w:pStyle w:val="Style_2"/>
        <w:spacing w:after="0" w:before="0" w:line="360" w:lineRule="auto"/>
        <w:ind w:firstLine="709" w:left="170" w:right="57"/>
        <w:jc w:val="both"/>
      </w:pPr>
      <w:r>
        <w:t>ОКОГУ: </w:t>
      </w:r>
      <w:r>
        <w:rPr>
          <w:rStyle w:val="Style_4_ch"/>
        </w:rPr>
        <w:t>4210014</w:t>
      </w:r>
      <w:r>
        <w:t> - Организации, учрежденные юридическими лицами или гражданами, или юридическими лицами и гражданами совместно</w:t>
      </w:r>
    </w:p>
    <w:p w14:paraId="09000000">
      <w:pPr>
        <w:pStyle w:val="Style_2"/>
        <w:spacing w:after="0" w:before="0" w:line="360" w:lineRule="auto"/>
        <w:ind w:firstLine="709" w:left="170" w:right="57"/>
        <w:jc w:val="both"/>
      </w:pPr>
      <w:r>
        <w:t>ОКОПФ: </w:t>
      </w:r>
      <w:r>
        <w:rPr>
          <w:rStyle w:val="Style_4_ch"/>
        </w:rPr>
        <w:t>12300</w:t>
      </w:r>
      <w:r>
        <w:t> - Общества с ограниченной ответственностью</w:t>
      </w:r>
    </w:p>
    <w:p w14:paraId="0A000000">
      <w:pPr>
        <w:pStyle w:val="Style_2"/>
        <w:spacing w:after="0" w:before="0" w:line="360" w:lineRule="auto"/>
        <w:ind w:firstLine="709" w:left="170" w:right="57"/>
        <w:jc w:val="both"/>
      </w:pPr>
      <w:r>
        <w:t>Основной вид деятельност</w:t>
      </w:r>
      <w:r>
        <w:t>и ООО</w:t>
      </w:r>
      <w:r>
        <w:t xml:space="preserve"> «АЛАДДИН»  (по коду ОКВЭД ред.2): </w:t>
      </w:r>
      <w:r>
        <w:rPr>
          <w:rStyle w:val="Style_5_ch"/>
          <w:color w:val="000000"/>
          <w:u w:val="none"/>
        </w:rPr>
        <w:fldChar w:fldCharType="begin"/>
      </w:r>
      <w:r>
        <w:rPr>
          <w:rStyle w:val="Style_5_ch"/>
          <w:color w:val="000000"/>
          <w:u w:val="none"/>
        </w:rPr>
        <w:instrText>HYPERLINK "https://www.list-org.com/list?okved2=62.01" \o "Эта группировка включает:
- разработку, модернизацию, тестирование и поддержку программного обеспечения
Эта группировка включает:
- разработку структуры и содержания и/или написание компьютерной программы, необходимой для создания и реализации поставленной зад"</w:instrText>
      </w:r>
      <w:r>
        <w:rPr>
          <w:rStyle w:val="Style_5_ch"/>
          <w:color w:val="000000"/>
          <w:u w:val="none"/>
        </w:rPr>
        <w:fldChar w:fldCharType="separate"/>
      </w:r>
      <w:r>
        <w:rPr>
          <w:rStyle w:val="Style_5_ch"/>
          <w:color w:val="000000"/>
          <w:u w:val="none"/>
        </w:rPr>
        <w:t>62.01</w:t>
      </w:r>
      <w:r>
        <w:rPr>
          <w:rStyle w:val="Style_5_ch"/>
          <w:color w:val="000000"/>
          <w:u w:val="none"/>
        </w:rPr>
        <w:fldChar w:fldCharType="end"/>
      </w:r>
      <w:r>
        <w:t> - Разработка компьютерного программного обеспечения. Эта группировка включает: разработку, модернизацию, тестирование и поддержку программного обеспечения</w:t>
      </w:r>
    </w:p>
    <w:p w14:paraId="0B000000">
      <w:pPr>
        <w:pStyle w:val="Style_2"/>
        <w:spacing w:after="0" w:before="0" w:line="360" w:lineRule="auto"/>
        <w:ind w:firstLine="709" w:left="170" w:right="57"/>
        <w:jc w:val="both"/>
      </w:pPr>
      <w:r>
        <w:t>Эта группировка включает:  разработку структуры и содержания и/или написание компьютерной программы, необходимой для создания и реализации поставленной задачи, в том числе: системного программного обеспечения (в то</w:t>
      </w:r>
      <w:r>
        <w:t>м числе обновления и исправления), приложений программного обеспечения (в том числе обновления и исправления), баз данных, web-страниц; настройку программного обеспечения, т.е. внесение изменений и настройку существующего приложения таким образом, чтобы оно функционировало в рамках информационной системы заказчика</w:t>
      </w:r>
    </w:p>
    <w:p w14:paraId="0C000000">
      <w:pPr>
        <w:pStyle w:val="Style_2"/>
        <w:spacing w:after="0" w:before="0" w:line="360" w:lineRule="auto"/>
        <w:ind w:firstLine="709" w:left="170" w:right="57"/>
        <w:jc w:val="both"/>
      </w:pPr>
      <w:r>
        <w:t>Т</w:t>
      </w:r>
      <w:r>
        <w:t>аблица 1</w:t>
      </w:r>
      <w:r>
        <w:t xml:space="preserve"> - </w:t>
      </w:r>
      <w:r>
        <w:t>Дополнительные виды деятельност</w:t>
      </w:r>
      <w:r>
        <w:t>и ООО</w:t>
      </w:r>
      <w:r>
        <w:t xml:space="preserve"> «АЛАДДИН» по ОКВЭД:</w:t>
      </w:r>
    </w:p>
    <w:tbl>
      <w:tblPr>
        <w:tblStyle w:val="Style_6"/>
        <w:tblInd w:type="dxa" w:w="108"/>
        <w:tblLayout w:type="fixed"/>
      </w:tblPr>
      <w:tblGrid>
        <w:gridCol w:w="1023"/>
        <w:gridCol w:w="8229"/>
      </w:tblGrid>
      <w:tr>
        <w:tc>
          <w:tcPr>
            <w:tcW w:type="dxa" w:w="1023"/>
          </w:tcPr>
          <w:p w14:paraId="0D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46.19</w:t>
            </w:r>
          </w:p>
        </w:tc>
        <w:tc>
          <w:tcPr>
            <w:tcW w:type="dxa" w:w="8229"/>
          </w:tcPr>
          <w:p w14:paraId="0E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агентов по оптовой торговле универсальным ассортиментом товаров</w:t>
            </w:r>
          </w:p>
        </w:tc>
      </w:tr>
      <w:tr>
        <w:tc>
          <w:tcPr>
            <w:tcW w:type="dxa" w:w="1023"/>
          </w:tcPr>
          <w:p w14:paraId="0F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46.51</w:t>
            </w:r>
          </w:p>
        </w:tc>
        <w:tc>
          <w:tcPr>
            <w:tcW w:type="dxa" w:w="8229"/>
          </w:tcPr>
          <w:p w14:paraId="10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Торговля оптовая компьютерами, периферийными устройствами к компьютерам и программным обеспечением</w:t>
            </w:r>
          </w:p>
        </w:tc>
      </w:tr>
      <w:tr>
        <w:tc>
          <w:tcPr>
            <w:tcW w:type="dxa" w:w="1023"/>
          </w:tcPr>
          <w:p w14:paraId="11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62.02</w:t>
            </w:r>
          </w:p>
        </w:tc>
        <w:tc>
          <w:tcPr>
            <w:tcW w:type="dxa" w:w="8229"/>
          </w:tcPr>
          <w:p w14:paraId="12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консультативная и работы в области компьютерных технологий</w:t>
            </w:r>
          </w:p>
        </w:tc>
      </w:tr>
      <w:tr>
        <w:tc>
          <w:tcPr>
            <w:tcW w:type="dxa" w:w="1023"/>
          </w:tcPr>
          <w:p w14:paraId="13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62.09</w:t>
            </w:r>
          </w:p>
        </w:tc>
        <w:tc>
          <w:tcPr>
            <w:tcW w:type="dxa" w:w="8229"/>
          </w:tcPr>
          <w:p w14:paraId="14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Деятельность, связанная с использованием вычислительной техники и информационных технологий, прочая</w:t>
            </w:r>
          </w:p>
        </w:tc>
      </w:tr>
      <w:tr>
        <w:tc>
          <w:tcPr>
            <w:tcW w:type="dxa" w:w="1023"/>
          </w:tcPr>
          <w:p w14:paraId="15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63.11</w:t>
            </w:r>
          </w:p>
        </w:tc>
        <w:tc>
          <w:tcPr>
            <w:tcW w:type="dxa" w:w="8229"/>
          </w:tcPr>
          <w:p w14:paraId="16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по обработке данных, предоставление услуг по размещению информации и связанная с этим деятельность</w:t>
            </w:r>
          </w:p>
        </w:tc>
      </w:tr>
      <w:tr>
        <w:tc>
          <w:tcPr>
            <w:tcW w:type="dxa" w:w="1023"/>
          </w:tcPr>
          <w:p w14:paraId="17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63.11.1</w:t>
            </w:r>
          </w:p>
        </w:tc>
        <w:tc>
          <w:tcPr>
            <w:tcW w:type="dxa" w:w="8229"/>
          </w:tcPr>
          <w:p w14:paraId="18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по созданию и использованию баз данных и информационных ресурсов</w:t>
            </w:r>
          </w:p>
        </w:tc>
      </w:tr>
      <w:tr>
        <w:tc>
          <w:tcPr>
            <w:tcW w:type="dxa" w:w="1023"/>
          </w:tcPr>
          <w:p w14:paraId="19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63.99.1</w:t>
            </w:r>
          </w:p>
        </w:tc>
        <w:tc>
          <w:tcPr>
            <w:tcW w:type="dxa" w:w="8229"/>
          </w:tcPr>
          <w:p w14:paraId="1A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по оказанию консультационных и информационных услуг</w:t>
            </w:r>
          </w:p>
        </w:tc>
      </w:tr>
      <w:tr>
        <w:tc>
          <w:tcPr>
            <w:tcW w:type="dxa" w:w="1023"/>
          </w:tcPr>
          <w:p w14:paraId="1B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72.19</w:t>
            </w:r>
          </w:p>
        </w:tc>
        <w:tc>
          <w:tcPr>
            <w:tcW w:type="dxa" w:w="8229"/>
          </w:tcPr>
          <w:p w14:paraId="1C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Научные исследования и разработки в области естественных и технических наук прочие</w:t>
            </w:r>
          </w:p>
        </w:tc>
      </w:tr>
    </w:tbl>
    <w:p w14:paraId="1D000000">
      <w:pPr>
        <w:pStyle w:val="Style_7"/>
      </w:pPr>
    </w:p>
    <w:p w14:paraId="1E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Непосредственно генеральному директор</w:t>
      </w:r>
      <w:r>
        <w:rPr>
          <w:sz w:val="24"/>
        </w:rPr>
        <w:t>у</w:t>
      </w:r>
      <w:r>
        <w:rPr>
          <w:sz w:val="24"/>
        </w:rPr>
        <w:t xml:space="preserve"> ООО</w:t>
      </w:r>
      <w:r>
        <w:rPr>
          <w:sz w:val="24"/>
        </w:rPr>
        <w:t xml:space="preserve"> «АЛАДДИН»  </w:t>
      </w:r>
      <w:r>
        <w:rPr>
          <w:sz w:val="24"/>
        </w:rPr>
        <w:t xml:space="preserve">подчиняются: главный бухгалтер, Директор по персоналу, Руководитель </w:t>
      </w:r>
      <w:r>
        <w:rPr>
          <w:sz w:val="24"/>
        </w:rPr>
        <w:t>IT</w:t>
      </w:r>
      <w:r>
        <w:rPr>
          <w:sz w:val="24"/>
        </w:rPr>
        <w:t xml:space="preserve">-отдела, Руководитель отдела логистики, Руководитель отдела маркетинга, Финансовый директор. </w:t>
      </w:r>
    </w:p>
    <w:p w14:paraId="1F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Также в структуре</w:t>
      </w:r>
      <w:r>
        <w:rPr>
          <w:sz w:val="24"/>
        </w:rPr>
        <w:t xml:space="preserve"> ООО «АЛАДДИН» </w:t>
      </w:r>
      <w:r>
        <w:rPr>
          <w:sz w:val="24"/>
          <w:highlight w:val="white"/>
        </w:rPr>
        <w:t>и</w:t>
      </w:r>
      <w:r>
        <w:rPr>
          <w:sz w:val="24"/>
        </w:rPr>
        <w:t xml:space="preserve">меется административный обслуживающий персонал, который подчиняет управленческим звеньям, (начальникам, руководителям). </w:t>
      </w:r>
    </w:p>
    <w:p w14:paraId="20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Непосредственно за учетную политику несет ответственность главный бухгалтер, а кроме того, он отвечает за ведение бухгалтерского учета и формирование финансовой отчетност</w:t>
      </w:r>
      <w:r>
        <w:rPr>
          <w:sz w:val="24"/>
        </w:rPr>
        <w:t>и</w:t>
      </w:r>
      <w:r>
        <w:rPr>
          <w:sz w:val="24"/>
        </w:rPr>
        <w:t xml:space="preserve"> ООО</w:t>
      </w:r>
      <w:r>
        <w:rPr>
          <w:sz w:val="24"/>
        </w:rPr>
        <w:t xml:space="preserve"> «АЛАДДИН»</w:t>
      </w:r>
      <w:r>
        <w:rPr>
          <w:sz w:val="24"/>
        </w:rPr>
        <w:t xml:space="preserve">. </w:t>
      </w:r>
    </w:p>
    <w:p w14:paraId="21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Соответственно, все распоряжения главного бухгалтера являются обязательными для всех сотрудников организац</w:t>
      </w:r>
      <w:r>
        <w:rPr>
          <w:sz w:val="24"/>
        </w:rPr>
        <w:t>ии</w:t>
      </w:r>
      <w:r>
        <w:rPr>
          <w:sz w:val="24"/>
        </w:rPr>
        <w:t xml:space="preserve"> ООО</w:t>
      </w:r>
      <w:r>
        <w:rPr>
          <w:sz w:val="24"/>
        </w:rPr>
        <w:t xml:space="preserve"> «АЛАДДИН»</w:t>
      </w:r>
    </w:p>
    <w:p w14:paraId="22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Директор по персонал</w:t>
      </w:r>
      <w:r>
        <w:rPr>
          <w:sz w:val="24"/>
        </w:rPr>
        <w:t>у</w:t>
      </w:r>
      <w:r>
        <w:rPr>
          <w:sz w:val="24"/>
        </w:rPr>
        <w:t xml:space="preserve"> ООО</w:t>
      </w:r>
      <w:r>
        <w:rPr>
          <w:sz w:val="24"/>
        </w:rPr>
        <w:t xml:space="preserve"> «АЛАДДИН» </w:t>
      </w:r>
      <w:r>
        <w:rPr>
          <w:sz w:val="24"/>
        </w:rPr>
        <w:t xml:space="preserve">руководит кадровой работой, разрабатывает кадровую политику в фирме, управляет движением, развитием и обучением кадрового потенциала компании, а также разрабатывает методы мотивации сотрудников.  </w:t>
      </w:r>
    </w:p>
    <w:p w14:paraId="23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Начальник </w:t>
      </w:r>
      <w:r>
        <w:rPr>
          <w:sz w:val="24"/>
        </w:rPr>
        <w:t>ИТ</w:t>
      </w:r>
      <w:r>
        <w:rPr>
          <w:sz w:val="24"/>
        </w:rPr>
        <w:t xml:space="preserve"> отдела</w:t>
      </w:r>
      <w:r>
        <w:rPr>
          <w:sz w:val="24"/>
        </w:rPr>
        <w:t xml:space="preserve">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>выполняет работы по мониторингу, контролю и надзору работоспособности информационных систем</w:t>
      </w:r>
      <w:r>
        <w:rPr>
          <w:sz w:val="24"/>
        </w:rPr>
        <w:t xml:space="preserve"> ООО «АЛАДДИН»</w:t>
      </w:r>
      <w:r>
        <w:rPr>
          <w:sz w:val="24"/>
        </w:rPr>
        <w:t xml:space="preserve">, руководит работой сотрудников </w:t>
      </w:r>
      <w:r>
        <w:rPr>
          <w:sz w:val="24"/>
        </w:rPr>
        <w:t>IT</w:t>
      </w:r>
      <w:r>
        <w:rPr>
          <w:sz w:val="24"/>
        </w:rPr>
        <w:t xml:space="preserve">-отдела, </w:t>
      </w:r>
      <w:r>
        <w:rPr>
          <w:sz w:val="24"/>
        </w:rPr>
        <w:t>Call</w:t>
      </w:r>
      <w:r>
        <w:rPr>
          <w:sz w:val="24"/>
        </w:rPr>
        <w:t>-центра, формирует Требования к информационным системам, а также заведует телефонией.</w:t>
      </w:r>
    </w:p>
    <w:p w14:paraId="2400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</w:rPr>
        <w:t>Начальник IT-отдела</w:t>
      </w:r>
      <w:r>
        <w:rPr>
          <w:sz w:val="24"/>
          <w:highlight w:val="white"/>
        </w:rPr>
        <w:t xml:space="preserve"> занимается организацией И</w:t>
      </w:r>
      <w:r>
        <w:rPr>
          <w:sz w:val="24"/>
          <w:highlight w:val="white"/>
        </w:rPr>
        <w:t>Т-</w:t>
      </w:r>
      <w:r>
        <w:rPr>
          <w:sz w:val="24"/>
          <w:highlight w:val="white"/>
        </w:rPr>
        <w:t xml:space="preserve"> подразделения</w:t>
      </w:r>
      <w:r>
        <w:rPr>
          <w:sz w:val="24"/>
        </w:rPr>
        <w:t xml:space="preserve"> ООО «АЛАДДИН»</w:t>
      </w:r>
      <w:r>
        <w:rPr>
          <w:sz w:val="24"/>
          <w:highlight w:val="white"/>
        </w:rPr>
        <w:t>, решает разнообразные технологические и кадровые вопросы. Он принимает тактические решения и осуществляет стратегическое планирование.</w:t>
      </w:r>
    </w:p>
    <w:p w14:paraId="25000000">
      <w:pPr>
        <w:pStyle w:val="Style_8"/>
        <w:spacing w:after="0" w:before="0" w:line="360" w:lineRule="auto"/>
        <w:ind w:firstLine="709" w:left="170" w:right="57"/>
        <w:jc w:val="both"/>
      </w:pPr>
      <w:r>
        <w:t>Цели И</w:t>
      </w:r>
      <w:r>
        <w:t>Т-</w:t>
      </w:r>
      <w:r>
        <w:t xml:space="preserve"> отдела ООО «АЛАДДИН» включают:</w:t>
      </w:r>
    </w:p>
    <w:p w14:paraId="26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9_ch"/>
          <w:b w:val="0"/>
          <w:sz w:val="24"/>
        </w:rPr>
        <w:t>Развитие информационных технологий</w:t>
      </w:r>
      <w:r>
        <w:rPr>
          <w:sz w:val="24"/>
        </w:rPr>
        <w:t xml:space="preserve"> в рамках деятельности компании.  </w:t>
      </w:r>
    </w:p>
    <w:p w14:paraId="27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9_ch"/>
          <w:b w:val="0"/>
          <w:sz w:val="24"/>
        </w:rPr>
        <w:t>Поддержание вычислительной сети</w:t>
      </w:r>
      <w:r>
        <w:rPr>
          <w:sz w:val="24"/>
        </w:rPr>
        <w:t xml:space="preserve"> в работоспособном состоянии. </w:t>
      </w:r>
    </w:p>
    <w:p w14:paraId="28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9_ch"/>
          <w:b w:val="0"/>
          <w:sz w:val="24"/>
        </w:rPr>
        <w:t>Обеспечение бесперебойной работы</w:t>
      </w:r>
      <w:r>
        <w:rPr>
          <w:sz w:val="24"/>
        </w:rPr>
        <w:t xml:space="preserve"> оборудования и пользователей. </w:t>
      </w:r>
    </w:p>
    <w:p w14:paraId="29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9_ch"/>
          <w:b w:val="0"/>
          <w:sz w:val="24"/>
        </w:rPr>
        <w:t>Развитие функциональности программного обеспечения</w:t>
      </w:r>
      <w:r>
        <w:rPr>
          <w:sz w:val="24"/>
        </w:rPr>
        <w:t xml:space="preserve">.  </w:t>
      </w:r>
    </w:p>
    <w:p w14:paraId="2A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9_ch"/>
          <w:b w:val="0"/>
          <w:sz w:val="24"/>
        </w:rPr>
        <w:t>Поддержка стратегических целей компании</w:t>
      </w:r>
      <w:r>
        <w:rPr>
          <w:sz w:val="24"/>
        </w:rPr>
        <w:t>. Например, если бизнес нацелен на цифровую трансформацию, И</w:t>
      </w:r>
      <w:r>
        <w:rPr>
          <w:sz w:val="24"/>
        </w:rPr>
        <w:t>Т-</w:t>
      </w:r>
      <w:r>
        <w:rPr>
          <w:sz w:val="24"/>
        </w:rPr>
        <w:t xml:space="preserve"> подразделение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>должно сосредоточиться на внедрении соответствующих технологий</w:t>
      </w:r>
    </w:p>
    <w:p w14:paraId="2B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Основные задачи IT-отдел</w:t>
      </w:r>
      <w:r>
        <w:rPr>
          <w:sz w:val="24"/>
        </w:rPr>
        <w:t>а</w:t>
      </w:r>
      <w:r>
        <w:rPr>
          <w:sz w:val="24"/>
        </w:rPr>
        <w:t xml:space="preserve"> ООО</w:t>
      </w:r>
      <w:r>
        <w:rPr>
          <w:sz w:val="24"/>
        </w:rPr>
        <w:t xml:space="preserve"> «АЛАДДИН»</w:t>
      </w:r>
      <w:r>
        <w:rPr>
          <w:sz w:val="24"/>
          <w:highlight w:val="white"/>
        </w:rPr>
        <w:t>:</w:t>
      </w:r>
    </w:p>
    <w:p w14:paraId="2C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9_ch"/>
          <w:b w:val="0"/>
          <w:sz w:val="24"/>
        </w:rPr>
        <w:t>Управление И</w:t>
      </w:r>
      <w:r>
        <w:rPr>
          <w:rStyle w:val="Style_9_ch"/>
          <w:b w:val="0"/>
          <w:sz w:val="24"/>
        </w:rPr>
        <w:t>Т-</w:t>
      </w:r>
      <w:r>
        <w:rPr>
          <w:rStyle w:val="Style_9_ch"/>
          <w:b w:val="0"/>
          <w:sz w:val="24"/>
        </w:rPr>
        <w:t xml:space="preserve"> инфраструктурой</w:t>
      </w:r>
      <w:r>
        <w:rPr>
          <w:sz w:val="24"/>
        </w:rPr>
        <w:t xml:space="preserve">. Планирование, внедрение, настройка и обслуживание аппаратного и программного обеспечения, сетевого оборудования, серверов и систем хранения данных.  </w:t>
      </w:r>
    </w:p>
    <w:p w14:paraId="2D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9_ch"/>
          <w:b w:val="0"/>
          <w:sz w:val="24"/>
        </w:rPr>
        <w:t>Разработка и внедрение программного обеспечения</w:t>
      </w:r>
      <w:r>
        <w:rPr>
          <w:sz w:val="24"/>
        </w:rPr>
        <w:t xml:space="preserve">.  Создание и интеграция программных решений, которые помогают оптимизировать бизнес-процессы.  </w:t>
      </w:r>
    </w:p>
    <w:p w14:paraId="2E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9_ch"/>
          <w:b w:val="0"/>
          <w:sz w:val="24"/>
        </w:rPr>
        <w:t>Обеспечение информационной безопасности</w:t>
      </w:r>
      <w:r>
        <w:rPr>
          <w:sz w:val="24"/>
        </w:rPr>
        <w:t xml:space="preserve">. Разработка и внедрение комплексных мер по обеспечению конфиденциальности, целостности и доступности информации.  </w:t>
      </w:r>
    </w:p>
    <w:p w14:paraId="2F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9_ch"/>
          <w:b w:val="0"/>
          <w:sz w:val="24"/>
        </w:rPr>
        <w:t>Резервное копирование и восстановление данных</w:t>
      </w:r>
      <w:r>
        <w:rPr>
          <w:sz w:val="24"/>
        </w:rPr>
        <w:t xml:space="preserve">. Обеспечение сохранности критически важной информации в случае сбоев или аварий. </w:t>
      </w:r>
    </w:p>
    <w:p w14:paraId="30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9_ch"/>
          <w:b w:val="0"/>
          <w:sz w:val="24"/>
        </w:rPr>
        <w:t xml:space="preserve">Управление </w:t>
      </w:r>
      <w:r>
        <w:rPr>
          <w:rStyle w:val="Style_9_ch"/>
          <w:b w:val="0"/>
          <w:sz w:val="24"/>
        </w:rPr>
        <w:t>ИТ</w:t>
      </w:r>
      <w:r>
        <w:rPr>
          <w:rStyle w:val="Style_9_ch"/>
          <w:b w:val="0"/>
          <w:sz w:val="24"/>
        </w:rPr>
        <w:t xml:space="preserve"> - проектами</w:t>
      </w:r>
      <w:r>
        <w:rPr>
          <w:sz w:val="24"/>
        </w:rPr>
        <w:t xml:space="preserve">. Планирование, координация и контроль внедрения новых технологий, разработки программного обеспечения или модернизации инфраструктуры.  </w:t>
      </w:r>
    </w:p>
    <w:p w14:paraId="31000000">
      <w:pPr>
        <w:widowControl w:val="1"/>
        <w:numPr>
          <w:ilvl w:val="0"/>
          <w:numId w:val="1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9_ch"/>
          <w:b w:val="0"/>
          <w:sz w:val="24"/>
        </w:rPr>
        <w:t>Техническая поддержка и обслуживание</w:t>
      </w:r>
      <w:r>
        <w:rPr>
          <w:sz w:val="24"/>
        </w:rPr>
        <w:t>. Помощь сотрудникам в решении различных технических проблем и вопросов, связанных с использованием IT-ресурсов</w:t>
      </w:r>
    </w:p>
    <w:p w14:paraId="3200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Организационная структура управления компан</w:t>
      </w:r>
      <w:r>
        <w:rPr>
          <w:sz w:val="24"/>
        </w:rPr>
        <w:t>ии ООО</w:t>
      </w:r>
      <w:r>
        <w:rPr>
          <w:sz w:val="24"/>
        </w:rPr>
        <w:t xml:space="preserve"> «АЛАДДИН» представлена схематически на рисунке 1.</w:t>
      </w:r>
    </w:p>
    <w:p w14:paraId="33000000">
      <w:pPr>
        <w:spacing w:line="360" w:lineRule="auto"/>
        <w:ind w:firstLine="709" w:left="170" w:right="57"/>
        <w:rPr>
          <w:color w:val="000000"/>
          <w:sz w:val="22"/>
        </w:rPr>
      </w:pPr>
      <w:r>
        <w:rPr>
          <w:color w:val="000000"/>
          <w:sz w:val="22"/>
        </w:rPr>
        <w:drawing>
          <wp:inline>
            <wp:extent cx="5262245" cy="403733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262245" cy="403733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4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Рисунок</w:t>
      </w:r>
      <w:r>
        <w:rPr>
          <w:sz w:val="24"/>
        </w:rPr>
        <w:t xml:space="preserve"> </w:t>
      </w:r>
      <w:r>
        <w:rPr>
          <w:sz w:val="24"/>
        </w:rPr>
        <w:t>1. Организационная структура управления</w:t>
      </w:r>
      <w:r>
        <w:rPr>
          <w:sz w:val="24"/>
        </w:rPr>
        <w:t xml:space="preserve"> ООО «АЛАДДИН»</w:t>
      </w:r>
    </w:p>
    <w:p w14:paraId="35000000">
      <w:pPr>
        <w:spacing w:line="360" w:lineRule="auto"/>
        <w:ind w:firstLine="709" w:left="170" w:right="57"/>
        <w:jc w:val="both"/>
        <w:rPr>
          <w:sz w:val="24"/>
        </w:rPr>
      </w:pPr>
    </w:p>
    <w:p w14:paraId="36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Данный тип структуры управления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>имеет как свои достоинства, так и недостатки. Достоинствами линейно-функциональной структуры управления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 xml:space="preserve">являются: </w:t>
      </w:r>
    </w:p>
    <w:p w14:paraId="37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-глубокая подготовка решений и планов, связанных со специализацией работников; </w:t>
      </w:r>
    </w:p>
    <w:p w14:paraId="38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-освобождение главного линейного руководителя от глубокого анализа проблем; </w:t>
      </w:r>
    </w:p>
    <w:p w14:paraId="39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-возможность привлечения консультантов и экспертов; </w:t>
      </w:r>
    </w:p>
    <w:p w14:paraId="3A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-сочетание достоинств линейной и функциональной структур.</w:t>
      </w:r>
    </w:p>
    <w:p w14:paraId="3B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Недостатками такой структуры управления для ООО «АЛАДДИН» являются: </w:t>
      </w:r>
    </w:p>
    <w:p w14:paraId="3C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-отсутствие тесных взаимосвязей и взаимодействия на горизонтальном уровне между структурными подразделениями; </w:t>
      </w:r>
    </w:p>
    <w:p w14:paraId="3D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-недостаточно четкая ответственность подразделений, так как </w:t>
      </w:r>
      <w:r>
        <w:rPr>
          <w:sz w:val="24"/>
        </w:rPr>
        <w:t>готовящий</w:t>
      </w:r>
      <w:r>
        <w:rPr>
          <w:sz w:val="24"/>
        </w:rPr>
        <w:t xml:space="preserve"> решение, как правило, не участвует в его реализации; </w:t>
      </w:r>
    </w:p>
    <w:p w14:paraId="3E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-чрезмерно развитая система взаимодействия по вертикали, а именно подчинение по иерархии управления, то есть тенденция к чрезмерной централизации. </w:t>
      </w:r>
    </w:p>
    <w:p w14:paraId="3F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Управление в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>формализовано:</w:t>
      </w:r>
    </w:p>
    <w:p w14:paraId="40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-разработаны документы, закрепляющие обязанности сотрудников всех должностей (трудовой договор, должностная инструкция, Правила внутреннего трудового распорядка);</w:t>
      </w:r>
    </w:p>
    <w:p w14:paraId="41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-разработаны документы, стандартизирующие взаимодействие с коллегами и партнерами, регламентирующие процессы обслуживания клиентов и т.п. (Инструкция по ведению телефонных переговоров, Порядок подготовки и заключения договора с клиентом и т.п.);</w:t>
      </w:r>
    </w:p>
    <w:p w14:paraId="4200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-другие внутрифирменные документы (Порядок подготовки и переобучения персонала; Система стимулирования персонал</w:t>
      </w:r>
      <w:r>
        <w:rPr>
          <w:sz w:val="24"/>
        </w:rPr>
        <w:t>а ООО</w:t>
      </w:r>
      <w:r>
        <w:rPr>
          <w:sz w:val="24"/>
        </w:rPr>
        <w:t xml:space="preserve"> «АЛАДДИН»).</w:t>
      </w:r>
    </w:p>
    <w:p w14:paraId="43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Целями управления персоналом в</w:t>
      </w:r>
      <w:r>
        <w:rPr>
          <w:sz w:val="24"/>
        </w:rPr>
        <w:t xml:space="preserve"> ООО «АЛАДДИН»</w:t>
      </w:r>
      <w:r>
        <w:rPr>
          <w:sz w:val="24"/>
          <w:highlight w:val="white"/>
        </w:rPr>
        <w:t xml:space="preserve"> </w:t>
      </w:r>
      <w:r>
        <w:rPr>
          <w:sz w:val="24"/>
        </w:rPr>
        <w:t>являются:</w:t>
      </w:r>
    </w:p>
    <w:p w14:paraId="44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-повышение конкурентоспособности предприятия в рыночных условиях;</w:t>
      </w:r>
    </w:p>
    <w:p w14:paraId="45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 достижение максимальной прибыли;</w:t>
      </w:r>
    </w:p>
    <w:p w14:paraId="46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-обеспечение высокой социальной эффективности функционирования коллектива.</w:t>
      </w:r>
    </w:p>
    <w:p w14:paraId="47000000">
      <w:pPr>
        <w:pStyle w:val="Style_2"/>
        <w:widowControl w:val="0"/>
        <w:spacing w:after="0" w:before="0" w:line="360" w:lineRule="auto"/>
        <w:ind w:firstLine="709" w:left="170" w:right="57"/>
        <w:jc w:val="both"/>
      </w:pPr>
      <w:r>
        <w:t>По всем видам деятельности</w:t>
      </w:r>
      <w:r>
        <w:rPr>
          <w:highlight w:val="white"/>
        </w:rPr>
        <w:t xml:space="preserve"> </w:t>
      </w:r>
      <w:r>
        <w:t>разработаны должностные инструкц</w:t>
      </w:r>
      <w:r>
        <w:t>ии ООО</w:t>
      </w:r>
      <w:r>
        <w:t xml:space="preserve"> «АЛАДДИН», в которых оговариваются обязанности, подчиненность, перечень задач и ответственность за невыполнение распоряжений вышестоящего руководства и непосредственно генеральным директором ООО «АЛАДДИН». </w:t>
      </w:r>
    </w:p>
    <w:p w14:paraId="4800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</w:t>
      </w:r>
      <w:r>
        <w:rPr>
          <w:sz w:val="24"/>
        </w:rPr>
        <w:t xml:space="preserve">ервер </w:t>
      </w: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PowerEdge</w:t>
      </w:r>
      <w:r>
        <w:rPr>
          <w:sz w:val="24"/>
        </w:rPr>
        <w:t xml:space="preserve"> R900 (корпоративных баз данных</w:t>
      </w:r>
      <w:r>
        <w:rPr>
          <w:b w:val="1"/>
          <w:sz w:val="24"/>
        </w:rPr>
        <w:t xml:space="preserve">)- </w:t>
      </w:r>
      <w:r>
        <w:rPr>
          <w:sz w:val="24"/>
        </w:rPr>
        <w:t xml:space="preserve">сервер для установки в стойку с четырьмя разъемами для </w:t>
      </w:r>
      <w:r>
        <w:rPr>
          <w:sz w:val="24"/>
        </w:rPr>
        <w:t>четырехъядерных</w:t>
      </w:r>
      <w:r>
        <w:rPr>
          <w:sz w:val="24"/>
        </w:rPr>
        <w:t xml:space="preserve"> процессоров и форм-фактором 4U. Характеристики сервера приведены в таблице</w:t>
      </w:r>
      <w:r>
        <w:rPr>
          <w:sz w:val="24"/>
        </w:rPr>
        <w:t xml:space="preserve"> 2</w:t>
      </w:r>
      <w:r>
        <w:rPr>
          <w:sz w:val="24"/>
        </w:rPr>
        <w:t>.</w:t>
      </w:r>
    </w:p>
    <w:p w14:paraId="49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</w:p>
    <w:p w14:paraId="4A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Таблица </w:t>
      </w:r>
      <w:r>
        <w:rPr>
          <w:sz w:val="24"/>
        </w:rPr>
        <w:t>2</w:t>
      </w:r>
      <w:r>
        <w:rPr>
          <w:sz w:val="24"/>
        </w:rPr>
        <w:t xml:space="preserve"> – Характеристики сервера </w:t>
      </w: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PowerEdge</w:t>
      </w:r>
      <w:r>
        <w:rPr>
          <w:sz w:val="24"/>
        </w:rPr>
        <w:t xml:space="preserve"> R900</w:t>
      </w:r>
    </w:p>
    <w:tbl>
      <w:tblPr>
        <w:tblStyle w:val="Style_6"/>
        <w:tblInd w:type="dxa" w:w="392"/>
        <w:tblLayout w:type="fixed"/>
      </w:tblPr>
      <w:tblGrid>
        <w:gridCol w:w="2525"/>
        <w:gridCol w:w="6222"/>
      </w:tblGrid>
      <w:tr>
        <w:tc>
          <w:tcPr>
            <w:tcW w:type="dxa" w:w="2525"/>
          </w:tcPr>
          <w:p w14:paraId="4B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</w:p>
        </w:tc>
        <w:tc>
          <w:tcPr>
            <w:tcW w:type="dxa" w:w="6222"/>
          </w:tcPr>
          <w:p w14:paraId="4C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сервер / высокой производительности</w:t>
            </w:r>
          </w:p>
        </w:tc>
      </w:tr>
      <w:tr>
        <w:tc>
          <w:tcPr>
            <w:tcW w:type="dxa" w:w="2525"/>
          </w:tcPr>
          <w:p w14:paraId="4D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Корпус</w:t>
            </w:r>
          </w:p>
        </w:tc>
        <w:tc>
          <w:tcPr>
            <w:tcW w:type="dxa" w:w="6222"/>
          </w:tcPr>
          <w:p w14:paraId="4E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монтируемый в шкаф-стойку корпус высота в стойке 4U</w:t>
            </w:r>
          </w:p>
        </w:tc>
      </w:tr>
      <w:tr>
        <w:tc>
          <w:tcPr>
            <w:tcW w:type="dxa" w:w="2525"/>
          </w:tcPr>
          <w:p w14:paraId="4F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Материнская плата</w:t>
            </w:r>
          </w:p>
        </w:tc>
        <w:tc>
          <w:tcPr>
            <w:tcW w:type="dxa" w:w="6222"/>
          </w:tcPr>
          <w:p w14:paraId="50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Intel</w:t>
            </w:r>
            <w:r>
              <w:rPr>
                <w:sz w:val="24"/>
              </w:rPr>
              <w:t xml:space="preserve"> 7300, 266 МГц (FSB)</w:t>
            </w:r>
          </w:p>
        </w:tc>
      </w:tr>
      <w:tr>
        <w:tc>
          <w:tcPr>
            <w:tcW w:type="dxa" w:w="2525"/>
          </w:tcPr>
          <w:p w14:paraId="51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Оперативная память</w:t>
            </w:r>
          </w:p>
        </w:tc>
        <w:tc>
          <w:tcPr>
            <w:tcW w:type="dxa" w:w="6222"/>
          </w:tcPr>
          <w:p w14:paraId="52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PC5300 DDR2 SDRAM, 16 ГБ (макс. 256 ГБ),  32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240-конт. DIMM (28 не занято), 667 МГц, полностью буферизован.</w:t>
            </w:r>
          </w:p>
        </w:tc>
      </w:tr>
      <w:tr>
        <w:tc>
          <w:tcPr>
            <w:tcW w:type="dxa" w:w="2525"/>
          </w:tcPr>
          <w:p w14:paraId="53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Контроллер устрой</w:t>
            </w:r>
            <w:r>
              <w:rPr>
                <w:sz w:val="24"/>
              </w:rPr>
              <w:t>ств хр</w:t>
            </w:r>
            <w:r>
              <w:rPr>
                <w:sz w:val="24"/>
              </w:rPr>
              <w:t>анения</w:t>
            </w:r>
          </w:p>
        </w:tc>
        <w:tc>
          <w:tcPr>
            <w:tcW w:type="dxa" w:w="6222"/>
          </w:tcPr>
          <w:p w14:paraId="54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контроллер устройства </w:t>
            </w:r>
            <w:r>
              <w:rPr>
                <w:sz w:val="24"/>
              </w:rPr>
              <w:t>хранения,Dell</w:t>
            </w:r>
            <w:r>
              <w:rPr>
                <w:sz w:val="24"/>
              </w:rPr>
              <w:t xml:space="preserve"> PERC 6/</w:t>
            </w:r>
            <w:r>
              <w:rPr>
                <w:sz w:val="24"/>
              </w:rPr>
              <w:t>i</w:t>
            </w:r>
            <w:r>
              <w:rPr>
                <w:sz w:val="24"/>
              </w:rPr>
              <w:t xml:space="preserve"> встроен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 xml:space="preserve">редоставляемый интерфейс: </w:t>
            </w:r>
            <w:r>
              <w:rPr>
                <w:sz w:val="24"/>
              </w:rPr>
              <w:t>Serial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Attached</w:t>
            </w:r>
            <w:r>
              <w:rPr>
                <w:sz w:val="24"/>
              </w:rPr>
              <w:t xml:space="preserve"> SCSI</w:t>
            </w:r>
          </w:p>
        </w:tc>
      </w:tr>
      <w:tr>
        <w:tc>
          <w:tcPr>
            <w:tcW w:type="dxa" w:w="2525"/>
          </w:tcPr>
          <w:p w14:paraId="55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Жесткие диски</w:t>
            </w:r>
          </w:p>
        </w:tc>
        <w:tc>
          <w:tcPr>
            <w:tcW w:type="dxa" w:w="6222"/>
          </w:tcPr>
          <w:p w14:paraId="56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 x 1 T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>внутр</w:t>
            </w:r>
            <w:r>
              <w:rPr>
                <w:sz w:val="24"/>
              </w:rPr>
              <w:t>.,</w:t>
            </w:r>
            <w:r>
              <w:rPr>
                <w:sz w:val="24"/>
              </w:rPr>
              <w:t>SerialAttachedSCSI</w:t>
            </w:r>
            <w:r>
              <w:rPr>
                <w:sz w:val="24"/>
              </w:rPr>
              <w:t xml:space="preserve">, 10000 </w:t>
            </w:r>
            <w:r>
              <w:rPr>
                <w:sz w:val="24"/>
              </w:rPr>
              <w:t>об</w:t>
            </w:r>
            <w:r>
              <w:rPr>
                <w:sz w:val="24"/>
              </w:rPr>
              <w:t>./</w:t>
            </w:r>
            <w:r>
              <w:rPr>
                <w:sz w:val="24"/>
              </w:rPr>
              <w:t>мин</w:t>
            </w:r>
            <w:r>
              <w:rPr>
                <w:sz w:val="24"/>
              </w:rPr>
              <w:t>.</w:t>
            </w:r>
          </w:p>
        </w:tc>
      </w:tr>
    </w:tbl>
    <w:p w14:paraId="5700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</w:p>
    <w:p w14:paraId="5800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PowerVault</w:t>
      </w:r>
      <w:r>
        <w:rPr>
          <w:sz w:val="24"/>
        </w:rPr>
        <w:t xml:space="preserve"> NX300 (файловый сервер) </w:t>
      </w:r>
      <w:r>
        <w:rPr>
          <w:sz w:val="24"/>
        </w:rPr>
        <w:t>-</w:t>
      </w:r>
      <w:r>
        <w:rPr>
          <w:sz w:val="24"/>
        </w:rPr>
        <w:t xml:space="preserve"> это простая устанавливаемая в стойку система для организации общего доступа к файлам. </w:t>
      </w:r>
    </w:p>
    <w:p w14:paraId="5900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Простой выделенный сервер для общего доступа к файлам на основе </w:t>
      </w:r>
      <w:r>
        <w:rPr>
          <w:sz w:val="24"/>
        </w:rPr>
        <w:t>Windows</w:t>
      </w:r>
      <w:r>
        <w:rPr>
          <w:sz w:val="24"/>
        </w:rPr>
        <w:t xml:space="preserve"> </w:t>
      </w:r>
      <w:r>
        <w:rPr>
          <w:sz w:val="24"/>
        </w:rPr>
        <w:t>Storage</w:t>
      </w:r>
      <w:r>
        <w:rPr>
          <w:sz w:val="24"/>
        </w:rPr>
        <w:t xml:space="preserve"> </w:t>
      </w:r>
      <w:r>
        <w:rPr>
          <w:sz w:val="24"/>
        </w:rPr>
        <w:t>Server</w:t>
      </w:r>
      <w:r>
        <w:rPr>
          <w:sz w:val="24"/>
        </w:rPr>
        <w:t xml:space="preserve"> 2019.</w:t>
      </w:r>
      <w:r>
        <w:rPr>
          <w:sz w:val="24"/>
        </w:rPr>
        <w:t xml:space="preserve"> </w:t>
      </w:r>
    </w:p>
    <w:p w14:paraId="5A000000">
      <w:pPr>
        <w:pStyle w:val="Style_10"/>
        <w:spacing w:after="0" w:before="0"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Структурная схема технической архитектур</w:t>
      </w:r>
      <w:r>
        <w:rPr>
          <w:color w:val="000000"/>
        </w:rPr>
        <w:t>ы</w:t>
      </w:r>
      <w:r>
        <w:t xml:space="preserve"> </w:t>
      </w:r>
      <w:r>
        <w:t>ООО</w:t>
      </w:r>
      <w:r>
        <w:t xml:space="preserve"> «АЛАДДИН» </w:t>
      </w:r>
      <w:r>
        <w:t xml:space="preserve"> </w:t>
      </w:r>
      <w:r>
        <w:rPr>
          <w:color w:val="000000"/>
        </w:rPr>
        <w:t xml:space="preserve">представлена на рисунке </w:t>
      </w:r>
      <w:r>
        <w:rPr>
          <w:color w:val="000000"/>
        </w:rPr>
        <w:t>2</w:t>
      </w:r>
      <w:r>
        <w:rPr>
          <w:color w:val="000000"/>
        </w:rPr>
        <w:t>.</w:t>
      </w:r>
    </w:p>
    <w:p w14:paraId="5B000000">
      <w:pPr>
        <w:pStyle w:val="Style_10"/>
        <w:spacing w:after="0" w:before="0" w:line="360" w:lineRule="auto"/>
        <w:ind w:right="57"/>
        <w:jc w:val="both"/>
        <w:rPr>
          <w:color w:val="000000"/>
        </w:rPr>
      </w:pPr>
      <w:r>
        <w:rPr>
          <w:color w:val="000000"/>
        </w:rPr>
        <w:drawing>
          <wp:inline>
            <wp:extent cx="6372000" cy="3728301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372000" cy="372830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C000000">
      <w:pPr>
        <w:pStyle w:val="Style_11"/>
        <w:spacing w:after="0" w:before="0" w:line="360" w:lineRule="auto"/>
        <w:ind w:firstLine="709" w:left="0"/>
        <w:rPr>
          <w:sz w:val="24"/>
        </w:rPr>
      </w:pPr>
    </w:p>
    <w:p w14:paraId="5D000000">
      <w:pPr>
        <w:pStyle w:val="Style_11"/>
        <w:spacing w:after="0" w:before="0" w:line="360" w:lineRule="auto"/>
        <w:ind w:firstLine="709" w:left="0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2</w:t>
      </w:r>
      <w:r>
        <w:rPr>
          <w:sz w:val="24"/>
        </w:rPr>
        <w:t xml:space="preserve"> – </w:t>
      </w:r>
      <w:r>
        <w:rPr>
          <w:sz w:val="24"/>
        </w:rPr>
        <w:t>Структурная схема технической архитектур</w:t>
      </w:r>
      <w:r>
        <w:rPr>
          <w:sz w:val="24"/>
        </w:rPr>
        <w:t xml:space="preserve">ы </w:t>
      </w:r>
      <w:r>
        <w:rPr>
          <w:sz w:val="24"/>
        </w:rPr>
        <w:t>ООО</w:t>
      </w:r>
      <w:r>
        <w:rPr>
          <w:sz w:val="24"/>
        </w:rPr>
        <w:t xml:space="preserve"> «АЛАДДИН»</w:t>
      </w:r>
    </w:p>
    <w:p w14:paraId="5E000000">
      <w:pPr>
        <w:spacing w:line="360" w:lineRule="auto"/>
        <w:ind w:firstLine="709" w:left="170" w:right="57"/>
        <w:jc w:val="both"/>
        <w:rPr>
          <w:sz w:val="24"/>
        </w:rPr>
      </w:pPr>
    </w:p>
    <w:p w14:paraId="5F00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Характеристики сервера</w:t>
      </w:r>
      <w:r>
        <w:rPr>
          <w:sz w:val="24"/>
        </w:rPr>
        <w:t xml:space="preserve"> </w:t>
      </w:r>
      <w:r>
        <w:rPr>
          <w:sz w:val="24"/>
        </w:rPr>
        <w:t>приведены в таблице</w:t>
      </w:r>
      <w:r>
        <w:rPr>
          <w:sz w:val="24"/>
        </w:rPr>
        <w:t xml:space="preserve"> 3</w:t>
      </w:r>
      <w:r>
        <w:rPr>
          <w:sz w:val="24"/>
        </w:rPr>
        <w:t>.</w:t>
      </w:r>
    </w:p>
    <w:p w14:paraId="60000000">
      <w:pPr>
        <w:pStyle w:val="Style_12"/>
        <w:spacing w:after="0" w:before="0" w:line="360" w:lineRule="auto"/>
        <w:ind w:firstLine="709" w:left="170" w:right="57"/>
        <w:rPr>
          <w:sz w:val="24"/>
        </w:rPr>
      </w:pPr>
      <w:r>
        <w:rPr>
          <w:sz w:val="24"/>
        </w:rPr>
        <w:t>Таблица</w:t>
      </w:r>
      <w:r>
        <w:rPr>
          <w:sz w:val="24"/>
        </w:rPr>
        <w:t xml:space="preserve"> 2</w:t>
      </w:r>
      <w:r>
        <w:rPr>
          <w:sz w:val="24"/>
        </w:rPr>
        <w:t xml:space="preserve"> – </w:t>
      </w:r>
      <w:r>
        <w:rPr>
          <w:sz w:val="24"/>
        </w:rPr>
        <w:t xml:space="preserve">Характеристики сервера </w:t>
      </w: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PowerVault</w:t>
      </w:r>
      <w:r>
        <w:rPr>
          <w:sz w:val="24"/>
        </w:rPr>
        <w:t xml:space="preserve"> NX300</w:t>
      </w:r>
    </w:p>
    <w:tbl>
      <w:tblPr>
        <w:tblStyle w:val="Style_6"/>
        <w:tblInd w:type="dxa" w:w="392"/>
        <w:tblLayout w:type="fixed"/>
      </w:tblPr>
      <w:tblGrid>
        <w:gridCol w:w="4047"/>
        <w:gridCol w:w="4699"/>
      </w:tblGrid>
      <w:tr>
        <w:trPr>
          <w:trHeight w:hRule="atLeast" w:val="315"/>
        </w:trPr>
        <w:tc>
          <w:tcPr>
            <w:tcW w:type="dxa" w:w="4047"/>
          </w:tcPr>
          <w:p w14:paraId="61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Операционная система</w:t>
            </w:r>
          </w:p>
        </w:tc>
        <w:tc>
          <w:tcPr>
            <w:tcW w:type="dxa" w:w="4699"/>
          </w:tcPr>
          <w:p w14:paraId="62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Microsoft</w:t>
            </w:r>
            <w:r>
              <w:rPr>
                <w:sz w:val="24"/>
                <w:vertAlign w:val="superscript"/>
              </w:rPr>
              <w:t>®</w:t>
            </w:r>
            <w:r>
              <w:rPr>
                <w:sz w:val="24"/>
              </w:rPr>
              <w:t xml:space="preserve"> Windows Storage Server</w:t>
            </w:r>
            <w:r>
              <w:rPr>
                <w:sz w:val="24"/>
                <w:vertAlign w:val="superscript"/>
              </w:rPr>
              <w:t>®</w:t>
            </w:r>
            <w:r>
              <w:rPr>
                <w:sz w:val="24"/>
              </w:rPr>
              <w:t xml:space="preserve"> 2019 Standard Edition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63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Протоколы доступа к файлам</w:t>
            </w:r>
          </w:p>
        </w:tc>
        <w:tc>
          <w:tcPr>
            <w:tcW w:type="dxa" w:w="4699"/>
          </w:tcPr>
          <w:p w14:paraId="64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CIFS, NFS, FTP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65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Форм-фактор</w:t>
            </w:r>
          </w:p>
        </w:tc>
        <w:tc>
          <w:tcPr>
            <w:tcW w:type="dxa" w:w="4699"/>
          </w:tcPr>
          <w:p w14:paraId="66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Установка в стойку с форм-фактором 1U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67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процессоров</w:t>
            </w:r>
          </w:p>
        </w:tc>
        <w:tc>
          <w:tcPr>
            <w:tcW w:type="dxa" w:w="4699"/>
          </w:tcPr>
          <w:p w14:paraId="68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69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  <w:tc>
          <w:tcPr>
            <w:tcW w:type="dxa" w:w="4699"/>
          </w:tcPr>
          <w:p w14:paraId="6A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двухъядерный</w:t>
            </w:r>
            <w:r>
              <w:rPr>
                <w:sz w:val="24"/>
              </w:rPr>
              <w:t xml:space="preserve">, 80 Вт </w:t>
            </w:r>
            <w:r>
              <w:rPr>
                <w:sz w:val="24"/>
              </w:rPr>
              <w:t>Intel</w:t>
            </w:r>
            <w:r>
              <w:rPr>
                <w:sz w:val="24"/>
                <w:vertAlign w:val="superscript"/>
              </w:rPr>
              <w:t>®</w:t>
            </w:r>
            <w:r>
              <w:rPr>
                <w:sz w:val="24"/>
              </w:rPr>
              <w:t xml:space="preserve">  </w:t>
            </w:r>
            <w:r>
              <w:rPr>
                <w:sz w:val="24"/>
              </w:rPr>
              <w:t>Xeon</w:t>
            </w:r>
            <w:r>
              <w:rPr>
                <w:sz w:val="24"/>
                <w:vertAlign w:val="superscript"/>
              </w:rPr>
              <w:t>®</w:t>
            </w:r>
            <w:r>
              <w:rPr>
                <w:sz w:val="24"/>
              </w:rPr>
              <w:t>  E5504, 2,00 ГГц/4 Мбайт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6B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Внутренняя система хранения данных</w:t>
            </w:r>
          </w:p>
        </w:tc>
        <w:tc>
          <w:tcPr>
            <w:tcW w:type="dxa" w:w="4699"/>
          </w:tcPr>
          <w:p w14:paraId="6C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Диски</w:t>
            </w:r>
            <w:r>
              <w:rPr>
                <w:sz w:val="24"/>
              </w:rPr>
              <w:t xml:space="preserve"> 4 </w:t>
            </w:r>
            <w:r>
              <w:rPr>
                <w:sz w:val="24"/>
              </w:rPr>
              <w:t xml:space="preserve">Максимальная внутренняя емкость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4 Тбайт при установке четырех дисков по 1 Тбайт (SATA или NL SAS)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6D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Поддержка дисков</w:t>
            </w:r>
          </w:p>
        </w:tc>
        <w:tc>
          <w:tcPr>
            <w:tcW w:type="dxa" w:w="4699"/>
          </w:tcPr>
          <w:p w14:paraId="6E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SAS, SATA, </w:t>
            </w:r>
            <w:r>
              <w:rPr>
                <w:sz w:val="24"/>
              </w:rPr>
              <w:t>Near-line</w:t>
            </w:r>
            <w:r>
              <w:rPr>
                <w:sz w:val="24"/>
              </w:rPr>
              <w:t xml:space="preserve"> SAS: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3,5-дюймовые диски SATA: 250 Гбайт, 500 Гбайт, 750 Гбайт, 1 Тбайт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3,5-дюймовые диски </w:t>
            </w:r>
            <w:r>
              <w:rPr>
                <w:sz w:val="24"/>
              </w:rPr>
              <w:t>Near-line</w:t>
            </w:r>
            <w:r>
              <w:rPr>
                <w:sz w:val="24"/>
              </w:rPr>
              <w:t xml:space="preserve"> SAS (7200 </w:t>
            </w:r>
            <w:r>
              <w:rPr>
                <w:sz w:val="24"/>
              </w:rPr>
              <w:t>об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мин</w:t>
            </w:r>
            <w:r>
              <w:rPr>
                <w:sz w:val="24"/>
              </w:rPr>
              <w:t>): 500 Гбайт, 750 Гбайт, 1 Тбайт</w:t>
            </w:r>
          </w:p>
        </w:tc>
      </w:tr>
      <w:tr>
        <w:trPr>
          <w:trHeight w:hRule="atLeast" w:val="315"/>
        </w:trPr>
        <w:tc>
          <w:tcPr>
            <w:tcW w:type="dxa" w:w="4047"/>
          </w:tcPr>
          <w:p w14:paraId="6F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RAID</w:t>
            </w:r>
          </w:p>
        </w:tc>
        <w:tc>
          <w:tcPr>
            <w:tcW w:type="dxa" w:w="4699"/>
          </w:tcPr>
          <w:p w14:paraId="70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Уровни RAID, </w:t>
            </w:r>
            <w:r>
              <w:rPr>
                <w:sz w:val="24"/>
              </w:rPr>
              <w:t>аппаратный</w:t>
            </w:r>
          </w:p>
          <w:p w14:paraId="71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RAID-массивы уровней 0, 1, 5, 6, 10</w:t>
            </w:r>
          </w:p>
        </w:tc>
      </w:tr>
    </w:tbl>
    <w:p w14:paraId="72000000">
      <w:pPr>
        <w:tabs>
          <w:tab w:leader="none" w:pos="1134" w:val="left"/>
          <w:tab w:leader="none" w:pos="3828" w:val="left"/>
        </w:tabs>
        <w:spacing w:line="360" w:lineRule="auto"/>
        <w:ind w:firstLine="720" w:left="0"/>
        <w:jc w:val="both"/>
        <w:rPr>
          <w:b w:val="1"/>
          <w:sz w:val="28"/>
        </w:rPr>
      </w:pPr>
    </w:p>
    <w:p w14:paraId="73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DELL </w:t>
      </w: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PowerEdge</w:t>
      </w:r>
      <w:r>
        <w:rPr>
          <w:sz w:val="24"/>
        </w:rPr>
        <w:t xml:space="preserve"> 1950 </w:t>
      </w:r>
      <w:r>
        <w:rPr>
          <w:sz w:val="24"/>
        </w:rPr>
        <w:t>III</w:t>
      </w:r>
      <w:r>
        <w:rPr>
          <w:sz w:val="24"/>
        </w:rPr>
        <w:t xml:space="preserve"> </w:t>
      </w:r>
      <w:r>
        <w:rPr>
          <w:sz w:val="24"/>
        </w:rPr>
        <w:t xml:space="preserve">сверхтонкий сервер на базе процессора </w:t>
      </w:r>
      <w:r>
        <w:rPr>
          <w:sz w:val="24"/>
        </w:rPr>
        <w:t>Intel</w:t>
      </w:r>
      <w:r>
        <w:rPr>
          <w:sz w:val="24"/>
        </w:rPr>
        <w:t xml:space="preserve"> с двумя процессорными разъемами и форм-фактором 1U обеспечивает максимальную производительность при малых размерах и низком потреблении электроэнергии, сокращая расходы на энергию и снижая затраты центров обработки данных.</w:t>
      </w:r>
    </w:p>
    <w:p w14:paraId="74000000">
      <w:pPr>
        <w:pStyle w:val="Style_12"/>
        <w:spacing w:after="0" w:before="0" w:line="360" w:lineRule="auto"/>
        <w:ind w:firstLine="709" w:left="0"/>
        <w:rPr>
          <w:sz w:val="24"/>
        </w:rPr>
      </w:pPr>
      <w:bookmarkStart w:id="1" w:name="_Ref121563394"/>
      <w:r>
        <w:rPr>
          <w:sz w:val="24"/>
        </w:rPr>
        <w:t>Таблица</w:t>
      </w:r>
      <w:bookmarkEnd w:id="1"/>
      <w:r>
        <w:rPr>
          <w:sz w:val="24"/>
        </w:rPr>
        <w:t xml:space="preserve"> 4</w:t>
      </w:r>
      <w:r>
        <w:rPr>
          <w:sz w:val="24"/>
        </w:rPr>
        <w:t xml:space="preserve">– </w:t>
      </w:r>
      <w:r>
        <w:rPr>
          <w:sz w:val="24"/>
        </w:rPr>
        <w:t xml:space="preserve">Характеристики сервера </w:t>
      </w:r>
      <w:r>
        <w:rPr>
          <w:sz w:val="24"/>
        </w:rPr>
        <w:t>DELLDellPowerEdge</w:t>
      </w:r>
      <w:r>
        <w:rPr>
          <w:sz w:val="24"/>
        </w:rPr>
        <w:t xml:space="preserve"> 1950 </w:t>
      </w:r>
      <w:r>
        <w:rPr>
          <w:sz w:val="24"/>
        </w:rPr>
        <w:t>III</w:t>
      </w:r>
    </w:p>
    <w:tbl>
      <w:tblPr>
        <w:tblStyle w:val="Style_6"/>
        <w:tblInd w:type="dxa" w:w="392"/>
        <w:tblLayout w:type="fixed"/>
      </w:tblPr>
      <w:tblGrid>
        <w:gridCol w:w="2083"/>
        <w:gridCol w:w="7096"/>
      </w:tblGrid>
      <w:tr>
        <w:tc>
          <w:tcPr>
            <w:tcW w:type="dxa" w:w="2083"/>
          </w:tcPr>
          <w:p w14:paraId="75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Процессоры</w:t>
            </w:r>
          </w:p>
        </w:tc>
        <w:tc>
          <w:tcPr>
            <w:tcW w:type="dxa" w:w="7096"/>
          </w:tcPr>
          <w:p w14:paraId="76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 двух процессоров </w:t>
            </w:r>
            <w:r>
              <w:rPr>
                <w:color w:val="000000"/>
                <w:sz w:val="24"/>
              </w:rPr>
              <w:t>Intel</w:t>
            </w:r>
            <w:r>
              <w:rPr>
                <w:color w:val="000000"/>
                <w:sz w:val="24"/>
              </w:rPr>
              <w:t xml:space="preserve">® </w:t>
            </w:r>
            <w:r>
              <w:rPr>
                <w:color w:val="000000"/>
                <w:sz w:val="24"/>
              </w:rPr>
              <w:t>Xeon</w:t>
            </w:r>
            <w:r>
              <w:rPr>
                <w:color w:val="000000"/>
                <w:sz w:val="24"/>
              </w:rPr>
              <w:t xml:space="preserve">™ 5000 серии с частотой до 3.73ГГц и кэш-памятью 4МБ, FSB 667/1066МГц или </w:t>
            </w:r>
            <w:r>
              <w:rPr>
                <w:color w:val="000000"/>
                <w:sz w:val="24"/>
              </w:rPr>
              <w:t>Intel</w:t>
            </w:r>
            <w:r>
              <w:rPr>
                <w:color w:val="000000"/>
                <w:sz w:val="24"/>
              </w:rPr>
              <w:t xml:space="preserve">® </w:t>
            </w:r>
            <w:r>
              <w:rPr>
                <w:color w:val="000000"/>
                <w:sz w:val="24"/>
              </w:rPr>
              <w:t>Xeon</w:t>
            </w:r>
            <w:r>
              <w:rPr>
                <w:color w:val="000000"/>
                <w:sz w:val="24"/>
              </w:rPr>
              <w:t>™ 5100 серии с частотой до 3.0ГГц и кэш-памятью 4МБ, FSB 1066/1333МГц</w:t>
            </w:r>
          </w:p>
        </w:tc>
      </w:tr>
      <w:tr>
        <w:tc>
          <w:tcPr>
            <w:tcW w:type="dxa" w:w="2083"/>
          </w:tcPr>
          <w:p w14:paraId="77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Память</w:t>
            </w:r>
          </w:p>
        </w:tc>
        <w:tc>
          <w:tcPr>
            <w:tcW w:type="dxa" w:w="7096"/>
          </w:tcPr>
          <w:p w14:paraId="78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 32Гб оперативной памяти </w:t>
            </w:r>
            <w:r>
              <w:rPr>
                <w:color w:val="000000"/>
                <w:sz w:val="24"/>
              </w:rPr>
              <w:t>Fully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Buffered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DIMMs</w:t>
            </w:r>
            <w:r>
              <w:rPr>
                <w:color w:val="000000"/>
                <w:sz w:val="24"/>
              </w:rPr>
              <w:t xml:space="preserve"> (FBD) 533/667МГц</w:t>
            </w:r>
          </w:p>
        </w:tc>
      </w:tr>
      <w:tr>
        <w:tc>
          <w:tcPr>
            <w:tcW w:type="dxa" w:w="2083"/>
          </w:tcPr>
          <w:p w14:paraId="79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Слоты PCI</w:t>
            </w:r>
          </w:p>
        </w:tc>
        <w:tc>
          <w:tcPr>
            <w:tcW w:type="dxa" w:w="7096"/>
          </w:tcPr>
          <w:p w14:paraId="7A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2 слота PCI: 2xPCI </w:t>
            </w:r>
            <w:r>
              <w:rPr>
                <w:color w:val="000000"/>
                <w:sz w:val="24"/>
              </w:rPr>
              <w:t>Express</w:t>
            </w:r>
            <w:r>
              <w:rPr>
                <w:color w:val="000000"/>
                <w:sz w:val="24"/>
              </w:rPr>
              <w:t xml:space="preserve"> x8 или 2x64-бит/133МГц PCI-X</w:t>
            </w:r>
          </w:p>
        </w:tc>
      </w:tr>
      <w:tr>
        <w:tc>
          <w:tcPr>
            <w:tcW w:type="dxa" w:w="2083"/>
          </w:tcPr>
          <w:p w14:paraId="7B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Жесткие диски</w:t>
            </w:r>
          </w:p>
        </w:tc>
        <w:tc>
          <w:tcPr>
            <w:tcW w:type="dxa" w:w="7096"/>
          </w:tcPr>
          <w:p w14:paraId="7C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 2-х жестких дисков SAS 3.5 </w:t>
            </w:r>
            <w:r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</w:rPr>
              <w:t xml:space="preserve"> возможностью «горячей замены» или 2-х жестких дисков SATA с возможностью «горячей замены», до 4-х жестких дисков SAS 2.5 </w:t>
            </w:r>
            <w:r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</w:rPr>
              <w:t xml:space="preserve"> возможностью «горячей замены»</w:t>
            </w:r>
          </w:p>
        </w:tc>
      </w:tr>
      <w:tr>
        <w:tc>
          <w:tcPr>
            <w:tcW w:type="dxa" w:w="2083"/>
          </w:tcPr>
          <w:p w14:paraId="7D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Интегрированный SCSI контроллер</w:t>
            </w:r>
          </w:p>
        </w:tc>
        <w:tc>
          <w:tcPr>
            <w:tcW w:type="dxa" w:w="7096"/>
          </w:tcPr>
          <w:p w14:paraId="7E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Встроенный двухканальный контроллер SAS 5/</w:t>
            </w:r>
            <w:r>
              <w:rPr>
                <w:color w:val="000000"/>
                <w:sz w:val="24"/>
              </w:rPr>
              <w:t>i</w:t>
            </w:r>
            <w:r>
              <w:rPr>
                <w:color w:val="000000"/>
                <w:sz w:val="24"/>
              </w:rPr>
              <w:t xml:space="preserve"> - 4 порта SAS</w:t>
            </w:r>
          </w:p>
        </w:tc>
      </w:tr>
      <w:tr>
        <w:tc>
          <w:tcPr>
            <w:tcW w:type="dxa" w:w="2083"/>
          </w:tcPr>
          <w:p w14:paraId="7F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RAID контроллер</w:t>
            </w:r>
          </w:p>
        </w:tc>
        <w:tc>
          <w:tcPr>
            <w:tcW w:type="dxa" w:w="7096"/>
          </w:tcPr>
          <w:p w14:paraId="80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Опционально встроенный контроллер PERC 5/</w:t>
            </w:r>
            <w:r>
              <w:rPr>
                <w:color w:val="000000"/>
                <w:sz w:val="24"/>
              </w:rPr>
              <w:t>i</w:t>
            </w:r>
            <w:r>
              <w:rPr>
                <w:color w:val="000000"/>
                <w:sz w:val="24"/>
              </w:rPr>
              <w:t xml:space="preserve"> SAS, кэш 256 </w:t>
            </w:r>
            <w:r>
              <w:rPr>
                <w:color w:val="000000"/>
                <w:sz w:val="24"/>
              </w:rPr>
              <w:t>M</w:t>
            </w:r>
            <w:r>
              <w:rPr>
                <w:color w:val="000000"/>
                <w:sz w:val="24"/>
              </w:rPr>
              <w:t>б</w:t>
            </w:r>
            <w:r>
              <w:rPr>
                <w:color w:val="000000"/>
                <w:sz w:val="24"/>
              </w:rPr>
              <w:t>. Опционально PERC 4e/DC SCSI U320, PERC 5/E SAS</w:t>
            </w:r>
          </w:p>
        </w:tc>
      </w:tr>
      <w:tr>
        <w:tc>
          <w:tcPr>
            <w:tcW w:type="dxa" w:w="2083"/>
          </w:tcPr>
          <w:p w14:paraId="81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Сетевой контроллер</w:t>
            </w:r>
          </w:p>
        </w:tc>
        <w:tc>
          <w:tcPr>
            <w:tcW w:type="dxa" w:w="7096"/>
          </w:tcPr>
          <w:p w14:paraId="82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Два встроенных сетевых адаптера </w:t>
            </w:r>
            <w:r>
              <w:rPr>
                <w:color w:val="000000"/>
                <w:sz w:val="24"/>
              </w:rPr>
              <w:t>Broadcom</w:t>
            </w:r>
            <w:r>
              <w:rPr>
                <w:color w:val="000000"/>
                <w:sz w:val="24"/>
              </w:rPr>
              <w:t xml:space="preserve">® </w:t>
            </w:r>
            <w:r>
              <w:rPr>
                <w:color w:val="000000"/>
                <w:sz w:val="24"/>
              </w:rPr>
              <w:t>NetXtreme</w:t>
            </w:r>
            <w:r>
              <w:rPr>
                <w:color w:val="000000"/>
                <w:sz w:val="24"/>
              </w:rPr>
              <w:t xml:space="preserve"> II™ 5708 </w:t>
            </w:r>
            <w:r>
              <w:rPr>
                <w:color w:val="000000"/>
                <w:sz w:val="24"/>
              </w:rPr>
              <w:t>Gigabit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Ethernet</w:t>
            </w:r>
          </w:p>
        </w:tc>
      </w:tr>
    </w:tbl>
    <w:p w14:paraId="83000000">
      <w:pPr>
        <w:tabs>
          <w:tab w:leader="none" w:pos="1134" w:val="left"/>
          <w:tab w:leader="none" w:pos="3828" w:val="left"/>
        </w:tabs>
        <w:spacing w:line="360" w:lineRule="auto"/>
        <w:ind w:firstLine="720" w:left="0"/>
        <w:jc w:val="both"/>
        <w:rPr>
          <w:sz w:val="28"/>
        </w:rPr>
      </w:pPr>
    </w:p>
    <w:p w14:paraId="84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>Dell</w:t>
      </w:r>
      <w:r>
        <w:rPr>
          <w:sz w:val="24"/>
        </w:rPr>
        <w:t xml:space="preserve"> </w:t>
      </w:r>
      <w:r>
        <w:rPr>
          <w:sz w:val="24"/>
        </w:rPr>
        <w:t>PowerEdge</w:t>
      </w:r>
      <w:r>
        <w:rPr>
          <w:sz w:val="24"/>
        </w:rPr>
        <w:t xml:space="preserve"> SC1435 (интернет-сервер)– это сервер для установки в стойку (1U), который может иметь до 2 процессоров AMD серии </w:t>
      </w:r>
      <w:r>
        <w:rPr>
          <w:sz w:val="24"/>
        </w:rPr>
        <w:t>Opteron</w:t>
      </w:r>
      <w:r>
        <w:rPr>
          <w:sz w:val="24"/>
        </w:rPr>
        <w:t xml:space="preserve"> 2200. </w:t>
      </w:r>
    </w:p>
    <w:p w14:paraId="85000000">
      <w:pPr>
        <w:pStyle w:val="Style_12"/>
        <w:spacing w:after="0" w:before="0" w:line="360" w:lineRule="auto"/>
        <w:ind w:firstLine="709" w:left="0"/>
        <w:rPr>
          <w:sz w:val="24"/>
        </w:rPr>
      </w:pPr>
      <w:bookmarkStart w:id="2" w:name="_Ref121563459"/>
      <w:r>
        <w:rPr>
          <w:sz w:val="24"/>
        </w:rPr>
        <w:t xml:space="preserve">Таблица </w:t>
      </w:r>
      <w:bookmarkEnd w:id="2"/>
      <w:r>
        <w:rPr>
          <w:sz w:val="24"/>
        </w:rPr>
        <w:t>5</w:t>
      </w:r>
      <w:r>
        <w:rPr>
          <w:sz w:val="24"/>
        </w:rPr>
        <w:t xml:space="preserve"> – Характеристики сервера </w:t>
      </w:r>
      <w:r>
        <w:rPr>
          <w:sz w:val="24"/>
        </w:rPr>
        <w:t>DellPowerEdgeSC</w:t>
      </w:r>
      <w:r>
        <w:rPr>
          <w:sz w:val="24"/>
        </w:rPr>
        <w:t>1435</w:t>
      </w:r>
    </w:p>
    <w:tbl>
      <w:tblPr>
        <w:tblStyle w:val="Style_6"/>
        <w:tblInd w:type="dxa" w:w="392"/>
        <w:tblLayout w:type="fixed"/>
      </w:tblPr>
      <w:tblGrid>
        <w:gridCol w:w="2248"/>
        <w:gridCol w:w="6499"/>
      </w:tblGrid>
      <w:tr>
        <w:tc>
          <w:tcPr>
            <w:tcW w:type="dxa" w:w="2248"/>
          </w:tcPr>
          <w:p w14:paraId="86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</w:p>
        </w:tc>
        <w:tc>
          <w:tcPr>
            <w:tcW w:type="dxa" w:w="6499"/>
          </w:tcPr>
          <w:p w14:paraId="87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сервер / базовой производительности</w:t>
            </w:r>
          </w:p>
        </w:tc>
      </w:tr>
      <w:tr>
        <w:tc>
          <w:tcPr>
            <w:tcW w:type="dxa" w:w="2248"/>
          </w:tcPr>
          <w:p w14:paraId="88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Корпус</w:t>
            </w:r>
          </w:p>
        </w:tc>
        <w:tc>
          <w:tcPr>
            <w:tcW w:type="dxa" w:w="6499"/>
          </w:tcPr>
          <w:p w14:paraId="89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монтируемый в шкаф-стойку корпус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высота в стойке 1U</w:t>
            </w:r>
          </w:p>
        </w:tc>
      </w:tr>
      <w:tr>
        <w:tc>
          <w:tcPr>
            <w:tcW w:type="dxa" w:w="2248"/>
          </w:tcPr>
          <w:p w14:paraId="8A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  <w:tc>
          <w:tcPr>
            <w:tcW w:type="dxa" w:w="6499"/>
          </w:tcPr>
          <w:p w14:paraId="8B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AMD </w:t>
            </w:r>
            <w:r>
              <w:rPr>
                <w:sz w:val="24"/>
              </w:rPr>
              <w:t>Opteron</w:t>
            </w:r>
            <w:r>
              <w:rPr>
                <w:sz w:val="24"/>
              </w:rPr>
              <w:t xml:space="preserve"> 2220 (макс. 2)</w:t>
            </w:r>
          </w:p>
        </w:tc>
      </w:tr>
      <w:tr>
        <w:tc>
          <w:tcPr>
            <w:tcW w:type="dxa" w:w="2248"/>
          </w:tcPr>
          <w:p w14:paraId="8C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Материнская плата</w:t>
            </w:r>
          </w:p>
        </w:tc>
        <w:tc>
          <w:tcPr>
            <w:tcW w:type="dxa" w:w="6499"/>
          </w:tcPr>
          <w:p w14:paraId="8D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• </w:t>
            </w:r>
            <w:r>
              <w:rPr>
                <w:sz w:val="24"/>
              </w:rPr>
              <w:t>Broadcom</w:t>
            </w:r>
            <w:r>
              <w:rPr>
                <w:sz w:val="24"/>
              </w:rPr>
              <w:t xml:space="preserve"> HT1000 • 200 МГц (FSB)</w:t>
            </w:r>
          </w:p>
        </w:tc>
      </w:tr>
      <w:tr>
        <w:tc>
          <w:tcPr>
            <w:tcW w:type="dxa" w:w="2248"/>
          </w:tcPr>
          <w:p w14:paraId="8E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Оперативная память</w:t>
            </w:r>
          </w:p>
        </w:tc>
        <w:tc>
          <w:tcPr>
            <w:tcW w:type="dxa" w:w="6499"/>
          </w:tcPr>
          <w:p w14:paraId="8F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PC5300 DDR2 SDRAM 4 ГБ</w:t>
            </w:r>
          </w:p>
        </w:tc>
      </w:tr>
      <w:tr>
        <w:tc>
          <w:tcPr>
            <w:tcW w:type="dxa" w:w="2248"/>
          </w:tcPr>
          <w:p w14:paraId="90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Контроллер устрой</w:t>
            </w:r>
            <w:r>
              <w:rPr>
                <w:sz w:val="24"/>
              </w:rPr>
              <w:t>ств хр</w:t>
            </w:r>
            <w:r>
              <w:rPr>
                <w:sz w:val="24"/>
              </w:rPr>
              <w:t>анения</w:t>
            </w:r>
          </w:p>
        </w:tc>
        <w:tc>
          <w:tcPr>
            <w:tcW w:type="dxa" w:w="6499"/>
          </w:tcPr>
          <w:p w14:paraId="91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контроллер устройства хранения встроен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 xml:space="preserve">редоставляемый интерфейс: </w:t>
            </w:r>
            <w:r>
              <w:rPr>
                <w:sz w:val="24"/>
              </w:rPr>
              <w:t>Serial</w:t>
            </w:r>
            <w:r>
              <w:rPr>
                <w:sz w:val="24"/>
              </w:rPr>
              <w:t xml:space="preserve"> ATA II • 2 канала</w:t>
            </w:r>
          </w:p>
        </w:tc>
      </w:tr>
      <w:tr>
        <w:tc>
          <w:tcPr>
            <w:tcW w:type="dxa" w:w="2248"/>
          </w:tcPr>
          <w:p w14:paraId="92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Жесткие диски</w:t>
            </w:r>
          </w:p>
        </w:tc>
        <w:tc>
          <w:tcPr>
            <w:tcW w:type="dxa" w:w="6499"/>
          </w:tcPr>
          <w:p w14:paraId="93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80 ГБ • </w:t>
            </w:r>
            <w:r>
              <w:rPr>
                <w:sz w:val="24"/>
              </w:rPr>
              <w:t>внутр</w:t>
            </w:r>
            <w:r>
              <w:rPr>
                <w:sz w:val="24"/>
              </w:rPr>
              <w:t xml:space="preserve">. • </w:t>
            </w:r>
            <w:r>
              <w:rPr>
                <w:sz w:val="24"/>
              </w:rPr>
              <w:t>Serial</w:t>
            </w:r>
            <w:r>
              <w:rPr>
                <w:sz w:val="24"/>
              </w:rPr>
              <w:t xml:space="preserve"> ATA 1.0 • 7200 об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ин.</w:t>
            </w:r>
          </w:p>
        </w:tc>
      </w:tr>
    </w:tbl>
    <w:p w14:paraId="94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</w:p>
    <w:p w14:paraId="95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Также </w:t>
      </w:r>
      <w:r>
        <w:rPr>
          <w:sz w:val="24"/>
        </w:rPr>
        <w:t xml:space="preserve">установлен отдельный файл-сервер сервер </w:t>
      </w:r>
      <w:r>
        <w:rPr>
          <w:sz w:val="24"/>
        </w:rPr>
        <w:t>DELLPowerEdgeT</w:t>
      </w:r>
      <w:r>
        <w:rPr>
          <w:sz w:val="24"/>
        </w:rPr>
        <w:t xml:space="preserve">300 </w:t>
      </w:r>
    </w:p>
    <w:p w14:paraId="96000000">
      <w:pPr>
        <w:pStyle w:val="Style_12"/>
        <w:spacing w:after="0" w:before="0" w:line="360" w:lineRule="auto"/>
        <w:ind w:firstLine="709" w:left="0"/>
        <w:rPr>
          <w:sz w:val="24"/>
        </w:rPr>
      </w:pPr>
      <w:bookmarkStart w:id="3" w:name="_Ref121563529"/>
      <w:r>
        <w:rPr>
          <w:sz w:val="24"/>
        </w:rPr>
        <w:t>Таблица</w:t>
      </w:r>
      <w:bookmarkEnd w:id="3"/>
      <w:r>
        <w:rPr>
          <w:sz w:val="24"/>
        </w:rPr>
        <w:t xml:space="preserve"> 6</w:t>
      </w:r>
      <w:r>
        <w:rPr>
          <w:sz w:val="24"/>
        </w:rPr>
        <w:t xml:space="preserve">– Характеристики сервера DELL </w:t>
      </w:r>
      <w:r>
        <w:rPr>
          <w:sz w:val="24"/>
        </w:rPr>
        <w:t>PowerEdge</w:t>
      </w:r>
      <w:r>
        <w:rPr>
          <w:sz w:val="24"/>
        </w:rPr>
        <w:t xml:space="preserve"> T300</w:t>
      </w:r>
    </w:p>
    <w:tbl>
      <w:tblPr>
        <w:tblStyle w:val="Style_6"/>
        <w:tblInd w:type="dxa" w:w="534"/>
        <w:tblLayout w:type="fixed"/>
      </w:tblPr>
      <w:tblGrid>
        <w:gridCol w:w="3685"/>
        <w:gridCol w:w="5387"/>
      </w:tblGrid>
      <w:tr>
        <w:trPr>
          <w:trHeight w:hRule="atLeast" w:val="255"/>
        </w:trPr>
        <w:tc>
          <w:tcPr>
            <w:tcW w:type="dxa" w:w="9072"/>
            <w:gridSpan w:val="2"/>
          </w:tcPr>
          <w:p w14:paraId="97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Физические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98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шасси</w:t>
            </w:r>
          </w:p>
        </w:tc>
        <w:tc>
          <w:tcPr>
            <w:tcW w:type="dxa" w:w="5387"/>
          </w:tcPr>
          <w:p w14:paraId="99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Tower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9A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Габаритные размеры</w:t>
            </w:r>
          </w:p>
        </w:tc>
        <w:tc>
          <w:tcPr>
            <w:tcW w:type="dxa" w:w="5387"/>
          </w:tcPr>
          <w:p w14:paraId="9B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45,6 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21,0 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61,0 см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9C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Вес</w:t>
            </w:r>
          </w:p>
        </w:tc>
        <w:tc>
          <w:tcPr>
            <w:tcW w:type="dxa" w:w="5387"/>
          </w:tcPr>
          <w:p w14:paraId="9D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25,4 кг</w:t>
            </w:r>
          </w:p>
        </w:tc>
      </w:tr>
      <w:tr>
        <w:trPr>
          <w:trHeight w:hRule="atLeast" w:val="255"/>
        </w:trPr>
        <w:tc>
          <w:tcPr>
            <w:tcW w:type="dxa" w:w="9072"/>
            <w:gridSpan w:val="2"/>
          </w:tcPr>
          <w:p w14:paraId="9E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Электротехнические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9F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блока питания</w:t>
            </w:r>
          </w:p>
        </w:tc>
        <w:tc>
          <w:tcPr>
            <w:tcW w:type="dxa" w:w="5387"/>
          </w:tcPr>
          <w:p w14:paraId="A0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блок питания 528 Вт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A1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Резервирование по питанию</w:t>
            </w:r>
          </w:p>
        </w:tc>
        <w:tc>
          <w:tcPr>
            <w:tcW w:type="dxa" w:w="5387"/>
          </w:tcPr>
          <w:p w14:paraId="A2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2-х блоков питания с горячей заменой</w:t>
            </w:r>
          </w:p>
        </w:tc>
      </w:tr>
      <w:tr>
        <w:trPr>
          <w:trHeight w:hRule="atLeast" w:val="269"/>
        </w:trPr>
        <w:tc>
          <w:tcPr>
            <w:tcW w:type="dxa" w:w="9072"/>
            <w:gridSpan w:val="2"/>
          </w:tcPr>
          <w:p w14:paraId="A3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</w:tr>
      <w:tr>
        <w:trPr>
          <w:trHeight w:hRule="atLeast" w:val="255"/>
        </w:trPr>
        <w:tc>
          <w:tcPr>
            <w:tcW w:type="dxa" w:w="3685"/>
          </w:tcPr>
          <w:p w14:paraId="A4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процессора</w:t>
            </w:r>
          </w:p>
        </w:tc>
        <w:tc>
          <w:tcPr>
            <w:tcW w:type="dxa" w:w="5387"/>
          </w:tcPr>
          <w:p w14:paraId="A5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Четырехъядерный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Intel</w:t>
            </w:r>
            <w:r>
              <w:rPr>
                <w:sz w:val="24"/>
              </w:rPr>
              <w:t xml:space="preserve">® </w:t>
            </w:r>
            <w:r>
              <w:rPr>
                <w:sz w:val="24"/>
              </w:rPr>
              <w:t>Xeon</w:t>
            </w:r>
            <w:r>
              <w:rPr>
                <w:sz w:val="24"/>
              </w:rPr>
              <w:t>® X3323</w:t>
            </w:r>
          </w:p>
        </w:tc>
      </w:tr>
      <w:tr>
        <w:trPr>
          <w:trHeight w:hRule="atLeast" w:val="241"/>
        </w:trPr>
        <w:tc>
          <w:tcPr>
            <w:tcW w:type="dxa" w:w="3685"/>
          </w:tcPr>
          <w:p w14:paraId="A6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Частота процессора</w:t>
            </w:r>
          </w:p>
        </w:tc>
        <w:tc>
          <w:tcPr>
            <w:tcW w:type="dxa" w:w="5387"/>
          </w:tcPr>
          <w:p w14:paraId="A7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2,5 ГГц</w:t>
            </w:r>
          </w:p>
        </w:tc>
      </w:tr>
      <w:tr>
        <w:tc>
          <w:tcPr>
            <w:tcW w:type="dxa" w:w="3685"/>
          </w:tcPr>
          <w:p w14:paraId="A8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процессоров, шт.</w:t>
            </w:r>
          </w:p>
        </w:tc>
        <w:tc>
          <w:tcPr>
            <w:tcW w:type="dxa" w:w="5387"/>
          </w:tcPr>
          <w:p w14:paraId="A9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3685"/>
          </w:tcPr>
          <w:p w14:paraId="AA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Системная шина</w:t>
            </w:r>
          </w:p>
        </w:tc>
        <w:tc>
          <w:tcPr>
            <w:tcW w:type="dxa" w:w="5387"/>
          </w:tcPr>
          <w:p w14:paraId="AB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1333 МГц</w:t>
            </w:r>
          </w:p>
        </w:tc>
      </w:tr>
      <w:tr>
        <w:tc>
          <w:tcPr>
            <w:tcW w:type="dxa" w:w="9072"/>
            <w:gridSpan w:val="2"/>
          </w:tcPr>
          <w:p w14:paraId="AC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Видеоподсистема</w:t>
            </w:r>
          </w:p>
        </w:tc>
      </w:tr>
      <w:tr>
        <w:tc>
          <w:tcPr>
            <w:tcW w:type="dxa" w:w="3685"/>
          </w:tcPr>
          <w:p w14:paraId="AD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Видео</w:t>
            </w:r>
          </w:p>
        </w:tc>
        <w:tc>
          <w:tcPr>
            <w:tcW w:type="dxa" w:w="5387"/>
          </w:tcPr>
          <w:p w14:paraId="AE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ATI ES1000 (32MB)</w:t>
            </w:r>
          </w:p>
        </w:tc>
      </w:tr>
      <w:tr>
        <w:tc>
          <w:tcPr>
            <w:tcW w:type="dxa" w:w="3685"/>
          </w:tcPr>
          <w:p w14:paraId="AF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Оперативная память</w:t>
            </w:r>
          </w:p>
        </w:tc>
        <w:tc>
          <w:tcPr>
            <w:tcW w:type="dxa" w:w="5387"/>
          </w:tcPr>
          <w:p w14:paraId="B0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PC2-5300 DDR2 SDRAM FBD ECC (667 </w:t>
            </w:r>
            <w:r>
              <w:rPr>
                <w:sz w:val="24"/>
              </w:rPr>
              <w:t>МГц</w:t>
            </w:r>
            <w:r>
              <w:rPr>
                <w:sz w:val="24"/>
              </w:rPr>
              <w:t>)</w:t>
            </w:r>
          </w:p>
        </w:tc>
      </w:tr>
      <w:tr>
        <w:tc>
          <w:tcPr>
            <w:tcW w:type="dxa" w:w="3685"/>
          </w:tcPr>
          <w:p w14:paraId="B1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 слотов оперативной памяти, шт.</w:t>
            </w:r>
          </w:p>
        </w:tc>
        <w:tc>
          <w:tcPr>
            <w:tcW w:type="dxa" w:w="5387"/>
          </w:tcPr>
          <w:p w14:paraId="B2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>
        <w:tc>
          <w:tcPr>
            <w:tcW w:type="dxa" w:w="3685"/>
          </w:tcPr>
          <w:p w14:paraId="B3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RAID-контроллер</w:t>
            </w:r>
          </w:p>
        </w:tc>
        <w:tc>
          <w:tcPr>
            <w:tcW w:type="dxa" w:w="5387"/>
          </w:tcPr>
          <w:p w14:paraId="B4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SAS 6/</w:t>
            </w:r>
            <w:r>
              <w:rPr>
                <w:sz w:val="24"/>
              </w:rPr>
              <w:t>Ir</w:t>
            </w:r>
          </w:p>
        </w:tc>
      </w:tr>
      <w:tr>
        <w:tc>
          <w:tcPr>
            <w:tcW w:type="dxa" w:w="3685"/>
          </w:tcPr>
          <w:p w14:paraId="B5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Внутренние дисковые отсеки</w:t>
            </w:r>
          </w:p>
        </w:tc>
        <w:tc>
          <w:tcPr>
            <w:tcW w:type="dxa" w:w="5387"/>
          </w:tcPr>
          <w:p w14:paraId="B6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4 дисков 3,5'' SAS/SATA</w:t>
            </w:r>
          </w:p>
        </w:tc>
      </w:tr>
      <w:tr>
        <w:tc>
          <w:tcPr>
            <w:tcW w:type="dxa" w:w="3685"/>
          </w:tcPr>
          <w:p w14:paraId="B7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Оптический привод</w:t>
            </w:r>
          </w:p>
        </w:tc>
        <w:tc>
          <w:tcPr>
            <w:tcW w:type="dxa" w:w="5387"/>
          </w:tcPr>
          <w:p w14:paraId="B8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DVD-ROM</w:t>
            </w:r>
          </w:p>
        </w:tc>
      </w:tr>
      <w:tr>
        <w:tc>
          <w:tcPr>
            <w:tcW w:type="dxa" w:w="3685"/>
          </w:tcPr>
          <w:p w14:paraId="B9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Сетевой интерфейс</w:t>
            </w:r>
          </w:p>
        </w:tc>
        <w:tc>
          <w:tcPr>
            <w:tcW w:type="dxa" w:w="5387"/>
          </w:tcPr>
          <w:p w14:paraId="BA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z w:val="24"/>
              </w:rPr>
              <w:t>встроенных</w:t>
            </w:r>
            <w:r>
              <w:rPr>
                <w:sz w:val="24"/>
              </w:rPr>
              <w:t xml:space="preserve"> адаптера </w:t>
            </w:r>
            <w:r>
              <w:rPr>
                <w:sz w:val="24"/>
              </w:rPr>
              <w:t>Broadcom</w:t>
            </w:r>
            <w:r>
              <w:rPr>
                <w:sz w:val="24"/>
              </w:rPr>
              <w:t xml:space="preserve">® </w:t>
            </w:r>
            <w:r>
              <w:rPr>
                <w:sz w:val="24"/>
              </w:rPr>
              <w:t>GbE</w:t>
            </w:r>
            <w:r>
              <w:rPr>
                <w:sz w:val="24"/>
              </w:rPr>
              <w:t xml:space="preserve"> NIC</w:t>
            </w:r>
          </w:p>
        </w:tc>
      </w:tr>
      <w:tr>
        <w:tc>
          <w:tcPr>
            <w:tcW w:type="dxa" w:w="3685"/>
          </w:tcPr>
          <w:p w14:paraId="BB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Элементы отказоустойчивости</w:t>
            </w:r>
          </w:p>
        </w:tc>
        <w:tc>
          <w:tcPr>
            <w:tcW w:type="dxa" w:w="5387"/>
          </w:tcPr>
          <w:p w14:paraId="BC00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Горячая замена: жесткие диски. Резервирование: блоки питания</w:t>
            </w:r>
          </w:p>
        </w:tc>
      </w:tr>
    </w:tbl>
    <w:p w14:paraId="BD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</w:p>
    <w:p w14:paraId="BE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Для организации сети используются неуправляемые и управляемые коммутаторы. </w:t>
      </w:r>
    </w:p>
    <w:p w14:paraId="BF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Коммутатор с 8 портами 10/100Base-T </w:t>
      </w:r>
      <w:r>
        <w:rPr>
          <w:sz w:val="24"/>
        </w:rPr>
        <w:t>D</w:t>
      </w:r>
      <w:r>
        <w:rPr>
          <w:sz w:val="24"/>
        </w:rPr>
        <w:t>-</w:t>
      </w:r>
      <w:r>
        <w:rPr>
          <w:sz w:val="24"/>
        </w:rPr>
        <w:t>Link</w:t>
      </w:r>
      <w:r>
        <w:rPr>
          <w:sz w:val="24"/>
        </w:rPr>
        <w:t xml:space="preserve"> DES-1008Dявляется неуправляемым коммутатором 10/100 Мбит/с, предназначенным для повышения производительности работы малой группы пользователей, обеспечивая при этом высокий уровень гибкости. </w:t>
      </w:r>
    </w:p>
    <w:p w14:paraId="C0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>Мощный и одновременно с этим простой в использовании, DES-1008D позволяет пользователям без труда подключить к любому порту сетевое оборудование, работающее на скоростях 10 Мбит/с или 100 Мбит/с, понизить время отклика и удовлетворить потребности в большой пропускной способности сети.</w:t>
      </w:r>
    </w:p>
    <w:p w14:paraId="C1000000">
      <w:pPr>
        <w:pStyle w:val="Style_12"/>
        <w:spacing w:after="0" w:before="0" w:line="360" w:lineRule="auto"/>
        <w:ind w:firstLine="709" w:left="0"/>
        <w:rPr>
          <w:sz w:val="24"/>
        </w:rPr>
      </w:pPr>
      <w:bookmarkStart w:id="4" w:name="_Ref121563571"/>
      <w:r>
        <w:rPr>
          <w:sz w:val="24"/>
        </w:rPr>
        <w:t>Таблица</w:t>
      </w:r>
      <w:bookmarkEnd w:id="4"/>
      <w:r>
        <w:rPr>
          <w:sz w:val="24"/>
        </w:rPr>
        <w:t xml:space="preserve"> 7</w:t>
      </w:r>
      <w:r>
        <w:rPr>
          <w:sz w:val="24"/>
        </w:rPr>
        <w:t xml:space="preserve">– Характеристики коммутатора </w:t>
      </w:r>
      <w:r>
        <w:rPr>
          <w:sz w:val="24"/>
        </w:rPr>
        <w:t>D</w:t>
      </w:r>
      <w:r>
        <w:rPr>
          <w:sz w:val="24"/>
        </w:rPr>
        <w:t>-</w:t>
      </w:r>
      <w:r>
        <w:rPr>
          <w:sz w:val="24"/>
        </w:rPr>
        <w:t>LinkDES</w:t>
      </w:r>
      <w:r>
        <w:rPr>
          <w:sz w:val="24"/>
        </w:rPr>
        <w:t>-1008</w:t>
      </w:r>
      <w:r>
        <w:rPr>
          <w:sz w:val="24"/>
        </w:rPr>
        <w:t>D</w:t>
      </w:r>
    </w:p>
    <w:tbl>
      <w:tblPr>
        <w:tblStyle w:val="Style_6"/>
        <w:tblInd w:type="dxa" w:w="534"/>
        <w:tblLayout w:type="fixed"/>
      </w:tblPr>
      <w:tblGrid>
        <w:gridCol w:w="2452"/>
        <w:gridCol w:w="6620"/>
      </w:tblGrid>
      <w:tr>
        <w:trPr>
          <w:trHeight w:hRule="atLeast" w:val="1111"/>
        </w:trPr>
        <w:tc>
          <w:tcPr>
            <w:tcW w:type="dxa" w:w="2452"/>
          </w:tcPr>
          <w:p w14:paraId="C2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Стандарты:</w:t>
            </w:r>
          </w:p>
          <w:p w14:paraId="C3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6620"/>
          </w:tcPr>
          <w:p w14:paraId="C4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 10Base-T Ethernet</w:t>
            </w:r>
          </w:p>
          <w:p w14:paraId="C5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802.3u 100Base-TX Fast Ethernet</w:t>
            </w:r>
          </w:p>
          <w:p w14:paraId="C6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Автосогласование</w:t>
            </w:r>
            <w:r>
              <w:rPr>
                <w:sz w:val="24"/>
              </w:rPr>
              <w:t xml:space="preserve"> ANSI/IEEE 802.3 </w:t>
            </w:r>
            <w:r>
              <w:rPr>
                <w:sz w:val="24"/>
              </w:rPr>
              <w:t>NWay</w:t>
            </w:r>
          </w:p>
          <w:p w14:paraId="C7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потоком IEEE 802.3x</w:t>
            </w:r>
          </w:p>
        </w:tc>
      </w:tr>
      <w:tr>
        <w:trPr>
          <w:trHeight w:hRule="atLeast" w:val="273"/>
        </w:trPr>
        <w:tc>
          <w:tcPr>
            <w:tcW w:type="dxa" w:w="2452"/>
          </w:tcPr>
          <w:p w14:paraId="C8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type="dxa" w:w="6620"/>
          </w:tcPr>
          <w:p w14:paraId="C9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CSMA/CD</w:t>
            </w:r>
          </w:p>
        </w:tc>
      </w:tr>
      <w:tr>
        <w:trPr>
          <w:trHeight w:hRule="atLeast" w:val="1126"/>
        </w:trPr>
        <w:tc>
          <w:tcPr>
            <w:tcW w:type="dxa" w:w="2452"/>
          </w:tcPr>
          <w:p w14:paraId="CA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передачи</w:t>
            </w:r>
          </w:p>
        </w:tc>
        <w:tc>
          <w:tcPr>
            <w:tcW w:type="dxa" w:w="6620"/>
          </w:tcPr>
          <w:p w14:paraId="CB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Ethernet:10 </w:t>
            </w:r>
            <w:r>
              <w:rPr>
                <w:sz w:val="24"/>
              </w:rPr>
              <w:t>M</w:t>
            </w:r>
            <w:r>
              <w:rPr>
                <w:sz w:val="24"/>
              </w:rPr>
              <w:t>бит</w:t>
            </w:r>
            <w:r>
              <w:rPr>
                <w:sz w:val="24"/>
              </w:rPr>
              <w:t>/с (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>)20 Мбит/с (полный дуплекс)</w:t>
            </w:r>
          </w:p>
          <w:p w14:paraId="CC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Fast</w:t>
            </w:r>
            <w:r>
              <w:rPr>
                <w:sz w:val="24"/>
              </w:rPr>
              <w:t xml:space="preserve"> Ethernet:100 Мбит/с (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>)200 Мбит/с (полный дуплекс)</w:t>
            </w:r>
          </w:p>
        </w:tc>
      </w:tr>
      <w:tr>
        <w:trPr>
          <w:trHeight w:hRule="atLeast" w:val="273"/>
        </w:trPr>
        <w:tc>
          <w:tcPr>
            <w:tcW w:type="dxa" w:w="2452"/>
          </w:tcPr>
          <w:p w14:paraId="CD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Топология</w:t>
            </w:r>
          </w:p>
        </w:tc>
        <w:tc>
          <w:tcPr>
            <w:tcW w:type="dxa" w:w="6620"/>
          </w:tcPr>
          <w:p w14:paraId="CE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Звезда</w:t>
            </w:r>
          </w:p>
        </w:tc>
      </w:tr>
      <w:tr>
        <w:trPr>
          <w:trHeight w:hRule="atLeast" w:val="258"/>
        </w:trPr>
        <w:tc>
          <w:tcPr>
            <w:tcW w:type="dxa" w:w="2452"/>
          </w:tcPr>
          <w:p w14:paraId="CF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портов</w:t>
            </w:r>
          </w:p>
        </w:tc>
        <w:tc>
          <w:tcPr>
            <w:tcW w:type="dxa" w:w="6620"/>
          </w:tcPr>
          <w:p w14:paraId="D0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 портов 10/100 Мбит/</w:t>
            </w:r>
            <w:r>
              <w:rPr>
                <w:sz w:val="24"/>
              </w:rPr>
              <w:t>с</w:t>
            </w:r>
          </w:p>
        </w:tc>
      </w:tr>
      <w:tr>
        <w:tc>
          <w:tcPr>
            <w:tcW w:type="dxa" w:w="2452"/>
          </w:tcPr>
          <w:p w14:paraId="D1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Индикаторы н</w:t>
            </w:r>
            <w:r>
              <w:rPr>
                <w:sz w:val="24"/>
              </w:rPr>
              <w:t>а устройство:</w:t>
            </w:r>
          </w:p>
        </w:tc>
        <w:tc>
          <w:tcPr>
            <w:tcW w:type="dxa" w:w="6620"/>
          </w:tcPr>
          <w:p w14:paraId="D2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Power</w:t>
            </w:r>
          </w:p>
        </w:tc>
      </w:tr>
      <w:tr>
        <w:tc>
          <w:tcPr>
            <w:tcW w:type="dxa" w:w="2452"/>
          </w:tcPr>
          <w:p w14:paraId="D3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Индикаторы н</w:t>
            </w:r>
            <w:r>
              <w:rPr>
                <w:sz w:val="24"/>
              </w:rPr>
              <w:t>а порт:</w:t>
            </w:r>
          </w:p>
        </w:tc>
        <w:tc>
          <w:tcPr>
            <w:tcW w:type="dxa" w:w="6620"/>
          </w:tcPr>
          <w:p w14:paraId="D4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z w:val="24"/>
              </w:rPr>
              <w:t>Мбит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, 100 </w:t>
            </w:r>
            <w:r>
              <w:rPr>
                <w:sz w:val="24"/>
              </w:rPr>
              <w:t>Мбит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с</w:t>
            </w:r>
          </w:p>
          <w:p w14:paraId="D5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Full-duplex, Collision</w:t>
            </w:r>
          </w:p>
        </w:tc>
      </w:tr>
      <w:tr>
        <w:tc>
          <w:tcPr>
            <w:tcW w:type="dxa" w:w="2452"/>
          </w:tcPr>
          <w:p w14:paraId="D6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Метод коммутации</w:t>
            </w:r>
          </w:p>
        </w:tc>
        <w:tc>
          <w:tcPr>
            <w:tcW w:type="dxa" w:w="6620"/>
          </w:tcPr>
          <w:p w14:paraId="D7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Store-and-forward</w:t>
            </w:r>
          </w:p>
        </w:tc>
      </w:tr>
      <w:tr>
        <w:tc>
          <w:tcPr>
            <w:tcW w:type="dxa" w:w="2452"/>
          </w:tcPr>
          <w:p w14:paraId="D8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z w:val="24"/>
              </w:rPr>
              <w:t xml:space="preserve"> MAC </w:t>
            </w:r>
            <w:r>
              <w:rPr>
                <w:sz w:val="24"/>
              </w:rPr>
              <w:t>адресов</w:t>
            </w:r>
          </w:p>
        </w:tc>
        <w:tc>
          <w:tcPr>
            <w:tcW w:type="dxa" w:w="6620"/>
          </w:tcPr>
          <w:p w14:paraId="D9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1K записей на устройство (версии G1, G2, H1)</w:t>
            </w:r>
          </w:p>
        </w:tc>
      </w:tr>
      <w:tr>
        <w:tc>
          <w:tcPr>
            <w:tcW w:type="dxa" w:w="2452"/>
          </w:tcPr>
          <w:p w14:paraId="DA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Буфер памяти</w:t>
            </w:r>
          </w:p>
        </w:tc>
        <w:tc>
          <w:tcPr>
            <w:tcW w:type="dxa" w:w="6620"/>
          </w:tcPr>
          <w:p w14:paraId="DB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64K на устройство (версии G1, G2, H1)</w:t>
            </w:r>
          </w:p>
        </w:tc>
      </w:tr>
      <w:tr>
        <w:tc>
          <w:tcPr>
            <w:tcW w:type="dxa" w:w="2452"/>
          </w:tcPr>
          <w:p w14:paraId="DC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передачи/фильтрации пакетов</w:t>
            </w:r>
          </w:p>
        </w:tc>
        <w:tc>
          <w:tcPr>
            <w:tcW w:type="dxa" w:w="6620"/>
          </w:tcPr>
          <w:p w14:paraId="DD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10BASE-T: 14,880 </w:t>
            </w:r>
            <w:r>
              <w:rPr>
                <w:sz w:val="24"/>
              </w:rPr>
              <w:t>pps</w:t>
            </w:r>
            <w:r>
              <w:rPr>
                <w:sz w:val="24"/>
              </w:rPr>
              <w:t xml:space="preserve"> на порт (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>)</w:t>
            </w:r>
          </w:p>
          <w:p w14:paraId="DE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100BASE-TX: 148,800 </w:t>
            </w:r>
            <w:r>
              <w:rPr>
                <w:sz w:val="24"/>
              </w:rPr>
              <w:t>pps</w:t>
            </w:r>
            <w:r>
              <w:rPr>
                <w:sz w:val="24"/>
              </w:rPr>
              <w:t xml:space="preserve"> на порт (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>)</w:t>
            </w:r>
          </w:p>
          <w:p w14:paraId="DF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</w:tr>
    </w:tbl>
    <w:p w14:paraId="E0000000">
      <w:pPr>
        <w:tabs>
          <w:tab w:leader="none" w:pos="1134" w:val="left"/>
          <w:tab w:leader="none" w:pos="3828" w:val="left"/>
        </w:tabs>
        <w:spacing w:line="360" w:lineRule="auto"/>
        <w:ind/>
        <w:jc w:val="both"/>
        <w:rPr>
          <w:sz w:val="24"/>
        </w:rPr>
      </w:pPr>
    </w:p>
    <w:p w14:paraId="E100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Управление потоком реализовано для режимов </w:t>
      </w:r>
      <w:r>
        <w:rPr>
          <w:sz w:val="24"/>
        </w:rPr>
        <w:t>полного</w:t>
      </w:r>
      <w:r>
        <w:rPr>
          <w:sz w:val="24"/>
        </w:rPr>
        <w:t xml:space="preserve"> и </w:t>
      </w:r>
      <w:r>
        <w:rPr>
          <w:sz w:val="24"/>
        </w:rPr>
        <w:t>полудуплекса</w:t>
      </w:r>
      <w:r>
        <w:rPr>
          <w:sz w:val="24"/>
        </w:rPr>
        <w:t>.</w:t>
      </w:r>
      <w:r>
        <w:rPr>
          <w:sz w:val="24"/>
        </w:rPr>
        <w:t xml:space="preserve"> </w:t>
      </w:r>
      <w:r>
        <w:rPr>
          <w:sz w:val="24"/>
        </w:rPr>
        <w:t xml:space="preserve">Характеристики коммутатора </w:t>
      </w:r>
      <w:r>
        <w:rPr>
          <w:sz w:val="24"/>
        </w:rPr>
        <w:t>D</w:t>
      </w:r>
      <w:r>
        <w:rPr>
          <w:sz w:val="24"/>
        </w:rPr>
        <w:t>-</w:t>
      </w:r>
      <w:r>
        <w:rPr>
          <w:sz w:val="24"/>
        </w:rPr>
        <w:t>LinkDES</w:t>
      </w:r>
      <w:r>
        <w:rPr>
          <w:sz w:val="24"/>
        </w:rPr>
        <w:t>-1016</w:t>
      </w:r>
      <w:r>
        <w:rPr>
          <w:sz w:val="24"/>
        </w:rPr>
        <w:t>D</w:t>
      </w:r>
      <w:r>
        <w:rPr>
          <w:sz w:val="24"/>
        </w:rPr>
        <w:t xml:space="preserve"> </w:t>
      </w:r>
      <w:r>
        <w:rPr>
          <w:sz w:val="24"/>
        </w:rPr>
        <w:t>приведена</w:t>
      </w:r>
      <w:r>
        <w:rPr>
          <w:sz w:val="24"/>
        </w:rPr>
        <w:t xml:space="preserve"> ниже.</w:t>
      </w:r>
    </w:p>
    <w:p w14:paraId="E2000000">
      <w:pPr>
        <w:pStyle w:val="Style_12"/>
        <w:spacing w:after="0" w:before="0" w:line="360" w:lineRule="auto"/>
        <w:ind w:firstLine="709" w:left="0"/>
        <w:rPr>
          <w:sz w:val="24"/>
        </w:rPr>
      </w:pPr>
      <w:bookmarkStart w:id="5" w:name="_Ref121563614"/>
      <w:r>
        <w:rPr>
          <w:sz w:val="24"/>
        </w:rPr>
        <w:t>Таблица</w:t>
      </w:r>
      <w:bookmarkEnd w:id="5"/>
      <w:r>
        <w:rPr>
          <w:sz w:val="24"/>
        </w:rPr>
        <w:t xml:space="preserve"> 8</w:t>
      </w:r>
      <w:r>
        <w:rPr>
          <w:sz w:val="24"/>
        </w:rPr>
        <w:t xml:space="preserve">– Характеристики коммутатора </w:t>
      </w:r>
      <w:r>
        <w:rPr>
          <w:sz w:val="24"/>
        </w:rPr>
        <w:t>D</w:t>
      </w:r>
      <w:r>
        <w:rPr>
          <w:sz w:val="24"/>
        </w:rPr>
        <w:t>-</w:t>
      </w:r>
      <w:r>
        <w:rPr>
          <w:sz w:val="24"/>
        </w:rPr>
        <w:t>LinkDES</w:t>
      </w:r>
      <w:r>
        <w:rPr>
          <w:sz w:val="24"/>
        </w:rPr>
        <w:t>-1016</w:t>
      </w:r>
      <w:r>
        <w:rPr>
          <w:sz w:val="24"/>
        </w:rPr>
        <w:t>D</w:t>
      </w:r>
    </w:p>
    <w:tbl>
      <w:tblPr>
        <w:tblStyle w:val="Style_6"/>
        <w:tblInd w:type="dxa" w:w="534"/>
        <w:tblLayout w:type="fixed"/>
      </w:tblPr>
      <w:tblGrid>
        <w:gridCol w:w="2294"/>
        <w:gridCol w:w="6318"/>
      </w:tblGrid>
      <w:tr>
        <w:tc>
          <w:tcPr>
            <w:tcW w:type="dxa" w:w="2294"/>
          </w:tcPr>
          <w:p w14:paraId="E3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</w:p>
          <w:p w14:paraId="E4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6318"/>
          </w:tcPr>
          <w:p w14:paraId="E5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16 портов 10/100 Мбит/с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автоопределением</w:t>
            </w:r>
            <w:r>
              <w:rPr>
                <w:sz w:val="24"/>
              </w:rPr>
              <w:t xml:space="preserve"> MDI|MDX</w:t>
            </w:r>
          </w:p>
          <w:p w14:paraId="E6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Все порты поддерживают полу/полнодуплексный режим</w:t>
            </w:r>
          </w:p>
          <w:p w14:paraId="E7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потоком для предотвращения потерь данных (полный дуплекс)</w:t>
            </w:r>
          </w:p>
          <w:p w14:paraId="E8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Динамический буфер данных для каждого порта</w:t>
            </w:r>
          </w:p>
          <w:p w14:paraId="E9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Автообучение</w:t>
            </w:r>
            <w:r>
              <w:rPr>
                <w:sz w:val="24"/>
              </w:rPr>
              <w:t xml:space="preserve"> конфигурации сети</w:t>
            </w:r>
          </w:p>
          <w:p w14:paraId="EA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Схема коммутации "</w:t>
            </w:r>
            <w:r>
              <w:rPr>
                <w:sz w:val="24"/>
              </w:rPr>
              <w:t>store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and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forward</w:t>
            </w:r>
            <w:r>
              <w:rPr>
                <w:sz w:val="24"/>
              </w:rPr>
              <w:t>"</w:t>
            </w:r>
          </w:p>
          <w:p w14:paraId="EB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Авто коррекция</w:t>
            </w:r>
            <w:r>
              <w:rPr>
                <w:sz w:val="24"/>
              </w:rPr>
              <w:t xml:space="preserve"> обратной полярности витой пары</w:t>
            </w:r>
          </w:p>
        </w:tc>
      </w:tr>
      <w:tr>
        <w:tc>
          <w:tcPr>
            <w:tcW w:type="dxa" w:w="2294"/>
          </w:tcPr>
          <w:p w14:paraId="EC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Стандарты</w:t>
            </w:r>
          </w:p>
          <w:p w14:paraId="ED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6318"/>
          </w:tcPr>
          <w:p w14:paraId="EE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 10Base-T</w:t>
            </w:r>
          </w:p>
          <w:p w14:paraId="EF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802.3u 100Base-TX</w:t>
            </w:r>
          </w:p>
          <w:p w14:paraId="F0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ANSI/IEEE 802.3 </w:t>
            </w:r>
            <w:r>
              <w:rPr>
                <w:sz w:val="24"/>
              </w:rPr>
              <w:t>автоопределения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NWay</w:t>
            </w:r>
          </w:p>
          <w:p w14:paraId="F1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 Ом Категории 3,4,5 (для 10Base-T) и Кат 5 (для 100Base-TX) кабеля неэкранированной витой пары</w:t>
            </w:r>
          </w:p>
          <w:p w14:paraId="F2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EIA/TIA-568 100 Ом кабеля экранированной витой пары</w:t>
            </w:r>
          </w:p>
        </w:tc>
      </w:tr>
      <w:tr>
        <w:tc>
          <w:tcPr>
            <w:tcW w:type="dxa" w:w="2294"/>
          </w:tcPr>
          <w:p w14:paraId="F3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Протоколы:</w:t>
            </w:r>
          </w:p>
          <w:p w14:paraId="F4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6318"/>
          </w:tcPr>
          <w:p w14:paraId="F5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 Ethernet CSMA/CD</w:t>
            </w:r>
          </w:p>
          <w:p w14:paraId="F6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IEEE 802.3u Fast Ethernet CSMA/CD</w:t>
            </w:r>
          </w:p>
          <w:p w14:paraId="F7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IEEE 802.3x </w:t>
            </w:r>
            <w:r>
              <w:rPr>
                <w:sz w:val="24"/>
              </w:rPr>
              <w:t>Flow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</w:p>
        </w:tc>
      </w:tr>
      <w:tr>
        <w:tc>
          <w:tcPr>
            <w:tcW w:type="dxa" w:w="2294"/>
          </w:tcPr>
          <w:p w14:paraId="F8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Производительность (скорость фильтрации пакетов в секунду по порту):</w:t>
            </w:r>
          </w:p>
        </w:tc>
        <w:tc>
          <w:tcPr>
            <w:tcW w:type="dxa" w:w="6318"/>
          </w:tcPr>
          <w:p w14:paraId="F9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10Base-T, полный дуплекс = 14,880</w:t>
            </w:r>
          </w:p>
          <w:p w14:paraId="FA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100Base-TX, полный дуплекс = 148,800</w:t>
            </w:r>
          </w:p>
          <w:p w14:paraId="FB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10Base-T, 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 xml:space="preserve"> = 14,880</w:t>
            </w:r>
          </w:p>
          <w:p w14:paraId="FC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100Base-TX, </w:t>
            </w:r>
            <w:r>
              <w:rPr>
                <w:sz w:val="24"/>
              </w:rPr>
              <w:t>полудуплекс</w:t>
            </w:r>
            <w:r>
              <w:rPr>
                <w:sz w:val="24"/>
              </w:rPr>
              <w:t xml:space="preserve"> = 148,800</w:t>
            </w:r>
          </w:p>
        </w:tc>
      </w:tr>
      <w:tr>
        <w:tc>
          <w:tcPr>
            <w:tcW w:type="dxa" w:w="2294"/>
          </w:tcPr>
          <w:p w14:paraId="FD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</w:p>
        </w:tc>
        <w:tc>
          <w:tcPr>
            <w:tcW w:type="dxa" w:w="6318"/>
          </w:tcPr>
          <w:p w14:paraId="FE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Пропускная способность внутренней магистрали: 3,2 Гбит/</w:t>
            </w:r>
            <w:r>
              <w:rPr>
                <w:sz w:val="24"/>
              </w:rPr>
              <w:t>с</w:t>
            </w:r>
          </w:p>
          <w:p w14:paraId="FF00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Метод коммутации: </w:t>
            </w:r>
            <w:r>
              <w:rPr>
                <w:sz w:val="24"/>
              </w:rPr>
              <w:t>Store-and-Forward</w:t>
            </w:r>
          </w:p>
          <w:p w14:paraId="0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Размер таблицы </w:t>
            </w:r>
            <w:r>
              <w:rPr>
                <w:sz w:val="24"/>
              </w:rPr>
              <w:t>МАС-адресов</w:t>
            </w:r>
            <w:r>
              <w:rPr>
                <w:sz w:val="24"/>
              </w:rPr>
              <w:t>: 8K</w:t>
            </w:r>
          </w:p>
          <w:p w14:paraId="0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Размер буфера данных: 512kB, динамическое выделение буфера для каждого порта</w:t>
            </w:r>
          </w:p>
        </w:tc>
      </w:tr>
      <w:tr>
        <w:tc>
          <w:tcPr>
            <w:tcW w:type="dxa" w:w="2294"/>
          </w:tcPr>
          <w:p w14:paraId="0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Физические параметры</w:t>
            </w:r>
          </w:p>
        </w:tc>
        <w:tc>
          <w:tcPr>
            <w:tcW w:type="dxa" w:w="6318"/>
          </w:tcPr>
          <w:p w14:paraId="0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Вес 1,2</w:t>
            </w:r>
          </w:p>
          <w:p w14:paraId="0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280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180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44 мм</w:t>
            </w:r>
          </w:p>
          <w:p w14:paraId="0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Высота 1U, для установки в 11” стойку</w:t>
            </w:r>
          </w:p>
          <w:p w14:paraId="0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Потребляемая мощность 5,68 Вт</w:t>
            </w:r>
          </w:p>
        </w:tc>
      </w:tr>
    </w:tbl>
    <w:p w14:paraId="07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</w:p>
    <w:p w14:paraId="08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b w:val="1"/>
          <w:sz w:val="24"/>
        </w:rPr>
      </w:pPr>
      <w:r>
        <w:rPr>
          <w:sz w:val="24"/>
        </w:rPr>
        <w:t>Сотрудник используют в своей работе рабочие станции, характеристики которых приведен в таблиц</w:t>
      </w:r>
      <w:r>
        <w:rPr>
          <w:sz w:val="24"/>
        </w:rPr>
        <w:t>е 9</w:t>
      </w:r>
      <w:r>
        <w:rPr>
          <w:sz w:val="24"/>
        </w:rPr>
        <w:t>.</w:t>
      </w:r>
    </w:p>
    <w:p w14:paraId="09010000">
      <w:pPr>
        <w:pStyle w:val="Style_12"/>
        <w:spacing w:after="0" w:before="0" w:line="360" w:lineRule="auto"/>
        <w:ind w:firstLine="709" w:left="0"/>
        <w:rPr>
          <w:sz w:val="24"/>
        </w:rPr>
      </w:pPr>
      <w:r>
        <w:rPr>
          <w:sz w:val="24"/>
        </w:rPr>
        <w:t>Таблица</w:t>
      </w:r>
      <w:r>
        <w:rPr>
          <w:sz w:val="24"/>
        </w:rPr>
        <w:t xml:space="preserve"> 9</w:t>
      </w:r>
      <w:r>
        <w:rPr>
          <w:sz w:val="24"/>
        </w:rPr>
        <w:t xml:space="preserve">– Технические характеристики рабочих станций TEK </w:t>
      </w:r>
      <w:r>
        <w:rPr>
          <w:sz w:val="24"/>
        </w:rPr>
        <w:t>Office</w:t>
      </w:r>
    </w:p>
    <w:tbl>
      <w:tblPr>
        <w:tblStyle w:val="Style_6"/>
        <w:tblInd w:type="dxa" w:w="534"/>
        <w:tblLayout w:type="fixed"/>
      </w:tblPr>
      <w:tblGrid>
        <w:gridCol w:w="3090"/>
        <w:gridCol w:w="5523"/>
      </w:tblGrid>
      <w:tr>
        <w:tc>
          <w:tcPr>
            <w:tcW w:type="dxa" w:w="3090"/>
          </w:tcPr>
          <w:p w14:paraId="0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Наименование характеристики</w:t>
            </w:r>
          </w:p>
        </w:tc>
        <w:tc>
          <w:tcPr>
            <w:tcW w:type="dxa" w:w="5523"/>
          </w:tcPr>
          <w:p w14:paraId="0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Значение характеристики</w:t>
            </w:r>
          </w:p>
        </w:tc>
      </w:tr>
      <w:tr>
        <w:tc>
          <w:tcPr>
            <w:tcW w:type="dxa" w:w="3090"/>
          </w:tcPr>
          <w:p w14:paraId="0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Процессор</w:t>
            </w:r>
          </w:p>
        </w:tc>
        <w:tc>
          <w:tcPr>
            <w:tcW w:type="dxa" w:w="5523"/>
          </w:tcPr>
          <w:p w14:paraId="0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Intel® Celeron® D 331 (2667) 256K 533Mhz EM64T LGA775 BOX</w:t>
            </w:r>
          </w:p>
        </w:tc>
      </w:tr>
      <w:tr>
        <w:tc>
          <w:tcPr>
            <w:tcW w:type="dxa" w:w="3090"/>
          </w:tcPr>
          <w:p w14:paraId="0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Системная плата</w:t>
            </w:r>
          </w:p>
        </w:tc>
        <w:tc>
          <w:tcPr>
            <w:tcW w:type="dxa" w:w="5523"/>
          </w:tcPr>
          <w:p w14:paraId="0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Intel</w:t>
            </w:r>
            <w:r>
              <w:rPr>
                <w:color w:val="000000"/>
                <w:sz w:val="24"/>
              </w:rPr>
              <w:t>® LGA775 D102GGC2L</w:t>
            </w:r>
          </w:p>
        </w:tc>
      </w:tr>
      <w:tr>
        <w:tc>
          <w:tcPr>
            <w:tcW w:type="dxa" w:w="3090"/>
          </w:tcPr>
          <w:p w14:paraId="1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Оперативная память</w:t>
            </w:r>
          </w:p>
        </w:tc>
        <w:tc>
          <w:tcPr>
            <w:tcW w:type="dxa" w:w="5523"/>
          </w:tcPr>
          <w:p w14:paraId="1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DDR2 DRAM 1 GB 533 </w:t>
            </w:r>
            <w:r>
              <w:rPr>
                <w:color w:val="000000"/>
                <w:sz w:val="24"/>
              </w:rPr>
              <w:t>Mhz</w:t>
            </w:r>
            <w:r>
              <w:rPr>
                <w:color w:val="000000"/>
                <w:sz w:val="24"/>
              </w:rPr>
              <w:t xml:space="preserve"> PC-4200 Kingston</w:t>
            </w:r>
          </w:p>
        </w:tc>
      </w:tr>
      <w:tr>
        <w:tc>
          <w:tcPr>
            <w:tcW w:type="dxa" w:w="3090"/>
          </w:tcPr>
          <w:p w14:paraId="1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Жесткий диск</w:t>
            </w:r>
          </w:p>
        </w:tc>
        <w:tc>
          <w:tcPr>
            <w:tcW w:type="dxa" w:w="5523"/>
          </w:tcPr>
          <w:p w14:paraId="1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800Gb Seagate ST380815AS Serial ATA-2, 7200rpm, 8Mb,NCQ</w:t>
            </w:r>
          </w:p>
        </w:tc>
      </w:tr>
      <w:tr>
        <w:tc>
          <w:tcPr>
            <w:tcW w:type="dxa" w:w="3090"/>
          </w:tcPr>
          <w:p w14:paraId="1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Видео - контроллер</w:t>
            </w:r>
          </w:p>
        </w:tc>
        <w:tc>
          <w:tcPr>
            <w:tcW w:type="dxa" w:w="5523"/>
          </w:tcPr>
          <w:p w14:paraId="1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Integrated ATI* </w:t>
            </w:r>
            <w:r>
              <w:rPr>
                <w:color w:val="000000"/>
                <w:sz w:val="24"/>
              </w:rPr>
              <w:t>Radeon</w:t>
            </w:r>
            <w:r>
              <w:rPr>
                <w:color w:val="000000"/>
                <w:sz w:val="24"/>
              </w:rPr>
              <w:t>* X300 based graphics</w:t>
            </w:r>
          </w:p>
        </w:tc>
      </w:tr>
      <w:tr>
        <w:tc>
          <w:tcPr>
            <w:tcW w:type="dxa" w:w="3090"/>
          </w:tcPr>
          <w:p w14:paraId="1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CD-ROM | Дисковод</w:t>
            </w:r>
          </w:p>
        </w:tc>
        <w:tc>
          <w:tcPr>
            <w:tcW w:type="dxa" w:w="5523"/>
          </w:tcPr>
          <w:p w14:paraId="1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DVD-ROM IDE 16x/48x Sony | 3.5" 1.44Mb Mitsumi</w:t>
            </w:r>
          </w:p>
        </w:tc>
      </w:tr>
      <w:tr>
        <w:tc>
          <w:tcPr>
            <w:tcW w:type="dxa" w:w="3090"/>
          </w:tcPr>
          <w:p w14:paraId="1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Аудио-контроллер</w:t>
            </w:r>
          </w:p>
        </w:tc>
        <w:tc>
          <w:tcPr>
            <w:tcW w:type="dxa" w:w="5523"/>
          </w:tcPr>
          <w:p w14:paraId="1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Intel® High Definition Audio subsystem using the </w:t>
            </w:r>
            <w:r>
              <w:rPr>
                <w:color w:val="000000"/>
                <w:sz w:val="24"/>
              </w:rPr>
              <w:t>Realtek</w:t>
            </w:r>
            <w:r>
              <w:rPr>
                <w:color w:val="000000"/>
                <w:sz w:val="24"/>
              </w:rPr>
              <w:t>* ALC883 audio codec</w:t>
            </w:r>
          </w:p>
        </w:tc>
      </w:tr>
      <w:tr>
        <w:tc>
          <w:tcPr>
            <w:tcW w:type="dxa" w:w="3090"/>
          </w:tcPr>
          <w:p w14:paraId="1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Сетевая карта</w:t>
            </w:r>
          </w:p>
        </w:tc>
        <w:tc>
          <w:tcPr>
            <w:tcW w:type="dxa" w:w="5523"/>
          </w:tcPr>
          <w:p w14:paraId="1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10/100 </w:t>
            </w:r>
            <w:r>
              <w:rPr>
                <w:color w:val="000000"/>
                <w:sz w:val="24"/>
              </w:rPr>
              <w:t>Mbits</w:t>
            </w:r>
            <w:r>
              <w:rPr>
                <w:color w:val="000000"/>
                <w:sz w:val="24"/>
              </w:rPr>
              <w:t xml:space="preserve">/sec LAN subsystem using the </w:t>
            </w:r>
            <w:r>
              <w:rPr>
                <w:color w:val="000000"/>
                <w:sz w:val="24"/>
              </w:rPr>
              <w:t>Realtek</w:t>
            </w:r>
            <w:r>
              <w:rPr>
                <w:color w:val="000000"/>
                <w:sz w:val="24"/>
              </w:rPr>
              <w:t>* 8101L LAN adapter device</w:t>
            </w:r>
          </w:p>
        </w:tc>
      </w:tr>
    </w:tbl>
    <w:p w14:paraId="1C010000">
      <w:pPr>
        <w:pStyle w:val="Style_13"/>
        <w:ind w:firstLine="709" w:left="0"/>
        <w:rPr>
          <w:sz w:val="24"/>
        </w:rPr>
      </w:pPr>
    </w:p>
    <w:p w14:paraId="1D010000">
      <w:pPr>
        <w:pStyle w:val="Style_13"/>
        <w:ind w:firstLine="709" w:left="170" w:right="57"/>
        <w:rPr>
          <w:sz w:val="24"/>
        </w:rPr>
      </w:pPr>
      <w:r>
        <w:rPr>
          <w:sz w:val="24"/>
        </w:rPr>
        <w:t>Руководитель и начальники каждого отдел</w:t>
      </w:r>
      <w:r>
        <w:rPr>
          <w:sz w:val="24"/>
        </w:rPr>
        <w:t>а</w:t>
      </w:r>
      <w:r>
        <w:rPr>
          <w:sz w:val="24"/>
        </w:rPr>
        <w:t xml:space="preserve"> </w:t>
      </w:r>
      <w:r>
        <w:rPr>
          <w:sz w:val="24"/>
        </w:rPr>
        <w:t>ООО</w:t>
      </w:r>
      <w:r>
        <w:rPr>
          <w:sz w:val="24"/>
        </w:rPr>
        <w:t xml:space="preserve"> «АЛАДДИН» </w:t>
      </w:r>
      <w:r>
        <w:t xml:space="preserve"> </w:t>
      </w:r>
      <w:r>
        <w:rPr>
          <w:sz w:val="24"/>
        </w:rPr>
        <w:t xml:space="preserve"> </w:t>
      </w:r>
      <w:r>
        <w:rPr>
          <w:sz w:val="24"/>
        </w:rPr>
        <w:t xml:space="preserve">используют отдельные принтеры. </w:t>
      </w:r>
      <w:r>
        <w:rPr>
          <w:sz w:val="24"/>
        </w:rPr>
        <w:t>У компан</w:t>
      </w:r>
      <w:r>
        <w:rPr>
          <w:sz w:val="24"/>
        </w:rPr>
        <w:t>ии</w:t>
      </w:r>
      <w:r>
        <w:t xml:space="preserve"> </w:t>
      </w:r>
      <w:r>
        <w:rPr>
          <w:sz w:val="24"/>
        </w:rPr>
        <w:t>ООО</w:t>
      </w:r>
      <w:r>
        <w:rPr>
          <w:sz w:val="24"/>
        </w:rPr>
        <w:t xml:space="preserve"> «АЛАДДИН» </w:t>
      </w:r>
      <w:r>
        <w:t xml:space="preserve"> </w:t>
      </w:r>
      <w:r>
        <w:rPr>
          <w:sz w:val="24"/>
        </w:rPr>
        <w:t xml:space="preserve">присутствуют также общедоступные многофункциональные устройства, выполняющие функции не только печати, но и ксерокопирования и сканирования документов. </w:t>
      </w:r>
    </w:p>
    <w:p w14:paraId="1E010000">
      <w:pPr>
        <w:pStyle w:val="Style_12"/>
        <w:spacing w:after="0" w:before="0" w:line="360" w:lineRule="auto"/>
        <w:ind w:firstLine="709" w:left="0"/>
        <w:rPr>
          <w:sz w:val="24"/>
        </w:rPr>
      </w:pPr>
      <w:bookmarkStart w:id="6" w:name="_Ref121563799"/>
      <w:r>
        <w:rPr>
          <w:sz w:val="24"/>
        </w:rPr>
        <w:t>Таблица</w:t>
      </w:r>
      <w:bookmarkEnd w:id="6"/>
      <w:r>
        <w:rPr>
          <w:sz w:val="24"/>
        </w:rPr>
        <w:t xml:space="preserve"> 10</w:t>
      </w:r>
      <w:r>
        <w:rPr>
          <w:sz w:val="24"/>
        </w:rPr>
        <w:t xml:space="preserve">– Характеристики принтера HP </w:t>
      </w:r>
      <w:r>
        <w:rPr>
          <w:sz w:val="24"/>
        </w:rPr>
        <w:t>LaserJet</w:t>
      </w:r>
      <w:r>
        <w:rPr>
          <w:sz w:val="24"/>
        </w:rPr>
        <w:t xml:space="preserve"> P1505</w:t>
      </w:r>
    </w:p>
    <w:tbl>
      <w:tblPr>
        <w:tblStyle w:val="Style_6"/>
        <w:tblInd w:type="dxa" w:w="534"/>
        <w:tblLayout w:type="fixed"/>
      </w:tblPr>
      <w:tblGrid>
        <w:gridCol w:w="3231"/>
        <w:gridCol w:w="5381"/>
      </w:tblGrid>
      <w:tr>
        <w:tc>
          <w:tcPr>
            <w:tcW w:type="dxa" w:w="3231"/>
          </w:tcPr>
          <w:p w14:paraId="1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устройства</w:t>
            </w:r>
          </w:p>
        </w:tc>
        <w:tc>
          <w:tcPr>
            <w:tcW w:type="dxa" w:w="5381"/>
          </w:tcPr>
          <w:p w14:paraId="2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черно-белый лазерный принтер</w:t>
            </w:r>
          </w:p>
        </w:tc>
      </w:tr>
      <w:tr>
        <w:tc>
          <w:tcPr>
            <w:tcW w:type="dxa" w:w="3231"/>
          </w:tcPr>
          <w:p w14:paraId="2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печати</w:t>
            </w:r>
          </w:p>
        </w:tc>
        <w:tc>
          <w:tcPr>
            <w:tcW w:type="dxa" w:w="5381"/>
          </w:tcPr>
          <w:p w14:paraId="2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лазерная печать</w:t>
            </w:r>
          </w:p>
        </w:tc>
      </w:tr>
      <w:tr>
        <w:tc>
          <w:tcPr>
            <w:tcW w:type="dxa" w:w="3231"/>
          </w:tcPr>
          <w:p w14:paraId="2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Формат (макс.)</w:t>
            </w:r>
          </w:p>
        </w:tc>
        <w:tc>
          <w:tcPr>
            <w:tcW w:type="dxa" w:w="5381"/>
          </w:tcPr>
          <w:p w14:paraId="2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A4</w:t>
            </w:r>
          </w:p>
        </w:tc>
      </w:tr>
      <w:tr>
        <w:tc>
          <w:tcPr>
            <w:tcW w:type="dxa" w:w="3231"/>
          </w:tcPr>
          <w:p w14:paraId="2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Разрешение</w:t>
            </w:r>
          </w:p>
        </w:tc>
        <w:tc>
          <w:tcPr>
            <w:tcW w:type="dxa" w:w="5381"/>
          </w:tcPr>
          <w:p w14:paraId="2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600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600 </w:t>
            </w:r>
            <w:r>
              <w:rPr>
                <w:sz w:val="24"/>
              </w:rPr>
              <w:t>dpi</w:t>
            </w:r>
          </w:p>
        </w:tc>
      </w:tr>
      <w:tr>
        <w:tc>
          <w:tcPr>
            <w:tcW w:type="dxa" w:w="3231"/>
          </w:tcPr>
          <w:p w14:paraId="2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печати (макс.)</w:t>
            </w:r>
          </w:p>
        </w:tc>
        <w:tc>
          <w:tcPr>
            <w:tcW w:type="dxa" w:w="5381"/>
          </w:tcPr>
          <w:p w14:paraId="2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</w:t>
            </w:r>
          </w:p>
        </w:tc>
      </w:tr>
      <w:tr>
        <w:tc>
          <w:tcPr>
            <w:tcW w:type="dxa" w:w="3231"/>
          </w:tcPr>
          <w:p w14:paraId="2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Ёмкость</w:t>
            </w:r>
          </w:p>
        </w:tc>
        <w:tc>
          <w:tcPr>
            <w:tcW w:type="dxa" w:w="5381"/>
          </w:tcPr>
          <w:p w14:paraId="2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260 листов (не больше)</w:t>
            </w:r>
          </w:p>
        </w:tc>
      </w:tr>
      <w:tr>
        <w:tc>
          <w:tcPr>
            <w:tcW w:type="dxa" w:w="3231"/>
          </w:tcPr>
          <w:p w14:paraId="2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Выход первой страницы</w:t>
            </w:r>
          </w:p>
        </w:tc>
        <w:tc>
          <w:tcPr>
            <w:tcW w:type="dxa" w:w="5381"/>
          </w:tcPr>
          <w:p w14:paraId="2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6.5 сек</w:t>
            </w:r>
          </w:p>
        </w:tc>
      </w:tr>
      <w:tr>
        <w:tc>
          <w:tcPr>
            <w:tcW w:type="dxa" w:w="3231"/>
          </w:tcPr>
          <w:p w14:paraId="2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Принт-сервер</w:t>
            </w:r>
          </w:p>
        </w:tc>
        <w:tc>
          <w:tcPr>
            <w:tcW w:type="dxa" w:w="5381"/>
          </w:tcPr>
          <w:p w14:paraId="2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опция</w:t>
            </w:r>
          </w:p>
        </w:tc>
      </w:tr>
      <w:tr>
        <w:tc>
          <w:tcPr>
            <w:tcW w:type="dxa" w:w="3231"/>
          </w:tcPr>
          <w:p w14:paraId="2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Режим двусторонней печати</w:t>
            </w:r>
          </w:p>
        </w:tc>
        <w:tc>
          <w:tcPr>
            <w:tcW w:type="dxa" w:w="5381"/>
          </w:tcPr>
          <w:p w14:paraId="3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</w:tc>
      </w:tr>
      <w:tr>
        <w:tc>
          <w:tcPr>
            <w:tcW w:type="dxa" w:w="3231"/>
          </w:tcPr>
          <w:p w14:paraId="3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Ежемесячная нагрузка</w:t>
            </w:r>
          </w:p>
        </w:tc>
        <w:tc>
          <w:tcPr>
            <w:tcW w:type="dxa" w:w="5381"/>
          </w:tcPr>
          <w:p w14:paraId="3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8000 страниц</w:t>
            </w:r>
          </w:p>
        </w:tc>
      </w:tr>
      <w:tr>
        <w:tc>
          <w:tcPr>
            <w:tcW w:type="dxa" w:w="3231"/>
          </w:tcPr>
          <w:p w14:paraId="3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Система команд / эмуляция</w:t>
            </w:r>
          </w:p>
        </w:tc>
        <w:tc>
          <w:tcPr>
            <w:tcW w:type="dxa" w:w="5381"/>
          </w:tcPr>
          <w:p w14:paraId="3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HP PCL 5</w:t>
            </w:r>
          </w:p>
        </w:tc>
      </w:tr>
      <w:tr>
        <w:tc>
          <w:tcPr>
            <w:tcW w:type="dxa" w:w="3231"/>
          </w:tcPr>
          <w:p w14:paraId="3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  <w:tc>
          <w:tcPr>
            <w:tcW w:type="dxa" w:w="5381"/>
          </w:tcPr>
          <w:p w14:paraId="3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266 МГц</w:t>
            </w:r>
          </w:p>
        </w:tc>
      </w:tr>
      <w:tr>
        <w:tc>
          <w:tcPr>
            <w:tcW w:type="dxa" w:w="3231"/>
          </w:tcPr>
          <w:p w14:paraId="3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Оперативная память</w:t>
            </w:r>
          </w:p>
        </w:tc>
        <w:tc>
          <w:tcPr>
            <w:tcW w:type="dxa" w:w="5381"/>
          </w:tcPr>
          <w:p w14:paraId="3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 МБ (не более)</w:t>
            </w:r>
          </w:p>
        </w:tc>
      </w:tr>
      <w:tr>
        <w:tc>
          <w:tcPr>
            <w:tcW w:type="dxa" w:w="3231"/>
          </w:tcPr>
          <w:p w14:paraId="3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печати</w:t>
            </w:r>
          </w:p>
        </w:tc>
        <w:tc>
          <w:tcPr>
            <w:tcW w:type="dxa" w:w="5381"/>
          </w:tcPr>
          <w:p w14:paraId="3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 • ч/б • A4 (</w:t>
            </w:r>
            <w:r>
              <w:rPr>
                <w:sz w:val="24"/>
              </w:rPr>
              <w:t>стандартн</w:t>
            </w:r>
            <w:r>
              <w:rPr>
                <w:sz w:val="24"/>
              </w:rPr>
              <w:t>. (</w:t>
            </w:r>
            <w:r>
              <w:rPr>
                <w:sz w:val="24"/>
              </w:rPr>
              <w:t>обычн</w:t>
            </w:r>
            <w:r>
              <w:rPr>
                <w:sz w:val="24"/>
              </w:rPr>
              <w:t>.))</w:t>
            </w:r>
          </w:p>
        </w:tc>
      </w:tr>
    </w:tbl>
    <w:p w14:paraId="3B010000">
      <w:pPr>
        <w:tabs>
          <w:tab w:leader="none" w:pos="1134" w:val="left"/>
          <w:tab w:leader="none" w:pos="3828" w:val="left"/>
        </w:tabs>
        <w:ind/>
        <w:jc w:val="center"/>
        <w:rPr>
          <w:sz w:val="24"/>
        </w:rPr>
      </w:pPr>
    </w:p>
    <w:p w14:paraId="3C010000">
      <w:pPr>
        <w:pStyle w:val="Style_12"/>
        <w:spacing w:after="0" w:before="0" w:line="360" w:lineRule="auto"/>
        <w:ind w:firstLine="709" w:left="0"/>
        <w:rPr>
          <w:sz w:val="24"/>
        </w:rPr>
      </w:pPr>
      <w:r>
        <w:rPr>
          <w:sz w:val="24"/>
        </w:rPr>
        <w:t>Таблица</w:t>
      </w:r>
      <w:r>
        <w:rPr>
          <w:sz w:val="24"/>
        </w:rPr>
        <w:t xml:space="preserve"> 11</w:t>
      </w:r>
      <w:r>
        <w:rPr>
          <w:sz w:val="24"/>
        </w:rPr>
        <w:t xml:space="preserve">– Характеристики многофункционального устройства HP </w:t>
      </w:r>
      <w:r>
        <w:rPr>
          <w:sz w:val="24"/>
        </w:rPr>
        <w:t>LaserJet</w:t>
      </w:r>
      <w:r>
        <w:rPr>
          <w:sz w:val="24"/>
        </w:rPr>
        <w:t xml:space="preserve"> M1522nf</w:t>
      </w:r>
    </w:p>
    <w:tbl>
      <w:tblPr>
        <w:tblStyle w:val="Style_6"/>
        <w:tblInd w:type="dxa" w:w="534"/>
        <w:tblLayout w:type="fixed"/>
      </w:tblPr>
      <w:tblGrid>
        <w:gridCol w:w="2126"/>
        <w:gridCol w:w="6486"/>
      </w:tblGrid>
      <w:tr>
        <w:tc>
          <w:tcPr>
            <w:tcW w:type="dxa" w:w="2126"/>
          </w:tcPr>
          <w:p w14:paraId="3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</w:p>
        </w:tc>
        <w:tc>
          <w:tcPr>
            <w:tcW w:type="dxa" w:w="6486"/>
          </w:tcPr>
          <w:p w14:paraId="3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многофункциональное устройство</w:t>
            </w:r>
          </w:p>
        </w:tc>
      </w:tr>
      <w:tr>
        <w:tc>
          <w:tcPr>
            <w:tcW w:type="dxa" w:w="2126"/>
          </w:tcPr>
          <w:p w14:paraId="3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Принтер</w:t>
            </w:r>
          </w:p>
        </w:tc>
        <w:tc>
          <w:tcPr>
            <w:tcW w:type="dxa" w:w="6486"/>
          </w:tcPr>
          <w:p w14:paraId="4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одноцветный лазерный принтер</w:t>
            </w:r>
          </w:p>
          <w:p w14:paraId="4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первая страница за 9.5 сек</w:t>
            </w:r>
          </w:p>
          <w:p w14:paraId="4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скорость печати: 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</w:t>
            </w:r>
          </w:p>
          <w:p w14:paraId="4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поддерживает: HP PCL 5, HP PCL 6, HP </w:t>
            </w:r>
            <w:r>
              <w:rPr>
                <w:sz w:val="24"/>
              </w:rPr>
              <w:t>Postscript</w:t>
            </w:r>
            <w:r>
              <w:rPr>
                <w:sz w:val="24"/>
              </w:rPr>
              <w:t xml:space="preserve"> 3 </w:t>
            </w:r>
            <w:r>
              <w:rPr>
                <w:sz w:val="24"/>
              </w:rPr>
              <w:t>emulation</w:t>
            </w:r>
          </w:p>
          <w:p w14:paraId="4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нагрузка в месяц до 8000 страниц</w:t>
            </w:r>
          </w:p>
        </w:tc>
      </w:tr>
      <w:tr>
        <w:tc>
          <w:tcPr>
            <w:tcW w:type="dxa" w:w="2126"/>
          </w:tcPr>
          <w:p w14:paraId="4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печати</w:t>
            </w:r>
          </w:p>
        </w:tc>
        <w:tc>
          <w:tcPr>
            <w:tcW w:type="dxa" w:w="6486"/>
          </w:tcPr>
          <w:p w14:paraId="4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 - A4 - обычное качество, монохром.</w:t>
            </w:r>
          </w:p>
        </w:tc>
      </w:tr>
      <w:tr>
        <w:tc>
          <w:tcPr>
            <w:tcW w:type="dxa" w:w="2126"/>
          </w:tcPr>
          <w:p w14:paraId="4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Копировальное устройство</w:t>
            </w:r>
          </w:p>
        </w:tc>
        <w:tc>
          <w:tcPr>
            <w:tcW w:type="dxa" w:w="6486"/>
          </w:tcPr>
          <w:p w14:paraId="4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одноцветный </w:t>
            </w:r>
            <w:r>
              <w:rPr>
                <w:sz w:val="24"/>
              </w:rPr>
              <w:t>электрографич</w:t>
            </w:r>
            <w:r>
              <w:rPr>
                <w:sz w:val="24"/>
              </w:rPr>
              <w:t xml:space="preserve">. копир формата </w:t>
            </w:r>
            <w:r>
              <w:rPr>
                <w:sz w:val="24"/>
              </w:rPr>
              <w:t>Legal</w:t>
            </w:r>
          </w:p>
          <w:p w14:paraId="4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скорость копирования: 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 в одноцветном режиме</w:t>
            </w:r>
          </w:p>
          <w:p w14:paraId="4A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первая страница за 9.5 сек</w:t>
            </w:r>
          </w:p>
          <w:p w14:paraId="4B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масштабирование: 25 - 400%</w:t>
            </w:r>
          </w:p>
          <w:p w14:paraId="4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тиражирование до 99 копий</w:t>
            </w:r>
          </w:p>
        </w:tc>
      </w:tr>
      <w:tr>
        <w:tc>
          <w:tcPr>
            <w:tcW w:type="dxa" w:w="2126"/>
          </w:tcPr>
          <w:p w14:paraId="4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копирования</w:t>
            </w:r>
          </w:p>
        </w:tc>
        <w:tc>
          <w:tcPr>
            <w:tcW w:type="dxa" w:w="6486"/>
          </w:tcPr>
          <w:p w14:paraId="4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 - A4 • монохром.</w:t>
            </w:r>
          </w:p>
        </w:tc>
      </w:tr>
      <w:tr>
        <w:tc>
          <w:tcPr>
            <w:tcW w:type="dxa" w:w="2126"/>
          </w:tcPr>
          <w:p w14:paraId="4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Сканер</w:t>
            </w:r>
          </w:p>
        </w:tc>
        <w:tc>
          <w:tcPr>
            <w:tcW w:type="dxa" w:w="6486"/>
          </w:tcPr>
          <w:p w14:paraId="5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планшетный сканер</w:t>
            </w:r>
          </w:p>
          <w:p w14:paraId="5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для светоотражающих оригиналов</w:t>
            </w:r>
          </w:p>
          <w:p w14:paraId="5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однопроходное сканирование</w:t>
            </w:r>
          </w:p>
          <w:p w14:paraId="5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сканируемая область: 216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297 мм</w:t>
            </w:r>
          </w:p>
          <w:p w14:paraId="5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разрешение: 1200 </w:t>
            </w:r>
            <w:r>
              <w:rPr>
                <w:sz w:val="24"/>
              </w:rPr>
              <w:t>x</w:t>
            </w:r>
            <w:r>
              <w:rPr>
                <w:sz w:val="24"/>
              </w:rPr>
              <w:t xml:space="preserve"> 1200 </w:t>
            </w:r>
            <w:r>
              <w:rPr>
                <w:sz w:val="24"/>
              </w:rPr>
              <w:t>dpi</w:t>
            </w:r>
            <w:r>
              <w:rPr>
                <w:sz w:val="24"/>
              </w:rPr>
              <w:t xml:space="preserve"> (до 19200 </w:t>
            </w:r>
            <w:r>
              <w:rPr>
                <w:sz w:val="24"/>
              </w:rPr>
              <w:t>dpi</w:t>
            </w:r>
            <w:r>
              <w:rPr>
                <w:sz w:val="24"/>
              </w:rPr>
              <w:t>)</w:t>
            </w:r>
          </w:p>
          <w:p w14:paraId="5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глубина цвета: 24-бит.</w:t>
            </w:r>
          </w:p>
          <w:p w14:paraId="5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глубина градации </w:t>
            </w:r>
            <w:r>
              <w:rPr>
                <w:sz w:val="24"/>
              </w:rPr>
              <w:t>серого</w:t>
            </w:r>
            <w:r>
              <w:rPr>
                <w:sz w:val="24"/>
              </w:rPr>
              <w:t>: 8-бит.</w:t>
            </w:r>
          </w:p>
        </w:tc>
      </w:tr>
      <w:tr>
        <w:tc>
          <w:tcPr>
            <w:tcW w:type="dxa" w:w="2126"/>
          </w:tcPr>
          <w:p w14:paraId="5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Факс</w:t>
            </w:r>
          </w:p>
        </w:tc>
        <w:tc>
          <w:tcPr>
            <w:tcW w:type="dxa" w:w="6486"/>
          </w:tcPr>
          <w:p w14:paraId="5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одноцветный лазерный факс для обычной бумаги</w:t>
            </w:r>
          </w:p>
          <w:p w14:paraId="59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скорость передачи до 33.6 Кбит/сек.</w:t>
            </w:r>
          </w:p>
          <w:p w14:paraId="5A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режимы работы: </w:t>
            </w:r>
            <w:r>
              <w:rPr>
                <w:sz w:val="24"/>
              </w:rPr>
              <w:t>одноцветный</w:t>
            </w:r>
            <w:r>
              <w:rPr>
                <w:sz w:val="24"/>
              </w:rPr>
              <w:t xml:space="preserve"> (300 </w:t>
            </w:r>
            <w:r>
              <w:rPr>
                <w:sz w:val="24"/>
              </w:rPr>
              <w:t>dpi</w:t>
            </w:r>
            <w:r>
              <w:rPr>
                <w:sz w:val="24"/>
              </w:rPr>
              <w:t>)</w:t>
            </w:r>
          </w:p>
          <w:p w14:paraId="5B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специальные функции:</w:t>
            </w:r>
          </w:p>
          <w:p w14:paraId="5C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отложенная передача</w:t>
            </w:r>
          </w:p>
        </w:tc>
      </w:tr>
      <w:tr>
        <w:tc>
          <w:tcPr>
            <w:tcW w:type="dxa" w:w="2126"/>
          </w:tcPr>
          <w:p w14:paraId="5D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Сетевой адаптер</w:t>
            </w:r>
          </w:p>
        </w:tc>
        <w:tc>
          <w:tcPr>
            <w:tcW w:type="dxa" w:w="6486"/>
          </w:tcPr>
          <w:p w14:paraId="5E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Ethernet, Fast Ethernet</w:t>
            </w:r>
          </w:p>
          <w:p w14:paraId="5F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скоростьпередачи</w:t>
            </w:r>
            <w:r>
              <w:rPr>
                <w:sz w:val="24"/>
              </w:rPr>
              <w:t>:</w:t>
            </w:r>
          </w:p>
          <w:p w14:paraId="60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- 10 </w:t>
            </w:r>
            <w:r>
              <w:rPr>
                <w:sz w:val="24"/>
              </w:rPr>
              <w:t>Мбит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сек</w:t>
            </w:r>
            <w:r>
              <w:rPr>
                <w:sz w:val="24"/>
              </w:rPr>
              <w:t>.</w:t>
            </w:r>
          </w:p>
          <w:p w14:paraId="61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- 100 Мбит/сек.</w:t>
            </w:r>
          </w:p>
          <w:p w14:paraId="62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поддерживаемые сетевые стандарты:</w:t>
            </w:r>
          </w:p>
          <w:p w14:paraId="63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IEEE 802.3 (Ethernet)</w:t>
            </w:r>
          </w:p>
          <w:p w14:paraId="64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IEEE 802.3u (Fast Ethernet)</w:t>
            </w:r>
          </w:p>
        </w:tc>
      </w:tr>
      <w:tr>
        <w:tc>
          <w:tcPr>
            <w:tcW w:type="dxa" w:w="2126"/>
          </w:tcPr>
          <w:p w14:paraId="65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Ёмкость</w:t>
            </w:r>
          </w:p>
        </w:tc>
        <w:tc>
          <w:tcPr>
            <w:tcW w:type="dxa" w:w="6486"/>
          </w:tcPr>
          <w:p w14:paraId="66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310 листов (максимум 310 листов)</w:t>
            </w:r>
          </w:p>
        </w:tc>
      </w:tr>
      <w:tr>
        <w:tc>
          <w:tcPr>
            <w:tcW w:type="dxa" w:w="2126"/>
          </w:tcPr>
          <w:p w14:paraId="67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Принт-сервер</w:t>
            </w:r>
          </w:p>
        </w:tc>
        <w:tc>
          <w:tcPr>
            <w:tcW w:type="dxa" w:w="6486"/>
          </w:tcPr>
          <w:p w14:paraId="68010000">
            <w:pPr>
              <w:tabs>
                <w:tab w:leader="none" w:pos="1134" w:val="left"/>
                <w:tab w:leader="none" w:pos="3828" w:val="left"/>
              </w:tabs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есть</w:t>
            </w:r>
          </w:p>
        </w:tc>
      </w:tr>
    </w:tbl>
    <w:p w14:paraId="69010000">
      <w:bookmarkStart w:id="7" w:name="_Ref121564045"/>
    </w:p>
    <w:p w14:paraId="6A010000">
      <w:pPr>
        <w:pStyle w:val="Style_12"/>
        <w:spacing w:after="0" w:before="0" w:line="360" w:lineRule="auto"/>
        <w:ind w:firstLine="709" w:left="0"/>
        <w:rPr>
          <w:sz w:val="24"/>
        </w:rPr>
      </w:pPr>
      <w:bookmarkStart w:id="8" w:name="_Ref121651116"/>
      <w:r>
        <w:rPr>
          <w:sz w:val="24"/>
        </w:rPr>
        <w:t>Таблица</w:t>
      </w:r>
      <w:bookmarkEnd w:id="7"/>
      <w:bookmarkEnd w:id="8"/>
      <w:r>
        <w:rPr>
          <w:sz w:val="24"/>
        </w:rPr>
        <w:t xml:space="preserve"> 12</w:t>
      </w:r>
      <w:r>
        <w:rPr>
          <w:sz w:val="24"/>
        </w:rPr>
        <w:t xml:space="preserve">– Характеристики принтера HP </w:t>
      </w:r>
      <w:r>
        <w:rPr>
          <w:sz w:val="24"/>
        </w:rPr>
        <w:t>Color</w:t>
      </w:r>
      <w:r>
        <w:rPr>
          <w:sz w:val="24"/>
        </w:rPr>
        <w:t xml:space="preserve"> </w:t>
      </w:r>
      <w:r>
        <w:rPr>
          <w:sz w:val="24"/>
        </w:rPr>
        <w:t>LaserJet</w:t>
      </w:r>
      <w:r>
        <w:rPr>
          <w:sz w:val="24"/>
        </w:rPr>
        <w:t xml:space="preserve"> CP1518ni</w:t>
      </w:r>
    </w:p>
    <w:tbl>
      <w:tblPr>
        <w:tblStyle w:val="Style_6"/>
        <w:tblInd w:type="dxa" w:w="534"/>
        <w:tblLayout w:type="fixed"/>
      </w:tblPr>
      <w:tblGrid>
        <w:gridCol w:w="3901"/>
        <w:gridCol w:w="4711"/>
      </w:tblGrid>
      <w:tr>
        <w:tc>
          <w:tcPr>
            <w:tcW w:type="dxa" w:w="3901"/>
          </w:tcPr>
          <w:p w14:paraId="6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Устройство</w:t>
            </w:r>
          </w:p>
        </w:tc>
        <w:tc>
          <w:tcPr>
            <w:tcW w:type="dxa" w:w="4711"/>
          </w:tcPr>
          <w:p w14:paraId="6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принтер</w:t>
            </w:r>
          </w:p>
        </w:tc>
      </w:tr>
      <w:tr>
        <w:tc>
          <w:tcPr>
            <w:tcW w:type="dxa" w:w="3901"/>
          </w:tcPr>
          <w:p w14:paraId="6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Тип печати</w:t>
            </w:r>
          </w:p>
        </w:tc>
        <w:tc>
          <w:tcPr>
            <w:tcW w:type="dxa" w:w="4711"/>
          </w:tcPr>
          <w:p w14:paraId="6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цветная</w:t>
            </w:r>
          </w:p>
        </w:tc>
      </w:tr>
      <w:tr>
        <w:tc>
          <w:tcPr>
            <w:tcW w:type="dxa" w:w="3901"/>
          </w:tcPr>
          <w:p w14:paraId="6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Технология печати</w:t>
            </w:r>
          </w:p>
        </w:tc>
        <w:tc>
          <w:tcPr>
            <w:tcW w:type="dxa" w:w="4711"/>
          </w:tcPr>
          <w:p w14:paraId="7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лазерная</w:t>
            </w:r>
          </w:p>
        </w:tc>
      </w:tr>
      <w:tr>
        <w:tc>
          <w:tcPr>
            <w:tcW w:type="dxa" w:w="3901"/>
          </w:tcPr>
          <w:p w14:paraId="7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 страниц в месяц</w:t>
            </w:r>
          </w:p>
        </w:tc>
        <w:tc>
          <w:tcPr>
            <w:tcW w:type="dxa" w:w="4711"/>
          </w:tcPr>
          <w:p w14:paraId="7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30000</w:t>
            </w:r>
          </w:p>
        </w:tc>
      </w:tr>
      <w:tr>
        <w:tc>
          <w:tcPr>
            <w:tcW w:type="dxa" w:w="8612"/>
            <w:gridSpan w:val="2"/>
          </w:tcPr>
          <w:p w14:paraId="7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Принтер</w:t>
            </w:r>
          </w:p>
        </w:tc>
      </w:tr>
      <w:tr>
        <w:tc>
          <w:tcPr>
            <w:tcW w:type="dxa" w:w="3901"/>
          </w:tcPr>
          <w:p w14:paraId="7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Максимальный формат</w:t>
            </w:r>
          </w:p>
        </w:tc>
        <w:tc>
          <w:tcPr>
            <w:tcW w:type="dxa" w:w="4711"/>
          </w:tcPr>
          <w:p w14:paraId="7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A4</w:t>
            </w:r>
          </w:p>
        </w:tc>
      </w:tr>
      <w:tr>
        <w:tc>
          <w:tcPr>
            <w:tcW w:type="dxa" w:w="3901"/>
          </w:tcPr>
          <w:p w14:paraId="7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Максимальное разрешение для 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>/б печати</w:t>
            </w:r>
          </w:p>
        </w:tc>
        <w:tc>
          <w:tcPr>
            <w:tcW w:type="dxa" w:w="4711"/>
          </w:tcPr>
          <w:p w14:paraId="7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600x600 </w:t>
            </w:r>
            <w:r>
              <w:rPr>
                <w:sz w:val="24"/>
              </w:rPr>
              <w:t>dpi</w:t>
            </w:r>
          </w:p>
        </w:tc>
      </w:tr>
      <w:tr>
        <w:tc>
          <w:tcPr>
            <w:tcW w:type="dxa" w:w="3901"/>
          </w:tcPr>
          <w:p w14:paraId="7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Максимальное разрешение для цветной печати</w:t>
            </w:r>
          </w:p>
        </w:tc>
        <w:tc>
          <w:tcPr>
            <w:tcW w:type="dxa" w:w="4711"/>
          </w:tcPr>
          <w:p w14:paraId="7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600x600 </w:t>
            </w:r>
            <w:r>
              <w:rPr>
                <w:sz w:val="24"/>
              </w:rPr>
              <w:t>dpi</w:t>
            </w:r>
          </w:p>
        </w:tc>
      </w:tr>
      <w:tr>
        <w:tc>
          <w:tcPr>
            <w:tcW w:type="dxa" w:w="3901"/>
          </w:tcPr>
          <w:p w14:paraId="7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Скорость печати</w:t>
            </w:r>
          </w:p>
        </w:tc>
        <w:tc>
          <w:tcPr>
            <w:tcW w:type="dxa" w:w="4711"/>
          </w:tcPr>
          <w:p w14:paraId="7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 xml:space="preserve">/мин (ч/б А4), 8 </w:t>
            </w:r>
            <w:r>
              <w:rPr>
                <w:sz w:val="24"/>
              </w:rPr>
              <w:t>стр</w:t>
            </w:r>
            <w:r>
              <w:rPr>
                <w:sz w:val="24"/>
              </w:rPr>
              <w:t>/мин (</w:t>
            </w:r>
            <w:r>
              <w:rPr>
                <w:sz w:val="24"/>
              </w:rPr>
              <w:t>цветн</w:t>
            </w:r>
            <w:r>
              <w:rPr>
                <w:sz w:val="24"/>
              </w:rPr>
              <w:t>. А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>)</w:t>
            </w:r>
          </w:p>
        </w:tc>
      </w:tr>
      <w:tr>
        <w:tc>
          <w:tcPr>
            <w:tcW w:type="dxa" w:w="3901"/>
          </w:tcPr>
          <w:p w14:paraId="7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Время выхода первого отпечатка</w:t>
            </w:r>
          </w:p>
        </w:tc>
        <w:tc>
          <w:tcPr>
            <w:tcW w:type="dxa" w:w="4711"/>
          </w:tcPr>
          <w:p w14:paraId="7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25.50 </w:t>
            </w:r>
            <w:r>
              <w:rPr>
                <w:sz w:val="24"/>
              </w:rPr>
              <w:t>c</w:t>
            </w:r>
            <w:r>
              <w:rPr>
                <w:sz w:val="24"/>
              </w:rPr>
              <w:t xml:space="preserve"> (ч/б)</w:t>
            </w:r>
          </w:p>
        </w:tc>
      </w:tr>
      <w:tr>
        <w:tc>
          <w:tcPr>
            <w:tcW w:type="dxa" w:w="8612"/>
            <w:gridSpan w:val="2"/>
          </w:tcPr>
          <w:p w14:paraId="7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Расходные материалы</w:t>
            </w:r>
          </w:p>
        </w:tc>
      </w:tr>
      <w:tr>
        <w:tc>
          <w:tcPr>
            <w:tcW w:type="dxa" w:w="3901"/>
          </w:tcPr>
          <w:p w14:paraId="7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Плотность бумаги</w:t>
            </w:r>
          </w:p>
        </w:tc>
        <w:tc>
          <w:tcPr>
            <w:tcW w:type="dxa" w:w="4711"/>
          </w:tcPr>
          <w:p w14:paraId="8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60-220 г/м</w:t>
            </w:r>
            <w:r>
              <w:rPr>
                <w:sz w:val="24"/>
              </w:rPr>
              <w:t>2</w:t>
            </w:r>
          </w:p>
        </w:tc>
      </w:tr>
      <w:tr>
        <w:tc>
          <w:tcPr>
            <w:tcW w:type="dxa" w:w="3901"/>
          </w:tcPr>
          <w:p w14:paraId="8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Печать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:</w:t>
            </w:r>
          </w:p>
        </w:tc>
        <w:tc>
          <w:tcPr>
            <w:tcW w:type="dxa" w:w="4711"/>
          </w:tcPr>
          <w:p w14:paraId="8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карточках</w:t>
            </w:r>
            <w:r>
              <w:rPr>
                <w:sz w:val="24"/>
              </w:rPr>
              <w:t>, пленках, этикетках, глянцевой бумаге, конвертах, матовой бумаге</w:t>
            </w:r>
          </w:p>
        </w:tc>
      </w:tr>
      <w:tr>
        <w:tc>
          <w:tcPr>
            <w:tcW w:type="dxa" w:w="8612"/>
            <w:gridSpan w:val="2"/>
          </w:tcPr>
          <w:p w14:paraId="8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Шрифты и языки управления</w:t>
            </w:r>
          </w:p>
        </w:tc>
      </w:tr>
      <w:tr>
        <w:tc>
          <w:tcPr>
            <w:tcW w:type="dxa" w:w="3901"/>
          </w:tcPr>
          <w:p w14:paraId="8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Поддержка </w:t>
            </w:r>
            <w:r>
              <w:rPr>
                <w:sz w:val="24"/>
              </w:rPr>
              <w:t>PostScript</w:t>
            </w:r>
          </w:p>
        </w:tc>
        <w:tc>
          <w:tcPr>
            <w:tcW w:type="dxa" w:w="4711"/>
          </w:tcPr>
          <w:p w14:paraId="8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есть</w:t>
            </w:r>
          </w:p>
        </w:tc>
      </w:tr>
      <w:tr>
        <w:tc>
          <w:tcPr>
            <w:tcW w:type="dxa" w:w="3901"/>
          </w:tcPr>
          <w:p w14:paraId="8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Поддержка</w:t>
            </w:r>
          </w:p>
        </w:tc>
        <w:tc>
          <w:tcPr>
            <w:tcW w:type="dxa" w:w="4711"/>
          </w:tcPr>
          <w:p w14:paraId="8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PostScript</w:t>
            </w:r>
            <w:r>
              <w:rPr>
                <w:sz w:val="24"/>
              </w:rPr>
              <w:t xml:space="preserve"> 3, PCL 6</w:t>
            </w:r>
          </w:p>
        </w:tc>
      </w:tr>
      <w:tr>
        <w:tc>
          <w:tcPr>
            <w:tcW w:type="dxa" w:w="8612"/>
            <w:gridSpan w:val="2"/>
          </w:tcPr>
          <w:p w14:paraId="8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Лотки</w:t>
            </w:r>
          </w:p>
        </w:tc>
      </w:tr>
      <w:tr>
        <w:tc>
          <w:tcPr>
            <w:tcW w:type="dxa" w:w="3901"/>
          </w:tcPr>
          <w:p w14:paraId="89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Подача бумаги</w:t>
            </w:r>
          </w:p>
        </w:tc>
        <w:tc>
          <w:tcPr>
            <w:tcW w:type="dxa" w:w="4711"/>
          </w:tcPr>
          <w:p w14:paraId="8A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250 лист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тандартная)</w:t>
            </w:r>
          </w:p>
        </w:tc>
      </w:tr>
      <w:tr>
        <w:tc>
          <w:tcPr>
            <w:tcW w:type="dxa" w:w="3901"/>
          </w:tcPr>
          <w:p w14:paraId="8B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Вывод бумаги</w:t>
            </w:r>
          </w:p>
        </w:tc>
        <w:tc>
          <w:tcPr>
            <w:tcW w:type="dxa" w:w="4711"/>
          </w:tcPr>
          <w:p w14:paraId="8C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125 лист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тандартный)</w:t>
            </w:r>
          </w:p>
        </w:tc>
      </w:tr>
      <w:tr>
        <w:tc>
          <w:tcPr>
            <w:tcW w:type="dxa" w:w="3901"/>
          </w:tcPr>
          <w:p w14:paraId="8D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Емкость лотка ручной подачи</w:t>
            </w:r>
          </w:p>
        </w:tc>
        <w:tc>
          <w:tcPr>
            <w:tcW w:type="dxa" w:w="4711"/>
          </w:tcPr>
          <w:p w14:paraId="8E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 лист.</w:t>
            </w:r>
          </w:p>
        </w:tc>
      </w:tr>
      <w:tr>
        <w:tc>
          <w:tcPr>
            <w:tcW w:type="dxa" w:w="8612"/>
            <w:gridSpan w:val="2"/>
          </w:tcPr>
          <w:p w14:paraId="8F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Память/Процессор</w:t>
            </w:r>
          </w:p>
        </w:tc>
      </w:tr>
      <w:tr>
        <w:tc>
          <w:tcPr>
            <w:tcW w:type="dxa" w:w="3901"/>
          </w:tcPr>
          <w:p w14:paraId="90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Объем памяти</w:t>
            </w:r>
          </w:p>
        </w:tc>
        <w:tc>
          <w:tcPr>
            <w:tcW w:type="dxa" w:w="4711"/>
          </w:tcPr>
          <w:p w14:paraId="91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96 Мб</w:t>
            </w:r>
          </w:p>
        </w:tc>
      </w:tr>
      <w:tr>
        <w:tc>
          <w:tcPr>
            <w:tcW w:type="dxa" w:w="3901"/>
          </w:tcPr>
          <w:p w14:paraId="92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Процессор</w:t>
            </w:r>
          </w:p>
        </w:tc>
        <w:tc>
          <w:tcPr>
            <w:tcW w:type="dxa" w:w="4711"/>
          </w:tcPr>
          <w:p w14:paraId="93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Motorola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Coldfire</w:t>
            </w:r>
            <w:r>
              <w:rPr>
                <w:sz w:val="24"/>
              </w:rPr>
              <w:t xml:space="preserve"> V5x</w:t>
            </w:r>
          </w:p>
        </w:tc>
      </w:tr>
      <w:tr>
        <w:tc>
          <w:tcPr>
            <w:tcW w:type="dxa" w:w="3901"/>
          </w:tcPr>
          <w:p w14:paraId="94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Частота процессора</w:t>
            </w:r>
          </w:p>
        </w:tc>
        <w:tc>
          <w:tcPr>
            <w:tcW w:type="dxa" w:w="4711"/>
          </w:tcPr>
          <w:p w14:paraId="95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450 МГц</w:t>
            </w:r>
          </w:p>
        </w:tc>
      </w:tr>
      <w:tr>
        <w:tc>
          <w:tcPr>
            <w:tcW w:type="dxa" w:w="8612"/>
            <w:gridSpan w:val="2"/>
          </w:tcPr>
          <w:p w14:paraId="96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Интерфейсы</w:t>
            </w:r>
          </w:p>
        </w:tc>
      </w:tr>
      <w:tr>
        <w:tc>
          <w:tcPr>
            <w:tcW w:type="dxa" w:w="3901"/>
          </w:tcPr>
          <w:p w14:paraId="97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Интерфейсы</w:t>
            </w:r>
          </w:p>
        </w:tc>
        <w:tc>
          <w:tcPr>
            <w:tcW w:type="dxa" w:w="4711"/>
          </w:tcPr>
          <w:p w14:paraId="98010000">
            <w:pPr>
              <w:tabs>
                <w:tab w:leader="none" w:pos="1134" w:val="left"/>
                <w:tab w:leader="none" w:pos="3828" w:val="left"/>
              </w:tabs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Ethernet</w:t>
            </w:r>
            <w:r>
              <w:rPr>
                <w:sz w:val="24"/>
              </w:rPr>
              <w:t xml:space="preserve"> (RJ-45), USB 2.0</w:t>
            </w:r>
          </w:p>
        </w:tc>
      </w:tr>
    </w:tbl>
    <w:p w14:paraId="99010000">
      <w:pPr>
        <w:tabs>
          <w:tab w:leader="none" w:pos="1134" w:val="left"/>
          <w:tab w:leader="none" w:pos="3828" w:val="left"/>
        </w:tabs>
        <w:spacing w:line="360" w:lineRule="auto"/>
        <w:ind w:firstLine="709" w:left="0"/>
        <w:jc w:val="both"/>
        <w:rPr>
          <w:sz w:val="24"/>
        </w:rPr>
      </w:pPr>
    </w:p>
    <w:p w14:paraId="9A01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Медиаконвертеры</w:t>
      </w:r>
      <w:r>
        <w:rPr>
          <w:sz w:val="24"/>
        </w:rPr>
        <w:t xml:space="preserve"> DMC-920Т и DMC-920R осуществляют преобразование интерфейсов «витая пара – </w:t>
      </w:r>
      <w:r>
        <w:rPr>
          <w:sz w:val="24"/>
        </w:rPr>
        <w:t>одномодовый</w:t>
      </w:r>
      <w:r>
        <w:rPr>
          <w:sz w:val="24"/>
        </w:rPr>
        <w:t xml:space="preserve"> оптический кабель по одному волокну» для сетей </w:t>
      </w:r>
      <w:r>
        <w:rPr>
          <w:sz w:val="24"/>
        </w:rPr>
        <w:t>Ethernet</w:t>
      </w:r>
      <w:r>
        <w:rPr>
          <w:sz w:val="24"/>
        </w:rPr>
        <w:t xml:space="preserve"> 10/100BASE-TX и 100BASE-FX. </w:t>
      </w:r>
    </w:p>
    <w:p w14:paraId="9B01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Устройства DMC-920Т и DMC-920R позволяют одновременно передавать и получать сигналы на длинах волн 1310 нм и 1550 нм по одному оптическому волокну на расстояние до 20 км. </w:t>
      </w:r>
    </w:p>
    <w:p w14:paraId="9C01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Медиаконвертеры</w:t>
      </w:r>
      <w:r>
        <w:rPr>
          <w:sz w:val="24"/>
        </w:rPr>
        <w:t xml:space="preserve"> DMC-920Т и DMC-920R устанавливаются на разных концах линии связи. </w:t>
      </w:r>
      <w:r>
        <w:rPr>
          <w:sz w:val="24"/>
        </w:rPr>
        <w:t>Медиаконвертер</w:t>
      </w:r>
      <w:r>
        <w:rPr>
          <w:sz w:val="24"/>
        </w:rPr>
        <w:t xml:space="preserve"> DMC-920R использует длину волны 1550 нм для приема данных и 1310 нм – для передачи. А DMC-920T использует длину волны 1310 нм для приема данных и 1550 нм – для передачи.</w:t>
      </w:r>
    </w:p>
    <w:p w14:paraId="9D01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 качестве операционной системы на АРМ пользователей используется </w:t>
      </w:r>
      <w:r>
        <w:rPr>
          <w:sz w:val="24"/>
        </w:rPr>
        <w:t>Windows</w:t>
      </w:r>
      <w:r>
        <w:rPr>
          <w:sz w:val="24"/>
        </w:rPr>
        <w:t xml:space="preserve"> 8 (</w:t>
      </w:r>
      <w:r>
        <w:rPr>
          <w:sz w:val="24"/>
        </w:rPr>
        <w:t>предустановленная</w:t>
      </w:r>
      <w:r>
        <w:rPr>
          <w:sz w:val="24"/>
        </w:rPr>
        <w:t xml:space="preserve"> на рабочих станциях), в качестве серверной – </w:t>
      </w:r>
      <w:r>
        <w:rPr>
          <w:sz w:val="24"/>
        </w:rPr>
        <w:t>Windows</w:t>
      </w:r>
      <w:r>
        <w:rPr>
          <w:sz w:val="24"/>
        </w:rPr>
        <w:t xml:space="preserve"> </w:t>
      </w:r>
      <w:r>
        <w:rPr>
          <w:sz w:val="24"/>
        </w:rPr>
        <w:t>Server</w:t>
      </w:r>
      <w:r>
        <w:rPr>
          <w:sz w:val="24"/>
        </w:rPr>
        <w:t xml:space="preserve"> </w:t>
      </w:r>
      <w:r>
        <w:rPr>
          <w:sz w:val="24"/>
        </w:rPr>
        <w:t>Standard</w:t>
      </w:r>
      <w:r>
        <w:rPr>
          <w:sz w:val="24"/>
        </w:rPr>
        <w:t xml:space="preserve"> 2019 </w:t>
      </w:r>
      <w:r>
        <w:rPr>
          <w:sz w:val="24"/>
        </w:rPr>
        <w:t>Rus</w:t>
      </w:r>
      <w:r>
        <w:rPr>
          <w:sz w:val="24"/>
        </w:rPr>
        <w:t xml:space="preserve"> FPP.</w:t>
      </w:r>
    </w:p>
    <w:p w14:paraId="9E01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 качестве пакета офисных приложений </w:t>
      </w:r>
      <w:r>
        <w:rPr>
          <w:sz w:val="24"/>
        </w:rPr>
        <w:t>установлен</w:t>
      </w:r>
      <w:r>
        <w:rPr>
          <w:sz w:val="24"/>
        </w:rPr>
        <w:t xml:space="preserve"> </w:t>
      </w:r>
      <w:r>
        <w:rPr>
          <w:sz w:val="24"/>
        </w:rPr>
        <w:t>MSOffice</w:t>
      </w:r>
      <w:r>
        <w:rPr>
          <w:sz w:val="24"/>
        </w:rPr>
        <w:t xml:space="preserve"> 2019, включающий в себя  </w:t>
      </w:r>
      <w:r>
        <w:rPr>
          <w:sz w:val="24"/>
        </w:rPr>
        <w:t>MSWord</w:t>
      </w:r>
      <w:r>
        <w:rPr>
          <w:sz w:val="24"/>
        </w:rPr>
        <w:t xml:space="preserve"> 2019, </w:t>
      </w:r>
      <w:r>
        <w:rPr>
          <w:sz w:val="24"/>
        </w:rPr>
        <w:t>MSExcel</w:t>
      </w:r>
      <w:r>
        <w:rPr>
          <w:sz w:val="24"/>
        </w:rPr>
        <w:t xml:space="preserve"> 2019. В качестве компонента программного пакета (СУБД) «1С</w:t>
      </w:r>
      <w:r>
        <w:rPr>
          <w:sz w:val="24"/>
        </w:rPr>
        <w:t>:Б</w:t>
      </w:r>
      <w:r>
        <w:rPr>
          <w:sz w:val="24"/>
        </w:rPr>
        <w:t xml:space="preserve">ухгалтерия» используется  </w:t>
      </w:r>
      <w:r>
        <w:rPr>
          <w:sz w:val="24"/>
        </w:rPr>
        <w:t>MSSQL</w:t>
      </w:r>
      <w:r>
        <w:rPr>
          <w:sz w:val="24"/>
        </w:rPr>
        <w:t xml:space="preserve"> </w:t>
      </w:r>
      <w:r>
        <w:rPr>
          <w:sz w:val="24"/>
        </w:rPr>
        <w:t>Server</w:t>
      </w:r>
      <w:r>
        <w:rPr>
          <w:sz w:val="24"/>
        </w:rPr>
        <w:t xml:space="preserve"> 2019.</w:t>
      </w:r>
    </w:p>
    <w:p w14:paraId="9F010000">
      <w:pPr>
        <w:tabs>
          <w:tab w:leader="none" w:pos="1134" w:val="left"/>
          <w:tab w:leader="none" w:pos="3828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Также используется такое дополнительное </w:t>
      </w:r>
      <w:r>
        <w:rPr>
          <w:sz w:val="24"/>
        </w:rPr>
        <w:t>ПО</w:t>
      </w:r>
      <w:r>
        <w:rPr>
          <w:sz w:val="24"/>
        </w:rPr>
        <w:t xml:space="preserve">, как  </w:t>
      </w:r>
      <w:r>
        <w:rPr>
          <w:sz w:val="24"/>
        </w:rPr>
        <w:t>ICQ</w:t>
      </w:r>
      <w:r>
        <w:rPr>
          <w:sz w:val="24"/>
        </w:rPr>
        <w:t xml:space="preserve">, </w:t>
      </w:r>
      <w:r>
        <w:rPr>
          <w:sz w:val="24"/>
        </w:rPr>
        <w:t>Skype</w:t>
      </w:r>
      <w:r>
        <w:rPr>
          <w:sz w:val="24"/>
        </w:rPr>
        <w:t xml:space="preserve">, </w:t>
      </w:r>
      <w:r>
        <w:rPr>
          <w:sz w:val="24"/>
        </w:rPr>
        <w:t>в</w:t>
      </w:r>
      <w:r>
        <w:rPr>
          <w:sz w:val="24"/>
        </w:rPr>
        <w:t xml:space="preserve"> секторе программирования  – </w:t>
      </w:r>
      <w:r>
        <w:rPr>
          <w:sz w:val="24"/>
        </w:rPr>
        <w:t>Radmin</w:t>
      </w:r>
      <w:r>
        <w:rPr>
          <w:sz w:val="24"/>
        </w:rPr>
        <w:t xml:space="preserve">, </w:t>
      </w:r>
      <w:r>
        <w:rPr>
          <w:sz w:val="24"/>
        </w:rPr>
        <w:t>ICQ</w:t>
      </w:r>
      <w:r>
        <w:rPr>
          <w:sz w:val="24"/>
        </w:rPr>
        <w:t xml:space="preserve">. </w:t>
      </w:r>
    </w:p>
    <w:p w14:paraId="A0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настоящее время робототехника и автоматизация являются ключевыми направлениям</w:t>
      </w:r>
      <w:r>
        <w:rPr>
          <w:sz w:val="24"/>
        </w:rPr>
        <w:t xml:space="preserve">и </w:t>
      </w:r>
      <w:r>
        <w:rPr>
          <w:sz w:val="24"/>
        </w:rPr>
        <w:t>ООО</w:t>
      </w:r>
      <w:r>
        <w:rPr>
          <w:sz w:val="24"/>
        </w:rPr>
        <w:t xml:space="preserve"> «АЛАДДИН»</w:t>
      </w:r>
      <w:r>
        <w:rPr>
          <w:sz w:val="24"/>
        </w:rPr>
        <w:t>. Технологии автоматизации процессов производства и управления роботизированными системами уже не являются чем-то недостижимым и экзотическим. Однако</w:t>
      </w:r>
      <w:r>
        <w:rPr>
          <w:sz w:val="24"/>
        </w:rPr>
        <w:t>,</w:t>
      </w:r>
      <w:r>
        <w:rPr>
          <w:sz w:val="24"/>
        </w:rPr>
        <w:t xml:space="preserve"> внедрение роботизированных систем и манипуляторов в промышленность требует серьезных знаний и опыта, а также высококвалифицированных специалистов. </w:t>
      </w:r>
    </w:p>
    <w:p w14:paraId="A1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Применение роботизированных систем и манипуляторов позволяет повысить производительность, качество и эффективность производства, а также уменьшить трудозатраты и риски для работников. </w:t>
      </w:r>
    </w:p>
    <w:p w14:paraId="A2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Одно из наиболее распространенных устройств, используемых в робототехнике и промышленности, предназначенных для перемещения объектов в трехмерном пространстве – это </w:t>
      </w:r>
      <w:r>
        <w:rPr>
          <w:sz w:val="24"/>
        </w:rPr>
        <w:t>трехкоординатный</w:t>
      </w:r>
      <w:r>
        <w:rPr>
          <w:sz w:val="24"/>
        </w:rPr>
        <w:t xml:space="preserve"> манипулятор </w:t>
      </w:r>
    </w:p>
    <w:p w14:paraId="A3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Манипуляторы используются в различных сферах промышленности, таких как автомобильная, электронная, пищевая, фармацевтическая и другие. Они могут использоваться для перемещения деталей, сборки, покраски, сварки, обработки и других задач. </w:t>
      </w:r>
    </w:p>
    <w:p w14:paraId="A4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</w:t>
      </w:r>
      <w:r>
        <w:rPr>
          <w:sz w:val="24"/>
        </w:rPr>
        <w:t>ассматрива</w:t>
      </w:r>
      <w:r>
        <w:rPr>
          <w:sz w:val="24"/>
        </w:rPr>
        <w:t>ю</w:t>
      </w:r>
      <w:r>
        <w:rPr>
          <w:sz w:val="24"/>
        </w:rPr>
        <w:t xml:space="preserve"> </w:t>
      </w:r>
      <w:r>
        <w:rPr>
          <w:sz w:val="24"/>
        </w:rPr>
        <w:t>трехкоординатного</w:t>
      </w:r>
      <w:r>
        <w:rPr>
          <w:sz w:val="24"/>
        </w:rPr>
        <w:t xml:space="preserve"> манипулятора с помощью ПЛК. управление макетом</w:t>
      </w:r>
      <w:r>
        <w:rPr>
          <w:sz w:val="24"/>
        </w:rPr>
        <w:t xml:space="preserve">, </w:t>
      </w:r>
      <w:r>
        <w:rPr>
          <w:sz w:val="24"/>
        </w:rPr>
        <w:t xml:space="preserve">будут рассмотрены основные аспекты проектирования системы управления, выбор необходимых компонентов, а также разработка управляющей программы и управляющего проекта для HMI панели. </w:t>
      </w:r>
    </w:p>
    <w:p w14:paraId="A5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Целью является создание функционирующего макета </w:t>
      </w:r>
      <w:r>
        <w:rPr>
          <w:sz w:val="24"/>
        </w:rPr>
        <w:t>трехкоординатного</w:t>
      </w:r>
      <w:r>
        <w:rPr>
          <w:sz w:val="24"/>
        </w:rPr>
        <w:t xml:space="preserve"> манипулятора, который будет управляться с помощью ПЛК на основе исходных данных</w:t>
      </w:r>
    </w:p>
    <w:p w14:paraId="A6010000">
      <w:pPr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Рынок управления манипуляторами является </w:t>
      </w:r>
      <w:r>
        <w:rPr>
          <w:sz w:val="24"/>
        </w:rPr>
        <w:t>довольно конкурентным</w:t>
      </w:r>
      <w:r>
        <w:rPr>
          <w:sz w:val="24"/>
        </w:rPr>
        <w:t xml:space="preserve"> и динамичным, поскольку постоянно появляются новые технологии и инновации в данной области. </w:t>
      </w:r>
    </w:p>
    <w:p w14:paraId="A7010000">
      <w:pPr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Разработка новых методов управления роботизированными системами и манипуляторами становится все более актуальной задачей, поскольку это позволяет </w:t>
      </w:r>
      <w:r>
        <w:rPr>
          <w:sz w:val="24"/>
        </w:rPr>
        <w:t xml:space="preserve">улучшить эффективность работы, повысить безопасность, снизить затраты на обслуживание и улучшить управляемость манипуляторов. </w:t>
      </w:r>
    </w:p>
    <w:p w14:paraId="A8010000">
      <w:pPr>
        <w:spacing w:line="36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Одним из ключевых трендов в области управления манипуляторами является разработка новых методов программирования и управления роботизированными системами, в том числе методов искусственного интеллекта и машинного обучения. Это позволяет улучшить гибкость и автономность манипуляторов, а также повысить качество и точность работы. </w:t>
      </w:r>
    </w:p>
    <w:p w14:paraId="A9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Также наблюдается увеличение популярности сенсорных систем и систем обработки данных, которые позволяют манипуляторам более точно выполнять задачи и реагировать на изменения внешней среды. Еще одним трендом является повышение доступности и универсальности манипуляторов. Сейчас на рынке представлены различные типы и модели манипуляторов, от больших и сложных промышленных роботов до компактных и доступных манипуляторов для образовательных и научных целей.</w:t>
      </w:r>
    </w:p>
    <w:p w14:paraId="AA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Также стоит отметить увеличение использования мобильных и </w:t>
      </w:r>
      <w:r>
        <w:rPr>
          <w:sz w:val="24"/>
        </w:rPr>
        <w:t>коллаборативных</w:t>
      </w:r>
      <w:r>
        <w:rPr>
          <w:sz w:val="24"/>
        </w:rPr>
        <w:t xml:space="preserve"> роботов, которые могут работать рядом с людьми и выполнять задачи совместно с ними. В целом, рынок управления манипуляторами представляет собой динамичное направление, которое продолжает развиваться и совершенствоваться, с постоянным появлением новых методов, технологий и моделей манипуляторов.</w:t>
      </w:r>
    </w:p>
    <w:p w14:paraId="AB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Обзор решений для построения макетов манипуляторов </w:t>
      </w:r>
    </w:p>
    <w:p w14:paraId="AC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построения макетов манипуляторов используются различные инструменты и технологии. </w:t>
      </w:r>
    </w:p>
    <w:p w14:paraId="AD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Наиболее распространенными являются. CAD-системы (</w:t>
      </w:r>
      <w:r>
        <w:rPr>
          <w:sz w:val="24"/>
        </w:rPr>
        <w:t>Computer-Aided</w:t>
      </w:r>
      <w:r>
        <w:rPr>
          <w:sz w:val="24"/>
        </w:rPr>
        <w:t xml:space="preserve"> </w:t>
      </w:r>
      <w:r>
        <w:rPr>
          <w:sz w:val="24"/>
        </w:rPr>
        <w:t>Design</w:t>
      </w:r>
      <w:r>
        <w:rPr>
          <w:sz w:val="24"/>
        </w:rPr>
        <w:t>) - программные средства, которые позволяют проектировать и моделировать объекты в трехмерном пространстве.</w:t>
      </w:r>
    </w:p>
    <w:p w14:paraId="AE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Для построения макетов манипуляторов могут использоваться такие CAD системы, как </w:t>
      </w:r>
      <w:r>
        <w:rPr>
          <w:sz w:val="24"/>
        </w:rPr>
        <w:t>SolidWorks</w:t>
      </w:r>
      <w:r>
        <w:rPr>
          <w:sz w:val="24"/>
        </w:rPr>
        <w:t xml:space="preserve">, </w:t>
      </w:r>
      <w:r>
        <w:rPr>
          <w:sz w:val="24"/>
        </w:rPr>
        <w:t>Autodesk</w:t>
      </w:r>
      <w:r>
        <w:rPr>
          <w:sz w:val="24"/>
        </w:rPr>
        <w:t xml:space="preserve"> </w:t>
      </w:r>
      <w:r>
        <w:rPr>
          <w:sz w:val="24"/>
        </w:rPr>
        <w:t>Inventor</w:t>
      </w:r>
      <w:r>
        <w:rPr>
          <w:sz w:val="24"/>
        </w:rPr>
        <w:t xml:space="preserve">, CATIA и другие. 3D-принтеры - устройства, которые создают физические объекты из цифровых моделей. </w:t>
      </w:r>
    </w:p>
    <w:p w14:paraId="AF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построения макетов манипуляторов могут использоваться 3D-принтеры различных типов и технологий, таких как FDM, SLA, SLS и другие. </w:t>
      </w:r>
    </w:p>
    <w:p w14:paraId="B0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Робототехнические наборы - комплекты, содержащие все необходимые компоненты для сборки манипулятора, включая моторы, контроллеры, датчики и другие элементы. Такие наборы могут быть полезны для быстрой сборки прототипов и экспериментов.</w:t>
      </w:r>
    </w:p>
    <w:p w14:paraId="B1010000">
      <w:pPr>
        <w:spacing w:line="360" w:lineRule="auto"/>
        <w:ind w:firstLine="709" w:left="170" w:right="57"/>
        <w:jc w:val="both"/>
        <w:rPr>
          <w:sz w:val="24"/>
        </w:rPr>
      </w:pPr>
    </w:p>
    <w:p w14:paraId="B2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Онлайн-сервисы</w:t>
      </w:r>
      <w:r>
        <w:rPr>
          <w:sz w:val="24"/>
        </w:rPr>
        <w:t xml:space="preserve"> – в последнее время появилось много </w:t>
      </w:r>
      <w:r>
        <w:rPr>
          <w:sz w:val="24"/>
        </w:rPr>
        <w:t>онлайн-сервисов</w:t>
      </w:r>
      <w:r>
        <w:rPr>
          <w:sz w:val="24"/>
        </w:rPr>
        <w:t xml:space="preserve">, которые позволяют создавать трехмерные модели и заказывать их печать на 3D принтерах удаленно. </w:t>
      </w:r>
    </w:p>
    <w:p w14:paraId="B3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Все эти инструменты и технологии имеют свои преимущества и недостатки, и выбор того или иного подхода зависит от конкретной задачи и возможностей разработчика.</w:t>
      </w:r>
    </w:p>
    <w:p w14:paraId="B4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Система динамического управления манипулятором формируется в соответствии со следующей функциональной схемой (рисунок </w:t>
      </w:r>
      <w:r>
        <w:rPr>
          <w:sz w:val="24"/>
        </w:rPr>
        <w:t>3</w:t>
      </w:r>
      <w:r>
        <w:rPr>
          <w:sz w:val="24"/>
        </w:rPr>
        <w:t>):</w:t>
      </w:r>
    </w:p>
    <w:p w14:paraId="B5010000">
      <w:pPr>
        <w:pStyle w:val="Style_2"/>
        <w:ind/>
        <w:jc w:val="center"/>
      </w:pPr>
      <w:r>
        <w:drawing>
          <wp:inline>
            <wp:extent cx="5796000" cy="3176644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5796000" cy="317664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6010000">
      <w:pPr>
        <w:spacing w:line="360" w:lineRule="auto"/>
        <w:ind w:firstLine="709" w:left="0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3</w:t>
      </w:r>
      <w:r>
        <w:rPr>
          <w:sz w:val="24"/>
        </w:rPr>
        <w:t xml:space="preserve"> – Функциональная схема системы управления</w:t>
      </w:r>
    </w:p>
    <w:p w14:paraId="B7010000">
      <w:pPr>
        <w:ind/>
        <w:jc w:val="center"/>
      </w:pPr>
    </w:p>
    <w:p w14:paraId="B8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 данном рисунке:  </w:t>
      </w:r>
    </w:p>
    <w:p w14:paraId="B9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УВМ – управляющая вычислительная машина;</w:t>
      </w:r>
    </w:p>
    <w:p w14:paraId="BA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МСД – модуль связи с датчиками;</w:t>
      </w:r>
    </w:p>
    <w:p w14:paraId="BB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МВВ – модуль ввода-вывода;</w:t>
      </w:r>
    </w:p>
    <w:p w14:paraId="BC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ИТ</w:t>
      </w:r>
      <w:r>
        <w:rPr>
          <w:sz w:val="24"/>
        </w:rPr>
        <w:t>n</w:t>
      </w:r>
      <w:r>
        <w:rPr>
          <w:sz w:val="24"/>
        </w:rPr>
        <w:t xml:space="preserve"> – источники тока координат робота, </w:t>
      </w:r>
      <w:r>
        <w:rPr>
          <w:sz w:val="24"/>
        </w:rPr>
        <w:t>n</w:t>
      </w:r>
      <w:r>
        <w:rPr>
          <w:sz w:val="24"/>
        </w:rPr>
        <w:t xml:space="preserve"> = 1, 2, 3;</w:t>
      </w:r>
    </w:p>
    <w:p w14:paraId="BD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ИТ</w:t>
      </w:r>
      <w:r>
        <w:rPr>
          <w:sz w:val="24"/>
        </w:rPr>
        <w:t>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Мn</w:t>
      </w:r>
      <w:r>
        <w:rPr>
          <w:sz w:val="24"/>
        </w:rPr>
        <w:t xml:space="preserve"> – исполнительные двигатели;</w:t>
      </w:r>
    </w:p>
    <w:p w14:paraId="BE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М</w:t>
      </w:r>
      <w:r>
        <w:rPr>
          <w:sz w:val="24"/>
        </w:rPr>
        <w:t>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ДСn</w:t>
      </w:r>
      <w:r>
        <w:rPr>
          <w:sz w:val="24"/>
        </w:rPr>
        <w:t xml:space="preserve"> – датчики скоростей;</w:t>
      </w:r>
    </w:p>
    <w:p w14:paraId="BF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ДС</w:t>
      </w:r>
      <w:r>
        <w:rPr>
          <w:sz w:val="24"/>
        </w:rPr>
        <w:t>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Рn</w:t>
      </w:r>
      <w:r>
        <w:rPr>
          <w:sz w:val="24"/>
        </w:rPr>
        <w:t xml:space="preserve"> – редукторы (при необходимости);</w:t>
      </w:r>
    </w:p>
    <w:p w14:paraId="C0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Р</w:t>
      </w:r>
      <w:r>
        <w:rPr>
          <w:sz w:val="24"/>
        </w:rPr>
        <w:t>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ИМn</w:t>
      </w:r>
      <w:r>
        <w:rPr>
          <w:sz w:val="24"/>
        </w:rPr>
        <w:t xml:space="preserve"> – исполнительные механизмы координат робота;</w:t>
      </w:r>
    </w:p>
    <w:p w14:paraId="C1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ИМ</w:t>
      </w:r>
      <w:r>
        <w:rPr>
          <w:sz w:val="24"/>
        </w:rPr>
        <w:t>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ДПn</w:t>
      </w:r>
      <w:r>
        <w:rPr>
          <w:sz w:val="24"/>
        </w:rPr>
        <w:t xml:space="preserve"> – датчики перемещений</w:t>
      </w:r>
    </w:p>
    <w:p w14:paraId="C2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Системы управления манипуляторами могут быть построены на основе различных принципов. Вот некоторые из них:  </w:t>
      </w:r>
    </w:p>
    <w:p w14:paraId="C3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программное управление системы управления манипуляторами, основанные на программном управлении, являются наиболее распространенным и простым вариантом. В этом случае оператор задает команды через пользовательский интерфейс, которые затем выполняются манипулятором. </w:t>
      </w:r>
    </w:p>
    <w:p w14:paraId="C4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Программное управление обычно используется в промышленности и лабораторных условиях, где манипуляторы выполняют стандартные задачи, требующие минимальной адаптации к изменяющейся окружающей среде;</w:t>
      </w:r>
    </w:p>
    <w:p w14:paraId="C5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управление с использованием сенсоров системы управления манипуляторами, использующие датчики, предоставляют манипулятору обратную связь от окружающей среды. Это позволяет манипулятору реагировать на изменения в окружающей среде и адаптироваться к ним. </w:t>
      </w:r>
    </w:p>
    <w:p w14:paraId="C6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Например, датчики могут помочь манипулятору избегать препятствий или корректировать движение, чтобы обеспечить более точную и надежную работу; </w:t>
      </w:r>
    </w:p>
    <w:p w14:paraId="C7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управление на основе моделирования системы управления манипуляторами, основанные на математическом моделировании, используют модель манипулятора для управления его движением. </w:t>
      </w:r>
    </w:p>
    <w:p w14:paraId="C8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Оператор может точно задать требуемое движение манипулятора в соответствии с моделью</w:t>
      </w:r>
    </w:p>
    <w:p w14:paraId="C9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Такой принцип управления позволяет достичь более точного управления, так как он учитывает физические ограничения манипулятора и его динамику;  гибридное управление системы управления манипуляторами, использующие гибридный подход, комбинируют несколько подходов к управлению манипулятором. </w:t>
      </w:r>
    </w:p>
    <w:p w14:paraId="CA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Это позволяет использовать наилучшие аспекты каждого подхода и достигать наилучших результатов.</w:t>
      </w:r>
    </w:p>
    <w:p w14:paraId="CB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Например, система может использовать управление на основе моделирования для задания общего движения манипулятора и управление на основе сенсоров для адаптации к изменениям в окружающей среде;  </w:t>
      </w:r>
    </w:p>
    <w:p w14:paraId="CC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автоматическое управление: системы управления манипуляторами, полностью автоматизированные и не требующие вмешательства оператора, могут быть программированы для выполнения определенных задач и процессов без необходимости присутствия мешков с костями;  </w:t>
      </w:r>
    </w:p>
    <w:p w14:paraId="CD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управление на основе ИИ: современные системы управления манипуляторами все чаще используют технологии искусственного интеллекта для улучшения точности управления и адаптации к </w:t>
      </w:r>
      <w:r>
        <w:rPr>
          <w:sz w:val="24"/>
        </w:rPr>
        <w:t xml:space="preserve">изменяющейся окружающей среде. </w:t>
      </w:r>
    </w:p>
    <w:p w14:paraId="CE010000">
      <w:pPr>
        <w:spacing w:line="360" w:lineRule="auto"/>
        <w:ind w:firstLine="709" w:left="170" w:right="57"/>
        <w:jc w:val="both"/>
        <w:rPr>
          <w:sz w:val="24"/>
        </w:rPr>
      </w:pPr>
    </w:p>
    <w:p w14:paraId="CF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Выбор принципа управления манипулятором зависит от требований и целей конкретного случая. </w:t>
      </w:r>
    </w:p>
    <w:p w14:paraId="D0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Например, в некоторых случаях может быть </w:t>
      </w:r>
      <w:r>
        <w:rPr>
          <w:sz w:val="24"/>
        </w:rPr>
        <w:t>достаточно</w:t>
      </w:r>
      <w:r>
        <w:rPr>
          <w:sz w:val="24"/>
        </w:rPr>
        <w:t xml:space="preserve"> использовать простое программное управление, а в других случаях может потребоваться гибридное управление, комбинирующее несколько подходов. </w:t>
      </w:r>
    </w:p>
    <w:p w14:paraId="D1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нашем случае мы будем использовать гибридное управление, то есть программная составляющая, получающая данные от оператора и датчиков обратной связи.</w:t>
      </w:r>
    </w:p>
    <w:p w14:paraId="D2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Выбор модели ПЛК </w:t>
      </w:r>
    </w:p>
    <w:p w14:paraId="D3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ПЛК </w:t>
      </w:r>
      <w:r>
        <w:rPr>
          <w:sz w:val="24"/>
        </w:rPr>
        <w:t>выбран</w:t>
      </w:r>
      <w:r>
        <w:rPr>
          <w:sz w:val="24"/>
        </w:rPr>
        <w:t xml:space="preserve"> в соответствии со следующими исходными данными:  </w:t>
      </w:r>
    </w:p>
    <w:p w14:paraId="D4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используемый</w:t>
      </w:r>
      <w:r>
        <w:rPr>
          <w:sz w:val="24"/>
        </w:rPr>
        <w:t xml:space="preserve"> ПЛК: серия </w:t>
      </w:r>
      <w:r>
        <w:rPr>
          <w:sz w:val="24"/>
        </w:rPr>
        <w:t>Siemens</w:t>
      </w:r>
      <w:r>
        <w:rPr>
          <w:sz w:val="24"/>
        </w:rPr>
        <w:t xml:space="preserve"> 1200;</w:t>
      </w:r>
    </w:p>
    <w:p w14:paraId="D5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 выходное напряжение +24В;</w:t>
      </w:r>
    </w:p>
    <w:p w14:paraId="D6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количество осей управления: 3</w:t>
      </w:r>
    </w:p>
    <w:p w14:paraId="D7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наличие концевых выключателей на каждой оси, </w:t>
      </w:r>
      <w:r>
        <w:rPr>
          <w:sz w:val="24"/>
        </w:rPr>
        <w:t>шт</w:t>
      </w:r>
      <w:r>
        <w:rPr>
          <w:sz w:val="24"/>
        </w:rPr>
        <w:t>: 1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 напряжение питания управляемых двигателей на осях перемещения,</w:t>
      </w:r>
    </w:p>
    <w:p w14:paraId="D8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В: 9. SIMATIC S7-1200 - это новое семейство микроконтроллеров, разработанных компанией </w:t>
      </w:r>
      <w:r>
        <w:rPr>
          <w:sz w:val="24"/>
        </w:rPr>
        <w:t>Siemens</w:t>
      </w:r>
      <w:r>
        <w:rPr>
          <w:sz w:val="24"/>
        </w:rPr>
        <w:t xml:space="preserve"> для решения различных задач автоматизации на низком уровне. </w:t>
      </w:r>
    </w:p>
    <w:p w14:paraId="D9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Эти контроллеры имеют модульную конструкцию и предназначены для широкого спектра применений. Они способны работать в реальном времени и поддерживают обмен данными через сети </w:t>
      </w:r>
      <w:r>
        <w:rPr>
          <w:sz w:val="24"/>
        </w:rPr>
        <w:t>Industrial</w:t>
      </w:r>
      <w:r>
        <w:rPr>
          <w:sz w:val="24"/>
        </w:rPr>
        <w:t xml:space="preserve"> </w:t>
      </w:r>
      <w:r>
        <w:rPr>
          <w:sz w:val="24"/>
        </w:rPr>
        <w:t>Ethernet</w:t>
      </w:r>
      <w:r>
        <w:rPr>
          <w:sz w:val="24"/>
        </w:rPr>
        <w:t xml:space="preserve">/PROFINET и </w:t>
      </w:r>
      <w:r>
        <w:rPr>
          <w:sz w:val="24"/>
        </w:rPr>
        <w:t>PtP</w:t>
      </w:r>
      <w:r>
        <w:rPr>
          <w:sz w:val="24"/>
        </w:rPr>
        <w:t xml:space="preserve"> (точка-точка) соединения. </w:t>
      </w:r>
    </w:p>
    <w:p w14:paraId="DA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Программируемые контроллеры S7-1200 имеют компактные пластиковые корпуса с защитой IP20 и могут быть установлены на стандартную 35-миллиметровую профильную шину DIN или монтажную плату. Они работают в широком диапазоне температур от 0 до +50 °C. </w:t>
      </w:r>
    </w:p>
    <w:p w14:paraId="DB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Контроллеры могут обрабатывать от 10 до 284 дискретных и от 2 до 51 аналоговых каналов ввода вывода. При сравнимых конфигурациях ввода-вывода с предыдущей моделью S7-200, контроллеры S7-1200 занимают на 35% меньше монтажного объема. </w:t>
      </w:r>
    </w:p>
    <w:p w14:paraId="DC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Центральный процессор (CPU) программного контроллера S7-1200 может быть расширен с помощью коммуникационных модулей (CM), сигнальных модулей (SM) и сигнальных плат (SB) для подключения дискретных и аналоговых сигналов.</w:t>
      </w:r>
    </w:p>
    <w:p w14:paraId="DD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Кроме того, вместе с ними используются 4-канальный коммутатор </w:t>
      </w:r>
      <w:r>
        <w:rPr>
          <w:sz w:val="24"/>
        </w:rPr>
        <w:t>Industrial</w:t>
      </w:r>
      <w:r>
        <w:rPr>
          <w:sz w:val="24"/>
        </w:rPr>
        <w:t xml:space="preserve"> </w:t>
      </w:r>
      <w:r>
        <w:rPr>
          <w:sz w:val="24"/>
        </w:rPr>
        <w:t>Ethernet</w:t>
      </w:r>
      <w:r>
        <w:rPr>
          <w:sz w:val="24"/>
        </w:rPr>
        <w:t xml:space="preserve"> (CSM 1277) и модуль блока питания (PM 1207). </w:t>
      </w:r>
    </w:p>
    <w:p w14:paraId="DE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 рисунке </w:t>
      </w:r>
      <w:r>
        <w:rPr>
          <w:sz w:val="24"/>
        </w:rPr>
        <w:t>4</w:t>
      </w:r>
      <w:r>
        <w:rPr>
          <w:sz w:val="24"/>
        </w:rPr>
        <w:t xml:space="preserve"> </w:t>
      </w:r>
      <w:r>
        <w:rPr>
          <w:sz w:val="24"/>
        </w:rPr>
        <w:t>показан</w:t>
      </w:r>
      <w:r>
        <w:rPr>
          <w:sz w:val="24"/>
        </w:rPr>
        <w:t xml:space="preserve"> </w:t>
      </w:r>
      <w:r>
        <w:rPr>
          <w:sz w:val="24"/>
        </w:rPr>
        <w:t>Siemens</w:t>
      </w:r>
      <w:r>
        <w:rPr>
          <w:sz w:val="24"/>
        </w:rPr>
        <w:t xml:space="preserve"> S1200.</w:t>
      </w:r>
    </w:p>
    <w:p w14:paraId="DF010000">
      <w:pPr>
        <w:pStyle w:val="Style_2"/>
        <w:spacing w:after="0" w:before="0"/>
        <w:ind/>
        <w:jc w:val="center"/>
      </w:pPr>
      <w:r>
        <w:drawing>
          <wp:inline>
            <wp:extent cx="4752000" cy="2698094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4752000" cy="269809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0010000">
      <w:pPr>
        <w:ind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4</w:t>
      </w:r>
      <w:r>
        <w:rPr>
          <w:sz w:val="24"/>
        </w:rPr>
        <w:t xml:space="preserve"> – </w:t>
      </w:r>
      <w:r>
        <w:rPr>
          <w:sz w:val="24"/>
        </w:rPr>
        <w:t>Siemens</w:t>
      </w:r>
      <w:r>
        <w:rPr>
          <w:sz w:val="24"/>
        </w:rPr>
        <w:t xml:space="preserve"> S1200</w:t>
      </w:r>
    </w:p>
    <w:p w14:paraId="E1010000">
      <w:pPr>
        <w:ind/>
        <w:jc w:val="center"/>
      </w:pPr>
    </w:p>
    <w:p w14:paraId="E2010000">
      <w:pPr>
        <w:ind/>
        <w:jc w:val="center"/>
      </w:pPr>
    </w:p>
    <w:p w14:paraId="E3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Все центральные процессоры обладают высокой производительностью и обеспечивают поддержку широкого набора функций: </w:t>
      </w:r>
    </w:p>
    <w:p w14:paraId="E4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программирование на языках LAD и FBD, исчерпывающий набор команд;  </w:t>
      </w:r>
    </w:p>
    <w:p w14:paraId="E5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высокое быстродействие, время выполнения логической операции не превышает 0.1 мкс;  </w:t>
      </w:r>
    </w:p>
    <w:p w14:paraId="E6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встроенная загружаемая память объемом до 2 Мбайт, расширяемая картой памяти емкостью до 24 Мбайт;  рабочая память емкостью до 50 Кбайт;</w:t>
      </w:r>
    </w:p>
    <w:p w14:paraId="E7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энергонезависимая память емкостью 2 Кбайт для необслуживаемого сохранения данных при перебоях в питании контроллера; </w:t>
      </w:r>
    </w:p>
    <w:p w14:paraId="E8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встроенные дискретные входы универсального назначения,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позволяющие вводить потенциальные или импульсные сигналы.</w:t>
      </w:r>
    </w:p>
    <w:p w14:paraId="E9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Определение и выбор необходимых датчиков </w:t>
      </w:r>
    </w:p>
    <w:p w14:paraId="EA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Руководствуясь приведёнными в техническом задании исходными данными по двигателям и обратной связи, можно заключить, что выбор датчиков сводится к выбору концевых выключателей для останова работы двигателей на осях. </w:t>
      </w:r>
    </w:p>
    <w:p w14:paraId="EB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Концевой выключатель - это электромеханический аппарат для цепей управления, приводимый в действие непосредственным механическим воздействием механизма или части машины. </w:t>
      </w:r>
    </w:p>
    <w:p w14:paraId="EC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Представляет собой устройство механизированного управления путём изменения электрических соединений между своими внутренними выводами. Примеры концевых выключателей приведены на рисунке </w:t>
      </w:r>
      <w:r>
        <w:rPr>
          <w:sz w:val="24"/>
        </w:rPr>
        <w:t>5</w:t>
      </w:r>
      <w:r>
        <w:rPr>
          <w:sz w:val="24"/>
        </w:rPr>
        <w:t>.</w:t>
      </w:r>
    </w:p>
    <w:p w14:paraId="ED010000">
      <w:pPr>
        <w:pStyle w:val="Style_2"/>
        <w:spacing w:after="0" w:before="0"/>
        <w:ind/>
        <w:jc w:val="right"/>
      </w:pPr>
      <w:r>
        <w:drawing>
          <wp:inline>
            <wp:extent cx="5616000" cy="2897456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5616000" cy="289745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E01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5</w:t>
      </w:r>
      <w:r>
        <w:rPr>
          <w:sz w:val="24"/>
        </w:rPr>
        <w:t xml:space="preserve"> – Концевые выключатели</w:t>
      </w:r>
    </w:p>
    <w:p w14:paraId="EF010000">
      <w:pPr>
        <w:spacing w:line="360" w:lineRule="auto"/>
        <w:ind w:firstLine="709" w:left="170" w:right="57"/>
        <w:jc w:val="both"/>
        <w:rPr>
          <w:sz w:val="24"/>
        </w:rPr>
      </w:pPr>
    </w:p>
    <w:p w14:paraId="F0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Информация о датчиках обратной связи для двигателей приведена в следующем пункте, так как датчики встроены непосредственно в саму конструкцию двигателей.</w:t>
      </w:r>
    </w:p>
    <w:p w14:paraId="F1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Разработка драйверов питания двигателей </w:t>
      </w:r>
    </w:p>
    <w:p w14:paraId="F2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 техническом задании по исполнительным механизмам приведены следующие исходные данные:  </w:t>
      </w:r>
    </w:p>
    <w:p w14:paraId="F3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количество осей управления: 3;</w:t>
      </w:r>
    </w:p>
    <w:p w14:paraId="F4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 наличие концевых выключателей на каждой оси, </w:t>
      </w:r>
      <w:r>
        <w:rPr>
          <w:sz w:val="24"/>
        </w:rPr>
        <w:t>шт</w:t>
      </w:r>
      <w:r>
        <w:rPr>
          <w:sz w:val="24"/>
        </w:rPr>
        <w:t>: 1;</w:t>
      </w:r>
    </w:p>
    <w:p w14:paraId="F5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 напряжение питания управляемых двигателей на осях перемещения, В: 9; </w:t>
      </w:r>
    </w:p>
    <w:p w14:paraId="F6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встроенный в двигатели </w:t>
      </w:r>
      <w:r>
        <w:rPr>
          <w:sz w:val="24"/>
        </w:rPr>
        <w:t>энкодер</w:t>
      </w:r>
      <w:r>
        <w:rPr>
          <w:sz w:val="24"/>
        </w:rPr>
        <w:t>: импульсный, напряжение питания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энкодера</w:t>
      </w:r>
      <w:r>
        <w:rPr>
          <w:sz w:val="24"/>
        </w:rPr>
        <w:t xml:space="preserve"> 9В, выход </w:t>
      </w:r>
      <w:r>
        <w:rPr>
          <w:sz w:val="24"/>
        </w:rPr>
        <w:t>энкодера</w:t>
      </w:r>
      <w:r>
        <w:rPr>
          <w:sz w:val="24"/>
        </w:rPr>
        <w:t xml:space="preserve"> – открытый коллектор; </w:t>
      </w:r>
    </w:p>
    <w:p w14:paraId="F7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максимальный потребляемый двигателями осей ток: 1А.</w:t>
      </w:r>
    </w:p>
    <w:p w14:paraId="F8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Выход с открытым коллектором (</w:t>
      </w:r>
      <w:r>
        <w:rPr>
          <w:sz w:val="24"/>
        </w:rPr>
        <w:t>Open</w:t>
      </w:r>
      <w:r>
        <w:rPr>
          <w:sz w:val="24"/>
        </w:rPr>
        <w:t xml:space="preserve"> </w:t>
      </w:r>
      <w:r>
        <w:rPr>
          <w:sz w:val="24"/>
        </w:rPr>
        <w:t>Collector</w:t>
      </w:r>
      <w:r>
        <w:rPr>
          <w:sz w:val="24"/>
        </w:rPr>
        <w:t xml:space="preserve">) предоставляет возможность получать сигнал с уровнем напряжения, определяемым не напряжением питания </w:t>
      </w:r>
      <w:r>
        <w:rPr>
          <w:sz w:val="24"/>
        </w:rPr>
        <w:t>энкодера</w:t>
      </w:r>
      <w:r>
        <w:rPr>
          <w:sz w:val="24"/>
        </w:rPr>
        <w:t xml:space="preserve">, а напряжением дополнительного источника питания. </w:t>
      </w:r>
    </w:p>
    <w:p w14:paraId="F9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этого необходимо подключить внешний резистор между цепями питания (</w:t>
      </w:r>
      <w:r>
        <w:rPr>
          <w:sz w:val="24"/>
        </w:rPr>
        <w:t>U</w:t>
      </w:r>
      <w:r>
        <w:rPr>
          <w:sz w:val="24"/>
        </w:rPr>
        <w:t>пит</w:t>
      </w:r>
      <w:r>
        <w:rPr>
          <w:sz w:val="24"/>
        </w:rPr>
        <w:t xml:space="preserve">) и выходом. </w:t>
      </w:r>
    </w:p>
    <w:p w14:paraId="FA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Значение сопротивления внешнего резистора зависит от величины напряжения дополнительного источника питания.</w:t>
      </w:r>
    </w:p>
    <w:p w14:paraId="FB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Тип выхода с открытым коллектором также позволяет подключать несколько </w:t>
      </w:r>
      <w:r>
        <w:rPr>
          <w:sz w:val="24"/>
        </w:rPr>
        <w:t>энкодеров</w:t>
      </w:r>
      <w:r>
        <w:rPr>
          <w:sz w:val="24"/>
        </w:rPr>
        <w:t xml:space="preserve"> к одному счётному входу (рисунок</w:t>
      </w:r>
      <w:r>
        <w:rPr>
          <w:sz w:val="24"/>
        </w:rPr>
        <w:t xml:space="preserve"> 6</w:t>
      </w:r>
      <w:r>
        <w:rPr>
          <w:sz w:val="24"/>
        </w:rPr>
        <w:t>).</w:t>
      </w:r>
    </w:p>
    <w:p w14:paraId="FC010000">
      <w:pPr>
        <w:pStyle w:val="Style_2"/>
        <w:spacing w:after="0" w:before="0"/>
        <w:ind/>
        <w:jc w:val="center"/>
      </w:pPr>
      <w:r>
        <w:drawing>
          <wp:inline>
            <wp:extent cx="4716000" cy="4058491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4716000" cy="405849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FD010000">
      <w:pPr>
        <w:spacing w:line="360" w:lineRule="auto"/>
        <w:ind w:firstLine="709" w:left="170" w:right="57"/>
        <w:jc w:val="center"/>
        <w:rPr>
          <w:sz w:val="24"/>
        </w:rPr>
      </w:pPr>
    </w:p>
    <w:p w14:paraId="FE01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6</w:t>
      </w:r>
      <w:r>
        <w:rPr>
          <w:sz w:val="24"/>
        </w:rPr>
        <w:t xml:space="preserve"> – Тип выхода с открытым коллектором</w:t>
      </w:r>
    </w:p>
    <w:p w14:paraId="FF010000">
      <w:pPr>
        <w:spacing w:line="360" w:lineRule="auto"/>
        <w:ind w:firstLine="709" w:left="170" w:right="57"/>
        <w:jc w:val="both"/>
        <w:rPr>
          <w:sz w:val="24"/>
        </w:rPr>
      </w:pPr>
    </w:p>
    <w:p w14:paraId="0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Основная проблема при подключении к программируемому логическому контроллеру (ПЛК) заключается в согласовании частоты, с которой </w:t>
      </w:r>
      <w:r>
        <w:rPr>
          <w:sz w:val="24"/>
        </w:rPr>
        <w:t>энкодер</w:t>
      </w:r>
      <w:r>
        <w:rPr>
          <w:sz w:val="24"/>
        </w:rPr>
        <w:t xml:space="preserve"> выдает импульсы (f1), и частоты опроса входов контроллера (f2). </w:t>
      </w:r>
    </w:p>
    <w:p w14:paraId="0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Частота опроса (f2) должна быть выше частоты импульсов (f1) и достаточно высокой для корректного подсчета импульсов. </w:t>
      </w:r>
    </w:p>
    <w:p w14:paraId="0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Значение частоты f2 ограничено длительностью рабочего цикла ПЛК, который включает фазы чтения входов, выполнения программы пользователя и записи значений выходов.</w:t>
      </w:r>
    </w:p>
    <w:p w14:paraId="0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Время исполнения программы пользователя зависит от содержимого программы и вносит наибольший вклад в общее время рабочего цикла ПЛК. </w:t>
      </w:r>
    </w:p>
    <w:p w14:paraId="0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Если не учитывать </w:t>
      </w:r>
      <w:r>
        <w:rPr>
          <w:sz w:val="24"/>
        </w:rPr>
        <w:t>специализированные</w:t>
      </w:r>
      <w:r>
        <w:rPr>
          <w:sz w:val="24"/>
        </w:rPr>
        <w:t xml:space="preserve"> </w:t>
      </w:r>
      <w:r>
        <w:rPr>
          <w:sz w:val="24"/>
        </w:rPr>
        <w:t>энкодеры</w:t>
      </w:r>
      <w:r>
        <w:rPr>
          <w:sz w:val="24"/>
        </w:rPr>
        <w:t xml:space="preserve"> с повышенной точностью, то частота импульсов, выдаваемых фотоэлектрическими инкрементными </w:t>
      </w:r>
      <w:r>
        <w:rPr>
          <w:sz w:val="24"/>
        </w:rPr>
        <w:t>энкодерами</w:t>
      </w:r>
      <w:r>
        <w:rPr>
          <w:sz w:val="24"/>
        </w:rPr>
        <w:t>, может варьироваться от 100 до 2500 импульсов и более за один оборот</w:t>
      </w:r>
    </w:p>
    <w:p w14:paraId="0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Подсчет скорости вращения электродвигателя может потребовать обработки нескольких десятков тысяч оборотов в секунду, что превышает типичное время рабочего цикла ПЛК. </w:t>
      </w:r>
    </w:p>
    <w:p w14:paraId="06020000">
      <w:pPr>
        <w:spacing w:line="360" w:lineRule="auto"/>
        <w:ind w:firstLine="709" w:left="170" w:right="57"/>
        <w:jc w:val="both"/>
        <w:rPr>
          <w:sz w:val="24"/>
        </w:rPr>
      </w:pPr>
    </w:p>
    <w:p w14:paraId="0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Поэтому использование стандартных функциональных блоков счётчиков внутри программы пользователя может быть затруднительным или нарушать рабочий цикл ПЛК. </w:t>
      </w:r>
    </w:p>
    <w:p w14:paraId="0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решения этой проблемы можно использовать блоки высокоскоростных счётчиков (HSC), которые позволяют счетчику работать независимо от основной программы и контролировать его выходное значение при помощи специальной подпрограммы обработки прерываний. </w:t>
      </w:r>
    </w:p>
    <w:p w14:paraId="0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Например, ПЛК </w:t>
      </w:r>
      <w:r>
        <w:rPr>
          <w:sz w:val="24"/>
        </w:rPr>
        <w:t>Siemens</w:t>
      </w:r>
      <w:r>
        <w:rPr>
          <w:sz w:val="24"/>
        </w:rPr>
        <w:t xml:space="preserve"> S7-1200 позволяют использовать до 6 таких счетчиков. Пример программного блока CTUD показан на рисунке </w:t>
      </w:r>
      <w:r>
        <w:rPr>
          <w:sz w:val="24"/>
        </w:rPr>
        <w:t>7</w:t>
      </w:r>
    </w:p>
    <w:p w14:paraId="0A020000">
      <w:pPr>
        <w:spacing w:line="360" w:lineRule="auto"/>
        <w:ind w:firstLine="709" w:left="170" w:right="57"/>
        <w:jc w:val="both"/>
        <w:rPr>
          <w:sz w:val="24"/>
        </w:rPr>
      </w:pPr>
    </w:p>
    <w:p w14:paraId="0B020000">
      <w:pPr>
        <w:pStyle w:val="Style_2"/>
        <w:spacing w:after="0" w:before="0"/>
        <w:ind/>
      </w:pPr>
      <w:r>
        <w:drawing>
          <wp:inline>
            <wp:extent cx="6228000" cy="2073710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6228000" cy="207371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C020000">
      <w:pPr>
        <w:spacing w:line="360" w:lineRule="auto"/>
        <w:ind w:firstLine="709" w:left="170" w:right="57"/>
        <w:jc w:val="center"/>
        <w:rPr>
          <w:sz w:val="24"/>
        </w:rPr>
      </w:pPr>
    </w:p>
    <w:p w14:paraId="0D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>Рисунок 7</w:t>
      </w:r>
      <w:r>
        <w:rPr>
          <w:sz w:val="24"/>
        </w:rPr>
        <w:t xml:space="preserve"> – Пример программного блока CTUD</w:t>
      </w:r>
    </w:p>
    <w:p w14:paraId="0E020000">
      <w:pPr>
        <w:spacing w:line="360" w:lineRule="auto"/>
        <w:ind w:firstLine="709" w:left="170" w:right="57"/>
        <w:jc w:val="both"/>
        <w:rPr>
          <w:sz w:val="24"/>
        </w:rPr>
      </w:pPr>
    </w:p>
    <w:p w14:paraId="0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решения этой проблемы можно использовать блоки высокоскоростных счётчиков (HSC), которые позволяют счетчику работать независимо от основной программы и контролировать его выходное значение при помощи специальной подпрограммы обработки прерываний. </w:t>
      </w:r>
    </w:p>
    <w:p w14:paraId="1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Например, ПЛК </w:t>
      </w:r>
      <w:r>
        <w:rPr>
          <w:sz w:val="24"/>
        </w:rPr>
        <w:t>Siemens</w:t>
      </w:r>
      <w:r>
        <w:rPr>
          <w:sz w:val="24"/>
        </w:rPr>
        <w:t xml:space="preserve"> S7-1200 позволяют использовать до 6 таких счетчиков. </w:t>
      </w:r>
    </w:p>
    <w:p w14:paraId="1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 самостоятельной разработке важно выбрать компоненты, подходящие по току, напряжению и прочим параметрам, а также соответствующие типу двигателей. </w:t>
      </w:r>
    </w:p>
    <w:p w14:paraId="1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Проект платы можно выбрать из изобилия материалов в открытом доступе, что может уберечь от множества проблем, связанных с собственной разработкой. </w:t>
      </w:r>
    </w:p>
    <w:p w14:paraId="1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Пример платы управления двигателем приведён на рисунке </w:t>
      </w:r>
      <w:r>
        <w:rPr>
          <w:sz w:val="24"/>
        </w:rPr>
        <w:t>8</w:t>
      </w:r>
      <w:r>
        <w:rPr>
          <w:sz w:val="24"/>
        </w:rPr>
        <w:t>.</w:t>
      </w:r>
    </w:p>
    <w:p w14:paraId="14020000">
      <w:pPr>
        <w:pStyle w:val="Style_2"/>
        <w:spacing w:after="0" w:before="0"/>
        <w:ind/>
        <w:jc w:val="center"/>
      </w:pPr>
      <w:r>
        <w:drawing>
          <wp:inline>
            <wp:extent cx="6228000" cy="3062845"/>
            <wp:effectExtent b="0" l="0" r="0" t="0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8"/>
                    <a:srcRect b="0" l="0" r="0" t="0"/>
                    <a:stretch/>
                  </pic:blipFill>
                  <pic:spPr>
                    <a:xfrm flipH="false" flipV="false" rot="0">
                      <a:ext cx="6228000" cy="306284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5020000">
      <w:pPr>
        <w:spacing w:line="360" w:lineRule="auto"/>
        <w:ind w:firstLine="709" w:left="170" w:right="57"/>
        <w:jc w:val="both"/>
        <w:rPr>
          <w:sz w:val="24"/>
        </w:rPr>
      </w:pPr>
    </w:p>
    <w:p w14:paraId="1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8</w:t>
      </w:r>
      <w:r>
        <w:rPr>
          <w:sz w:val="24"/>
        </w:rPr>
        <w:t xml:space="preserve"> – Плата драйвера управления двигателем на </w:t>
      </w:r>
      <w:r>
        <w:rPr>
          <w:sz w:val="24"/>
        </w:rPr>
        <w:t>МОП-транзисторах</w:t>
      </w:r>
      <w:r>
        <w:rPr>
          <w:sz w:val="24"/>
        </w:rPr>
        <w:t xml:space="preserve"> </w:t>
      </w:r>
    </w:p>
    <w:p w14:paraId="17020000">
      <w:pPr>
        <w:spacing w:line="360" w:lineRule="auto"/>
        <w:ind w:firstLine="709" w:left="170" w:right="57"/>
        <w:jc w:val="both"/>
        <w:rPr>
          <w:sz w:val="24"/>
        </w:rPr>
      </w:pPr>
    </w:p>
    <w:p w14:paraId="1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данной схеме отсутствует защита от сквозного тока, поэтому такую защиту придется предусматривать программно.</w:t>
      </w:r>
    </w:p>
    <w:p w14:paraId="1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Либо можно рассмотреть готовые драйверы двигателей, предварительно подобрав их по характеристикам.</w:t>
      </w:r>
    </w:p>
    <w:p w14:paraId="1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Так же часто используемым решением для управления подобными двигателями является драйвер l298N (Рисунок </w:t>
      </w:r>
      <w:r>
        <w:rPr>
          <w:sz w:val="24"/>
        </w:rPr>
        <w:t>9</w:t>
      </w:r>
      <w:r>
        <w:rPr>
          <w:sz w:val="24"/>
        </w:rPr>
        <w:t>).</w:t>
      </w:r>
    </w:p>
    <w:p w14:paraId="1B020000">
      <w:pPr>
        <w:spacing w:line="360" w:lineRule="auto"/>
        <w:ind w:right="57"/>
        <w:jc w:val="center"/>
        <w:rPr>
          <w:sz w:val="24"/>
        </w:rPr>
      </w:pPr>
      <w:r>
        <w:rPr>
          <w:sz w:val="24"/>
        </w:rPr>
        <w:drawing>
          <wp:inline>
            <wp:extent cx="5688000" cy="3547547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9"/>
                    <a:srcRect b="0" l="0" r="4345" t="0"/>
                    <a:stretch/>
                  </pic:blipFill>
                  <pic:spPr>
                    <a:xfrm flipH="false" flipV="false" rot="0">
                      <a:ext cx="5688000" cy="354754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C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9</w:t>
      </w:r>
      <w:r>
        <w:rPr>
          <w:sz w:val="24"/>
        </w:rPr>
        <w:t xml:space="preserve"> – Драйвер l298N</w:t>
      </w:r>
    </w:p>
    <w:p w14:paraId="1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OUT1 и OUT2 – разъёмы для подключения «первого щёточного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двигателя или первой обмотки шагового двигателя;  </w:t>
      </w:r>
    </w:p>
    <w:p w14:paraId="1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OUT3 и OUT4 – разъёмы для подключения второго щёточного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двигателя или второй обмотки шагового двигателя; </w:t>
      </w:r>
    </w:p>
    <w:p w14:paraId="1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VSS – вход для питания двигателей (максимальный уровень +35V);</w:t>
      </w:r>
    </w:p>
    <w:p w14:paraId="2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 GND – общий провод;</w:t>
      </w:r>
    </w:p>
    <w:p w14:paraId="2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Vs</w:t>
      </w:r>
      <w:r>
        <w:rPr>
          <w:sz w:val="24"/>
        </w:rPr>
        <w:t xml:space="preserve"> – вход для питания логики +5V. </w:t>
      </w:r>
    </w:p>
    <w:p w14:paraId="2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Через него непосредственно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</w:t>
      </w:r>
      <w:r>
        <w:rPr>
          <w:sz w:val="24"/>
        </w:rPr>
        <w:t>запитывается</w:t>
      </w:r>
      <w:r>
        <w:rPr>
          <w:sz w:val="24"/>
        </w:rPr>
        <w:t xml:space="preserve"> сама микросхема L298N. Есть ещё второй способ питания, при котором 5V для L298N берётся от встроенного в модуль стабилизатора напряжения. </w:t>
      </w:r>
    </w:p>
    <w:p w14:paraId="2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таком случае на разъём подаётся только питание для двигателей (</w:t>
      </w:r>
      <w:r>
        <w:rPr>
          <w:sz w:val="24"/>
        </w:rPr>
        <w:t>Vss</w:t>
      </w:r>
      <w:r>
        <w:rPr>
          <w:sz w:val="24"/>
        </w:rPr>
        <w:t xml:space="preserve">), контакт </w:t>
      </w:r>
      <w:r>
        <w:rPr>
          <w:sz w:val="24"/>
        </w:rPr>
        <w:t>Vs</w:t>
      </w:r>
      <w:r>
        <w:rPr>
          <w:sz w:val="24"/>
        </w:rPr>
        <w:t xml:space="preserve"> остаётся не подключенным, а на плате устанавливается перемычка питания от стабилизатора, который ограничит питающее моторы напряжение </w:t>
      </w:r>
      <w:r>
        <w:rPr>
          <w:sz w:val="24"/>
        </w:rPr>
        <w:t>до</w:t>
      </w:r>
      <w:r>
        <w:rPr>
          <w:sz w:val="24"/>
        </w:rPr>
        <w:t xml:space="preserve"> приемлемых 5V.  </w:t>
      </w:r>
    </w:p>
    <w:p w14:paraId="2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IN1, IN2 – контакты управления первым щёточным двигателем или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первой обмоткой шагового двигателя.</w:t>
      </w:r>
    </w:p>
    <w:p w14:paraId="2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IN3, IN4 – контакты управления вторым щёточным двигателем или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второй обмоткой шагового двигателя.  ENA, ENB –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контакты для активации/деактивации первого и второго двигателей или соответствующих обмоток ШД. </w:t>
      </w:r>
    </w:p>
    <w:p w14:paraId="2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Подача логической единицы на эти контакты разрешает вращение двигателей, а логический ноль – запрещает. Для изменения скорости вращения щёточных моторов на эти контакты подаётся </w:t>
      </w:r>
      <w:r>
        <w:rPr>
          <w:sz w:val="24"/>
        </w:rPr>
        <w:t>ШИМ-сигнал</w:t>
      </w:r>
      <w:r>
        <w:rPr>
          <w:sz w:val="24"/>
        </w:rPr>
        <w:t xml:space="preserve">. </w:t>
      </w:r>
    </w:p>
    <w:p w14:paraId="2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работы с шаговым двигателем, как правило, на эти контакты ставят перемычки, обеспечивающие постоянную подтяжку к +5V.» </w:t>
      </w:r>
    </w:p>
    <w:p w14:paraId="2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Итого, для управления 3 двигателями постоянного тока мы можем использовать 2 драйвера L298N в режиме H-моста, подключив питание двигателей на выводы OUT1,2 или OUT3,4, а выводы </w:t>
      </w:r>
      <w:r>
        <w:rPr>
          <w:sz w:val="24"/>
        </w:rPr>
        <w:t>энкодера</w:t>
      </w:r>
      <w:r>
        <w:rPr>
          <w:sz w:val="24"/>
        </w:rPr>
        <w:t xml:space="preserve"> подключить напрямую к выводам контроллера. На рисунке 13 показана электрическая схема модуля L298N.</w:t>
      </w:r>
    </w:p>
    <w:p w14:paraId="29020000">
      <w:pPr>
        <w:pStyle w:val="Style_2"/>
        <w:ind/>
        <w:jc w:val="both"/>
      </w:pPr>
      <w:r>
        <w:drawing>
          <wp:inline>
            <wp:extent cx="6048000" cy="4556123"/>
            <wp:effectExtent b="0" l="0" r="0" t="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6048000" cy="455612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Рисунок 10</w:t>
      </w:r>
      <w:r>
        <w:rPr>
          <w:sz w:val="24"/>
        </w:rPr>
        <w:t xml:space="preserve"> – Электрическая схема модуля L298N</w:t>
      </w:r>
    </w:p>
    <w:p w14:paraId="2B020000">
      <w:pPr>
        <w:spacing w:line="360" w:lineRule="auto"/>
        <w:ind w:firstLine="709" w:left="170" w:right="57"/>
        <w:jc w:val="both"/>
        <w:rPr>
          <w:sz w:val="24"/>
        </w:rPr>
      </w:pPr>
    </w:p>
    <w:p w14:paraId="2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М</w:t>
      </w:r>
      <w:r>
        <w:rPr>
          <w:sz w:val="24"/>
        </w:rPr>
        <w:t xml:space="preserve">одуль управления манипулятором использует микросхему L298N, которая содержит два полноценных H-моста. </w:t>
      </w:r>
    </w:p>
    <w:p w14:paraId="2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Каждый H-мост состоит из четырех транзисторных ключей и обмотки двигателя в центре. </w:t>
      </w:r>
    </w:p>
    <w:p w14:paraId="2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Это позволяет менять полярность в обмотке и направление вращения двигателя, чередуя пары открытых и закрытых ключей. Этот процесс проиллюстрирован на рисунке 1</w:t>
      </w:r>
      <w:r>
        <w:rPr>
          <w:sz w:val="24"/>
        </w:rPr>
        <w:t>1</w:t>
      </w:r>
      <w:r>
        <w:rPr>
          <w:sz w:val="24"/>
        </w:rPr>
        <w:t>.</w:t>
      </w:r>
    </w:p>
    <w:p w14:paraId="2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 данном рисунке представлены две схемы транзисторных мостов Н типа. В первом случае на один из входов (IN1) поступает логическая единица, а на другой вход (IN2) - логический ноль. </w:t>
      </w:r>
    </w:p>
    <w:p w14:paraId="3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 как транзисторы имеют разную проводимость, при таком входном сигнале транзисторы Т</w:t>
      </w:r>
      <w:r>
        <w:rPr>
          <w:sz w:val="24"/>
        </w:rPr>
        <w:t>1</w:t>
      </w:r>
      <w:r>
        <w:rPr>
          <w:sz w:val="24"/>
        </w:rPr>
        <w:t xml:space="preserve"> и Т4 останутся закрытыми, а через Т2 и Т3 потечет ток, проходящий через обмотку двигателя и приводящий его в движение в определенном направлении. </w:t>
      </w:r>
    </w:p>
    <w:p w14:paraId="31020000">
      <w:pPr>
        <w:spacing w:line="360" w:lineRule="auto"/>
        <w:ind w:firstLine="709" w:left="170" w:right="57"/>
        <w:jc w:val="both"/>
        <w:rPr>
          <w:sz w:val="24"/>
        </w:rPr>
      </w:pPr>
    </w:p>
    <w:p w14:paraId="32020000">
      <w:pPr>
        <w:spacing w:line="360" w:lineRule="auto"/>
        <w:ind w:firstLine="709" w:left="170" w:right="57"/>
        <w:jc w:val="both"/>
        <w:rPr>
          <w:sz w:val="24"/>
        </w:rPr>
      </w:pPr>
    </w:p>
    <w:p w14:paraId="33020000">
      <w:pPr>
        <w:pStyle w:val="Style_2"/>
        <w:ind/>
        <w:jc w:val="center"/>
      </w:pPr>
      <w:r>
        <w:drawing>
          <wp:inline>
            <wp:extent cx="5400000" cy="6113451"/>
            <wp:effectExtent b="0" l="0" r="0" t="0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1"/>
                    <a:srcRect b="0" l="0" r="0" t="0"/>
                    <a:stretch/>
                  </pic:blipFill>
                  <pic:spPr>
                    <a:xfrm flipH="false" flipV="false" rot="0">
                      <a:ext cx="5400000" cy="611345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4020000">
      <w:pPr>
        <w:spacing w:line="360" w:lineRule="auto"/>
        <w:ind w:firstLine="709" w:left="170" w:right="57"/>
        <w:jc w:val="center"/>
        <w:rPr>
          <w:sz w:val="24"/>
        </w:rPr>
      </w:pPr>
    </w:p>
    <w:p w14:paraId="35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>Рисунок 1</w:t>
      </w:r>
      <w:r>
        <w:rPr>
          <w:sz w:val="24"/>
        </w:rPr>
        <w:t>1</w:t>
      </w:r>
      <w:r>
        <w:rPr>
          <w:sz w:val="24"/>
        </w:rPr>
        <w:t xml:space="preserve"> – Транзисторные мосты Н-типа</w:t>
      </w:r>
    </w:p>
    <w:p w14:paraId="36020000">
      <w:pPr>
        <w:spacing w:line="360" w:lineRule="auto"/>
        <w:ind w:firstLine="709" w:left="170" w:right="57"/>
        <w:jc w:val="both"/>
        <w:rPr>
          <w:sz w:val="24"/>
        </w:rPr>
      </w:pPr>
    </w:p>
    <w:p w14:paraId="3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На второй схеме вход IN3 установлен в логический ноль, а вход IN4 - в логическую единицу, что приводит к обратному направлению тока и, как следствие, вращению второго двигателя в противоположную сторону.</w:t>
      </w:r>
    </w:p>
    <w:p w14:paraId="3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Схема системы управления манипулятором </w:t>
      </w:r>
    </w:p>
    <w:p w14:paraId="3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Система управления манипулятором состоит из нескольких основных компонентов, которые описаны ниже. </w:t>
      </w:r>
    </w:p>
    <w:p w14:paraId="3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Программируемый логический контроллер (ПЛК) - это центральный элемент системы управления, который обрабатывает информацию, полученную от датчиков и </w:t>
      </w:r>
      <w:r>
        <w:rPr>
          <w:sz w:val="24"/>
        </w:rPr>
        <w:t xml:space="preserve">других устройств, и отправляет сигналы на исполнительные механизмы. </w:t>
      </w:r>
    </w:p>
    <w:p w14:paraId="3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ПЛК часто используется в промышленных системах управления, так как он обеспечивает надежную и точную работу. </w:t>
      </w:r>
    </w:p>
    <w:p w14:paraId="3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Человеко-машинный интерфейс (HMI): Это устройство, обеспечивающее взаимодействие оператора с системой управления манипулятором. HMI предоставляет пользователю удобный интерфейс для ввода команд, мониторинга и отображения информации о состоянии манипулятора, а также для отслеживания процессов и выполнения настроек. </w:t>
      </w:r>
    </w:p>
    <w:p w14:paraId="3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Сетевой коммутатор (</w:t>
      </w:r>
      <w:r>
        <w:rPr>
          <w:sz w:val="24"/>
        </w:rPr>
        <w:t>Switch</w:t>
      </w:r>
      <w:r>
        <w:rPr>
          <w:sz w:val="24"/>
        </w:rPr>
        <w:t xml:space="preserve">) - это устройство, которое обеспечивает связь между компонентами системы управления, включая ПЛК, драйверы и датчики. Он позволяет передавать данные между устройствами в реальном времени и обеспечивает стабильную и надежную связь. </w:t>
      </w:r>
    </w:p>
    <w:p w14:paraId="3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Блок питания (БП) - это устройство, которое обеспечивает питание всей системы управления и исполнительных механизмов. Он должен быть достаточно мощным, чтобы обеспечить достаточную мощность для всех устройств, подключенных к системе управления. </w:t>
      </w:r>
    </w:p>
    <w:p w14:paraId="3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Драйверы - это устройства, которые управляют двигателями манипулятора. Они преобразуют сигналы от ПЛК в управляющие сигналы для двигателей, чтобы они могли перемещаться в нужном направлении и с нужной скоростью. </w:t>
      </w:r>
    </w:p>
    <w:p w14:paraId="4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Двигатели - это исполнительные механизмы манипулятора, которые обеспечивают движение и манипуляцию объектами. </w:t>
      </w:r>
    </w:p>
    <w:p w14:paraId="4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Двигатели должны быть достаточно мощными, чтобы обеспечивать требуемую нагрузку и скорость. </w:t>
      </w:r>
    </w:p>
    <w:p w14:paraId="4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Датчики ОС - это устройства, которые измеряют положение, скорость, ускорение и другие параметры движения манипулятора. </w:t>
      </w:r>
    </w:p>
    <w:p w14:paraId="4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Они отправляют сигналы на ПЛК, чтобы обеспечить точное управление движением. </w:t>
      </w:r>
    </w:p>
    <w:p w14:paraId="4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Соединительные кабели - это кабели, которые соединяют компоненты системы управления, включая ПЛК, драйверы и датчики. </w:t>
      </w:r>
    </w:p>
    <w:p w14:paraId="4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Структурно систему управления можно увидеть на рисунке 1</w:t>
      </w:r>
      <w:r>
        <w:rPr>
          <w:sz w:val="24"/>
        </w:rPr>
        <w:t>2</w:t>
      </w:r>
      <w:r>
        <w:rPr>
          <w:sz w:val="24"/>
        </w:rPr>
        <w:t>.</w:t>
      </w:r>
    </w:p>
    <w:p w14:paraId="46020000">
      <w:pPr>
        <w:pStyle w:val="Style_2"/>
        <w:ind/>
        <w:jc w:val="center"/>
      </w:pPr>
      <w:r>
        <w:drawing>
          <wp:inline>
            <wp:extent cx="5868000" cy="3899746"/>
            <wp:effectExtent b="0" l="0" r="0" t="0"/>
            <wp:docPr hidden="false" id="24" name="Picture 24"/>
            <a:graphic>
              <a:graphicData uri="http://schemas.openxmlformats.org/drawingml/2006/picture">
                <pic:pic>
                  <pic:nvPicPr>
                    <pic:cNvPr hidden="false" id="23" name="Picture 23"/>
                    <pic:cNvPicPr preferRelativeResize="true"/>
                  </pic:nvPicPr>
                  <pic:blipFill>
                    <a:blip r:embed="rId12"/>
                    <a:srcRect b="1082" l="0" r="3834" t="0"/>
                    <a:stretch/>
                  </pic:blipFill>
                  <pic:spPr>
                    <a:xfrm flipH="false" flipV="false" rot="0">
                      <a:ext cx="5868000" cy="389974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Рисунок 1</w:t>
      </w:r>
      <w:r>
        <w:rPr>
          <w:sz w:val="24"/>
        </w:rPr>
        <w:t>2</w:t>
      </w:r>
      <w:r>
        <w:rPr>
          <w:sz w:val="24"/>
        </w:rPr>
        <w:t xml:space="preserve"> – Структурная организация архитектуры системы</w:t>
      </w:r>
    </w:p>
    <w:p w14:paraId="48020000">
      <w:pPr>
        <w:spacing w:line="360" w:lineRule="auto"/>
        <w:ind w:firstLine="709" w:left="170" w:right="57"/>
        <w:jc w:val="both"/>
        <w:rPr>
          <w:sz w:val="24"/>
        </w:rPr>
      </w:pPr>
    </w:p>
    <w:p w14:paraId="4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Таким </w:t>
      </w:r>
      <w:r>
        <w:rPr>
          <w:sz w:val="24"/>
        </w:rPr>
        <w:t>образом</w:t>
      </w:r>
      <w:r>
        <w:rPr>
          <w:sz w:val="24"/>
        </w:rPr>
        <w:t xml:space="preserve"> рассмотрена структурная организация архитектуры системы.</w:t>
      </w:r>
    </w:p>
    <w:p w14:paraId="4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создания управляющей программы используется программное обеспечение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, которое можно скачать с официального сайта производителя. </w:t>
      </w:r>
    </w:p>
    <w:p w14:paraId="4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Распишем краткое руководство по действиям, необходимым для создания программы в среде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 по шагам:  создать новый проект в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 и выбрать модель панели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(рисунок </w:t>
      </w:r>
      <w:r>
        <w:rPr>
          <w:sz w:val="24"/>
        </w:rPr>
        <w:t>13</w:t>
      </w:r>
      <w:r>
        <w:rPr>
          <w:sz w:val="24"/>
        </w:rPr>
        <w:t>).</w:t>
      </w:r>
    </w:p>
    <w:p w14:paraId="4C020000">
      <w:pPr>
        <w:spacing w:line="360" w:lineRule="auto"/>
        <w:ind w:right="57"/>
        <w:jc w:val="center"/>
        <w:rPr>
          <w:sz w:val="24"/>
        </w:rPr>
      </w:pPr>
      <w:r>
        <w:rPr>
          <w:sz w:val="24"/>
        </w:rPr>
        <w:drawing>
          <wp:inline>
            <wp:extent cx="5364000" cy="2759540"/>
            <wp:effectExtent b="0" l="0" r="0" t="0"/>
            <wp:docPr hidden="false" id="26" name="Picture 26"/>
            <a:graphic>
              <a:graphicData uri="http://schemas.openxmlformats.org/drawingml/2006/picture">
                <pic:pic>
                  <pic:nvPicPr>
                    <pic:cNvPr hidden="false" id="25" name="Picture 25"/>
                    <pic:cNvPicPr preferRelativeResize="true"/>
                  </pic:nvPicPr>
                  <pic:blipFill>
                    <a:blip r:embed="rId13"/>
                    <a:srcRect b="0" l="0" r="7645" t="2083"/>
                    <a:stretch/>
                  </pic:blipFill>
                  <pic:spPr>
                    <a:xfrm flipH="false" flipV="false" rot="0">
                      <a:ext cx="5364000" cy="27595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D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13</w:t>
      </w:r>
      <w:r>
        <w:rPr>
          <w:sz w:val="24"/>
        </w:rPr>
        <w:t xml:space="preserve"> – Создание проекта</w:t>
      </w:r>
    </w:p>
    <w:p w14:paraId="4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добавить различные графические элементы на экран, такие как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кнопки, переключатели, текстовые поля и графики. Это позволяет создать удобный и интуитивно понятный интерфейс для пользователей;  </w:t>
      </w:r>
    </w:p>
    <w:p w14:paraId="4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настроить свойства элементов, такие как цвет, размер, положение,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текст и т.д. Это помогает сделать интерфейс более привлекательным и удобным для использования;  привязать элементы к адресам блоков данных (DB) ПЛК. </w:t>
      </w:r>
    </w:p>
    <w:p w14:paraId="5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этого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надо создать теги в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 и связать их с адресами блоков данных ПЛК. Это позволяет читать и записывать значения нашего ПЛК </w:t>
      </w:r>
    </w:p>
    <w:p w14:paraId="5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непосредственно через панель оператора </w:t>
      </w:r>
      <w:r>
        <w:rPr>
          <w:sz w:val="24"/>
        </w:rPr>
        <w:t>Weintek</w:t>
      </w:r>
      <w:r>
        <w:rPr>
          <w:sz w:val="24"/>
        </w:rPr>
        <w:t>;  написать логику программы с помощью встроенного языка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программирования, называемого "</w:t>
      </w:r>
      <w:r>
        <w:rPr>
          <w:sz w:val="24"/>
        </w:rPr>
        <w:t>Script</w:t>
      </w:r>
      <w:r>
        <w:rPr>
          <w:sz w:val="24"/>
        </w:rPr>
        <w:t xml:space="preserve">". </w:t>
      </w:r>
    </w:p>
    <w:p w14:paraId="5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Язык "</w:t>
      </w:r>
      <w:r>
        <w:rPr>
          <w:sz w:val="24"/>
        </w:rPr>
        <w:t>Script</w:t>
      </w:r>
      <w:r>
        <w:rPr>
          <w:sz w:val="24"/>
        </w:rPr>
        <w:t>" очень похож на язык программирования C и позволяет выполнять различные операции, такие как чтение и запись значений, обработка данных и т.д.</w:t>
      </w:r>
    </w:p>
    <w:p w14:paraId="5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Мы использовали язык "</w:t>
      </w:r>
      <w:r>
        <w:rPr>
          <w:sz w:val="24"/>
        </w:rPr>
        <w:t>Script</w:t>
      </w:r>
      <w:r>
        <w:rPr>
          <w:sz w:val="24"/>
        </w:rPr>
        <w:t xml:space="preserve">" для написания обработчиков событий и другой логики, которая позволяет управлять нашим ПЛК с помощью панели оператора </w:t>
      </w:r>
      <w:r>
        <w:rPr>
          <w:sz w:val="24"/>
        </w:rPr>
        <w:t>Weintek</w:t>
      </w:r>
      <w:r>
        <w:rPr>
          <w:sz w:val="24"/>
        </w:rPr>
        <w:t xml:space="preserve">.  </w:t>
      </w:r>
    </w:p>
    <w:p w14:paraId="5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сохранить программу на панели оператора </w:t>
      </w:r>
      <w:r>
        <w:rPr>
          <w:sz w:val="24"/>
        </w:rPr>
        <w:t>Weintek</w:t>
      </w:r>
      <w:r>
        <w:rPr>
          <w:sz w:val="24"/>
        </w:rPr>
        <w:t xml:space="preserve"> и загрузить ее на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панель через </w:t>
      </w:r>
      <w:r>
        <w:rPr>
          <w:sz w:val="24"/>
        </w:rPr>
        <w:t>Ethernet</w:t>
      </w:r>
      <w:r>
        <w:rPr>
          <w:sz w:val="24"/>
        </w:rPr>
        <w:t xml:space="preserve"> или USB-порт.</w:t>
      </w:r>
    </w:p>
    <w:p w14:paraId="5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</w:t>
      </w:r>
      <w:r>
        <w:rPr>
          <w:sz w:val="24"/>
        </w:rPr>
        <w:t xml:space="preserve">ыбрали </w:t>
      </w:r>
      <w:r>
        <w:rPr>
          <w:sz w:val="24"/>
        </w:rPr>
        <w:t>Ethernet</w:t>
      </w:r>
      <w:r>
        <w:rPr>
          <w:sz w:val="24"/>
        </w:rPr>
        <w:t xml:space="preserve"> подключение, так как оно было более удобным для нас</w:t>
      </w:r>
      <w:r>
        <w:rPr>
          <w:sz w:val="24"/>
        </w:rPr>
        <w:t>.</w:t>
      </w:r>
      <w:r>
        <w:rPr>
          <w:sz w:val="24"/>
        </w:rPr>
        <w:t xml:space="preserve">  </w:t>
      </w:r>
      <w:r>
        <w:rPr>
          <w:sz w:val="24"/>
        </w:rPr>
        <w:t>п</w:t>
      </w:r>
      <w:r>
        <w:rPr>
          <w:sz w:val="24"/>
        </w:rPr>
        <w:t>роверить работу программы на нашей панели оператора и внести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необходимые изменения в программу, если это было необходимо.</w:t>
      </w:r>
    </w:p>
    <w:p w14:paraId="5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Быстрое спаривание </w:t>
      </w:r>
      <w:r>
        <w:rPr>
          <w:sz w:val="24"/>
        </w:rPr>
        <w:t>Weintek</w:t>
      </w:r>
      <w:r>
        <w:rPr>
          <w:sz w:val="24"/>
        </w:rPr>
        <w:t xml:space="preserve"> и ПЛК </w:t>
      </w:r>
      <w:r>
        <w:rPr>
          <w:sz w:val="24"/>
        </w:rPr>
        <w:t>Siemens</w:t>
      </w:r>
      <w:r>
        <w:rPr>
          <w:sz w:val="24"/>
        </w:rPr>
        <w:t xml:space="preserve"> </w:t>
      </w:r>
    </w:p>
    <w:p w14:paraId="5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Для добавления программно-логического контроллера (ПЛК) с абсолютной адресацией в систему, необходимо выбрать соответствующий драйвер </w:t>
      </w:r>
      <w:r>
        <w:rPr>
          <w:sz w:val="24"/>
        </w:rPr>
        <w:t>Siemens</w:t>
      </w:r>
      <w:r>
        <w:rPr>
          <w:sz w:val="24"/>
        </w:rPr>
        <w:t xml:space="preserve"> S7-1200/</w:t>
      </w:r>
      <w:r>
        <w:rPr>
          <w:sz w:val="24"/>
        </w:rPr>
        <w:t>Siemens</w:t>
      </w:r>
      <w:r>
        <w:rPr>
          <w:sz w:val="24"/>
        </w:rPr>
        <w:t xml:space="preserve"> S7-1500 (</w:t>
      </w:r>
      <w:r>
        <w:rPr>
          <w:sz w:val="24"/>
        </w:rPr>
        <w:t>Absolute</w:t>
      </w:r>
      <w:r>
        <w:rPr>
          <w:sz w:val="24"/>
        </w:rPr>
        <w:t xml:space="preserve"> </w:t>
      </w:r>
      <w:r>
        <w:rPr>
          <w:sz w:val="24"/>
        </w:rPr>
        <w:t>Addressing</w:t>
      </w:r>
      <w:r>
        <w:rPr>
          <w:sz w:val="24"/>
        </w:rPr>
        <w:t>) (</w:t>
      </w:r>
      <w:r>
        <w:rPr>
          <w:sz w:val="24"/>
        </w:rPr>
        <w:t>Ethernet</w:t>
      </w:r>
      <w:r>
        <w:rPr>
          <w:sz w:val="24"/>
        </w:rPr>
        <w:t xml:space="preserve">) от компании </w:t>
      </w:r>
      <w:r>
        <w:rPr>
          <w:sz w:val="24"/>
        </w:rPr>
        <w:t>Siemens</w:t>
      </w:r>
      <w:r>
        <w:rPr>
          <w:sz w:val="24"/>
        </w:rPr>
        <w:t xml:space="preserve"> AG и указать IP-адрес устройства и номер порта.</w:t>
      </w:r>
    </w:p>
    <w:p w14:paraId="5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После этого можно начать привязывать адреса блоков данных (DB) к графическим объектам с помощью библиотеки адресных меток или импортировать теги из самого ПЛК. </w:t>
      </w:r>
    </w:p>
    <w:p w14:paraId="5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 импорте тегов из TIA </w:t>
      </w:r>
      <w:r>
        <w:rPr>
          <w:sz w:val="24"/>
        </w:rPr>
        <w:t>Portal</w:t>
      </w:r>
      <w:r>
        <w:rPr>
          <w:sz w:val="24"/>
        </w:rPr>
        <w:t xml:space="preserve"> важно отключить оптимизированный доступ к используемым блокам и разрешить доступ с помощью сообщений PUT/GET от удаленного устройства. Если используется символьная адресация, то необходимо выбрать драйвер </w:t>
      </w:r>
      <w:r>
        <w:rPr>
          <w:sz w:val="24"/>
        </w:rPr>
        <w:t>Siemens</w:t>
      </w:r>
      <w:r>
        <w:rPr>
          <w:sz w:val="24"/>
        </w:rPr>
        <w:t xml:space="preserve"> S7-1200 (</w:t>
      </w:r>
      <w:r>
        <w:rPr>
          <w:sz w:val="24"/>
        </w:rPr>
        <w:t>Symbolic</w:t>
      </w:r>
      <w:r>
        <w:rPr>
          <w:sz w:val="24"/>
        </w:rPr>
        <w:t xml:space="preserve"> </w:t>
      </w:r>
      <w:r>
        <w:rPr>
          <w:sz w:val="24"/>
        </w:rPr>
        <w:t>Addressing</w:t>
      </w:r>
      <w:r>
        <w:rPr>
          <w:sz w:val="24"/>
        </w:rPr>
        <w:t>) (</w:t>
      </w:r>
      <w:r>
        <w:rPr>
          <w:sz w:val="24"/>
        </w:rPr>
        <w:t>Ethernet</w:t>
      </w:r>
      <w:r>
        <w:rPr>
          <w:sz w:val="24"/>
        </w:rPr>
        <w:t xml:space="preserve">) от компании </w:t>
      </w:r>
      <w:r>
        <w:rPr>
          <w:sz w:val="24"/>
        </w:rPr>
        <w:t>Siemens</w:t>
      </w:r>
      <w:r>
        <w:rPr>
          <w:sz w:val="24"/>
        </w:rPr>
        <w:t xml:space="preserve"> AG. </w:t>
      </w:r>
    </w:p>
    <w:p w14:paraId="5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 этом случае также можно импортировать теги из ПЛК, но вместо создания адресных меток, теги будут привязываться напрямую к объектам. </w:t>
      </w:r>
    </w:p>
    <w:p w14:paraId="5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При выборке данных в символьной адресации необходимо создавать массив. При первом входе и создании проекта, программа предлагает выбрать модель, для которой создается проект. </w:t>
      </w:r>
    </w:p>
    <w:p w14:paraId="5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После выбора панели для создания проекта появляется окно системных настроек, где можно выбрать к чему будет подключена панель и каким способом. Для подключения к </w:t>
      </w:r>
      <w:r>
        <w:rPr>
          <w:sz w:val="24"/>
        </w:rPr>
        <w:t>Siemens</w:t>
      </w:r>
      <w:r>
        <w:rPr>
          <w:sz w:val="24"/>
        </w:rPr>
        <w:t xml:space="preserve"> S7-1200 можно использовать два способа: абсолютную и символьную адресацию.</w:t>
      </w:r>
    </w:p>
    <w:p w14:paraId="5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Добавление устройства </w:t>
      </w:r>
      <w:r>
        <w:rPr>
          <w:sz w:val="24"/>
        </w:rPr>
        <w:t>Modbus</w:t>
      </w:r>
      <w:r>
        <w:rPr>
          <w:sz w:val="24"/>
        </w:rPr>
        <w:t xml:space="preserve"> TCP</w:t>
      </w:r>
      <w:r>
        <w:rPr>
          <w:sz w:val="24"/>
        </w:rPr>
        <w:t xml:space="preserve"> Д</w:t>
      </w:r>
      <w:r>
        <w:rPr>
          <w:sz w:val="24"/>
        </w:rPr>
        <w:t xml:space="preserve">ля добавления устройства, которое может обмениваться данными с панелью управления по протоколу </w:t>
      </w:r>
      <w:r>
        <w:rPr>
          <w:sz w:val="24"/>
        </w:rPr>
        <w:t>Modbus</w:t>
      </w:r>
      <w:r>
        <w:rPr>
          <w:sz w:val="24"/>
        </w:rPr>
        <w:t xml:space="preserve"> TCP через интерфейс </w:t>
      </w:r>
      <w:r>
        <w:rPr>
          <w:sz w:val="24"/>
        </w:rPr>
        <w:t>Ethernet</w:t>
      </w:r>
      <w:r>
        <w:rPr>
          <w:sz w:val="24"/>
        </w:rPr>
        <w:t>, необходимо выполнить следующие шаги:  откройте окно "Системные настройки" на панели управления;</w:t>
      </w:r>
    </w:p>
    <w:p w14:paraId="5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нажмите на кнопку "Новое устройство/сервер"; </w:t>
      </w:r>
    </w:p>
    <w:p w14:paraId="5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группе драйверов "</w:t>
      </w:r>
      <w:r>
        <w:rPr>
          <w:sz w:val="24"/>
        </w:rPr>
        <w:t>Modbus</w:t>
      </w:r>
      <w:r>
        <w:rPr>
          <w:sz w:val="24"/>
        </w:rPr>
        <w:t xml:space="preserve"> IDA" выберите драйвер "</w:t>
      </w:r>
      <w:r>
        <w:rPr>
          <w:sz w:val="24"/>
        </w:rPr>
        <w:t>Modbus</w:t>
      </w:r>
      <w:r>
        <w:rPr>
          <w:sz w:val="24"/>
        </w:rPr>
        <w:t xml:space="preserve"> TCP";</w:t>
      </w:r>
    </w:p>
    <w:p w14:paraId="6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продолжите настройку параметров устройства, таких как IP-адрес и номер порта, чтобы установить соединение с устройством, поддерживающим </w:t>
      </w:r>
      <w:r>
        <w:rPr>
          <w:sz w:val="24"/>
        </w:rPr>
        <w:t>Modbus</w:t>
      </w:r>
      <w:r>
        <w:rPr>
          <w:sz w:val="24"/>
        </w:rPr>
        <w:t xml:space="preserve"> TCP. </w:t>
      </w:r>
    </w:p>
    <w:p w14:paraId="6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Таким образом, после добавления устройства с выбранным драйвером </w:t>
      </w:r>
      <w:r>
        <w:rPr>
          <w:sz w:val="24"/>
        </w:rPr>
        <w:t>Modbus</w:t>
      </w:r>
      <w:r>
        <w:rPr>
          <w:sz w:val="24"/>
        </w:rPr>
        <w:t xml:space="preserve"> TCP, панель управления будет готова к обмену данными с этим устройством по указанному протоколу и интерфейсу </w:t>
      </w:r>
      <w:r>
        <w:rPr>
          <w:sz w:val="24"/>
        </w:rPr>
        <w:t>Ethernet</w:t>
      </w:r>
      <w:r>
        <w:rPr>
          <w:sz w:val="24"/>
        </w:rPr>
        <w:t xml:space="preserve">. Говоря про </w:t>
      </w:r>
      <w:r>
        <w:rPr>
          <w:sz w:val="24"/>
        </w:rPr>
        <w:t>Modbus</w:t>
      </w:r>
      <w:r>
        <w:rPr>
          <w:sz w:val="24"/>
        </w:rPr>
        <w:t xml:space="preserve">, нельзя обойти стороной такие понятия как «регистры </w:t>
      </w:r>
      <w:r>
        <w:rPr>
          <w:sz w:val="24"/>
        </w:rPr>
        <w:t>Modbus</w:t>
      </w:r>
      <w:r>
        <w:rPr>
          <w:sz w:val="24"/>
        </w:rPr>
        <w:t xml:space="preserve">», «функции </w:t>
      </w:r>
      <w:r>
        <w:rPr>
          <w:sz w:val="24"/>
        </w:rPr>
        <w:t>Modbus</w:t>
      </w:r>
      <w:r>
        <w:rPr>
          <w:sz w:val="24"/>
        </w:rPr>
        <w:t xml:space="preserve">» (Таблица </w:t>
      </w:r>
      <w:r>
        <w:rPr>
          <w:sz w:val="24"/>
        </w:rPr>
        <w:t>13</w:t>
      </w:r>
      <w:r>
        <w:rPr>
          <w:sz w:val="24"/>
        </w:rPr>
        <w:t xml:space="preserve">). </w:t>
      </w:r>
    </w:p>
    <w:p w14:paraId="62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Таблица </w:t>
      </w:r>
      <w:r>
        <w:rPr>
          <w:sz w:val="24"/>
        </w:rPr>
        <w:t>13</w:t>
      </w:r>
      <w:r>
        <w:rPr>
          <w:sz w:val="24"/>
        </w:rPr>
        <w:t xml:space="preserve"> – Регистры </w:t>
      </w:r>
      <w:r>
        <w:rPr>
          <w:sz w:val="24"/>
        </w:rPr>
        <w:t>Modbus</w:t>
      </w:r>
    </w:p>
    <w:p w14:paraId="63020000">
      <w:pPr>
        <w:pStyle w:val="Style_2"/>
        <w:spacing w:after="0" w:before="0"/>
        <w:ind/>
      </w:pPr>
      <w:r>
        <w:drawing>
          <wp:inline>
            <wp:extent cx="6228000" cy="3069317"/>
            <wp:effectExtent b="0" l="0" r="0" t="0"/>
            <wp:docPr hidden="false" id="28" name="Picture 28"/>
            <a:graphic>
              <a:graphicData uri="http://schemas.openxmlformats.org/drawingml/2006/picture">
                <pic:pic>
                  <pic:nvPicPr>
                    <pic:cNvPr hidden="false" id="27" name="Picture 27"/>
                    <pic:cNvPicPr preferRelativeResize="true"/>
                  </pic:nvPicPr>
                  <pic:blipFill>
                    <a:blip r:embed="rId14"/>
                    <a:srcRect b="0" l="0" r="0" t="0"/>
                    <a:stretch/>
                  </pic:blipFill>
                  <pic:spPr>
                    <a:xfrm flipH="false" flipV="false" rot="0">
                      <a:ext cx="6228000" cy="306931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4020000">
      <w:pPr>
        <w:spacing w:line="360" w:lineRule="auto"/>
        <w:ind w:right="57"/>
        <w:jc w:val="both"/>
        <w:rPr>
          <w:sz w:val="24"/>
        </w:rPr>
      </w:pPr>
    </w:p>
    <w:p w14:paraId="6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Самое полное описание драйвера содержится в соответствующем PDF файле на официальном сайте либо в справочном элементе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. </w:t>
      </w:r>
    </w:p>
    <w:p w14:paraId="6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Настройка соединения между устройством-клиентом (PLC </w:t>
      </w:r>
      <w:r>
        <w:rPr>
          <w:sz w:val="24"/>
        </w:rPr>
        <w:t>Siemens</w:t>
      </w:r>
      <w:r>
        <w:rPr>
          <w:sz w:val="24"/>
        </w:rPr>
        <w:t xml:space="preserve"> S7 1200) и управляющими командами производится в среде разработки TIA </w:t>
      </w:r>
      <w:r>
        <w:rPr>
          <w:sz w:val="24"/>
        </w:rPr>
        <w:t>Portal</w:t>
      </w:r>
      <w:r>
        <w:rPr>
          <w:sz w:val="24"/>
        </w:rPr>
        <w:t xml:space="preserve"> V15.1.</w:t>
      </w:r>
    </w:p>
    <w:p w14:paraId="6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Для написания программного кода, отвечающего за протокол связи и систему управления, используется язык программирования </w:t>
      </w:r>
      <w:r>
        <w:rPr>
          <w:sz w:val="24"/>
        </w:rPr>
        <w:t>Ladder</w:t>
      </w:r>
      <w:r>
        <w:rPr>
          <w:sz w:val="24"/>
        </w:rPr>
        <w:t xml:space="preserve"> (язык лестничной логики) </w:t>
      </w:r>
    </w:p>
    <w:p w14:paraId="6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Основные команды, относящиеся к режиму работы промышленного протокола связи </w:t>
      </w:r>
      <w:r>
        <w:rPr>
          <w:sz w:val="24"/>
        </w:rPr>
        <w:t>Modbus</w:t>
      </w:r>
      <w:r>
        <w:rPr>
          <w:sz w:val="24"/>
        </w:rPr>
        <w:t xml:space="preserve"> TCP/IP, включают следующие:  </w:t>
      </w:r>
    </w:p>
    <w:p w14:paraId="6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MB_MODE: содержит информацию о режиме работы протокола </w:t>
      </w:r>
      <w:r>
        <w:rPr>
          <w:sz w:val="24"/>
        </w:rPr>
        <w:t>Modbus</w:t>
      </w:r>
      <w:r>
        <w:rPr>
          <w:sz w:val="24"/>
        </w:rPr>
        <w:t xml:space="preserve">;  </w:t>
      </w:r>
    </w:p>
    <w:p w14:paraId="6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MB_DATA_ADDR: указывает начальный адрес памяти, где происходит поиск информационного сообщения;  </w:t>
      </w:r>
    </w:p>
    <w:p w14:paraId="6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MB_DATA_LEN: определяет длину информации, которую необходимо</w:t>
      </w:r>
      <w:r>
        <w:rPr>
          <w:sz w:val="24"/>
        </w:rPr>
        <w:t xml:space="preserve"> обработать устройству-клиенту </w:t>
      </w:r>
    </w:p>
    <w:p w14:paraId="6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Эти команды позволяют настроить соединение и управление данными между устройством-клиентом и другими устройствами, использующими протокол </w:t>
      </w:r>
      <w:r>
        <w:rPr>
          <w:sz w:val="24"/>
        </w:rPr>
        <w:t>Modbus</w:t>
      </w:r>
      <w:r>
        <w:rPr>
          <w:sz w:val="24"/>
        </w:rPr>
        <w:t xml:space="preserve"> TCP/IP. </w:t>
      </w:r>
    </w:p>
    <w:p w14:paraId="6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осуществления чтения и записи данных в блоке "Чтение/запись" необходимо выбрать устройство "</w:t>
      </w:r>
      <w:r>
        <w:rPr>
          <w:sz w:val="24"/>
        </w:rPr>
        <w:t>Modbus</w:t>
      </w:r>
      <w:r>
        <w:rPr>
          <w:sz w:val="24"/>
        </w:rPr>
        <w:t xml:space="preserve"> TCP/IP" из выпадающего списка и указать адрес соответствующего типа регистра, согласно документации на ПЛК. Если используется драйвер MODBUS RTU и на линии несколько устройств, нужно указать адрес станции в поле номера регистра или через системный регистр. Важно учитывать, что один регистр </w:t>
      </w:r>
      <w:r>
        <w:rPr>
          <w:sz w:val="24"/>
        </w:rPr>
        <w:t>Modbus</w:t>
      </w:r>
      <w:r>
        <w:rPr>
          <w:sz w:val="24"/>
        </w:rPr>
        <w:t xml:space="preserve"> занимает 16 бит, что соответствует одному машинному слову (WORD) и его формат может быть различным (например, 16 без знака, 16 бит со знаком). </w:t>
      </w:r>
    </w:p>
    <w:p w14:paraId="6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Таким образом, ч</w:t>
      </w:r>
      <w:r>
        <w:rPr>
          <w:sz w:val="24"/>
        </w:rPr>
        <w:t>тобы определить формат передаваемых данных, необходимо в окне свойств объекта "Числовой" на вкладке "Формат данных" выбрать соответствующий формат из выпадающего списка.</w:t>
      </w:r>
      <w:r>
        <w:rPr>
          <w:sz w:val="24"/>
        </w:rPr>
        <w:t xml:space="preserve"> </w:t>
      </w:r>
      <w:r>
        <w:rPr>
          <w:sz w:val="24"/>
        </w:rPr>
        <w:t xml:space="preserve">Если в формате данных выбрать 32 битный формат, то для передачи переменных типа </w:t>
      </w:r>
      <w:r>
        <w:rPr>
          <w:sz w:val="24"/>
        </w:rPr>
        <w:t>float</w:t>
      </w:r>
      <w:r>
        <w:rPr>
          <w:sz w:val="24"/>
        </w:rPr>
        <w:t>, следует считать 2 регистра подряд на стороне ПЛК. Это более удобно, чем конфигурация переменных в соседние регистры с учетом адресации.</w:t>
      </w:r>
      <w:r>
        <w:rPr>
          <w:sz w:val="24"/>
        </w:rPr>
        <w:t xml:space="preserve"> </w:t>
      </w:r>
      <w:r>
        <w:rPr>
          <w:sz w:val="24"/>
        </w:rPr>
        <w:t>Однако</w:t>
      </w:r>
      <w:r>
        <w:rPr>
          <w:sz w:val="24"/>
        </w:rPr>
        <w:t>,</w:t>
      </w:r>
      <w:r>
        <w:rPr>
          <w:sz w:val="24"/>
        </w:rPr>
        <w:t xml:space="preserve"> работать с адресами регистров может быть неудобно, особенно, когда их больше 4-5. В этом случае сложно запомнить, за каким номером закреплен какой технологический параметр, особенно, если используется 32 битные переменные и нужно учитывать адресацию +1 регистр для следующей переменной. Чтобы облегчить этот процесс, </w:t>
      </w:r>
      <w:r>
        <w:rPr>
          <w:sz w:val="24"/>
        </w:rPr>
        <w:t>EasyBuilder</w:t>
      </w:r>
      <w:r>
        <w:rPr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 xml:space="preserve"> предоставляет библиотеку адресных меток, которые позволяют использовать символьные имена переменных. Теги, привязанные в проекте, будут отмечены красным шрифтом в Библиотеке адресных меток. Для ПЛК S7-1200/S7-1500 можно выделить два варианта адресации:  абсолютная (блоки DB);  символьная (по именам тегов).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decimal"/>
      <w:pStyle w:val="Style_18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decimal"/>
      <w:pStyle w:val="Style_29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4" w:type="paragraph">
    <w:name w:val="Normal"/>
    <w:link w:val="Style_14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14_ch" w:type="character">
    <w:name w:val="Normal"/>
    <w:link w:val="Style_14"/>
    <w:rPr>
      <w:rFonts w:ascii="Times New Roman" w:hAnsi="Times New Roman"/>
      <w:sz w:val="20"/>
    </w:rPr>
  </w:style>
  <w:style w:styleId="Style_15" w:type="paragraph">
    <w:name w:val="toc 2"/>
    <w:basedOn w:val="Style_14"/>
    <w:next w:val="Style_14"/>
    <w:link w:val="Style_15_ch"/>
    <w:uiPriority w:val="39"/>
    <w:pPr>
      <w:spacing w:after="100"/>
      <w:ind w:firstLine="0" w:left="200"/>
    </w:pPr>
  </w:style>
  <w:style w:styleId="Style_15_ch" w:type="character">
    <w:name w:val="toc 2"/>
    <w:basedOn w:val="Style_14_ch"/>
    <w:link w:val="Style_15"/>
  </w:style>
  <w:style w:styleId="Style_4" w:type="paragraph">
    <w:name w:val="clipboard"/>
    <w:basedOn w:val="Style_16"/>
    <w:link w:val="Style_4_ch"/>
  </w:style>
  <w:style w:styleId="Style_4_ch" w:type="character">
    <w:name w:val="clipboard"/>
    <w:basedOn w:val="Style_16_ch"/>
    <w:link w:val="Style_4"/>
  </w:style>
  <w:style w:styleId="Style_17" w:type="paragraph">
    <w:name w:val="toc 4"/>
    <w:next w:val="Style_14"/>
    <w:link w:val="Style_1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7_ch" w:type="character">
    <w:name w:val="toc 4"/>
    <w:link w:val="Style_17"/>
    <w:rPr>
      <w:rFonts w:ascii="XO Thames" w:hAnsi="XO Thames"/>
      <w:sz w:val="28"/>
    </w:rPr>
  </w:style>
  <w:style w:styleId="Style_18" w:type="paragraph">
    <w:name w:val="СписокНум"/>
    <w:basedOn w:val="Style_14"/>
    <w:link w:val="Style_18_ch"/>
    <w:pPr>
      <w:numPr>
        <w:numId w:val="2"/>
      </w:numPr>
      <w:ind/>
      <w:jc w:val="both"/>
    </w:pPr>
    <w:rPr>
      <w:color w:val="000000"/>
      <w:sz w:val="28"/>
    </w:rPr>
  </w:style>
  <w:style w:styleId="Style_18_ch" w:type="character">
    <w:name w:val="СписокНум"/>
    <w:basedOn w:val="Style_14_ch"/>
    <w:link w:val="Style_18"/>
    <w:rPr>
      <w:color w:val="000000"/>
      <w:sz w:val="28"/>
    </w:rPr>
  </w:style>
  <w:style w:styleId="Style_19" w:type="paragraph">
    <w:name w:val="toc 6"/>
    <w:next w:val="Style_14"/>
    <w:link w:val="Style_1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9_ch" w:type="character">
    <w:name w:val="toc 6"/>
    <w:link w:val="Style_19"/>
    <w:rPr>
      <w:rFonts w:ascii="XO Thames" w:hAnsi="XO Thames"/>
      <w:sz w:val="28"/>
    </w:rPr>
  </w:style>
  <w:style w:styleId="Style_20" w:type="paragraph">
    <w:name w:val="toc 7"/>
    <w:next w:val="Style_14"/>
    <w:link w:val="Style_2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0_ch" w:type="character">
    <w:name w:val="toc 7"/>
    <w:link w:val="Style_20"/>
    <w:rPr>
      <w:rFonts w:ascii="XO Thames" w:hAnsi="XO Thames"/>
      <w:sz w:val="28"/>
    </w:rPr>
  </w:style>
  <w:style w:styleId="Style_21" w:type="paragraph">
    <w:name w:val="Style3"/>
    <w:basedOn w:val="Style_14"/>
    <w:link w:val="Style_21_ch"/>
    <w:rPr>
      <w:sz w:val="24"/>
    </w:rPr>
  </w:style>
  <w:style w:styleId="Style_21_ch" w:type="character">
    <w:name w:val="Style3"/>
    <w:basedOn w:val="Style_14_ch"/>
    <w:link w:val="Style_21"/>
    <w:rPr>
      <w:sz w:val="24"/>
    </w:rPr>
  </w:style>
  <w:style w:styleId="Style_22" w:type="paragraph">
    <w:name w:val="Абзац списка1"/>
    <w:basedOn w:val="Style_14"/>
    <w:link w:val="Style_22_ch"/>
    <w:pPr>
      <w:widowControl w:val="1"/>
      <w:ind w:firstLine="0" w:left="708"/>
    </w:pPr>
  </w:style>
  <w:style w:styleId="Style_22_ch" w:type="character">
    <w:name w:val="Абзац списка1"/>
    <w:basedOn w:val="Style_14_ch"/>
    <w:link w:val="Style_22"/>
  </w:style>
  <w:style w:styleId="Style_23" w:type="paragraph">
    <w:name w:val="heading 3"/>
    <w:basedOn w:val="Style_14"/>
    <w:next w:val="Style_14"/>
    <w:link w:val="Style_23_ch"/>
    <w:uiPriority w:val="9"/>
    <w:qFormat/>
    <w:pPr>
      <w:keepNext w:val="1"/>
      <w:keepLines w:val="1"/>
      <w:spacing w:before="40"/>
      <w:ind/>
      <w:outlineLvl w:val="2"/>
    </w:pPr>
    <w:rPr>
      <w:rFonts w:asciiTheme="majorAscii" w:hAnsiTheme="majorHAnsi"/>
      <w:color w:themeColor="accent1" w:themeShade="7F" w:val="1F4E79"/>
      <w:sz w:val="24"/>
    </w:rPr>
  </w:style>
  <w:style w:styleId="Style_23_ch" w:type="character">
    <w:name w:val="heading 3"/>
    <w:basedOn w:val="Style_14_ch"/>
    <w:link w:val="Style_23"/>
    <w:rPr>
      <w:rFonts w:asciiTheme="majorAscii" w:hAnsiTheme="majorHAnsi"/>
      <w:color w:themeColor="accent1" w:themeShade="7F" w:val="1F4E79"/>
      <w:sz w:val="24"/>
    </w:rPr>
  </w:style>
  <w:style w:styleId="Style_24" w:type="paragraph">
    <w:name w:val="western"/>
    <w:basedOn w:val="Style_14"/>
    <w:link w:val="Style_24_ch"/>
    <w:pPr>
      <w:widowControl w:val="1"/>
      <w:spacing w:afterAutospacing="on" w:beforeAutospacing="on"/>
      <w:ind/>
    </w:pPr>
    <w:rPr>
      <w:sz w:val="24"/>
    </w:rPr>
  </w:style>
  <w:style w:styleId="Style_24_ch" w:type="character">
    <w:name w:val="western"/>
    <w:basedOn w:val="Style_14_ch"/>
    <w:link w:val="Style_24"/>
    <w:rPr>
      <w:sz w:val="24"/>
    </w:rPr>
  </w:style>
  <w:style w:styleId="Style_3" w:type="paragraph">
    <w:name w:val="enquiry-tile__text"/>
    <w:basedOn w:val="Style_14"/>
    <w:link w:val="Style_3_ch"/>
    <w:pPr>
      <w:widowControl w:val="1"/>
      <w:spacing w:afterAutospacing="on" w:beforeAutospacing="on"/>
      <w:ind/>
    </w:pPr>
    <w:rPr>
      <w:sz w:val="24"/>
    </w:rPr>
  </w:style>
  <w:style w:styleId="Style_3_ch" w:type="character">
    <w:name w:val="enquiry-tile__text"/>
    <w:basedOn w:val="Style_14_ch"/>
    <w:link w:val="Style_3"/>
    <w:rPr>
      <w:sz w:val="24"/>
    </w:rPr>
  </w:style>
  <w:style w:styleId="Style_25" w:type="paragraph">
    <w:name w:val="Body Text"/>
    <w:basedOn w:val="Style_14"/>
    <w:link w:val="Style_25_ch"/>
    <w:pPr>
      <w:spacing w:after="120"/>
      <w:ind/>
    </w:pPr>
  </w:style>
  <w:style w:styleId="Style_25_ch" w:type="character">
    <w:name w:val="Body Text"/>
    <w:basedOn w:val="Style_14_ch"/>
    <w:link w:val="Style_25"/>
  </w:style>
  <w:style w:styleId="Style_9" w:type="paragraph">
    <w:name w:val="Strong"/>
    <w:link w:val="Style_9_ch"/>
    <w:rPr>
      <w:b w:val="1"/>
    </w:rPr>
  </w:style>
  <w:style w:styleId="Style_9_ch" w:type="character">
    <w:name w:val="Strong"/>
    <w:link w:val="Style_9"/>
    <w:rPr>
      <w:b w:val="1"/>
    </w:rPr>
  </w:style>
  <w:style w:styleId="Style_26" w:type="paragraph">
    <w:name w:val="No Spacing"/>
    <w:basedOn w:val="Style_14"/>
    <w:link w:val="Style_26_ch"/>
    <w:pPr>
      <w:widowControl w:val="1"/>
      <w:spacing w:line="360" w:lineRule="auto"/>
      <w:ind/>
      <w:jc w:val="both"/>
    </w:pPr>
    <w:rPr>
      <w:b w:val="1"/>
      <w:sz w:val="24"/>
    </w:rPr>
  </w:style>
  <w:style w:styleId="Style_26_ch" w:type="character">
    <w:name w:val="No Spacing"/>
    <w:basedOn w:val="Style_14_ch"/>
    <w:link w:val="Style_26"/>
    <w:rPr>
      <w:b w:val="1"/>
      <w:sz w:val="24"/>
    </w:rPr>
  </w:style>
  <w:style w:styleId="Style_27" w:type="paragraph">
    <w:name w:val="Default"/>
    <w:link w:val="Style_27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7_ch" w:type="character">
    <w:name w:val="Default"/>
    <w:link w:val="Style_27"/>
    <w:rPr>
      <w:rFonts w:ascii="Times New Roman" w:hAnsi="Times New Roman"/>
      <w:color w:val="000000"/>
      <w:sz w:val="24"/>
    </w:rPr>
  </w:style>
  <w:style w:styleId="Style_28" w:type="paragraph">
    <w:name w:val="header"/>
    <w:basedOn w:val="Style_14"/>
    <w:link w:val="Style_28_ch"/>
    <w:pPr>
      <w:tabs>
        <w:tab w:leader="none" w:pos="4677" w:val="center"/>
        <w:tab w:leader="none" w:pos="9355" w:val="right"/>
      </w:tabs>
      <w:ind/>
    </w:pPr>
  </w:style>
  <w:style w:styleId="Style_28_ch" w:type="character">
    <w:name w:val="header"/>
    <w:basedOn w:val="Style_14_ch"/>
    <w:link w:val="Style_28"/>
  </w:style>
  <w:style w:styleId="Style_29" w:type="paragraph">
    <w:name w:val="toc 3"/>
    <w:basedOn w:val="Style_14"/>
    <w:next w:val="Style_14"/>
    <w:link w:val="Style_29_ch"/>
    <w:uiPriority w:val="39"/>
    <w:pPr>
      <w:widowControl w:val="1"/>
      <w:numPr>
        <w:numId w:val="3"/>
      </w:numPr>
      <w:spacing w:after="100" w:line="360" w:lineRule="auto"/>
      <w:ind w:firstLine="0" w:left="460"/>
      <w:jc w:val="both"/>
    </w:pPr>
    <w:rPr>
      <w:sz w:val="28"/>
    </w:rPr>
  </w:style>
  <w:style w:styleId="Style_29_ch" w:type="character">
    <w:name w:val="toc 3"/>
    <w:basedOn w:val="Style_14_ch"/>
    <w:link w:val="Style_29"/>
    <w:rPr>
      <w:sz w:val="28"/>
    </w:rPr>
  </w:style>
  <w:style w:styleId="Style_30" w:type="paragraph">
    <w:name w:val="c0"/>
    <w:basedOn w:val="Style_16"/>
    <w:link w:val="Style_30_ch"/>
  </w:style>
  <w:style w:styleId="Style_30_ch" w:type="character">
    <w:name w:val="c0"/>
    <w:basedOn w:val="Style_16_ch"/>
    <w:link w:val="Style_30"/>
  </w:style>
  <w:style w:styleId="Style_31" w:type="paragraph">
    <w:name w:val="align_left"/>
    <w:basedOn w:val="Style_14"/>
    <w:link w:val="Style_31_ch"/>
    <w:pPr>
      <w:widowControl w:val="1"/>
      <w:spacing w:afterAutospacing="on" w:beforeAutospacing="on"/>
      <w:ind/>
    </w:pPr>
    <w:rPr>
      <w:sz w:val="24"/>
    </w:rPr>
  </w:style>
  <w:style w:styleId="Style_31_ch" w:type="character">
    <w:name w:val="align_left"/>
    <w:basedOn w:val="Style_14_ch"/>
    <w:link w:val="Style_31"/>
    <w:rPr>
      <w:sz w:val="24"/>
    </w:rPr>
  </w:style>
  <w:style w:styleId="Style_32" w:type="paragraph">
    <w:name w:val="footer"/>
    <w:basedOn w:val="Style_14"/>
    <w:link w:val="Style_32_ch"/>
    <w:pPr>
      <w:tabs>
        <w:tab w:leader="none" w:pos="4677" w:val="center"/>
        <w:tab w:leader="none" w:pos="9355" w:val="right"/>
      </w:tabs>
      <w:ind/>
    </w:pPr>
  </w:style>
  <w:style w:styleId="Style_32_ch" w:type="character">
    <w:name w:val="footer"/>
    <w:basedOn w:val="Style_14_ch"/>
    <w:link w:val="Style_32"/>
  </w:style>
  <w:style w:styleId="Style_33" w:type="paragraph">
    <w:name w:val="ConsPlusNormal"/>
    <w:link w:val="Style_33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33_ch" w:type="character">
    <w:name w:val="ConsPlusNormal"/>
    <w:link w:val="Style_33"/>
    <w:rPr>
      <w:rFonts w:ascii="Times New Roman" w:hAnsi="Times New Roman"/>
      <w:sz w:val="24"/>
    </w:rPr>
  </w:style>
  <w:style w:styleId="Style_34" w:type="paragraph">
    <w:name w:val="heading 5"/>
    <w:next w:val="Style_14"/>
    <w:link w:val="Style_3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4_ch" w:type="character">
    <w:name w:val="heading 5"/>
    <w:link w:val="Style_34"/>
    <w:rPr>
      <w:rFonts w:ascii="XO Thames" w:hAnsi="XO Thames"/>
      <w:b w:val="1"/>
      <w:sz w:val="2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35" w:type="paragraph">
    <w:name w:val="annotation reference"/>
    <w:basedOn w:val="Style_16"/>
    <w:link w:val="Style_35_ch"/>
    <w:rPr>
      <w:sz w:val="16"/>
    </w:rPr>
  </w:style>
  <w:style w:styleId="Style_35_ch" w:type="character">
    <w:name w:val="annotation reference"/>
    <w:basedOn w:val="Style_16_ch"/>
    <w:link w:val="Style_35"/>
    <w:rPr>
      <w:sz w:val="16"/>
    </w:rPr>
  </w:style>
  <w:style w:styleId="Style_36" w:type="paragraph">
    <w:name w:val="heading 1"/>
    <w:basedOn w:val="Style_14"/>
    <w:link w:val="Style_36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36_ch" w:type="character">
    <w:name w:val="heading 1"/>
    <w:basedOn w:val="Style_14_ch"/>
    <w:link w:val="Style_36"/>
    <w:rPr>
      <w:b w:val="1"/>
      <w:sz w:val="48"/>
    </w:rPr>
  </w:style>
  <w:style w:styleId="Style_11" w:type="paragraph">
    <w:name w:val="Название рисунка"/>
    <w:basedOn w:val="Style_37"/>
    <w:link w:val="Style_11_ch"/>
    <w:pPr>
      <w:widowControl w:val="1"/>
      <w:spacing w:after="120" w:before="120"/>
      <w:ind/>
      <w:jc w:val="center"/>
    </w:pPr>
    <w:rPr>
      <w:b w:val="0"/>
      <w:color w:val="000000"/>
      <w:sz w:val="28"/>
    </w:rPr>
  </w:style>
  <w:style w:styleId="Style_11_ch" w:type="character">
    <w:name w:val="Название рисунка"/>
    <w:basedOn w:val="Style_37_ch"/>
    <w:link w:val="Style_11"/>
    <w:rPr>
      <w:b w:val="0"/>
      <w:color w:val="000000"/>
      <w:sz w:val="28"/>
    </w:rPr>
  </w:style>
  <w:style w:styleId="Style_38" w:type="paragraph">
    <w:name w:val="annotation text"/>
    <w:basedOn w:val="Style_14"/>
    <w:link w:val="Style_38_ch"/>
  </w:style>
  <w:style w:styleId="Style_38_ch" w:type="character">
    <w:name w:val="annotation text"/>
    <w:basedOn w:val="Style_14_ch"/>
    <w:link w:val="Style_38"/>
  </w:style>
  <w:style w:styleId="Style_39" w:type="paragraph">
    <w:name w:val="FollowedHyperlink"/>
    <w:basedOn w:val="Style_16"/>
    <w:link w:val="Style_39_ch"/>
    <w:rPr>
      <w:color w:themeColor="followedHyperlink" w:val="954F72"/>
      <w:u w:val="single"/>
    </w:rPr>
  </w:style>
  <w:style w:styleId="Style_39_ch" w:type="character">
    <w:name w:val="FollowedHyperlink"/>
    <w:basedOn w:val="Style_16_ch"/>
    <w:link w:val="Style_39"/>
    <w:rPr>
      <w:color w:themeColor="followedHyperlink" w:val="954F72"/>
      <w:u w:val="single"/>
    </w:rPr>
  </w:style>
  <w:style w:styleId="Style_40" w:type="paragraph">
    <w:name w:val="Body Text Indent"/>
    <w:basedOn w:val="Style_14"/>
    <w:link w:val="Style_40_ch"/>
    <w:pPr>
      <w:spacing w:after="120"/>
      <w:ind w:firstLine="0" w:left="283"/>
    </w:pPr>
  </w:style>
  <w:style w:styleId="Style_40_ch" w:type="character">
    <w:name w:val="Body Text Indent"/>
    <w:basedOn w:val="Style_14_ch"/>
    <w:link w:val="Style_40"/>
  </w:style>
  <w:style w:styleId="Style_41" w:type="paragraph">
    <w:name w:val="apple-style-span"/>
    <w:basedOn w:val="Style_16"/>
    <w:link w:val="Style_41_ch"/>
  </w:style>
  <w:style w:styleId="Style_41_ch" w:type="character">
    <w:name w:val="apple-style-span"/>
    <w:basedOn w:val="Style_16_ch"/>
    <w:link w:val="Style_41"/>
  </w:style>
  <w:style w:styleId="Style_5" w:type="paragraph">
    <w:name w:val="Hyperlink"/>
    <w:basedOn w:val="Style_16"/>
    <w:link w:val="Style_5_ch"/>
    <w:rPr>
      <w:color w:val="0000FF"/>
      <w:u w:val="single"/>
    </w:rPr>
  </w:style>
  <w:style w:styleId="Style_5_ch" w:type="character">
    <w:name w:val="Hyperlink"/>
    <w:basedOn w:val="Style_16_ch"/>
    <w:link w:val="Style_5"/>
    <w:rPr>
      <w:color w:val="0000FF"/>
      <w:u w:val="single"/>
    </w:rPr>
  </w:style>
  <w:style w:styleId="Style_42" w:type="paragraph">
    <w:name w:val="Footnote"/>
    <w:basedOn w:val="Style_14"/>
    <w:link w:val="Style_42_ch"/>
    <w:pPr>
      <w:widowControl w:val="1"/>
      <w:ind/>
    </w:pPr>
  </w:style>
  <w:style w:styleId="Style_42_ch" w:type="character">
    <w:name w:val="Footnote"/>
    <w:basedOn w:val="Style_14_ch"/>
    <w:link w:val="Style_42"/>
  </w:style>
  <w:style w:styleId="Style_43" w:type="paragraph">
    <w:name w:val="toc 1"/>
    <w:basedOn w:val="Style_14"/>
    <w:next w:val="Style_14"/>
    <w:link w:val="Style_43_ch"/>
    <w:uiPriority w:val="39"/>
    <w:pPr>
      <w:tabs>
        <w:tab w:leader="dot" w:pos="9628" w:val="right"/>
      </w:tabs>
      <w:spacing w:after="120"/>
      <w:ind/>
    </w:pPr>
  </w:style>
  <w:style w:styleId="Style_43_ch" w:type="character">
    <w:name w:val="toc 1"/>
    <w:basedOn w:val="Style_14_ch"/>
    <w:link w:val="Style_43"/>
  </w:style>
  <w:style w:styleId="Style_10" w:type="paragraph">
    <w:name w:val="enquiry-text"/>
    <w:basedOn w:val="Style_14"/>
    <w:link w:val="Style_10_ch"/>
    <w:pPr>
      <w:widowControl w:val="1"/>
      <w:spacing w:afterAutospacing="on" w:beforeAutospacing="on"/>
      <w:ind/>
    </w:pPr>
    <w:rPr>
      <w:sz w:val="24"/>
    </w:rPr>
  </w:style>
  <w:style w:styleId="Style_10_ch" w:type="character">
    <w:name w:val="enquiry-text"/>
    <w:basedOn w:val="Style_14_ch"/>
    <w:link w:val="Style_10"/>
    <w:rPr>
      <w:sz w:val="24"/>
    </w:rPr>
  </w:style>
  <w:style w:styleId="Style_44" w:type="paragraph">
    <w:name w:val="Header and Footer"/>
    <w:link w:val="Style_44_ch"/>
    <w:pPr>
      <w:spacing w:line="240" w:lineRule="auto"/>
      <w:ind/>
      <w:jc w:val="both"/>
    </w:pPr>
    <w:rPr>
      <w:rFonts w:ascii="XO Thames" w:hAnsi="XO Thames"/>
      <w:sz w:val="20"/>
    </w:rPr>
  </w:style>
  <w:style w:styleId="Style_44_ch" w:type="character">
    <w:name w:val="Header and Footer"/>
    <w:link w:val="Style_44"/>
    <w:rPr>
      <w:rFonts w:ascii="XO Thames" w:hAnsi="XO Thames"/>
      <w:sz w:val="20"/>
    </w:rPr>
  </w:style>
  <w:style w:styleId="Style_1" w:type="paragraph">
    <w:name w:val="List Paragraph"/>
    <w:basedOn w:val="Style_14"/>
    <w:link w:val="Style_1_ch"/>
    <w:pPr>
      <w:ind w:firstLine="0" w:left="720"/>
      <w:contextualSpacing w:val="1"/>
    </w:pPr>
  </w:style>
  <w:style w:styleId="Style_1_ch" w:type="character">
    <w:name w:val="List Paragraph"/>
    <w:basedOn w:val="Style_14_ch"/>
    <w:link w:val="Style_1"/>
  </w:style>
  <w:style w:styleId="Style_45" w:type="paragraph">
    <w:name w:val="footnote reference"/>
    <w:link w:val="Style_45_ch"/>
    <w:rPr>
      <w:vertAlign w:val="superscript"/>
    </w:rPr>
  </w:style>
  <w:style w:styleId="Style_45_ch" w:type="character">
    <w:name w:val="footnote reference"/>
    <w:link w:val="Style_45"/>
    <w:rPr>
      <w:vertAlign w:val="superscript"/>
    </w:rPr>
  </w:style>
  <w:style w:styleId="Style_46" w:type="paragraph">
    <w:name w:val="toc 9"/>
    <w:next w:val="Style_14"/>
    <w:link w:val="Style_4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6_ch" w:type="character">
    <w:name w:val="toc 9"/>
    <w:link w:val="Style_46"/>
    <w:rPr>
      <w:rFonts w:ascii="XO Thames" w:hAnsi="XO Thames"/>
      <w:sz w:val="28"/>
    </w:rPr>
  </w:style>
  <w:style w:styleId="Style_47" w:type="paragraph">
    <w:name w:val="TOC Heading"/>
    <w:basedOn w:val="Style_36"/>
    <w:next w:val="Style_14"/>
    <w:link w:val="Style_47_ch"/>
    <w:pPr>
      <w:keepNext w:val="1"/>
      <w:keepLines w:val="1"/>
      <w:spacing w:after="0" w:before="240" w:line="264" w:lineRule="auto"/>
      <w:ind/>
      <w:outlineLvl w:val="8"/>
    </w:pPr>
    <w:rPr>
      <w:rFonts w:asciiTheme="majorAscii" w:hAnsiTheme="majorHAnsi"/>
      <w:b w:val="0"/>
      <w:color w:themeColor="accent1" w:themeShade="BF" w:val="2E75B5"/>
      <w:sz w:val="32"/>
    </w:rPr>
  </w:style>
  <w:style w:styleId="Style_47_ch" w:type="character">
    <w:name w:val="TOC Heading"/>
    <w:basedOn w:val="Style_36_ch"/>
    <w:link w:val="Style_47"/>
    <w:rPr>
      <w:rFonts w:asciiTheme="majorAscii" w:hAnsiTheme="majorHAnsi"/>
      <w:b w:val="0"/>
      <w:color w:themeColor="accent1" w:themeShade="BF" w:val="2E75B5"/>
      <w:sz w:val="32"/>
    </w:rPr>
  </w:style>
  <w:style w:styleId="Style_2" w:type="paragraph">
    <w:name w:val="Normal (Web)"/>
    <w:basedOn w:val="Style_14"/>
    <w:link w:val="Style_2_ch"/>
    <w:pPr>
      <w:widowControl w:val="1"/>
      <w:spacing w:afterAutospacing="on" w:beforeAutospacing="on"/>
      <w:ind/>
    </w:pPr>
    <w:rPr>
      <w:sz w:val="24"/>
    </w:rPr>
  </w:style>
  <w:style w:styleId="Style_2_ch" w:type="character">
    <w:name w:val="Normal (Web)"/>
    <w:basedOn w:val="Style_14_ch"/>
    <w:link w:val="Style_2"/>
    <w:rPr>
      <w:sz w:val="24"/>
    </w:rPr>
  </w:style>
  <w:style w:styleId="Style_7" w:type="paragraph">
    <w:name w:val="Table Paragraph"/>
    <w:basedOn w:val="Style_14"/>
    <w:link w:val="Style_7_ch"/>
    <w:pPr>
      <w:ind w:firstLine="0" w:left="107"/>
    </w:pPr>
    <w:rPr>
      <w:sz w:val="22"/>
    </w:rPr>
  </w:style>
  <w:style w:styleId="Style_7_ch" w:type="character">
    <w:name w:val="Table Paragraph"/>
    <w:basedOn w:val="Style_14_ch"/>
    <w:link w:val="Style_7"/>
    <w:rPr>
      <w:sz w:val="22"/>
    </w:rPr>
  </w:style>
  <w:style w:styleId="Style_8" w:type="paragraph">
    <w:name w:val="futurismarkdown-paragraph"/>
    <w:basedOn w:val="Style_14"/>
    <w:link w:val="Style_8_ch"/>
    <w:pPr>
      <w:widowControl w:val="1"/>
      <w:spacing w:afterAutospacing="on" w:beforeAutospacing="on"/>
      <w:ind/>
    </w:pPr>
    <w:rPr>
      <w:sz w:val="24"/>
    </w:rPr>
  </w:style>
  <w:style w:styleId="Style_8_ch" w:type="character">
    <w:name w:val="futurismarkdown-paragraph"/>
    <w:basedOn w:val="Style_14_ch"/>
    <w:link w:val="Style_8"/>
    <w:rPr>
      <w:sz w:val="24"/>
    </w:rPr>
  </w:style>
  <w:style w:styleId="Style_12" w:type="paragraph">
    <w:name w:val="Название таблицы"/>
    <w:basedOn w:val="Style_37"/>
    <w:link w:val="Style_12_ch"/>
    <w:pPr>
      <w:keepNext w:val="1"/>
      <w:widowControl w:val="1"/>
      <w:spacing w:after="120" w:before="120"/>
      <w:ind/>
      <w:jc w:val="both"/>
    </w:pPr>
    <w:rPr>
      <w:b w:val="0"/>
      <w:color w:val="000000"/>
      <w:sz w:val="28"/>
    </w:rPr>
  </w:style>
  <w:style w:styleId="Style_12_ch" w:type="character">
    <w:name w:val="Название таблицы"/>
    <w:basedOn w:val="Style_37_ch"/>
    <w:link w:val="Style_12"/>
    <w:rPr>
      <w:b w:val="0"/>
      <w:color w:val="000000"/>
      <w:sz w:val="28"/>
    </w:rPr>
  </w:style>
  <w:style w:styleId="Style_48" w:type="paragraph">
    <w:name w:val="toc 8"/>
    <w:next w:val="Style_14"/>
    <w:link w:val="Style_4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8_ch" w:type="character">
    <w:name w:val="toc 8"/>
    <w:link w:val="Style_48"/>
    <w:rPr>
      <w:rFonts w:ascii="XO Thames" w:hAnsi="XO Thames"/>
      <w:sz w:val="28"/>
    </w:rPr>
  </w:style>
  <w:style w:styleId="Style_49" w:type="paragraph">
    <w:name w:val="toc 5"/>
    <w:next w:val="Style_14"/>
    <w:link w:val="Style_4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9_ch" w:type="character">
    <w:name w:val="toc 5"/>
    <w:link w:val="Style_49"/>
    <w:rPr>
      <w:rFonts w:ascii="XO Thames" w:hAnsi="XO Thames"/>
      <w:sz w:val="28"/>
    </w:rPr>
  </w:style>
  <w:style w:styleId="Style_50" w:type="paragraph">
    <w:name w:val="short_name"/>
    <w:basedOn w:val="Style_16"/>
    <w:link w:val="Style_50_ch"/>
  </w:style>
  <w:style w:styleId="Style_50_ch" w:type="character">
    <w:name w:val="short_name"/>
    <w:basedOn w:val="Style_16_ch"/>
    <w:link w:val="Style_50"/>
  </w:style>
  <w:style w:styleId="Style_51" w:type="paragraph">
    <w:name w:val="Font Style11"/>
    <w:link w:val="Style_51_ch"/>
    <w:rPr>
      <w:rFonts w:ascii="Times New Roman" w:hAnsi="Times New Roman"/>
      <w:sz w:val="22"/>
    </w:rPr>
  </w:style>
  <w:style w:styleId="Style_51_ch" w:type="character">
    <w:name w:val="Font Style11"/>
    <w:link w:val="Style_51"/>
    <w:rPr>
      <w:rFonts w:ascii="Times New Roman" w:hAnsi="Times New Roman"/>
      <w:sz w:val="22"/>
    </w:rPr>
  </w:style>
  <w:style w:styleId="Style_52" w:type="paragraph">
    <w:name w:val="short_author"/>
    <w:basedOn w:val="Style_16"/>
    <w:link w:val="Style_52_ch"/>
  </w:style>
  <w:style w:styleId="Style_52_ch" w:type="character">
    <w:name w:val="short_author"/>
    <w:basedOn w:val="Style_16_ch"/>
    <w:link w:val="Style_52"/>
  </w:style>
  <w:style w:styleId="Style_53" w:type="paragraph">
    <w:name w:val="Обычный1"/>
    <w:link w:val="Style_53_ch"/>
    <w:pPr>
      <w:widowControl w:val="0"/>
      <w:spacing w:after="0" w:line="480" w:lineRule="auto"/>
      <w:ind w:hanging="460" w:left="480"/>
      <w:jc w:val="both"/>
    </w:pPr>
    <w:rPr>
      <w:rFonts w:ascii="Times New Roman" w:hAnsi="Times New Roman"/>
      <w:sz w:val="16"/>
    </w:rPr>
  </w:style>
  <w:style w:styleId="Style_53_ch" w:type="character">
    <w:name w:val="Обычный1"/>
    <w:link w:val="Style_53"/>
    <w:rPr>
      <w:rFonts w:ascii="Times New Roman" w:hAnsi="Times New Roman"/>
      <w:sz w:val="16"/>
    </w:rPr>
  </w:style>
  <w:style w:styleId="Style_54" w:type="paragraph">
    <w:name w:val="Balloon Text"/>
    <w:basedOn w:val="Style_14"/>
    <w:link w:val="Style_54_ch"/>
    <w:rPr>
      <w:rFonts w:ascii="Arial" w:hAnsi="Arial"/>
      <w:sz w:val="18"/>
    </w:rPr>
  </w:style>
  <w:style w:styleId="Style_54_ch" w:type="character">
    <w:name w:val="Balloon Text"/>
    <w:basedOn w:val="Style_14_ch"/>
    <w:link w:val="Style_54"/>
    <w:rPr>
      <w:rFonts w:ascii="Arial" w:hAnsi="Arial"/>
      <w:sz w:val="18"/>
    </w:rPr>
  </w:style>
  <w:style w:styleId="Style_55" w:type="paragraph">
    <w:name w:val="Subtitle"/>
    <w:next w:val="Style_14"/>
    <w:link w:val="Style_5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5_ch" w:type="character">
    <w:name w:val="Subtitle"/>
    <w:link w:val="Style_55"/>
    <w:rPr>
      <w:rFonts w:ascii="XO Thames" w:hAnsi="XO Thames"/>
      <w:i w:val="1"/>
      <w:sz w:val="24"/>
    </w:rPr>
  </w:style>
  <w:style w:styleId="Style_37" w:type="paragraph">
    <w:name w:val="caption"/>
    <w:basedOn w:val="Style_14"/>
    <w:next w:val="Style_14"/>
    <w:link w:val="Style_37_ch"/>
    <w:pPr>
      <w:spacing w:after="200"/>
      <w:ind/>
    </w:pPr>
    <w:rPr>
      <w:b w:val="1"/>
      <w:color w:themeColor="accent1" w:val="5B9BD5"/>
      <w:sz w:val="18"/>
    </w:rPr>
  </w:style>
  <w:style w:styleId="Style_37_ch" w:type="character">
    <w:name w:val="caption"/>
    <w:basedOn w:val="Style_14_ch"/>
    <w:link w:val="Style_37"/>
    <w:rPr>
      <w:b w:val="1"/>
      <w:color w:themeColor="accent1" w:val="5B9BD5"/>
      <w:sz w:val="18"/>
    </w:rPr>
  </w:style>
  <w:style w:styleId="Style_56" w:type="paragraph">
    <w:name w:val="Title"/>
    <w:next w:val="Style_14"/>
    <w:link w:val="Style_5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6_ch" w:type="character">
    <w:name w:val="Title"/>
    <w:link w:val="Style_56"/>
    <w:rPr>
      <w:rFonts w:ascii="XO Thames" w:hAnsi="XO Thames"/>
      <w:b w:val="1"/>
      <w:caps w:val="1"/>
      <w:sz w:val="40"/>
    </w:rPr>
  </w:style>
  <w:style w:styleId="Style_57" w:type="paragraph">
    <w:name w:val="heading 4"/>
    <w:next w:val="Style_14"/>
    <w:link w:val="Style_5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7_ch" w:type="character">
    <w:name w:val="heading 4"/>
    <w:link w:val="Style_57"/>
    <w:rPr>
      <w:rFonts w:ascii="XO Thames" w:hAnsi="XO Thames"/>
      <w:b w:val="1"/>
      <w:sz w:val="24"/>
    </w:rPr>
  </w:style>
  <w:style w:styleId="Style_58" w:type="paragraph">
    <w:name w:val="Основной текст + 10;5 pt;Не полужирный;Курсив;Интервал 0 pt"/>
    <w:basedOn w:val="Style_16"/>
    <w:link w:val="Style_58_ch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58_ch" w:type="character">
    <w:name w:val="Основной текст + 10;5 pt;Не полужирный;Курсив;Интервал 0 pt"/>
    <w:basedOn w:val="Style_16_ch"/>
    <w:link w:val="Style_58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59" w:type="paragraph">
    <w:name w:val="apple-converted-space"/>
    <w:basedOn w:val="Style_16"/>
    <w:link w:val="Style_59_ch"/>
  </w:style>
  <w:style w:styleId="Style_59_ch" w:type="character">
    <w:name w:val="apple-converted-space"/>
    <w:basedOn w:val="Style_16_ch"/>
    <w:link w:val="Style_59"/>
  </w:style>
  <w:style w:styleId="Style_60" w:type="paragraph">
    <w:name w:val="heading 2"/>
    <w:basedOn w:val="Style_14"/>
    <w:next w:val="Style_14"/>
    <w:link w:val="Style_60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60_ch" w:type="character">
    <w:name w:val="heading 2"/>
    <w:basedOn w:val="Style_14_ch"/>
    <w:link w:val="Style_60"/>
    <w:rPr>
      <w:rFonts w:asciiTheme="majorAscii" w:hAnsiTheme="majorHAnsi"/>
      <w:b w:val="1"/>
      <w:color w:themeColor="accent1" w:val="5B9BD5"/>
      <w:sz w:val="26"/>
    </w:rPr>
  </w:style>
  <w:style w:styleId="Style_13" w:type="paragraph">
    <w:name w:val="Текст документа"/>
    <w:link w:val="Style_13_ch"/>
    <w:pPr>
      <w:spacing w:after="0" w:line="360" w:lineRule="auto"/>
      <w:ind w:firstLine="720" w:left="0"/>
      <w:jc w:val="both"/>
    </w:pPr>
    <w:rPr>
      <w:rFonts w:ascii="Times New Roman" w:hAnsi="Times New Roman"/>
      <w:sz w:val="28"/>
    </w:rPr>
  </w:style>
  <w:style w:styleId="Style_13_ch" w:type="character">
    <w:name w:val="Текст документа"/>
    <w:link w:val="Style_13"/>
    <w:rPr>
      <w:rFonts w:ascii="Times New Roman" w:hAnsi="Times New Roman"/>
      <w:sz w:val="28"/>
    </w:rPr>
  </w:style>
  <w:style w:styleId="Style_61" w:type="paragraph">
    <w:name w:val="c6"/>
    <w:basedOn w:val="Style_14"/>
    <w:link w:val="Style_61_ch"/>
    <w:pPr>
      <w:widowControl w:val="1"/>
      <w:spacing w:afterAutospacing="on" w:beforeAutospacing="on"/>
      <w:ind/>
    </w:pPr>
    <w:rPr>
      <w:sz w:val="24"/>
    </w:rPr>
  </w:style>
  <w:style w:styleId="Style_61_ch" w:type="character">
    <w:name w:val="c6"/>
    <w:basedOn w:val="Style_14_ch"/>
    <w:link w:val="Style_61"/>
    <w:rPr>
      <w:sz w:val="24"/>
    </w:rPr>
  </w:style>
  <w:style w:styleId="Style_62" w:type="table">
    <w:name w:val="Сетка таблицы2"/>
    <w:basedOn w:val="Style_63"/>
    <w:pPr>
      <w:spacing w:after="0" w:line="240" w:lineRule="auto"/>
      <w:ind/>
    </w:pPr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6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" w:type="table">
    <w:name w:val="Table Grid"/>
    <w:basedOn w:val="Style_63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1" Target="numbering.xml" Type="http://schemas.openxmlformats.org/officeDocument/2006/relationships/numbering"/>
  <Relationship Id="rId13" Target="media/13.png" Type="http://schemas.openxmlformats.org/officeDocument/2006/relationships/image"/>
  <Relationship Id="rId11" Target="media/11.png" Type="http://schemas.openxmlformats.org/officeDocument/2006/relationships/image"/>
  <Relationship Id="rId18" Target="stylesWithEffects.xml" Type="http://schemas.microsoft.com/office/2007/relationships/stylesWithEffects"/>
  <Relationship Id="rId17" Target="styles.xml" Type="http://schemas.openxmlformats.org/officeDocument/2006/relationships/styles"/>
  <Relationship Id="rId10" Target="media/10.png" Type="http://schemas.openxmlformats.org/officeDocument/2006/relationships/image"/>
  <Relationship Id="rId15" Target="fontTable.xml" Type="http://schemas.openxmlformats.org/officeDocument/2006/relationships/fontTable"/>
  <Relationship Id="rId9" Target="media/9.png" Type="http://schemas.openxmlformats.org/officeDocument/2006/relationships/image"/>
  <Relationship Id="rId20" Target="theme/theme1.xml" Type="http://schemas.openxmlformats.org/officeDocument/2006/relationships/theme"/>
  <Relationship Id="rId19" Target="webSettings.xml" Type="http://schemas.openxmlformats.org/officeDocument/2006/relationships/webSettings"/>
  <Relationship Id="rId8" Target="media/8.png" Type="http://schemas.openxmlformats.org/officeDocument/2006/relationships/image"/>
  <Relationship Id="rId7" Target="media/7.png" Type="http://schemas.openxmlformats.org/officeDocument/2006/relationships/image"/>
  <Relationship Id="rId14" Target="media/14.png" Type="http://schemas.openxmlformats.org/officeDocument/2006/relationships/image"/>
  <Relationship Id="rId6" Target="media/6.png" Type="http://schemas.openxmlformats.org/officeDocument/2006/relationships/image"/>
  <Relationship Id="rId5" Target="media/5.png" Type="http://schemas.openxmlformats.org/officeDocument/2006/relationships/image"/>
  <Relationship Id="rId4" Target="media/4.png" Type="http://schemas.openxmlformats.org/officeDocument/2006/relationships/image"/>
  <Relationship Id="rId16" Target="settings.xml" Type="http://schemas.openxmlformats.org/officeDocument/2006/relationships/settings"/>
  <Relationship Id="rId12" Target="media/12.png" Type="http://schemas.openxmlformats.org/officeDocument/2006/relationships/image"/>
  <Relationship Id="rId3" Target="media/3.png" Type="http://schemas.openxmlformats.org/officeDocument/2006/relationships/image"/>
  <Relationship Id="rId2" Target="media/2.png" Type="http://schemas.openxmlformats.org/officeDocument/2006/relationships/image"/>
  <Relationship Id="rId1" Target="media/1.emf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2026-07-16T14:12:29Z</dcterms:modified>
</cp:coreProperties>
</file>