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</w:pPr>
      <w:r>
        <w:t>Список использованных источников</w:t>
      </w:r>
    </w:p>
    <w:p w14:paraId="03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4000000">
      <w:pPr>
        <w:pStyle w:val="Style_3"/>
        <w:tabs>
          <w:tab w:leader="none" w:pos="1276" w:val="left"/>
        </w:tabs>
        <w:spacing w:after="0" w:line="360" w:lineRule="auto"/>
        <w:ind w:firstLine="0" w:left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</w:t>
      </w:r>
      <w:r>
        <w:rPr>
          <w:rFonts w:ascii="Times New Roman" w:hAnsi="Times New Roman"/>
          <w:b w:val="1"/>
          <w:sz w:val="28"/>
        </w:rPr>
        <w:t xml:space="preserve">. </w:t>
      </w:r>
      <w:r>
        <w:rPr>
          <w:rFonts w:ascii="Times New Roman" w:hAnsi="Times New Roman"/>
          <w:b w:val="1"/>
          <w:sz w:val="28"/>
        </w:rPr>
        <w:t>Нормативная документация</w:t>
      </w:r>
    </w:p>
    <w:p w14:paraId="05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Конституция Российской Федерации (принята всенародным голосованием 12.12.1993 с изменениями, одобренными в ходе общероссийского голосования 01.07.2020) // Консультант Плюс [Электронный ресурс]. URL: https://www.consultant.ru/document/cons_doc_LAW_28399/</w:t>
      </w:r>
    </w:p>
    <w:p w14:paraId="06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Федеральный закон «Об основах социального обслуживания граждан в Российской Федерации» от 28.12.2013 N 442-ФЗ (последняя редакция) // Консультант Плюс [Электронный ресурс]. URL: https://www.consultant.ru/document/cons_doc_LAW_156558/</w:t>
      </w:r>
    </w:p>
    <w:p w14:paraId="07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Федеральный закон «О социальной защите инвалидов в Российской Федерации» от 24.11.1995 N 181-ФЗ (последняя редакция) // Консультант Плюс [Электронный ресурс]. URL: https://www.consultant.ru/document/cons_doc_LAW_8559/</w:t>
      </w:r>
    </w:p>
    <w:p w14:paraId="08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Федеральный закон «О государственных пособиях гражданам, имеющим детей» от 19.05.1995 N 81-ФЗ (последняя редакция) // Консультант Плюс [Электронный ресурс]. URL: https://www.consultant.ru/document/cons_doc_LAW_6659/</w:t>
      </w:r>
    </w:p>
    <w:p w14:paraId="09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Федеральный закон «О дополнительных гарантиях по социальной поддержке детей-сирот и детей, оставшихся без попечения родителей» от 21.12.1996 N 159-ФЗ (последняя редакция) // Консультант Плюс [Электронный ресурс]. URL: https://www.consultant.ru/document/cons_doc_LAW_12778/</w:t>
      </w:r>
    </w:p>
    <w:p w14:paraId="0A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Федеральный закон «Об основах социального обслуживания граждан в Российской Федерации» от 28.12.2013 N 442-ФЗ (последняя редакция) // Консультант Плюс [Электронный ресурс]. URL: https://www.consultant.ru/document/cons_doc_LAW_156558/</w:t>
      </w:r>
    </w:p>
    <w:p w14:paraId="0B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Федеральный закон «О страховых пенсиях» от 28.12.2013 N 400-ФЗ (последняя редакция) // Консультант Плюс [Электронный ресурс]. URL: https://www.consultant.ru/document/cons_doc_LAW_156525/</w:t>
      </w:r>
    </w:p>
    <w:p w14:paraId="0C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Федеральный закон от 06.10.2003 N 131-ФЗ (ред. от 20.03.2025) «Об общих принципах организации местного самоуправления в Российской Федерации» // Консультант Плюс [Электронный ресурс]. URL: https://www.consultant.ru/document/cons_doc_LAW_44571/</w:t>
      </w:r>
    </w:p>
    <w:p w14:paraId="0D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Федеральный закон «О государственной социальной помощи» от 17.07.1999 N 178-ФЗ (последняя редакция) // Консультант Плюс [Электронный ресурс]. URL: https://www.consultant.ru/document/cons_doc_LAW_23735/</w:t>
      </w:r>
    </w:p>
    <w:p w14:paraId="0E000000">
      <w:pPr>
        <w:pStyle w:val="Style_3"/>
        <w:tabs>
          <w:tab w:leader="none" w:pos="1276" w:val="left"/>
        </w:tabs>
        <w:spacing w:after="0" w:line="360" w:lineRule="auto"/>
        <w:ind w:firstLine="0" w:left="709"/>
        <w:jc w:val="both"/>
        <w:rPr>
          <w:rFonts w:ascii="Times New Roman" w:hAnsi="Times New Roman"/>
          <w:b w:val="1"/>
          <w:sz w:val="28"/>
        </w:rPr>
      </w:pPr>
    </w:p>
    <w:p w14:paraId="0F000000">
      <w:pPr>
        <w:pStyle w:val="Style_3"/>
        <w:tabs>
          <w:tab w:leader="none" w:pos="1276" w:val="left"/>
        </w:tabs>
        <w:spacing w:after="0" w:line="360" w:lineRule="auto"/>
        <w:ind w:firstLine="0" w:left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II</w:t>
      </w:r>
      <w:r>
        <w:rPr>
          <w:rFonts w:ascii="Times New Roman" w:hAnsi="Times New Roman"/>
          <w:b w:val="1"/>
          <w:sz w:val="28"/>
        </w:rPr>
        <w:t>. Литературные источники</w:t>
      </w:r>
    </w:p>
    <w:p w14:paraId="10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Аверьянова, М. И. Право социального обеспечения (с практикумом) : учебное пособие / М. И. Аверьянова.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</w:t>
      </w:r>
      <w:r>
        <w:rPr>
          <w:rFonts w:ascii="Times New Roman" w:hAnsi="Times New Roman"/>
          <w:sz w:val="28"/>
        </w:rPr>
        <w:t>КноРус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288 с.</w:t>
      </w:r>
    </w:p>
    <w:p w14:paraId="11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Анбрехт</w:t>
      </w:r>
      <w:r>
        <w:rPr>
          <w:rFonts w:ascii="Times New Roman" w:hAnsi="Times New Roman"/>
          <w:sz w:val="28"/>
        </w:rPr>
        <w:t xml:space="preserve">, Т. А.  Социальная защита отдельных категорий </w:t>
      </w:r>
      <w:r>
        <w:rPr>
          <w:rFonts w:ascii="Times New Roman" w:hAnsi="Times New Roman"/>
          <w:sz w:val="28"/>
        </w:rPr>
        <w:t>граждан :</w:t>
      </w:r>
      <w:r>
        <w:rPr>
          <w:rFonts w:ascii="Times New Roman" w:hAnsi="Times New Roman"/>
          <w:sz w:val="28"/>
        </w:rPr>
        <w:t xml:space="preserve"> учебник для вузов / Т. А. </w:t>
      </w:r>
      <w:r>
        <w:rPr>
          <w:rFonts w:ascii="Times New Roman" w:hAnsi="Times New Roman"/>
          <w:sz w:val="28"/>
        </w:rPr>
        <w:t>Анбрехт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3-е изд., </w:t>
      </w:r>
      <w:r>
        <w:rPr>
          <w:rFonts w:ascii="Times New Roman" w:hAnsi="Times New Roman"/>
          <w:sz w:val="28"/>
        </w:rPr>
        <w:t>перераб</w:t>
      </w:r>
      <w:r>
        <w:rPr>
          <w:rFonts w:ascii="Times New Roman" w:hAnsi="Times New Roman"/>
          <w:sz w:val="28"/>
        </w:rPr>
        <w:t xml:space="preserve">. и доп.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2025.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199 с.</w:t>
      </w:r>
    </w:p>
    <w:p w14:paraId="12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Афтахова</w:t>
      </w:r>
      <w:r>
        <w:rPr>
          <w:rFonts w:ascii="Times New Roman" w:hAnsi="Times New Roman"/>
          <w:sz w:val="28"/>
        </w:rPr>
        <w:t xml:space="preserve">, А. В.  Право социального </w:t>
      </w:r>
      <w:r>
        <w:rPr>
          <w:rFonts w:ascii="Times New Roman" w:hAnsi="Times New Roman"/>
          <w:sz w:val="28"/>
        </w:rPr>
        <w:t>обеспечения :</w:t>
      </w:r>
      <w:r>
        <w:rPr>
          <w:rFonts w:ascii="Times New Roman" w:hAnsi="Times New Roman"/>
          <w:sz w:val="28"/>
        </w:rPr>
        <w:t xml:space="preserve"> учебник для вузов / А. В. </w:t>
      </w:r>
      <w:r>
        <w:rPr>
          <w:rFonts w:ascii="Times New Roman" w:hAnsi="Times New Roman"/>
          <w:sz w:val="28"/>
        </w:rPr>
        <w:t>Афтахова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3-е изд., </w:t>
      </w:r>
      <w:r>
        <w:rPr>
          <w:rFonts w:ascii="Times New Roman" w:hAnsi="Times New Roman"/>
          <w:sz w:val="28"/>
        </w:rPr>
        <w:t>перераб</w:t>
      </w:r>
      <w:r>
        <w:rPr>
          <w:rFonts w:ascii="Times New Roman" w:hAnsi="Times New Roman"/>
          <w:sz w:val="28"/>
        </w:rPr>
        <w:t xml:space="preserve">. и доп.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474 с.</w:t>
      </w:r>
    </w:p>
    <w:p w14:paraId="13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Воронцова, М. В.  Социальная защита и социальное обслуживание населения : учебник для среднего профессионального образования / М. В. Воронцова, В. Е. Макаров ; под редакцией М. В. Воронцовой.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3-е изд., </w:t>
      </w:r>
      <w:r>
        <w:rPr>
          <w:rFonts w:ascii="Times New Roman" w:hAnsi="Times New Roman"/>
          <w:sz w:val="28"/>
        </w:rPr>
        <w:t>перераб</w:t>
      </w:r>
      <w:r>
        <w:rPr>
          <w:rFonts w:ascii="Times New Roman" w:hAnsi="Times New Roman"/>
          <w:sz w:val="28"/>
        </w:rPr>
        <w:t xml:space="preserve">. и доп.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371 с.</w:t>
      </w:r>
    </w:p>
    <w:p w14:paraId="14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Еремин, С. Г.  Основы социального государства : учебник и практикум для вузов / С. Г. Еремин, А. И. Галкин, О. В. Панина ; под редакцией С. Е. Прокофьева.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255 с.</w:t>
      </w:r>
    </w:p>
    <w:p w14:paraId="15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Маргулян</w:t>
      </w:r>
      <w:r>
        <w:rPr>
          <w:rFonts w:ascii="Times New Roman" w:hAnsi="Times New Roman"/>
          <w:sz w:val="28"/>
        </w:rPr>
        <w:t xml:space="preserve">, Я. А.  Основы социального </w:t>
      </w:r>
      <w:r>
        <w:rPr>
          <w:rFonts w:ascii="Times New Roman" w:hAnsi="Times New Roman"/>
          <w:sz w:val="28"/>
        </w:rPr>
        <w:t>государства :</w:t>
      </w:r>
      <w:r>
        <w:rPr>
          <w:rFonts w:ascii="Times New Roman" w:hAnsi="Times New Roman"/>
          <w:sz w:val="28"/>
        </w:rPr>
        <w:t xml:space="preserve"> учебник для вузов / Я. А. </w:t>
      </w:r>
      <w:r>
        <w:rPr>
          <w:rFonts w:ascii="Times New Roman" w:hAnsi="Times New Roman"/>
          <w:sz w:val="28"/>
        </w:rPr>
        <w:t>Маргулян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2-е изд., </w:t>
      </w:r>
      <w:r>
        <w:rPr>
          <w:rFonts w:ascii="Times New Roman" w:hAnsi="Times New Roman"/>
          <w:sz w:val="28"/>
        </w:rPr>
        <w:t>испр</w:t>
      </w:r>
      <w:r>
        <w:rPr>
          <w:rFonts w:ascii="Times New Roman" w:hAnsi="Times New Roman"/>
          <w:sz w:val="28"/>
        </w:rPr>
        <w:t xml:space="preserve">. и доп.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2025.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178 с.</w:t>
      </w:r>
    </w:p>
    <w:p w14:paraId="16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Медведева, Г. П., Социальная работа в России: традиции и инновации : сборник статей / Г. П. Медведева, ; под общ. ред. Г. П. Медведевой.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</w:t>
      </w:r>
      <w:r>
        <w:rPr>
          <w:rFonts w:ascii="Times New Roman" w:hAnsi="Times New Roman"/>
          <w:sz w:val="28"/>
        </w:rPr>
        <w:t>Русайнс</w:t>
      </w:r>
      <w:r>
        <w:rPr>
          <w:rFonts w:ascii="Times New Roman" w:hAnsi="Times New Roman"/>
          <w:sz w:val="28"/>
        </w:rPr>
        <w:t xml:space="preserve">, 2021.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237 с.</w:t>
      </w:r>
    </w:p>
    <w:p w14:paraId="17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Нагорнова, А. Ю.  Теория и технология социальной работы с пожилыми </w:t>
      </w:r>
      <w:r>
        <w:rPr>
          <w:rFonts w:ascii="Times New Roman" w:hAnsi="Times New Roman"/>
          <w:sz w:val="28"/>
        </w:rPr>
        <w:t>людьми :</w:t>
      </w:r>
      <w:r>
        <w:rPr>
          <w:rFonts w:ascii="Times New Roman" w:hAnsi="Times New Roman"/>
          <w:sz w:val="28"/>
        </w:rPr>
        <w:t xml:space="preserve"> учебник для вузов / А. Ю. Нагорнова.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3-е изд., </w:t>
      </w:r>
      <w:r>
        <w:rPr>
          <w:rFonts w:ascii="Times New Roman" w:hAnsi="Times New Roman"/>
          <w:sz w:val="28"/>
        </w:rPr>
        <w:t>перераб</w:t>
      </w:r>
      <w:r>
        <w:rPr>
          <w:rFonts w:ascii="Times New Roman" w:hAnsi="Times New Roman"/>
          <w:sz w:val="28"/>
        </w:rPr>
        <w:t xml:space="preserve">. и доп.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170 с.</w:t>
      </w:r>
    </w:p>
    <w:p w14:paraId="18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Павлова Ирина Владимировна Опыт функционирования систем социальной защиты зарубежных стран // Вестник ТГУ. №8. URL: https://cyberleninka.ru/article/n/opyt-funktsionirovaniya-sistem-sotsialnoy-zaschity-zarubezhnyh-stran (дата обращения: 20.06.2026).</w:t>
      </w:r>
    </w:p>
    <w:p w14:paraId="19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Право социального </w:t>
      </w:r>
      <w:r>
        <w:rPr>
          <w:rFonts w:ascii="Times New Roman" w:hAnsi="Times New Roman"/>
          <w:sz w:val="28"/>
        </w:rPr>
        <w:t>обеспечения :</w:t>
      </w:r>
      <w:r>
        <w:rPr>
          <w:rFonts w:ascii="Times New Roman" w:hAnsi="Times New Roman"/>
          <w:sz w:val="28"/>
        </w:rPr>
        <w:t xml:space="preserve"> учебник / В. Ш. </w:t>
      </w:r>
      <w:r>
        <w:rPr>
          <w:rFonts w:ascii="Times New Roman" w:hAnsi="Times New Roman"/>
          <w:sz w:val="28"/>
        </w:rPr>
        <w:t>Шайхатдинов</w:t>
      </w:r>
      <w:r>
        <w:rPr>
          <w:rFonts w:ascii="Times New Roman" w:hAnsi="Times New Roman"/>
          <w:sz w:val="28"/>
        </w:rPr>
        <w:t>, В. А. Агафонов, В. А. Власов [и др.</w:t>
      </w:r>
      <w:r>
        <w:rPr>
          <w:rFonts w:ascii="Times New Roman" w:hAnsi="Times New Roman"/>
          <w:sz w:val="28"/>
        </w:rPr>
        <w:t>] ;</w:t>
      </w:r>
      <w:r>
        <w:rPr>
          <w:rFonts w:ascii="Times New Roman" w:hAnsi="Times New Roman"/>
          <w:sz w:val="28"/>
        </w:rPr>
        <w:t xml:space="preserve"> под ред. В. Ш. </w:t>
      </w:r>
      <w:r>
        <w:rPr>
          <w:rFonts w:ascii="Times New Roman" w:hAnsi="Times New Roman"/>
          <w:sz w:val="28"/>
        </w:rPr>
        <w:t>Шайхатдинова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Москва :</w:t>
      </w:r>
      <w:r>
        <w:rPr>
          <w:rFonts w:ascii="Times New Roman" w:hAnsi="Times New Roman"/>
          <w:sz w:val="28"/>
        </w:rPr>
        <w:t xml:space="preserve"> Юстиция, 2023.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556 с.</w:t>
      </w:r>
    </w:p>
    <w:p w14:paraId="1A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Право социального обеспечения : учебник для вузов / под редакцией Е. Е. </w:t>
      </w:r>
      <w:r>
        <w:rPr>
          <w:rFonts w:ascii="Times New Roman" w:hAnsi="Times New Roman"/>
          <w:sz w:val="28"/>
        </w:rPr>
        <w:t>Мачульской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6-е изд., </w:t>
      </w:r>
      <w:r>
        <w:rPr>
          <w:rFonts w:ascii="Times New Roman" w:hAnsi="Times New Roman"/>
          <w:sz w:val="28"/>
        </w:rPr>
        <w:t>перераб</w:t>
      </w:r>
      <w:r>
        <w:rPr>
          <w:rFonts w:ascii="Times New Roman" w:hAnsi="Times New Roman"/>
          <w:sz w:val="28"/>
        </w:rPr>
        <w:t xml:space="preserve">. и доп.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408 с.</w:t>
      </w:r>
    </w:p>
    <w:p w14:paraId="1B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Роик</w:t>
      </w:r>
      <w:r>
        <w:rPr>
          <w:rFonts w:ascii="Times New Roman" w:hAnsi="Times New Roman"/>
          <w:sz w:val="28"/>
        </w:rPr>
        <w:t xml:space="preserve">, В. Д.  Социальная политика: качество жизни пожилого населения и страховые институты социальной </w:t>
      </w:r>
      <w:r>
        <w:rPr>
          <w:rFonts w:ascii="Times New Roman" w:hAnsi="Times New Roman"/>
          <w:sz w:val="28"/>
        </w:rPr>
        <w:t>защиты :</w:t>
      </w:r>
      <w:r>
        <w:rPr>
          <w:rFonts w:ascii="Times New Roman" w:hAnsi="Times New Roman"/>
          <w:sz w:val="28"/>
        </w:rPr>
        <w:t xml:space="preserve"> учебник для вузов / В. Д. </w:t>
      </w:r>
      <w:r>
        <w:rPr>
          <w:rFonts w:ascii="Times New Roman" w:hAnsi="Times New Roman"/>
          <w:sz w:val="28"/>
        </w:rPr>
        <w:t>Роик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400 с.</w:t>
      </w:r>
    </w:p>
    <w:p w14:paraId="1C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Роик</w:t>
      </w:r>
      <w:r>
        <w:rPr>
          <w:rFonts w:ascii="Times New Roman" w:hAnsi="Times New Roman"/>
          <w:sz w:val="28"/>
        </w:rPr>
        <w:t xml:space="preserve">, В. Д.  Социальная политика государства: социальная </w:t>
      </w:r>
      <w:r>
        <w:rPr>
          <w:rFonts w:ascii="Times New Roman" w:hAnsi="Times New Roman"/>
          <w:sz w:val="28"/>
        </w:rPr>
        <w:t>сплоченность :</w:t>
      </w:r>
      <w:r>
        <w:rPr>
          <w:rFonts w:ascii="Times New Roman" w:hAnsi="Times New Roman"/>
          <w:sz w:val="28"/>
        </w:rPr>
        <w:t xml:space="preserve"> учебное пособие для вузов / В. Д. </w:t>
      </w:r>
      <w:r>
        <w:rPr>
          <w:rFonts w:ascii="Times New Roman" w:hAnsi="Times New Roman"/>
          <w:sz w:val="28"/>
        </w:rPr>
        <w:t>Роик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468 с.</w:t>
      </w:r>
    </w:p>
    <w:p w14:paraId="1D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Роик</w:t>
      </w:r>
      <w:r>
        <w:rPr>
          <w:rFonts w:ascii="Times New Roman" w:hAnsi="Times New Roman"/>
          <w:sz w:val="28"/>
        </w:rPr>
        <w:t xml:space="preserve">, В. Д.  Социальная политика. Финансовые </w:t>
      </w:r>
      <w:r>
        <w:rPr>
          <w:rFonts w:ascii="Times New Roman" w:hAnsi="Times New Roman"/>
          <w:sz w:val="28"/>
        </w:rPr>
        <w:t>механизмы :</w:t>
      </w:r>
      <w:r>
        <w:rPr>
          <w:rFonts w:ascii="Times New Roman" w:hAnsi="Times New Roman"/>
          <w:sz w:val="28"/>
        </w:rPr>
        <w:t xml:space="preserve"> учебник и практикум для вузов / В. Д. </w:t>
      </w:r>
      <w:r>
        <w:rPr>
          <w:rFonts w:ascii="Times New Roman" w:hAnsi="Times New Roman"/>
          <w:sz w:val="28"/>
        </w:rPr>
        <w:t>Роик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570 с.</w:t>
      </w:r>
    </w:p>
    <w:p w14:paraId="1E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Солодилов</w:t>
      </w:r>
      <w:r>
        <w:rPr>
          <w:rFonts w:ascii="Times New Roman" w:hAnsi="Times New Roman"/>
          <w:sz w:val="28"/>
        </w:rPr>
        <w:t xml:space="preserve">, А. В. Социально-правовая защита граждан в современной России : монография / А. В. </w:t>
      </w:r>
      <w:r>
        <w:rPr>
          <w:rFonts w:ascii="Times New Roman" w:hAnsi="Times New Roman"/>
          <w:sz w:val="28"/>
        </w:rPr>
        <w:t>Солодилов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</w:t>
      </w:r>
      <w:r>
        <w:rPr>
          <w:rFonts w:ascii="Times New Roman" w:hAnsi="Times New Roman"/>
          <w:sz w:val="28"/>
        </w:rPr>
        <w:t>Русайнс</w:t>
      </w:r>
      <w:r>
        <w:rPr>
          <w:rFonts w:ascii="Times New Roman" w:hAnsi="Times New Roman"/>
          <w:sz w:val="28"/>
        </w:rPr>
        <w:t xml:space="preserve">, 2022.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118 с.</w:t>
      </w:r>
    </w:p>
    <w:p w14:paraId="1F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Социальная работа с различными группами населения : учебное пособие / Н. Ф. Басов, О. С. Щербинина, Н. Б. Топка [и др.] ; под ред. Н. Ф. Басова.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</w:t>
      </w:r>
      <w:r>
        <w:rPr>
          <w:rFonts w:ascii="Times New Roman" w:hAnsi="Times New Roman"/>
          <w:sz w:val="28"/>
        </w:rPr>
        <w:t>КноРус</w:t>
      </w:r>
      <w:r>
        <w:rPr>
          <w:rFonts w:ascii="Times New Roman" w:hAnsi="Times New Roman"/>
          <w:sz w:val="28"/>
        </w:rPr>
        <w:t xml:space="preserve">, 2023.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528 с.</w:t>
      </w:r>
    </w:p>
    <w:p w14:paraId="20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Тарент</w:t>
      </w:r>
      <w:r>
        <w:rPr>
          <w:rFonts w:ascii="Times New Roman" w:hAnsi="Times New Roman"/>
          <w:sz w:val="28"/>
        </w:rPr>
        <w:t xml:space="preserve"> И. Г. Система социальной защиты населения в Российской Федерации: учебное пособие / И. Г. </w:t>
      </w:r>
      <w:r>
        <w:rPr>
          <w:rFonts w:ascii="Times New Roman" w:hAnsi="Times New Roman"/>
          <w:sz w:val="28"/>
        </w:rPr>
        <w:t>Тарент</w:t>
      </w:r>
      <w:r>
        <w:rPr>
          <w:rFonts w:ascii="Times New Roman" w:hAnsi="Times New Roman"/>
          <w:sz w:val="28"/>
        </w:rPr>
        <w:t xml:space="preserve">, С. А. </w:t>
      </w:r>
      <w:r>
        <w:rPr>
          <w:rFonts w:ascii="Times New Roman" w:hAnsi="Times New Roman"/>
          <w:sz w:val="28"/>
        </w:rPr>
        <w:t>Юдников</w:t>
      </w:r>
      <w:r>
        <w:rPr>
          <w:rFonts w:ascii="Times New Roman" w:hAnsi="Times New Roman"/>
          <w:sz w:val="28"/>
        </w:rPr>
        <w:t xml:space="preserve">. - Изд. 3 - </w:t>
      </w:r>
      <w:r>
        <w:rPr>
          <w:rFonts w:ascii="Times New Roman" w:hAnsi="Times New Roman"/>
          <w:sz w:val="28"/>
        </w:rPr>
        <w:t>испр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и доп. - Ногинск: Ногинский филиал РАНХиГС, 2025. - 160 с.</w:t>
      </w:r>
    </w:p>
    <w:p w14:paraId="21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Теория социальной </w:t>
      </w:r>
      <w:r>
        <w:rPr>
          <w:rFonts w:ascii="Times New Roman" w:hAnsi="Times New Roman"/>
          <w:sz w:val="28"/>
        </w:rPr>
        <w:t>работы :</w:t>
      </w:r>
      <w:r>
        <w:rPr>
          <w:rFonts w:ascii="Times New Roman" w:hAnsi="Times New Roman"/>
          <w:sz w:val="28"/>
        </w:rPr>
        <w:t xml:space="preserve"> учебник для вузов / под редакцией Е. И. </w:t>
      </w:r>
      <w:r>
        <w:rPr>
          <w:rFonts w:ascii="Times New Roman" w:hAnsi="Times New Roman"/>
          <w:sz w:val="28"/>
        </w:rPr>
        <w:t>Холостовой</w:t>
      </w:r>
      <w:r>
        <w:rPr>
          <w:rFonts w:ascii="Times New Roman" w:hAnsi="Times New Roman"/>
          <w:sz w:val="28"/>
        </w:rPr>
        <w:t xml:space="preserve">, Л. И. Кононовой, М. В. Вдовиной.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3-е изд., </w:t>
      </w:r>
      <w:r>
        <w:rPr>
          <w:rFonts w:ascii="Times New Roman" w:hAnsi="Times New Roman"/>
          <w:sz w:val="28"/>
        </w:rPr>
        <w:t>перераб</w:t>
      </w:r>
      <w:r>
        <w:rPr>
          <w:rFonts w:ascii="Times New Roman" w:hAnsi="Times New Roman"/>
          <w:sz w:val="28"/>
        </w:rPr>
        <w:t xml:space="preserve">. и доп.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288 с.</w:t>
      </w:r>
    </w:p>
    <w:p w14:paraId="22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Управление социальной сферой : учебник / С. Е. Прокофьев, О. В. Панина, Н. Л. Красюкова [и др.] ; под общ. ред. С. Е. Прокофьева, О. В. Паниной, Н. Л. Красюковой.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</w:t>
      </w:r>
      <w:r>
        <w:rPr>
          <w:rFonts w:ascii="Times New Roman" w:hAnsi="Times New Roman"/>
          <w:sz w:val="28"/>
        </w:rPr>
        <w:t>КноРус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438 с.</w:t>
      </w:r>
    </w:p>
    <w:p w14:paraId="23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Управление в социальной </w:t>
      </w:r>
      <w:r>
        <w:rPr>
          <w:rFonts w:ascii="Times New Roman" w:hAnsi="Times New Roman"/>
          <w:sz w:val="28"/>
        </w:rPr>
        <w:t>работе :</w:t>
      </w:r>
      <w:r>
        <w:rPr>
          <w:rFonts w:ascii="Times New Roman" w:hAnsi="Times New Roman"/>
          <w:sz w:val="28"/>
        </w:rPr>
        <w:t xml:space="preserve"> учебник для вузов / ответственные редакторы Е. И. </w:t>
      </w:r>
      <w:r>
        <w:rPr>
          <w:rFonts w:ascii="Times New Roman" w:hAnsi="Times New Roman"/>
          <w:sz w:val="28"/>
        </w:rPr>
        <w:t>Холостова</w:t>
      </w:r>
      <w:r>
        <w:rPr>
          <w:rFonts w:ascii="Times New Roman" w:hAnsi="Times New Roman"/>
          <w:sz w:val="28"/>
        </w:rPr>
        <w:t xml:space="preserve">, Е. И. Комаров, О. Г. Прохорова.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2-е изд.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319 с.</w:t>
      </w:r>
    </w:p>
    <w:p w14:paraId="24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Шайдукова</w:t>
      </w:r>
      <w:r>
        <w:rPr>
          <w:rFonts w:ascii="Times New Roman" w:hAnsi="Times New Roman"/>
          <w:sz w:val="28"/>
        </w:rPr>
        <w:t xml:space="preserve">, Л. Д.  Социальная политика Российской </w:t>
      </w:r>
      <w:r>
        <w:rPr>
          <w:rFonts w:ascii="Times New Roman" w:hAnsi="Times New Roman"/>
          <w:sz w:val="28"/>
        </w:rPr>
        <w:t>Федерации :</w:t>
      </w:r>
      <w:r>
        <w:rPr>
          <w:rFonts w:ascii="Times New Roman" w:hAnsi="Times New Roman"/>
          <w:sz w:val="28"/>
        </w:rPr>
        <w:t xml:space="preserve"> учебник для вузов / Л. Д. </w:t>
      </w:r>
      <w:r>
        <w:rPr>
          <w:rFonts w:ascii="Times New Roman" w:hAnsi="Times New Roman"/>
          <w:sz w:val="28"/>
        </w:rPr>
        <w:t>Шайдукова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2-е изд., </w:t>
      </w:r>
      <w:r>
        <w:rPr>
          <w:rFonts w:ascii="Times New Roman" w:hAnsi="Times New Roman"/>
          <w:sz w:val="28"/>
        </w:rPr>
        <w:t>перераб</w:t>
      </w:r>
      <w:r>
        <w:rPr>
          <w:rFonts w:ascii="Times New Roman" w:hAnsi="Times New Roman"/>
          <w:sz w:val="28"/>
        </w:rPr>
        <w:t xml:space="preserve">. и доп.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Москва : Издательство </w:t>
      </w:r>
      <w:r>
        <w:rPr>
          <w:rFonts w:ascii="Times New Roman" w:hAnsi="Times New Roman"/>
          <w:sz w:val="28"/>
        </w:rPr>
        <w:t>Юрайт</w:t>
      </w:r>
      <w:r>
        <w:rPr>
          <w:rFonts w:ascii="Times New Roman" w:hAnsi="Times New Roman"/>
          <w:sz w:val="28"/>
        </w:rPr>
        <w:t xml:space="preserve">, 2026.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172 с.</w:t>
      </w:r>
    </w:p>
    <w:p w14:paraId="25000000">
      <w:pPr>
        <w:pStyle w:val="Style_3"/>
        <w:tabs>
          <w:tab w:leader="none" w:pos="1276" w:val="left"/>
        </w:tabs>
        <w:spacing w:after="0" w:line="360" w:lineRule="auto"/>
        <w:ind w:firstLine="0" w:left="709"/>
        <w:jc w:val="both"/>
        <w:rPr>
          <w:rFonts w:ascii="Times New Roman" w:hAnsi="Times New Roman"/>
          <w:sz w:val="28"/>
        </w:rPr>
      </w:pPr>
    </w:p>
    <w:p w14:paraId="26000000">
      <w:pPr>
        <w:pStyle w:val="Style_3"/>
        <w:tabs>
          <w:tab w:leader="none" w:pos="1276" w:val="left"/>
        </w:tabs>
        <w:spacing w:after="0" w:line="360" w:lineRule="auto"/>
        <w:ind w:firstLine="0" w:left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III</w:t>
      </w:r>
      <w:r>
        <w:rPr>
          <w:rFonts w:ascii="Times New Roman" w:hAnsi="Times New Roman"/>
          <w:b w:val="1"/>
          <w:sz w:val="28"/>
        </w:rPr>
        <w:t>. Интернет</w:t>
      </w:r>
      <w:r>
        <w:rPr>
          <w:rFonts w:ascii="Times New Roman" w:hAnsi="Times New Roman"/>
          <w:b w:val="1"/>
          <w:sz w:val="28"/>
        </w:rPr>
        <w:t>-</w:t>
      </w:r>
      <w:r>
        <w:rPr>
          <w:rFonts w:ascii="Times New Roman" w:hAnsi="Times New Roman"/>
          <w:b w:val="1"/>
          <w:sz w:val="28"/>
        </w:rPr>
        <w:t>ресурсы</w:t>
      </w:r>
    </w:p>
    <w:p w14:paraId="27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Артемовский муниципальный округ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[Электронный ресурс]. URL:</w:t>
      </w:r>
      <w:r>
        <w:t xml:space="preserve"> </w:t>
      </w:r>
      <w:r>
        <w:rPr>
          <w:rFonts w:ascii="Times New Roman" w:hAnsi="Times New Roman"/>
          <w:sz w:val="28"/>
        </w:rPr>
        <w:t>https://artemovsky66.ru/</w:t>
      </w:r>
    </w:p>
    <w:p w14:paraId="28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Комплексный центр социального обслуживания населения Артемовского района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КЦСОН «Артемовский»</w:t>
      </w:r>
      <w:r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[Электронный ресурс]. URL:</w:t>
      </w:r>
      <w:r>
        <w:t xml:space="preserve"> </w:t>
      </w:r>
      <w:r>
        <w:rPr>
          <w:rFonts w:ascii="Times New Roman" w:hAnsi="Times New Roman"/>
          <w:sz w:val="28"/>
        </w:rPr>
        <w:t>https://zabota037.msp.midural.ru/</w:t>
      </w:r>
    </w:p>
    <w:p w14:paraId="29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Министерство труда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социальной защиты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Российской Федерации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[Электронный ресурс]. URL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https://mintrud.gov.ru/</w:t>
      </w:r>
    </w:p>
    <w:p w14:paraId="2A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Социальный фонд России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[Электронный ресурс]. </w:t>
      </w:r>
      <w:r>
        <w:rPr>
          <w:rFonts w:ascii="Times New Roman" w:hAnsi="Times New Roman"/>
          <w:sz w:val="28"/>
        </w:rPr>
        <w:t>URL:</w:t>
      </w:r>
      <w:r>
        <w:t xml:space="preserve"> </w:t>
      </w:r>
      <w:r>
        <w:rPr>
          <w:rFonts w:ascii="Times New Roman" w:hAnsi="Times New Roman"/>
          <w:sz w:val="28"/>
        </w:rPr>
        <w:t>https://sfr.gov.ru/</w:t>
      </w:r>
    </w:p>
    <w:p w14:paraId="2B000000">
      <w:pPr>
        <w:pStyle w:val="Style_3"/>
        <w:numPr>
          <w:ilvl w:val="0"/>
          <w:numId w:val="1"/>
        </w:numPr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управление поселка Красногвардейский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[Электронный ресурс]. </w:t>
      </w:r>
      <w:r>
        <w:rPr>
          <w:rFonts w:ascii="Times New Roman" w:hAnsi="Times New Roman"/>
          <w:sz w:val="28"/>
        </w:rPr>
        <w:t>URL: https://artemovsky66.ru/territorialnyie-upravleniya/territorialnoe-upravlenie-poselka-krasnogvardejskij/</w:t>
      </w:r>
    </w:p>
    <w:p w14:paraId="2C000000">
      <w:pPr>
        <w:pStyle w:val="Style_3"/>
        <w:tabs>
          <w:tab w:leader="none" w:pos="1276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lvlJc w:val="left"/>
      <w:pPr>
        <w:ind w:hanging="360" w:left="1429"/>
      </w:p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decimal"/>
      <w:lvlText w:val="%4."/>
      <w:lvlJc w:val="left"/>
      <w:pPr>
        <w:ind w:hanging="360" w:left="3589"/>
      </w:p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spacing w:after="16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basedOn w:val="Style_4"/>
    <w:next w:val="Style_4"/>
    <w:link w:val="Style_5_ch"/>
    <w:uiPriority w:val="39"/>
    <w:pPr>
      <w:spacing w:after="100"/>
      <w:ind w:firstLine="0" w:left="240"/>
    </w:pPr>
  </w:style>
  <w:style w:styleId="Style_5_ch" w:type="character">
    <w:name w:val="toc 2"/>
    <w:basedOn w:val="Style_4_ch"/>
    <w:link w:val="Style_5"/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heading 7"/>
    <w:basedOn w:val="Style_4"/>
    <w:next w:val="Style_4"/>
    <w:link w:val="Style_7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7_ch" w:type="character">
    <w:name w:val="heading 7"/>
    <w:basedOn w:val="Style_4_ch"/>
    <w:link w:val="Style_7"/>
    <w:rPr>
      <w:color w:themeColor="text1" w:themeTint="A6" w:val="595959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FollowedHyperlink"/>
    <w:basedOn w:val="Style_11"/>
    <w:link w:val="Style_10_ch"/>
    <w:rPr>
      <w:color w:themeColor="followedHyperlink" w:val="96607D"/>
      <w:u w:val="single"/>
    </w:rPr>
  </w:style>
  <w:style w:styleId="Style_10_ch" w:type="character">
    <w:name w:val="FollowedHyperlink"/>
    <w:basedOn w:val="Style_11_ch"/>
    <w:link w:val="Style_10"/>
    <w:rPr>
      <w:color w:themeColor="followedHyperlink" w:val="96607D"/>
      <w:u w:val="single"/>
    </w:rPr>
  </w:style>
  <w:style w:styleId="Style_12" w:type="paragraph">
    <w:name w:val="Intense Quote"/>
    <w:basedOn w:val="Style_4"/>
    <w:next w:val="Style_4"/>
    <w:link w:val="Style_12_ch"/>
    <w:pPr>
      <w:spacing w:after="360" w:before="360"/>
      <w:ind w:firstLine="0" w:left="864" w:right="864"/>
      <w:jc w:val="center"/>
    </w:pPr>
    <w:rPr>
      <w:i w:val="1"/>
      <w:color w:themeColor="accent1" w:themeShade="BF" w:val="104861"/>
    </w:rPr>
  </w:style>
  <w:style w:styleId="Style_12_ch" w:type="character">
    <w:name w:val="Intense Quote"/>
    <w:basedOn w:val="Style_4_ch"/>
    <w:link w:val="Style_12"/>
    <w:rPr>
      <w:i w:val="1"/>
      <w:color w:themeColor="accent1" w:themeShade="BF" w:val="104861"/>
    </w:rPr>
  </w:style>
  <w:style w:styleId="Style_13" w:type="paragraph">
    <w:name w:val="heading 3"/>
    <w:basedOn w:val="Style_4"/>
    <w:next w:val="Style_4"/>
    <w:link w:val="Style_13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104861"/>
      <w:sz w:val="28"/>
    </w:rPr>
  </w:style>
  <w:style w:styleId="Style_13_ch" w:type="character">
    <w:name w:val="heading 3"/>
    <w:basedOn w:val="Style_4_ch"/>
    <w:link w:val="Style_13"/>
    <w:rPr>
      <w:color w:themeColor="accent1" w:themeShade="BF" w:val="104861"/>
      <w:sz w:val="28"/>
    </w:rPr>
  </w:style>
  <w:style w:styleId="Style_14" w:type="paragraph">
    <w:name w:val="heading 9"/>
    <w:basedOn w:val="Style_4"/>
    <w:next w:val="Style_4"/>
    <w:link w:val="Style_14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14_ch" w:type="character">
    <w:name w:val="heading 9"/>
    <w:basedOn w:val="Style_4_ch"/>
    <w:link w:val="Style_14"/>
    <w:rPr>
      <w:color w:themeColor="text1" w:themeTint="D8" w:val="272727"/>
    </w:rPr>
  </w:style>
  <w:style w:styleId="Style_15" w:type="paragraph">
    <w:name w:val="Quote"/>
    <w:basedOn w:val="Style_4"/>
    <w:next w:val="Style_4"/>
    <w:link w:val="Style_15_ch"/>
    <w:pPr>
      <w:spacing w:before="160"/>
      <w:ind/>
      <w:jc w:val="center"/>
    </w:pPr>
    <w:rPr>
      <w:i w:val="1"/>
      <w:color w:themeColor="text1" w:themeTint="BF" w:val="404040"/>
    </w:rPr>
  </w:style>
  <w:style w:styleId="Style_15_ch" w:type="character">
    <w:name w:val="Quote"/>
    <w:basedOn w:val="Style_4_ch"/>
    <w:link w:val="Style_15"/>
    <w:rPr>
      <w:i w:val="1"/>
      <w:color w:themeColor="text1" w:themeTint="BF" w:val="404040"/>
    </w:rPr>
  </w:style>
  <w:style w:styleId="Style_3" w:type="paragraph">
    <w:name w:val="List Paragraph"/>
    <w:basedOn w:val="Style_4"/>
    <w:link w:val="Style_3_ch"/>
    <w:pPr>
      <w:ind w:firstLine="0" w:left="720"/>
      <w:contextualSpacing w:val="1"/>
    </w:pPr>
  </w:style>
  <w:style w:styleId="Style_3_ch" w:type="character">
    <w:name w:val="List Paragraph"/>
    <w:basedOn w:val="Style_4_ch"/>
    <w:link w:val="Style_3"/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basedOn w:val="Style_4"/>
    <w:next w:val="Style_4"/>
    <w:link w:val="Style_17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104861"/>
    </w:rPr>
  </w:style>
  <w:style w:styleId="Style_17_ch" w:type="character">
    <w:name w:val="heading 5"/>
    <w:basedOn w:val="Style_4_ch"/>
    <w:link w:val="Style_17"/>
    <w:rPr>
      <w:color w:themeColor="accent1" w:themeShade="BF" w:val="104861"/>
    </w:rPr>
  </w:style>
  <w:style w:styleId="Style_2" w:type="paragraph">
    <w:name w:val="heading 1"/>
    <w:basedOn w:val="Style_4"/>
    <w:next w:val="Style_4"/>
    <w:link w:val="Style_2_ch"/>
    <w:uiPriority w:val="9"/>
    <w:qFormat/>
    <w:pPr>
      <w:keepNext w:val="1"/>
      <w:keepLines w:val="1"/>
      <w:spacing w:after="0" w:line="360" w:lineRule="auto"/>
      <w:ind/>
      <w:jc w:val="center"/>
      <w:outlineLvl w:val="0"/>
    </w:pPr>
    <w:rPr>
      <w:rFonts w:ascii="Times New Roman Полужирный" w:hAnsi="Times New Roman Полужирный"/>
      <w:b w:val="1"/>
      <w:caps w:val="1"/>
      <w:sz w:val="28"/>
    </w:rPr>
  </w:style>
  <w:style w:styleId="Style_2_ch" w:type="character">
    <w:name w:val="heading 1"/>
    <w:basedOn w:val="Style_4_ch"/>
    <w:link w:val="Style_2"/>
    <w:rPr>
      <w:rFonts w:ascii="Times New Roman Полужирный" w:hAnsi="Times New Roman Полужирный"/>
      <w:b w:val="1"/>
      <w:caps w:val="1"/>
      <w:sz w:val="28"/>
    </w:rPr>
  </w:style>
  <w:style w:styleId="Style_18" w:type="paragraph">
    <w:name w:val="Hyperlink"/>
    <w:basedOn w:val="Style_11"/>
    <w:link w:val="Style_18_ch"/>
    <w:rPr>
      <w:color w:themeColor="hyperlink" w:val="467886"/>
      <w:u w:val="single"/>
    </w:rPr>
  </w:style>
  <w:style w:styleId="Style_18_ch" w:type="character">
    <w:name w:val="Hyperlink"/>
    <w:basedOn w:val="Style_11_ch"/>
    <w:link w:val="Style_18"/>
    <w:rPr>
      <w:color w:themeColor="hyperlink" w:val="467886"/>
      <w:u w:val="single"/>
    </w:rPr>
  </w:style>
  <w:style w:styleId="Style_19" w:type="paragraph">
    <w:name w:val="Footnote"/>
    <w:basedOn w:val="Style_4"/>
    <w:link w:val="Style_19_ch"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styleId="Style_19_ch" w:type="character">
    <w:name w:val="Footnote"/>
    <w:basedOn w:val="Style_4_ch"/>
    <w:link w:val="Style_19"/>
    <w:rPr>
      <w:rFonts w:ascii="Times New Roman" w:hAnsi="Times New Roman"/>
      <w:sz w:val="20"/>
    </w:rPr>
  </w:style>
  <w:style w:styleId="Style_20" w:type="paragraph">
    <w:name w:val="heading 8"/>
    <w:basedOn w:val="Style_4"/>
    <w:next w:val="Style_4"/>
    <w:link w:val="Style_20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4_ch"/>
    <w:link w:val="Style_20"/>
    <w:rPr>
      <w:i w:val="1"/>
      <w:color w:themeColor="text1" w:themeTint="D8" w:val="272727"/>
    </w:rPr>
  </w:style>
  <w:style w:styleId="Style_21" w:type="paragraph">
    <w:name w:val="toc 1"/>
    <w:basedOn w:val="Style_4"/>
    <w:next w:val="Style_4"/>
    <w:link w:val="Style_21_ch"/>
    <w:uiPriority w:val="39"/>
    <w:pPr>
      <w:tabs>
        <w:tab w:leader="dot" w:pos="9345" w:val="right"/>
      </w:tabs>
      <w:spacing w:after="0" w:line="360" w:lineRule="auto"/>
      <w:ind/>
      <w:jc w:val="both"/>
    </w:pPr>
    <w:rPr>
      <w:rFonts w:ascii="Times New Roman" w:hAnsi="Times New Roman"/>
      <w:caps w:val="1"/>
      <w:sz w:val="28"/>
    </w:rPr>
  </w:style>
  <w:style w:styleId="Style_21_ch" w:type="character">
    <w:name w:val="toc 1"/>
    <w:basedOn w:val="Style_4_ch"/>
    <w:link w:val="Style_21"/>
    <w:rPr>
      <w:rFonts w:ascii="Times New Roman" w:hAnsi="Times New Roman"/>
      <w:caps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Intense Reference"/>
    <w:basedOn w:val="Style_11"/>
    <w:link w:val="Style_23_ch"/>
    <w:rPr>
      <w:b w:val="1"/>
      <w:smallCaps w:val="1"/>
      <w:color w:themeColor="accent1" w:themeShade="BF" w:val="104861"/>
      <w:spacing w:val="5"/>
    </w:rPr>
  </w:style>
  <w:style w:styleId="Style_23_ch" w:type="character">
    <w:name w:val="Intense Reference"/>
    <w:basedOn w:val="Style_11_ch"/>
    <w:link w:val="Style_23"/>
    <w:rPr>
      <w:b w:val="1"/>
      <w:smallCaps w:val="1"/>
      <w:color w:themeColor="accent1" w:themeShade="BF" w:val="104861"/>
      <w:spacing w:val="5"/>
    </w:rPr>
  </w:style>
  <w:style w:styleId="Style_24" w:type="paragraph">
    <w:name w:val="toc 9"/>
    <w:next w:val="Style_4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Strong"/>
    <w:basedOn w:val="Style_11"/>
    <w:link w:val="Style_25_ch"/>
    <w:rPr>
      <w:b w:val="1"/>
    </w:rPr>
  </w:style>
  <w:style w:styleId="Style_25_ch" w:type="character">
    <w:name w:val="Strong"/>
    <w:basedOn w:val="Style_11_ch"/>
    <w:link w:val="Style_25"/>
    <w:rPr>
      <w:b w:val="1"/>
    </w:rPr>
  </w:style>
  <w:style w:styleId="Style_26" w:type="paragraph">
    <w:name w:val="toc 8"/>
    <w:next w:val="Style_4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Intense Emphasis"/>
    <w:basedOn w:val="Style_11"/>
    <w:link w:val="Style_27_ch"/>
    <w:rPr>
      <w:i w:val="1"/>
      <w:color w:themeColor="accent1" w:themeShade="BF" w:val="104861"/>
    </w:rPr>
  </w:style>
  <w:style w:styleId="Style_27_ch" w:type="character">
    <w:name w:val="Intense Emphasis"/>
    <w:basedOn w:val="Style_11_ch"/>
    <w:link w:val="Style_27"/>
    <w:rPr>
      <w:i w:val="1"/>
      <w:color w:themeColor="accent1" w:themeShade="BF" w:val="104861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28" w:type="paragraph">
    <w:name w:val="toc 5"/>
    <w:next w:val="Style_4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footer"/>
    <w:basedOn w:val="Style_4"/>
    <w:link w:val="Style_2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9_ch" w:type="character">
    <w:name w:val="footer"/>
    <w:basedOn w:val="Style_4_ch"/>
    <w:link w:val="Style_29"/>
  </w:style>
  <w:style w:styleId="Style_30" w:type="paragraph">
    <w:name w:val="Unresolved Mention"/>
    <w:basedOn w:val="Style_11"/>
    <w:link w:val="Style_30_ch"/>
    <w:rPr>
      <w:color w:val="605E5C"/>
      <w:shd w:fill="E1DFDD" w:val="clear"/>
    </w:rPr>
  </w:style>
  <w:style w:styleId="Style_30_ch" w:type="character">
    <w:name w:val="Unresolved Mention"/>
    <w:basedOn w:val="Style_11_ch"/>
    <w:link w:val="Style_30"/>
    <w:rPr>
      <w:color w:val="605E5C"/>
      <w:shd w:fill="E1DFDD" w:val="clear"/>
    </w:rPr>
  </w:style>
  <w:style w:styleId="Style_31" w:type="paragraph">
    <w:name w:val="Subtitle"/>
    <w:basedOn w:val="Style_4"/>
    <w:next w:val="Style_4"/>
    <w:link w:val="Style_31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31_ch" w:type="character">
    <w:name w:val="Subtitle"/>
    <w:basedOn w:val="Style_4_ch"/>
    <w:link w:val="Style_31"/>
    <w:rPr>
      <w:color w:themeColor="text1" w:themeTint="A6" w:val="595959"/>
      <w:spacing w:val="15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32" w:type="paragraph">
    <w:name w:val="Title"/>
    <w:basedOn w:val="Style_4"/>
    <w:next w:val="Style_4"/>
    <w:link w:val="Style_32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32_ch" w:type="character">
    <w:name w:val="Title"/>
    <w:basedOn w:val="Style_4_ch"/>
    <w:link w:val="Style_32"/>
    <w:rPr>
      <w:rFonts w:asciiTheme="majorAscii" w:hAnsiTheme="majorHAnsi"/>
      <w:spacing w:val="-10"/>
      <w:sz w:val="56"/>
    </w:rPr>
  </w:style>
  <w:style w:styleId="Style_33" w:type="paragraph">
    <w:name w:val="heading 4"/>
    <w:basedOn w:val="Style_4"/>
    <w:next w:val="Style_4"/>
    <w:link w:val="Style_33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104861"/>
    </w:rPr>
  </w:style>
  <w:style w:styleId="Style_33_ch" w:type="character">
    <w:name w:val="heading 4"/>
    <w:basedOn w:val="Style_4_ch"/>
    <w:link w:val="Style_33"/>
    <w:rPr>
      <w:i w:val="1"/>
      <w:color w:themeColor="accent1" w:themeShade="BF" w:val="104861"/>
    </w:rPr>
  </w:style>
  <w:style w:styleId="Style_34" w:type="paragraph">
    <w:name w:val="footnote reference"/>
    <w:basedOn w:val="Style_11"/>
    <w:link w:val="Style_34_ch"/>
    <w:rPr>
      <w:vertAlign w:val="superscript"/>
    </w:rPr>
  </w:style>
  <w:style w:styleId="Style_34_ch" w:type="character">
    <w:name w:val="footnote reference"/>
    <w:basedOn w:val="Style_11_ch"/>
    <w:link w:val="Style_34"/>
    <w:rPr>
      <w:vertAlign w:val="superscript"/>
    </w:rPr>
  </w:style>
  <w:style w:styleId="Style_35" w:type="paragraph">
    <w:name w:val="heading 2"/>
    <w:basedOn w:val="Style_4"/>
    <w:next w:val="Style_4"/>
    <w:link w:val="Style_35_ch"/>
    <w:uiPriority w:val="9"/>
    <w:qFormat/>
    <w:pPr>
      <w:keepNext w:val="1"/>
      <w:keepLines w:val="1"/>
      <w:spacing w:after="0" w:line="360" w:lineRule="auto"/>
      <w:ind w:firstLine="709" w:left="0"/>
      <w:jc w:val="both"/>
      <w:outlineLvl w:val="1"/>
    </w:pPr>
    <w:rPr>
      <w:rFonts w:ascii="Times New Roman" w:hAnsi="Times New Roman"/>
      <w:b w:val="1"/>
      <w:sz w:val="28"/>
    </w:rPr>
  </w:style>
  <w:style w:styleId="Style_35_ch" w:type="character">
    <w:name w:val="heading 2"/>
    <w:basedOn w:val="Style_4_ch"/>
    <w:link w:val="Style_35"/>
    <w:rPr>
      <w:rFonts w:ascii="Times New Roman" w:hAnsi="Times New Roman"/>
      <w:b w:val="1"/>
      <w:sz w:val="28"/>
    </w:rPr>
  </w:style>
  <w:style w:styleId="Style_36" w:type="paragraph">
    <w:name w:val="heading 6"/>
    <w:basedOn w:val="Style_4"/>
    <w:next w:val="Style_4"/>
    <w:link w:val="Style_36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36_ch" w:type="character">
    <w:name w:val="heading 6"/>
    <w:basedOn w:val="Style_4_ch"/>
    <w:link w:val="Style_36"/>
    <w:rPr>
      <w:i w:val="1"/>
      <w:color w:themeColor="text1" w:themeTint="A6" w:val="595959"/>
    </w:rPr>
  </w:style>
  <w:style w:styleId="Style_37" w:type="paragraph">
    <w:name w:val="Emphasis"/>
    <w:basedOn w:val="Style_11"/>
    <w:link w:val="Style_37_ch"/>
    <w:rPr>
      <w:i w:val="1"/>
    </w:rPr>
  </w:style>
  <w:style w:styleId="Style_37_ch" w:type="character">
    <w:name w:val="Emphasis"/>
    <w:basedOn w:val="Style_11_ch"/>
    <w:link w:val="Style_37"/>
    <w:rPr>
      <w:i w:val="1"/>
    </w:rPr>
  </w:style>
  <w:style w:styleId="Style_38" w:type="table">
    <w:name w:val="Table Grid"/>
    <w:basedOn w:val="Style_39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Сетка таблицы1"/>
    <w:basedOn w:val="Style_39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1" w:type="table">
    <w:name w:val="Normal Grid"/>
    <w:basedOn w:val="Style_39"/>
    <w:pPr>
      <w:spacing w:after="0" w:line="240" w:lineRule="auto"/>
      <w:ind/>
    </w:pPr>
    <w:rPr>
      <w:rFonts w:ascii="Georgia" w:hAnsi="Georgia"/>
      <w:sz w:val="21"/>
    </w:rPr>
    <w:tblPr>
      <w:tblCellMar>
        <w:top w:type="dxa" w:w="80"/>
        <w:left w:type="dxa" w:w="160"/>
        <w:bottom w:type="dxa" w:w="80"/>
        <w:right w:type="dxa" w:w="16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2026-07-09T09:15:53Z</dcterms:modified>
</cp:coreProperties>
</file>