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hanging="10" w:left="-567"/>
        <w:jc w:val="center"/>
        <w:rPr>
          <w:b w:val="1"/>
          <w:spacing w:val="40"/>
        </w:rPr>
      </w:pPr>
      <w:bookmarkStart w:id="1" w:name="введение"/>
      <w:bookmarkEnd w:id="1"/>
    </w:p>
    <w:p w14:paraId="02000000">
      <w:pPr>
        <w:ind/>
        <w:jc w:val="center"/>
      </w:pPr>
      <w:bookmarkStart w:id="2" w:name="список_использованных_источников"/>
      <w:r>
        <w:rPr>
          <w:b w:val="1"/>
          <w:sz w:val="32"/>
        </w:rPr>
        <w:t>СПИСОК ИСПОЛЬЗОВАННЫХ ИСТОЧНИКОВ</w:t>
      </w:r>
      <w:bookmarkEnd w:id="2"/>
    </w:p>
    <w:p w14:paraId="03000000"/>
    <w:p w14:paraId="04000000">
      <w:pPr>
        <w:rPr>
          <w:b w:val="1"/>
        </w:rPr>
      </w:pPr>
      <w:r>
        <w:rPr>
          <w:b w:val="1"/>
        </w:rPr>
        <w:t>Нормативные правовые акты</w:t>
      </w:r>
    </w:p>
    <w:p w14:paraId="05000000">
      <w:pPr>
        <w:pStyle w:val="Style_1"/>
        <w:numPr>
          <w:ilvl w:val="0"/>
          <w:numId w:val="1"/>
        </w:numPr>
        <w:ind w:firstLine="709" w:left="0"/>
      </w:pPr>
      <w:r>
        <w:t xml:space="preserve">Гражданский кодекс Российской Федерации: </w:t>
      </w:r>
      <w:r>
        <w:t>федер</w:t>
      </w:r>
      <w:r>
        <w:t xml:space="preserve">. закон от 30.11.1994 № 51‑ФЗ (ред. действующая). – [Электронный ресурс]. – Режим доступа: КонсультантПлюс. </w:t>
      </w:r>
    </w:p>
    <w:p w14:paraId="06000000">
      <w:pPr>
        <w:pStyle w:val="Style_1"/>
        <w:numPr>
          <w:ilvl w:val="0"/>
          <w:numId w:val="1"/>
        </w:numPr>
        <w:ind w:firstLine="709" w:left="0"/>
      </w:pPr>
      <w:r>
        <w:t xml:space="preserve">О защите прав потребителей: Закон РФ от 07.02.1992 № 2300‑1 (ред. действующая). – [Электронный ресурс]. – Режим доступа: КонсультантПлюс. </w:t>
      </w:r>
    </w:p>
    <w:p w14:paraId="07000000">
      <w:pPr>
        <w:rPr>
          <w:b w:val="1"/>
        </w:rPr>
      </w:pPr>
      <w:r>
        <w:rPr>
          <w:b w:val="1"/>
        </w:rPr>
        <w:t>Учебная и научная литература</w:t>
      </w:r>
    </w:p>
    <w:p w14:paraId="08000000">
      <w:pPr>
        <w:pStyle w:val="Style_1"/>
        <w:numPr>
          <w:ilvl w:val="0"/>
          <w:numId w:val="1"/>
        </w:numPr>
        <w:ind w:firstLine="709" w:left="0"/>
      </w:pPr>
      <w:r>
        <w:t xml:space="preserve">Веселовский М. Я. Формирование инновационной инфраструктуры // МИР (Модернизация. Инновации. Развитие). 2022. №2 (30). </w:t>
      </w:r>
    </w:p>
    <w:p w14:paraId="09000000">
      <w:pPr>
        <w:pStyle w:val="Style_1"/>
        <w:numPr>
          <w:ilvl w:val="0"/>
          <w:numId w:val="1"/>
        </w:numPr>
        <w:ind w:firstLine="709" w:left="0"/>
      </w:pPr>
      <w:r>
        <w:t xml:space="preserve">Горников Н. В., Роль инновационной среды в развитии предприятий общественного питания в региональных условиях // Техника и технология пищевых производств. 2022. №1. </w:t>
      </w:r>
      <w:r>
        <w:t>obschestvennogo</w:t>
      </w:r>
      <w:r>
        <w:t>-</w:t>
      </w:r>
      <w:r>
        <w:t>pitaniya</w:t>
      </w:r>
      <w:r>
        <w:t>-v-</w:t>
      </w:r>
      <w:r>
        <w:t>regionalnyh</w:t>
      </w:r>
      <w:r>
        <w:t>-</w:t>
      </w:r>
      <w:r>
        <w:t>usloviyah</w:t>
      </w:r>
      <w:r>
        <w:t xml:space="preserve"> </w:t>
      </w:r>
    </w:p>
    <w:p w14:paraId="0A000000">
      <w:pPr>
        <w:pStyle w:val="Style_1"/>
        <w:numPr>
          <w:ilvl w:val="0"/>
          <w:numId w:val="1"/>
        </w:numPr>
        <w:ind w:firstLine="709" w:left="0"/>
      </w:pPr>
      <w:r>
        <w:t xml:space="preserve">Джавадова С. А., Молчанова Л. А. Инновационные технологии в основе устойчивого развития отечественного агропромышленного комплекса // Журнал прикладных исследований. 2021. № 2. С. 46-54. </w:t>
      </w:r>
    </w:p>
    <w:p w14:paraId="0B000000">
      <w:pPr>
        <w:pStyle w:val="Style_1"/>
        <w:numPr>
          <w:ilvl w:val="0"/>
          <w:numId w:val="1"/>
        </w:numPr>
        <w:ind w:firstLine="709" w:left="0"/>
      </w:pPr>
      <w:r>
        <w:t>Жукова, О.И. Инновационные методы управления в розничной торговле: опыт западных стран. Москва: Издательство «</w:t>
      </w:r>
      <w:r>
        <w:t>Ритейлмастер</w:t>
      </w:r>
      <w:r>
        <w:t>», 2019. 210 с</w:t>
      </w:r>
    </w:p>
    <w:p w14:paraId="0C000000">
      <w:pPr>
        <w:pStyle w:val="Style_1"/>
        <w:numPr>
          <w:ilvl w:val="0"/>
          <w:numId w:val="1"/>
        </w:numPr>
        <w:ind w:firstLine="709" w:left="0"/>
      </w:pPr>
      <w:r>
        <w:t>Иванов, А.А. Инновационные методы управления качеством в розничной торговле: стратегии для повышения конкурентоспособности. Москва: Издательство «Бизнес», 2023. 185 с;</w:t>
      </w:r>
    </w:p>
    <w:p w14:paraId="0D000000">
      <w:pPr>
        <w:pStyle w:val="Style_1"/>
        <w:numPr>
          <w:ilvl w:val="0"/>
          <w:numId w:val="1"/>
        </w:numPr>
        <w:ind w:firstLine="709" w:left="0"/>
      </w:pPr>
      <w:r>
        <w:t xml:space="preserve">  Катеринич Т. Н., Шешко А. В. Методы и методики оценки эффективности сбытовой политики предприятия  // Экономика и социум. 2023. </w:t>
      </w:r>
      <w:r>
        <w:t>№6-1</w:t>
      </w:r>
      <w:r>
        <w:t xml:space="preserve"> (25). URL: https://cyberleninka.ru/article/n/metody-i-metodiki-otsenki-effektivnosti-sbytovoy-deyatelnosti-predpriyatiya </w:t>
      </w:r>
    </w:p>
    <w:p w14:paraId="0E000000">
      <w:pPr>
        <w:pStyle w:val="Style_1"/>
        <w:numPr>
          <w:ilvl w:val="0"/>
          <w:numId w:val="1"/>
        </w:numPr>
        <w:ind w:firstLine="709" w:left="0"/>
      </w:pPr>
      <w:r>
        <w:t>Никифоров О. Левкин Г., Организация торговой деятельности 3-е изд., пер. и доп. Учебник и практикум для вузов // ЛитРес, 2023 г. 218 с.</w:t>
      </w:r>
    </w:p>
    <w:p w14:paraId="0F000000">
      <w:pPr>
        <w:pStyle w:val="Style_1"/>
        <w:numPr>
          <w:ilvl w:val="0"/>
          <w:numId w:val="1"/>
        </w:numPr>
        <w:ind w:firstLine="709" w:left="0"/>
      </w:pPr>
      <w:r>
        <w:t xml:space="preserve">Нуриев Р.М. Курс микроэкономики: 3-е изд., </w:t>
      </w:r>
      <w:r>
        <w:t>испр</w:t>
      </w:r>
      <w:r>
        <w:t>. и доп. - М.: 2021. —624 с.</w:t>
      </w:r>
    </w:p>
    <w:p w14:paraId="10000000">
      <w:pPr>
        <w:pStyle w:val="Style_1"/>
        <w:numPr>
          <w:ilvl w:val="0"/>
          <w:numId w:val="1"/>
        </w:numPr>
        <w:ind w:firstLine="709" w:left="0"/>
      </w:pPr>
      <w:r>
        <w:t>Сидорова, Г.М. Инновационные подходы к управлению качеством в розничной торговле России. Москва: Издательство «</w:t>
      </w:r>
      <w:r>
        <w:t>Бизнесинфор</w:t>
      </w:r>
      <w:r>
        <w:t>», 2021. 150 с;</w:t>
      </w:r>
    </w:p>
    <w:p w14:paraId="11000000">
      <w:pPr>
        <w:pStyle w:val="Style_1"/>
        <w:numPr>
          <w:ilvl w:val="0"/>
          <w:numId w:val="1"/>
        </w:numPr>
        <w:ind w:firstLine="709" w:left="0"/>
      </w:pPr>
      <w:r>
        <w:t xml:space="preserve"> Старов С.А. Управление собственными торговыми марками// Высшая школа менеджмента СПБГУ, 2023 Г -492 С</w:t>
      </w:r>
    </w:p>
    <w:p w14:paraId="12000000">
      <w:pPr>
        <w:pStyle w:val="Style_1"/>
        <w:numPr>
          <w:ilvl w:val="0"/>
          <w:numId w:val="1"/>
        </w:numPr>
        <w:ind w:firstLine="709" w:left="0"/>
      </w:pPr>
      <w:r>
        <w:t>Торговое дело. Коммерция, маркетинг, менеджмент. Теория и практика. Том 2 // ЛитРес, 2021 г, 318 с.</w:t>
      </w:r>
    </w:p>
    <w:p w14:paraId="13000000">
      <w:pPr>
        <w:pStyle w:val="Style_1"/>
        <w:numPr>
          <w:ilvl w:val="0"/>
          <w:numId w:val="1"/>
        </w:numPr>
        <w:ind w:firstLine="709" w:left="0"/>
      </w:pPr>
      <w:r>
        <w:t xml:space="preserve">  Ха А. Т. Экономическая сущность сбытовой деятельности // Финансовые рынки и банки. 2021. №5. URL: https://cyberleninka.ru/article/n/ekonomicheskaya-suschnost-sbytovoy-deyatelnosti-predpriyatiya</w:t>
      </w:r>
    </w:p>
    <w:p w14:paraId="14000000">
      <w:pPr>
        <w:pStyle w:val="Style_1"/>
        <w:numPr>
          <w:ilvl w:val="0"/>
          <w:numId w:val="1"/>
        </w:numPr>
        <w:ind w:firstLine="709" w:left="0"/>
      </w:pPr>
      <w:r>
        <w:t>Човган</w:t>
      </w:r>
      <w:r>
        <w:t xml:space="preserve"> Н. И., </w:t>
      </w:r>
      <w:r>
        <w:t>Акупиян</w:t>
      </w:r>
      <w:r>
        <w:t xml:space="preserve"> О. С. Формирование системы инновационно-ориентированного развития организаций отечественного аграрного сектора // АПК: экономика, управление. 2021. № 11. С. 3-9.</w:t>
      </w:r>
    </w:p>
    <w:p w14:paraId="15000000">
      <w:pPr>
        <w:rPr>
          <w:b w:val="1"/>
        </w:rPr>
      </w:pPr>
      <w:r>
        <w:rPr>
          <w:b w:val="1"/>
        </w:rPr>
        <w:t>Электронные ресурсы</w:t>
      </w:r>
    </w:p>
    <w:p w14:paraId="16000000">
      <w:pPr>
        <w:pStyle w:val="Style_1"/>
        <w:numPr>
          <w:ilvl w:val="0"/>
          <w:numId w:val="1"/>
        </w:numPr>
        <w:ind w:firstLine="709" w:left="0"/>
      </w:pPr>
      <w:r>
        <w:t xml:space="preserve">«Лента» усовершенствовала сервис самостоятельного сканирования покупок // New Retail. – 12.12.2021. – [Электронный ресурс]. – Режим доступа: </w:t>
      </w:r>
      <w:r>
        <w:fldChar w:fldCharType="begin"/>
      </w:r>
      <w:r>
        <w:instrText>HYPERLINK "https://new-retail.ru/novosti/retail/lenta_usovershenstvovala_servis_samostoyatelnogo_skanirovaniya_pokupok1917/"</w:instrText>
      </w:r>
      <w:r>
        <w:fldChar w:fldCharType="separate"/>
      </w:r>
      <w:r>
        <w:t>https://new-retail.ru/novosti/retail/lenta_usovershenstvovala_servis_samostoyatelnogo_skanirovaniya_pokupok1917/</w:t>
      </w:r>
      <w:r>
        <w:fldChar w:fldCharType="end"/>
      </w:r>
      <w:r>
        <w:t xml:space="preserve"> </w:t>
      </w:r>
    </w:p>
    <w:p w14:paraId="17000000">
      <w:pPr>
        <w:pStyle w:val="Style_1"/>
        <w:numPr>
          <w:ilvl w:val="0"/>
          <w:numId w:val="1"/>
        </w:numPr>
        <w:ind w:firstLine="709" w:left="0"/>
      </w:pPr>
      <w:r>
        <w:t xml:space="preserve">Онлайн‑заказы и доставка в «Ленте» // Официальный сайт сети «Лента». – [Электронный ресурс]. – Режим доступа: </w:t>
      </w:r>
      <w:r>
        <w:fldChar w:fldCharType="begin"/>
      </w:r>
      <w:r>
        <w:instrText>HYPERLINK "https://lenta.com/i/pokupatelyam/online-sale/"</w:instrText>
      </w:r>
      <w:r>
        <w:fldChar w:fldCharType="separate"/>
      </w:r>
      <w:r>
        <w:t>https://lenta.com/i/pokupatelyam/online-sale/</w:t>
      </w:r>
      <w:r>
        <w:fldChar w:fldCharType="end"/>
      </w:r>
      <w:r>
        <w:t xml:space="preserve"> </w:t>
      </w:r>
    </w:p>
    <w:p w14:paraId="18000000">
      <w:pPr>
        <w:pStyle w:val="Style_1"/>
        <w:numPr>
          <w:ilvl w:val="0"/>
          <w:numId w:val="1"/>
        </w:numPr>
        <w:ind w:firstLine="709" w:left="0"/>
      </w:pPr>
      <w:r>
        <w:t xml:space="preserve">«Лента» установила кассы самообслуживания ещё в 44 гипермаркетах // </w:t>
      </w:r>
      <w:r>
        <w:fldChar w:fldCharType="begin"/>
      </w:r>
      <w:r>
        <w:instrText>HYPERLINK "http://Retail.ru"</w:instrText>
      </w:r>
      <w:r>
        <w:fldChar w:fldCharType="separate"/>
      </w:r>
      <w:r>
        <w:t>Retail.ru</w:t>
      </w:r>
      <w:r>
        <w:fldChar w:fldCharType="end"/>
      </w:r>
      <w:r>
        <w:t xml:space="preserve">. – 31.01.2024. – [Электронный ресурс]. – Режим доступа: </w:t>
      </w:r>
      <w:r>
        <w:fldChar w:fldCharType="begin"/>
      </w:r>
      <w:r>
        <w:instrText>HYPERLINK "https://www.retail.ru/rbc/pressreleases/lenta-ustanovila-kassy-samoobsluzhivaniya-eshchye-v-44-gipermarketakh/"</w:instrText>
      </w:r>
      <w:r>
        <w:fldChar w:fldCharType="separate"/>
      </w:r>
      <w:r>
        <w:t>https://www.retail.ru/rbc/pressreleases/lenta-ustanovila-kassy-samoobsluzhivaniya-eshchye-v-44-gipermarketakh/</w:t>
      </w:r>
      <w:r>
        <w:fldChar w:fldCharType="end"/>
      </w:r>
      <w:r>
        <w:t xml:space="preserve"> </w:t>
      </w:r>
    </w:p>
    <w:p w14:paraId="19000000">
      <w:r>
        <w:t xml:space="preserve">«Лента» запустила сервисы для самостоятельных покупок в семи городах России // </w:t>
      </w:r>
      <w:r>
        <w:fldChar w:fldCharType="begin"/>
      </w:r>
      <w:r>
        <w:instrText>HYPERLINK "http://Retail.ru"</w:instrText>
      </w:r>
      <w:r>
        <w:fldChar w:fldCharType="separate"/>
      </w:r>
      <w:r>
        <w:t>Retail.ru</w:t>
      </w:r>
      <w:r>
        <w:fldChar w:fldCharType="end"/>
      </w:r>
      <w:r>
        <w:t xml:space="preserve">. – 27.12.2021. – [Электронный ресурс]. – Режим доступа: </w:t>
      </w:r>
      <w:r>
        <w:fldChar w:fldCharType="begin"/>
      </w:r>
      <w:r>
        <w:instrText>HYPERLINK "https://www.retail.ru/news/lenta-zapustila-servisy-dlya-samostoyatelnykh-pokupok-v-semi-gorodakh-rossii-27-dekabrya-2021-212450/"</w:instrText>
      </w:r>
      <w:r>
        <w:fldChar w:fldCharType="separate"/>
      </w:r>
      <w:r>
        <w:t>https://www.retail.ru/news/lenta-zapustila-servisy-dlya-samostoyatelnykh-pokupok-v-semi-gorodakh-rossii-27-dekabrya-2021-212450/</w:t>
      </w:r>
      <w:r>
        <w:fldChar w:fldCharType="end"/>
      </w:r>
    </w:p>
    <w:sectPr>
      <w:pgSz w:h="15840" w:orient="portrait" w:w="12240"/>
      <w:pgMar w:bottom="1134" w:footer="720" w:gutter="0" w:header="720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1"/>
      </w:rPr>
    </w:rPrDefault>
    <w:pPrDefault>
      <w:pPr>
        <w:spacing w:after="120" w:before="0" w:line="240" w:lineRule="atLeast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360" w:lineRule="auto"/>
      <w:ind w:firstLine="709" w:left="0"/>
      <w:jc w:val="both"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Verbatim Char"/>
    <w:link w:val="Style_5_ch"/>
    <w:rPr>
      <w:rFonts w:ascii="Consolas" w:hAnsi="Consolas"/>
      <w:sz w:val="22"/>
    </w:rPr>
  </w:style>
  <w:style w:styleId="Style_5_ch" w:type="character">
    <w:name w:val="Verbatim Char"/>
    <w:link w:val="Style_5"/>
    <w:rPr>
      <w:rFonts w:ascii="Consolas" w:hAnsi="Consolas"/>
      <w:sz w:val="22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Unresolved Mention"/>
    <w:basedOn w:val="Style_10"/>
    <w:link w:val="Style_9_ch"/>
    <w:rPr>
      <w:color w:val="605E5C"/>
      <w:shd w:fill="E1DFDD" w:val="clear"/>
    </w:rPr>
  </w:style>
  <w:style w:styleId="Style_9_ch" w:type="character">
    <w:name w:val="Unresolved Mention"/>
    <w:basedOn w:val="Style_10_ch"/>
    <w:link w:val="Style_9"/>
    <w:rPr>
      <w:color w:val="605E5C"/>
      <w:shd w:fill="E1DFDD" w:val="clear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No Spacing"/>
    <w:link w:val="Style_13_ch"/>
    <w:pPr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3_ch" w:type="character">
    <w:name w:val="No Spacing"/>
    <w:link w:val="Style_13"/>
    <w:rPr>
      <w:rFonts w:ascii="Times New Roman" w:hAnsi="Times New Roman"/>
      <w:sz w:val="28"/>
    </w:rPr>
  </w:style>
  <w:style w:styleId="Style_14" w:type="paragraph">
    <w:name w:val="heading 1"/>
    <w:basedOn w:val="Style_2"/>
    <w:next w:val="Style_2"/>
    <w:link w:val="Style_14_ch"/>
    <w:uiPriority w:val="9"/>
    <w:qFormat/>
    <w:pPr>
      <w:keepNext w:val="1"/>
      <w:keepLines w:val="1"/>
      <w:ind/>
      <w:jc w:val="center"/>
      <w:outlineLvl w:val="0"/>
    </w:pPr>
    <w:rPr>
      <w:b w:val="1"/>
      <w:color w:themeColor="text1" w:val="000000"/>
    </w:rPr>
  </w:style>
  <w:style w:styleId="Style_14_ch" w:type="character">
    <w:name w:val="heading 1"/>
    <w:basedOn w:val="Style_2_ch"/>
    <w:link w:val="Style_14"/>
    <w:rPr>
      <w:b w:val="1"/>
      <w:color w:themeColor="text1" w:val="000000"/>
    </w:rPr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5" w:type="paragraph">
    <w:name w:val="my-2"/>
    <w:basedOn w:val="Style_2"/>
    <w:link w:val="Style_15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15_ch" w:type="character">
    <w:name w:val="my-2"/>
    <w:basedOn w:val="Style_2_ch"/>
    <w:link w:val="Style_15"/>
    <w:rPr>
      <w:sz w:val="24"/>
    </w:rPr>
  </w:style>
  <w:style w:styleId="Style_16" w:type="paragraph">
    <w:name w:val="Hyperlink"/>
    <w:basedOn w:val="Style_10"/>
    <w:link w:val="Style_16_ch"/>
    <w:rPr>
      <w:color w:themeColor="hyperlink" w:val="467886"/>
      <w:u w:val="single"/>
    </w:rPr>
  </w:style>
  <w:style w:styleId="Style_16_ch" w:type="character">
    <w:name w:val="Hyperlink"/>
    <w:basedOn w:val="Style_10_ch"/>
    <w:link w:val="Style_16"/>
    <w:rPr>
      <w:color w:themeColor="hyperlink" w:val="467886"/>
      <w:u w:val="single"/>
    </w:rPr>
  </w:style>
  <w:style w:styleId="Style_17" w:type="paragraph">
    <w:name w:val="Footnote"/>
    <w:basedOn w:val="Style_2"/>
    <w:link w:val="Style_17_ch"/>
    <w:pPr>
      <w:spacing w:line="240" w:lineRule="auto"/>
      <w:ind/>
    </w:pPr>
    <w:rPr>
      <w:sz w:val="20"/>
    </w:rPr>
  </w:style>
  <w:style w:styleId="Style_17_ch" w:type="character">
    <w:name w:val="Footnote"/>
    <w:basedOn w:val="Style_2_ch"/>
    <w:link w:val="Style_17"/>
    <w:rPr>
      <w:sz w:val="20"/>
    </w:rPr>
  </w:style>
  <w:style w:styleId="Style_18" w:type="paragraph">
    <w:name w:val="toc 1"/>
    <w:basedOn w:val="Style_2"/>
    <w:next w:val="Style_2"/>
    <w:link w:val="Style_18_ch"/>
    <w:uiPriority w:val="39"/>
    <w:pPr>
      <w:spacing w:after="100"/>
      <w:ind/>
    </w:pPr>
  </w:style>
  <w:style w:styleId="Style_18_ch" w:type="character">
    <w:name w:val="toc 1"/>
    <w:basedOn w:val="Style_2_ch"/>
    <w:link w:val="Style_18"/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TOC Heading"/>
    <w:basedOn w:val="Style_14"/>
    <w:next w:val="Style_2"/>
    <w:link w:val="Style_23_ch"/>
    <w:pPr>
      <w:spacing w:before="240" w:line="264" w:lineRule="auto"/>
      <w:ind w:firstLine="0" w:left="0"/>
      <w:jc w:val="left"/>
      <w:outlineLvl w:val="8"/>
    </w:pPr>
    <w:rPr>
      <w:rFonts w:asciiTheme="majorAscii" w:hAnsiTheme="majorHAnsi"/>
      <w:b w:val="0"/>
      <w:color w:themeColor="accent1" w:themeShade="BF" w:val="104861"/>
      <w:sz w:val="32"/>
    </w:rPr>
  </w:style>
  <w:style w:styleId="Style_23_ch" w:type="character">
    <w:name w:val="TOC Heading"/>
    <w:basedOn w:val="Style_14_ch"/>
    <w:link w:val="Style_23"/>
    <w:rPr>
      <w:rFonts w:asciiTheme="majorAscii" w:hAnsiTheme="majorHAnsi"/>
      <w:b w:val="0"/>
      <w:color w:themeColor="accent1" w:themeShade="BF" w:val="104861"/>
      <w:sz w:val="32"/>
    </w:rPr>
  </w:style>
  <w:style w:styleId="Style_24" w:type="paragraph">
    <w:name w:val="Subtitle"/>
    <w:next w:val="Style_2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2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footnote reference"/>
    <w:basedOn w:val="Style_10"/>
    <w:link w:val="Style_28_ch"/>
    <w:rPr>
      <w:vertAlign w:val="superscript"/>
    </w:rPr>
  </w:style>
  <w:style w:styleId="Style_28_ch" w:type="character">
    <w:name w:val="footnote reference"/>
    <w:basedOn w:val="Style_10_ch"/>
    <w:link w:val="Style_28"/>
    <w:rPr>
      <w:vertAlign w:val="superscript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" w:type="table">
    <w:name w:val="Normal Grid"/>
    <w:basedOn w:val="Style_29"/>
    <w:pPr>
      <w:spacing w:after="0" w:line="240" w:lineRule="auto"/>
      <w:ind/>
    </w:pPr>
    <w:tblPr>
      <w:tblCellMar>
        <w:top w:type="dxa" w:w="80"/>
        <w:left w:type="dxa" w:w="160"/>
        <w:bottom w:type="dxa" w:w="80"/>
        <w:right w:type="dxa" w:w="16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2026-07-06T10:43:17Z</dcterms:modified>
</cp:coreProperties>
</file>