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before="0" w:line="240" w:lineRule="auto"/>
        <w:ind w:firstLine="0" w:left="0"/>
        <w:jc w:val="center"/>
      </w:pPr>
    </w:p>
    <w:p w14:paraId="03000000">
      <w:pPr>
        <w:sectPr>
          <w:pgSz w:h="16838" w:orient="portrait" w:w="11906"/>
          <w:pgMar w:bottom="0" w:footer="708" w:gutter="0" w:header="708" w:left="0" w:right="0" w:top="0"/>
        </w:sectPr>
      </w:pPr>
    </w:p>
    <w:p w14:paraId="04000000">
      <w:pPr>
        <w:spacing w:after="20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СОДЕРЖАНИЕ</w:t>
      </w:r>
    </w:p>
    <w:p w14:paraId="05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Введение</w:t>
      </w:r>
      <w:r>
        <w:rPr>
          <w:rFonts w:ascii="Times New Roman" w:hAnsi="Times New Roman"/>
          <w:sz w:val="28"/>
        </w:rPr>
        <w:t>3</w:t>
      </w:r>
    </w:p>
    <w:p w14:paraId="06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Раздел 1. Разработка плана решения практической задачи в области бухгалтерского учёта</w:t>
      </w:r>
      <w:r>
        <w:rPr>
          <w:rFonts w:ascii="Times New Roman" w:hAnsi="Times New Roman"/>
          <w:sz w:val="28"/>
        </w:rPr>
        <w:t>5</w:t>
      </w:r>
    </w:p>
    <w:p w14:paraId="07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1.1. Характеристика организации – объекта практики</w:t>
      </w:r>
      <w:r>
        <w:rPr>
          <w:rFonts w:ascii="Times New Roman" w:hAnsi="Times New Roman"/>
          <w:sz w:val="28"/>
        </w:rPr>
        <w:t>5</w:t>
      </w:r>
    </w:p>
    <w:p w14:paraId="08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1.2. Постановка цели и формирование круга задач</w:t>
      </w:r>
      <w:r>
        <w:rPr>
          <w:rFonts w:ascii="Times New Roman" w:hAnsi="Times New Roman"/>
          <w:sz w:val="28"/>
        </w:rPr>
        <w:t>6</w:t>
      </w:r>
    </w:p>
    <w:p w14:paraId="09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1.3. Нормативная база, ресурсы и ограничения</w:t>
      </w:r>
      <w:r>
        <w:rPr>
          <w:rFonts w:ascii="Times New Roman" w:hAnsi="Times New Roman"/>
          <w:sz w:val="28"/>
        </w:rPr>
        <w:t>7</w:t>
      </w:r>
    </w:p>
    <w:p w14:paraId="0A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1.4. Альтернативные способы решения задачи и обоснование выбора</w:t>
      </w:r>
      <w:r>
        <w:rPr>
          <w:rFonts w:ascii="Times New Roman" w:hAnsi="Times New Roman"/>
          <w:sz w:val="28"/>
        </w:rPr>
        <w:t>8</w:t>
      </w:r>
    </w:p>
    <w:p w14:paraId="0B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Раздел 2. Ведение учёта хозяйственных операций и формирование отчётности</w:t>
      </w:r>
      <w:r>
        <w:rPr>
          <w:rFonts w:ascii="Times New Roman" w:hAnsi="Times New Roman"/>
          <w:sz w:val="28"/>
        </w:rPr>
        <w:t>9</w:t>
      </w:r>
    </w:p>
    <w:p w14:paraId="0C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2.1. Первичные документы и рабочий план счетов</w:t>
      </w:r>
      <w:r>
        <w:rPr>
          <w:rFonts w:ascii="Times New Roman" w:hAnsi="Times New Roman"/>
          <w:sz w:val="28"/>
        </w:rPr>
        <w:t>9</w:t>
      </w:r>
    </w:p>
    <w:p w14:paraId="0D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2.2. Журнал хозяйственных операций</w:t>
      </w:r>
      <w:r>
        <w:rPr>
          <w:rFonts w:ascii="Times New Roman" w:hAnsi="Times New Roman"/>
          <w:sz w:val="28"/>
        </w:rPr>
        <w:t>9</w:t>
      </w:r>
    </w:p>
    <w:p w14:paraId="0E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2.3. Формирование бухгалтерской (финансовой) отчётности</w:t>
      </w:r>
      <w:r>
        <w:rPr>
          <w:rFonts w:ascii="Times New Roman" w:hAnsi="Times New Roman"/>
          <w:sz w:val="28"/>
        </w:rPr>
        <w:t>11</w:t>
      </w:r>
    </w:p>
    <w:p w14:paraId="0F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Раздел 3. Оценка и разработка системы внутреннего контроля</w:t>
      </w:r>
      <w:r>
        <w:rPr>
          <w:rFonts w:ascii="Times New Roman" w:hAnsi="Times New Roman"/>
          <w:sz w:val="28"/>
        </w:rPr>
        <w:t>13</w:t>
      </w:r>
    </w:p>
    <w:p w14:paraId="10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3.1. Объект контроля и действующие контрольные процедуры</w:t>
      </w:r>
      <w:r>
        <w:rPr>
          <w:rFonts w:ascii="Times New Roman" w:hAnsi="Times New Roman"/>
          <w:sz w:val="28"/>
        </w:rPr>
        <w:t>13</w:t>
      </w:r>
    </w:p>
    <w:p w14:paraId="11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3.2. Идентификация рисков и слабых мест контроля</w:t>
      </w:r>
      <w:r>
        <w:rPr>
          <w:rFonts w:ascii="Times New Roman" w:hAnsi="Times New Roman"/>
          <w:sz w:val="28"/>
        </w:rPr>
        <w:t>14</w:t>
      </w:r>
    </w:p>
    <w:p w14:paraId="12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3.3. Разработанные меры контроля и оценка их эффективности</w:t>
      </w:r>
      <w:r>
        <w:rPr>
          <w:rFonts w:ascii="Times New Roman" w:hAnsi="Times New Roman"/>
          <w:sz w:val="28"/>
        </w:rPr>
        <w:t>14</w:t>
      </w:r>
    </w:p>
    <w:p w14:paraId="13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Раздел 4. Расчёт налоговой нагрузки и подготовка налоговой отчётности</w:t>
      </w:r>
      <w:r>
        <w:rPr>
          <w:rFonts w:ascii="Times New Roman" w:hAnsi="Times New Roman"/>
          <w:sz w:val="28"/>
        </w:rPr>
        <w:t>16</w:t>
      </w:r>
    </w:p>
    <w:p w14:paraId="14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4.1. Система налогообложения и состав уплачиваемых налогов</w:t>
      </w:r>
      <w:r>
        <w:rPr>
          <w:rFonts w:ascii="Times New Roman" w:hAnsi="Times New Roman"/>
          <w:sz w:val="28"/>
        </w:rPr>
        <w:t>16</w:t>
      </w:r>
    </w:p>
    <w:p w14:paraId="15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4.2. Налог на добавленную стоимость</w:t>
      </w:r>
      <w:r>
        <w:rPr>
          <w:rFonts w:ascii="Times New Roman" w:hAnsi="Times New Roman"/>
          <w:sz w:val="28"/>
        </w:rPr>
        <w:t>16</w:t>
      </w:r>
    </w:p>
    <w:p w14:paraId="16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4.3. Налог на прибыль организаций</w:t>
      </w:r>
      <w:r>
        <w:rPr>
          <w:rFonts w:ascii="Times New Roman" w:hAnsi="Times New Roman"/>
          <w:sz w:val="28"/>
        </w:rPr>
        <w:t>17</w:t>
      </w:r>
    </w:p>
    <w:p w14:paraId="17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4.4. Страховые взносы</w:t>
      </w:r>
      <w:r>
        <w:rPr>
          <w:rFonts w:ascii="Times New Roman" w:hAnsi="Times New Roman"/>
          <w:sz w:val="28"/>
        </w:rPr>
        <w:t>17</w:t>
      </w:r>
    </w:p>
    <w:p w14:paraId="18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4.5. Налоговая нагрузка и элементы налогового планирования</w:t>
      </w:r>
      <w:r>
        <w:rPr>
          <w:rFonts w:ascii="Times New Roman" w:hAnsi="Times New Roman"/>
          <w:sz w:val="28"/>
        </w:rPr>
        <w:t>19</w:t>
      </w:r>
    </w:p>
    <w:p w14:paraId="19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Раздел 5. Аудиторская проверка бухгалтерской отчётности</w:t>
      </w:r>
      <w:r>
        <w:rPr>
          <w:rFonts w:ascii="Times New Roman" w:hAnsi="Times New Roman"/>
          <w:sz w:val="28"/>
        </w:rPr>
        <w:t>21</w:t>
      </w:r>
    </w:p>
    <w:p w14:paraId="1A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5.1. Цель, объём и ключевые участки проверки</w:t>
      </w:r>
      <w:r>
        <w:rPr>
          <w:rFonts w:ascii="Times New Roman" w:hAnsi="Times New Roman"/>
          <w:sz w:val="28"/>
        </w:rPr>
        <w:t>21</w:t>
      </w:r>
    </w:p>
    <w:p w14:paraId="1B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5.2. Аудиторские процедуры</w:t>
      </w:r>
      <w:r>
        <w:rPr>
          <w:rFonts w:ascii="Times New Roman" w:hAnsi="Times New Roman"/>
          <w:sz w:val="28"/>
        </w:rPr>
        <w:t>21</w:t>
      </w:r>
    </w:p>
    <w:p w14:paraId="1C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5.3. Выявленные риски, искажения и рекомендации</w:t>
      </w:r>
      <w:r>
        <w:rPr>
          <w:rFonts w:ascii="Times New Roman" w:hAnsi="Times New Roman"/>
          <w:sz w:val="28"/>
        </w:rPr>
        <w:t>22</w:t>
      </w:r>
    </w:p>
    <w:p w14:paraId="1D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5.4. Учебное аудиторское заключение</w:t>
      </w:r>
      <w:r>
        <w:rPr>
          <w:rFonts w:ascii="Times New Roman" w:hAnsi="Times New Roman"/>
          <w:sz w:val="28"/>
        </w:rPr>
        <w:t>23</w:t>
      </w:r>
    </w:p>
    <w:p w14:paraId="1E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Заключение</w:t>
      </w:r>
      <w:r>
        <w:rPr>
          <w:rFonts w:ascii="Times New Roman" w:hAnsi="Times New Roman"/>
          <w:sz w:val="28"/>
        </w:rPr>
        <w:t>24</w:t>
      </w:r>
    </w:p>
    <w:p w14:paraId="1F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Список использованных источников и литературы</w:t>
      </w:r>
      <w:r>
        <w:rPr>
          <w:rFonts w:ascii="Times New Roman" w:hAnsi="Times New Roman"/>
          <w:sz w:val="28"/>
        </w:rPr>
        <w:t>26</w:t>
      </w:r>
    </w:p>
    <w:p w14:paraId="20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Приложение 1. Бухгалтерский баланс ООО «СтройРесурс»</w:t>
      </w:r>
      <w:r>
        <w:rPr>
          <w:rFonts w:ascii="Times New Roman" w:hAnsi="Times New Roman"/>
          <w:sz w:val="28"/>
        </w:rPr>
        <w:t>29</w:t>
      </w:r>
    </w:p>
    <w:p w14:paraId="21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Приложение 2. Отчёт о финансовых результатах ООО «СтройРесурс»</w:t>
      </w:r>
      <w:r>
        <w:rPr>
          <w:rFonts w:ascii="Times New Roman" w:hAnsi="Times New Roman"/>
          <w:sz w:val="28"/>
        </w:rPr>
        <w:t>30</w:t>
      </w:r>
    </w:p>
    <w:p w14:paraId="22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Приложение 3. Отчёт об изменениях капитала ООО «СтройРесурс»</w:t>
      </w:r>
      <w:r>
        <w:rPr>
          <w:rFonts w:ascii="Times New Roman" w:hAnsi="Times New Roman"/>
          <w:sz w:val="28"/>
        </w:rPr>
        <w:t>31</w:t>
      </w:r>
    </w:p>
    <w:p w14:paraId="23000000">
      <w:pPr>
        <w:tabs>
          <w:tab w:leader="dot" w:pos="9355" w:val="right"/>
        </w:tabs>
        <w:spacing w:after="0" w:before="0" w:line="240" w:lineRule="auto"/>
        <w:ind w:firstLine="0" w:left="0"/>
        <w:jc w:val="left"/>
      </w:pPr>
      <w:r>
        <w:rPr>
          <w:rFonts w:ascii="Times New Roman" w:hAnsi="Times New Roman"/>
          <w:sz w:val="28"/>
        </w:rPr>
        <w:t>Приложение 4. Отчёт о движении денежных средств ООО «СтройРесурс»</w:t>
      </w:r>
      <w:r>
        <w:rPr>
          <w:rFonts w:ascii="Times New Roman" w:hAnsi="Times New Roman"/>
          <w:sz w:val="28"/>
        </w:rPr>
        <w:t>32</w:t>
      </w:r>
    </w:p>
    <w:p w14:paraId="2400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Введение</w:t>
      </w:r>
    </w:p>
    <w:p w14:paraId="25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 соответствии с учебным планом по направлению подготовки 38.03.01 Экономика, направленность (профиль) «Бухгалтерский учёт, анализ и аудит», в период с 04 мая 2026 г. по 31 мая 2026 г. была пройдена производственная практика (технологическая (проектно-технологическая) практика), организованная согласно рабочей программе практики Московского университета имени С.Ю. Витте. Практика проходила на базе ЧОУВО «Московский университет имени С.Ю. Витте».</w:t>
      </w:r>
    </w:p>
    <w:p w14:paraId="26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 качестве объекта практической проработки в соответствии с индивидуальным заданием выбрана условная организация – общество с ограниченной ответственностью «СтройРесурс», ведущее оптовую торговлю строительными материалами. Выбор условной организации позволяет смоделировать полный цикл учётной работы: от регистрации первичных документов и ведения хозяйственных операций до формирования бухгалтерской отчётности, расчёта налогов и проведения учебной аудиторской проверки.</w:t>
      </w:r>
    </w:p>
    <w:p w14:paraId="27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Целью практики является овладение необходимыми компетенциями, систематизация, обобщение и углубление теоретических знаний в области бухгалтерского учёта, анализа и аудита.</w:t>
      </w:r>
    </w:p>
    <w:p w14:paraId="28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Для достижения цели в ходе практики решались следующие задачи:</w:t>
      </w:r>
    </w:p>
    <w:p w14:paraId="29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формирование профессиональных умений и навыков в сфере бухгалтерского учёта, а также навыков формирования бухгалтерской отчётности;</w:t>
      </w:r>
    </w:p>
    <w:p w14:paraId="2A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формирование навыков оформления и систематизации учётных документов, обобщения итоговых фактов хозяйственной жизни и составления форм бухгалтерской и статистической отчётности;</w:t>
      </w:r>
    </w:p>
    <w:p w14:paraId="2B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формирование навыков применения внутреннего контроля для ведения бухгалтерского учёта и составления бухгалтерской (финансовой) отчётности;</w:t>
      </w:r>
    </w:p>
    <w:p w14:paraId="2C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формирование навыков осуществления налогового учёта, налогового планирования, составления налоговых расчётов и деклараций;</w:t>
      </w:r>
    </w:p>
    <w:p w14:paraId="2D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формирование навыков выполнения аудиторских процедур.</w:t>
      </w:r>
    </w:p>
    <w:p w14:paraId="2E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Общая трудоёмкость практики составляет 216 часов (6 зачётных единиц), продолжительность – 4 недели.</w:t>
      </w:r>
    </w:p>
    <w:p w14:paraId="2F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Содержание практики и отчёта о её результатах определяется индивидуальным заданием, разделы которого направлены на формирование следующих компетенций:</w:t>
      </w:r>
    </w:p>
    <w:p w14:paraId="30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УК-2 –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ограничений;</w:t>
      </w:r>
    </w:p>
    <w:p w14:paraId="31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ПК-1 – способен оформлять и систематизировать учётные документы, обобщать итоговые факты хозяйственной жизни экономических субъектов, составлять формы бухгалтерской и статистической отчётности;</w:t>
      </w:r>
    </w:p>
    <w:p w14:paraId="32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ПК-2 – способен применять внутренний контроль для ведения бухгалтерского учёта и составления бухгалтерской (финансовой) отчётности;</w:t>
      </w:r>
    </w:p>
    <w:p w14:paraId="33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ПК-3 – способен осуществлять налоговый учёт, налоговое планирование, составлять налоговые отчёты и декларации;</w:t>
      </w:r>
    </w:p>
    <w:p w14:paraId="34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ПК-5 – способен выполнять аудиторские процедуры, оказывать услуги, связанные с аудиторской деятельностью.</w:t>
      </w:r>
    </w:p>
    <w:p w14:paraId="35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Отчёт состоит из введения, пяти разделов, заключения, списка использованных источников и приложений. Каждый раздел соответствует отдельной задаче индивидуального задания и закрепляет одну из перечисленных компетенций.</w:t>
      </w:r>
    </w:p>
    <w:p w14:paraId="3600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Раздел 1. Разработка плана решения практической задачи в области бухгалтерского учёта</w:t>
      </w:r>
    </w:p>
    <w:p w14:paraId="3700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1.1. Характеристика организации – объекта практики</w:t>
      </w:r>
    </w:p>
    <w:p w14:paraId="38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Объектом практики выступает условная организация – ООО «СтройРесурс». Основной вид деятельности по ОКВЭД – 46.73 «Торговля оптовая лесоматериалами, строительными материалами и санитарно-техническим оборудованием». Организационно-правовая форма – общество с ограниченной ответственностью; организация относится к субъектам малого предпринимательства и включена в единый реестр субъектов МСП.</w:t>
      </w:r>
    </w:p>
    <w:p w14:paraId="39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Организация применяет общую систему налогообложения и является плательщиком налога на добавленную стоимость и налога на прибыль организаций. Среднесписочная численность работников – 12 человек. Бухгалтерский учёт ведётся силами собственной бухгалтерской службы с использованием программного продукта «1С:Бухгалтерия 8.3».</w:t>
      </w:r>
    </w:p>
    <w:p w14:paraId="3A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Организационная структура управления – линейно-функциональная. Во главе организации находится директор, которому непосредственно подчинены главный бухгалтер, коммерческий отдел и отдел логистики со складом. Структура управления приведена на рисунке 1.</w:t>
      </w:r>
    </w:p>
    <w:p w14:paraId="3B000000">
      <w:pPr>
        <w:spacing w:after="40" w:before="120" w:line="240" w:lineRule="auto"/>
        <w:ind/>
        <w:jc w:val="center"/>
      </w:pPr>
      <w:r>
        <w:drawing>
          <wp:inline>
            <wp:extent cx="4095750" cy="238125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4095750" cy="23812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C000000">
      <w:pPr>
        <w:keepNext w:val="1"/>
        <w:spacing w:after="60" w:before="0" w:line="360" w:lineRule="auto"/>
        <w:ind/>
        <w:jc w:val="center"/>
      </w:pPr>
      <w:r>
        <w:rPr>
          <w:rFonts w:ascii="Times New Roman" w:hAnsi="Times New Roman"/>
          <w:sz w:val="28"/>
        </w:rPr>
        <w:t>Рисунок 1 – Организационная структура ООО «СтройРесурс»</w:t>
      </w:r>
    </w:p>
    <w:p w14:paraId="3D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Бухгалтерскую службу возглавляет главный бухгалтер, в подчинении которого находится бухгалтер-кассир. Главный бухгалтер отвечает за формирование учётной политики, организацию и ведение бухгалтерского и налогового учёта, своевременное составление и представление бухгалтерской и налоговой отчётности, организацию системы внутреннего контроля. Бухгалтер-кассир ведёт кассовые операции, расчёты с подотчётными лицами, участок расчётов с персоналом по оплате труда.</w:t>
      </w:r>
    </w:p>
    <w:p w14:paraId="3E00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1.2. Постановка цели и формирование круга задач</w:t>
      </w:r>
    </w:p>
    <w:p w14:paraId="3F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 рамках индивидуального задания сформулирована практическая задача: постановка и ведение бухгалтерского учёта хозяйственных операций ООО «СтройРесурс» и формирование бухгалтерской (финансовой) отчётности за 2025 год с последующей оценкой системы внутреннего контроля, расчётом налоговых обязательств и проведением учебной аудиторской проверки.</w:t>
      </w:r>
    </w:p>
    <w:p w14:paraId="40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Для достижения поставленной цели определена совокупность задач, обеспечивающих её достижение:</w:t>
      </w:r>
    </w:p>
    <w:p w14:paraId="41000000">
      <w:pPr>
        <w:pStyle w:val="Style_1"/>
        <w:numPr>
          <w:ilvl w:val="0"/>
          <w:numId w:val="2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сформировать рабочий план счетов и перечень первичных документов организации;</w:t>
      </w:r>
    </w:p>
    <w:p w14:paraId="42000000">
      <w:pPr>
        <w:pStyle w:val="Style_1"/>
        <w:numPr>
          <w:ilvl w:val="0"/>
          <w:numId w:val="2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отразить хозяйственные операции в учётных регистрах (журнале операций) методом двойной записи;</w:t>
      </w:r>
    </w:p>
    <w:p w14:paraId="43000000">
      <w:pPr>
        <w:pStyle w:val="Style_1"/>
        <w:numPr>
          <w:ilvl w:val="0"/>
          <w:numId w:val="2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составить бухгалтерский баланс и отчёт о финансовых результатах;</w:t>
      </w:r>
    </w:p>
    <w:p w14:paraId="44000000">
      <w:pPr>
        <w:pStyle w:val="Style_1"/>
        <w:numPr>
          <w:ilvl w:val="0"/>
          <w:numId w:val="2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оценить систему внутреннего контроля по выбранному участку учёта и разработать меры её совершенствования;</w:t>
      </w:r>
    </w:p>
    <w:p w14:paraId="45000000">
      <w:pPr>
        <w:pStyle w:val="Style_1"/>
        <w:numPr>
          <w:ilvl w:val="0"/>
          <w:numId w:val="2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рассчитать налоговые обязательства, оценить налоговую нагрузку и предложить законные способы её оптимизации;</w:t>
      </w:r>
    </w:p>
    <w:p w14:paraId="46000000">
      <w:pPr>
        <w:pStyle w:val="Style_1"/>
        <w:numPr>
          <w:ilvl w:val="0"/>
          <w:numId w:val="2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провести аудиторские процедуры в отношении сформированной отчётности и подготовить учебное аудиторское заключение.</w:t>
      </w:r>
    </w:p>
    <w:p w14:paraId="47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Поставленные задачи логически связаны: результаты решения каждой предыдущей задачи являются исходными данными для последующей, что обеспечивает достижение общей цели практики.</w:t>
      </w:r>
    </w:p>
    <w:p w14:paraId="4800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1.3. Нормативная база, ресурсы и ограничения</w:t>
      </w:r>
    </w:p>
    <w:p w14:paraId="49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При решении практической задачи учитывались действующие правовые нормы. Нормативную базу составляют:</w:t>
      </w:r>
    </w:p>
    <w:p w14:paraId="4A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Федеральный закон от 06.12.2011 № 402-ФЗ «О бухгалтерском учёте»;</w:t>
      </w:r>
    </w:p>
    <w:p w14:paraId="4B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Налоговый кодекс Российской Федерации (части первая и вторая);</w:t>
      </w:r>
    </w:p>
    <w:p w14:paraId="4C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ФСБУ 4/2023 «Бухгалтерская (финансовая) отчётность» (обязателен к применению начиная с отчётности за 2025 год);</w:t>
      </w:r>
    </w:p>
    <w:p w14:paraId="4D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ФСБУ 5/2019 «Запасы», ФСБУ 6/2020 «Основные средства», ФСБУ 26/2020 «Капитальные вложения», ФСБУ 14/2022 «Нематериальные активы»;</w:t>
      </w:r>
    </w:p>
    <w:p w14:paraId="4E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ФСБУ 28/2023 «Инвентаризация» (обязателен к применению с 01.04.2025);</w:t>
      </w:r>
    </w:p>
    <w:p w14:paraId="4F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ПБУ 9/99 «Доходы организации» и ПБУ 10/99 «Расходы организации»;</w:t>
      </w:r>
    </w:p>
    <w:p w14:paraId="50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План счетов бухгалтерского учёта и Инструкция по его применению (приказ Минфина России от 31.10.2000 № 94н);</w:t>
      </w:r>
    </w:p>
    <w:p w14:paraId="51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Международные стандарты аудита (МСА), введённые в действие на территории Российской Федерации, и Федеральный закон от 30.12.2008 № 307-ФЗ «Об аудиторской деятельности».</w:t>
      </w:r>
    </w:p>
    <w:p w14:paraId="52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Имеющиеся ресурсы: программный продукт «1С:Бухгалтерия 8.3», справочно-правовая система «КонсультантПлюс», данные первичного учёта и регистров организации, квалифицированный персонал бухгалтерской службы.</w:t>
      </w:r>
    </w:p>
    <w:p w14:paraId="53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Ограничения, учитываемые при выборе способа решения задачи:</w:t>
      </w:r>
    </w:p>
    <w:p w14:paraId="54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сроки представления отчётности – годовая бухгалтерская отчётность представляется не позднее трёх месяцев после окончания отчётного года (статья 18 Федерального закона № 402-ФЗ), сроки сдачи налоговых деклараций установлены Налоговым кодексом РФ;</w:t>
      </w:r>
    </w:p>
    <w:p w14:paraId="55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объём и доступность исходной информации (моделируемые данные ограничены типовыми операциями торговой организации);</w:t>
      </w:r>
    </w:p>
    <w:p w14:paraId="56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ресурсные ограничения малого предприятия (численность бухгалтерской службы, бюджет на автоматизацию).</w:t>
      </w:r>
    </w:p>
    <w:p w14:paraId="5700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1.4. Альтернативные способы решения задачи и обоснование выбора</w:t>
      </w:r>
    </w:p>
    <w:p w14:paraId="58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Постановка и ведение бухгалтерского учёта в организации могут быть организованы несколькими способами. Рассмотрены три альтернативных варианта, сравнение которых приведено в таблице 1.</w:t>
      </w:r>
    </w:p>
    <w:p w14:paraId="5900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1 – Сравнение способов организации бухгалтерского учёта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00"/>
        <w:gridCol w:w="2900"/>
        <w:gridCol w:w="2600"/>
        <w:gridCol w:w="2455"/>
      </w:tblGrid>
      <w:tr>
        <w:trPr>
          <w:tblHeader/>
        </w:trPr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A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Критерий</w:t>
            </w:r>
          </w:p>
        </w:tc>
        <w:tc>
          <w:tcPr>
            <w:tcW w:type="dxa" w:w="2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B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Собственная бухгалтерия и локальная «1С»</w:t>
            </w:r>
          </w:p>
        </w:tc>
        <w:tc>
          <w:tcPr>
            <w:tcW w:type="dxa" w:w="2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C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Бухгалтерский аутсорсинг</w:t>
            </w:r>
          </w:p>
        </w:tc>
        <w:tc>
          <w:tcPr>
            <w:tcW w:type="dxa" w:w="2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D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Облачный сервис учёта</w:t>
            </w:r>
          </w:p>
        </w:tc>
      </w:tr>
      <w:tr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E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Контроль над данными</w:t>
            </w:r>
          </w:p>
        </w:tc>
        <w:tc>
          <w:tcPr>
            <w:tcW w:type="dxa" w:w="2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F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Полный, данные внутри организации</w:t>
            </w:r>
          </w:p>
        </w:tc>
        <w:tc>
          <w:tcPr>
            <w:tcW w:type="dxa" w:w="2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0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Частичный, данные у исполнителя</w:t>
            </w:r>
          </w:p>
        </w:tc>
        <w:tc>
          <w:tcPr>
            <w:tcW w:type="dxa" w:w="2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1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Зависит от провайдера</w:t>
            </w:r>
          </w:p>
        </w:tc>
      </w:tr>
      <w:tr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2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Затраты</w:t>
            </w:r>
          </w:p>
        </w:tc>
        <w:tc>
          <w:tcPr>
            <w:tcW w:type="dxa" w:w="2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3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Средние (ФОТ, лицензии)</w:t>
            </w:r>
          </w:p>
        </w:tc>
        <w:tc>
          <w:tcPr>
            <w:tcW w:type="dxa" w:w="2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4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Переменные, по объёму операций</w:t>
            </w:r>
          </w:p>
        </w:tc>
        <w:tc>
          <w:tcPr>
            <w:tcW w:type="dxa" w:w="2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5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Низкие на старте, абонентская плата</w:t>
            </w:r>
          </w:p>
        </w:tc>
      </w:tr>
      <w:tr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6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Оперативность</w:t>
            </w:r>
          </w:p>
        </w:tc>
        <w:tc>
          <w:tcPr>
            <w:tcW w:type="dxa" w:w="2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7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Высокая</w:t>
            </w:r>
          </w:p>
        </w:tc>
        <w:tc>
          <w:tcPr>
            <w:tcW w:type="dxa" w:w="2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8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Средняя</w:t>
            </w:r>
          </w:p>
        </w:tc>
        <w:tc>
          <w:tcPr>
            <w:tcW w:type="dxa" w:w="2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9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Высокая при наличии связи</w:t>
            </w:r>
          </w:p>
        </w:tc>
      </w:tr>
      <w:tr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A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Риски</w:t>
            </w:r>
          </w:p>
        </w:tc>
        <w:tc>
          <w:tcPr>
            <w:tcW w:type="dxa" w:w="2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B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Зависимость от квалификации сотрудника</w:t>
            </w:r>
          </w:p>
        </w:tc>
        <w:tc>
          <w:tcPr>
            <w:tcW w:type="dxa" w:w="2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C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Риск утечки и несвоевременности</w:t>
            </w:r>
          </w:p>
        </w:tc>
        <w:tc>
          <w:tcPr>
            <w:tcW w:type="dxa" w:w="2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D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Риски информационной безопасности</w:t>
            </w:r>
          </w:p>
        </w:tc>
      </w:tr>
      <w:tr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E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Соответствие масштабу</w:t>
            </w:r>
          </w:p>
        </w:tc>
        <w:tc>
          <w:tcPr>
            <w:tcW w:type="dxa" w:w="2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F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Соответствует среднему обороту</w:t>
            </w:r>
          </w:p>
        </w:tc>
        <w:tc>
          <w:tcPr>
            <w:tcW w:type="dxa" w:w="2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0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Для микропредприятий</w:t>
            </w:r>
          </w:p>
        </w:tc>
        <w:tc>
          <w:tcPr>
            <w:tcW w:type="dxa" w:w="2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1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Для микропредприятий</w:t>
            </w:r>
          </w:p>
        </w:tc>
      </w:tr>
    </w:tbl>
    <w:p w14:paraId="72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Оптимальным признан первый вариант – ведение учёта собственной бухгалтерской службой с использованием «1С:Бухгалтерия 8.3». При обороте организации и объёме хозяйственных операций этот способ обеспечивает полный контроль над учётными данными, высокую оперативность отражения операций и формирования отчётности, а также соответствие требованиям информационной безопасности. Аутсорсинг и облачные сервисы экономически целесообразны для микропредприятий с минимальным числом операций и не обеспечивают необходимой оперативности управленческой информации. Выбор обоснован действующими правовыми нормами (свобода организации учёта в пределах статьи 7 Федерального закона № 402-ФЗ), имеющимися ресурсами и ограничениями организации.</w:t>
      </w:r>
    </w:p>
    <w:p w14:paraId="7300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Раздел 2. Ведение учёта хозяйственных операций и формирование отчётности</w:t>
      </w:r>
    </w:p>
    <w:p w14:paraId="7400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2.1. Первичные документы и рабочий план счетов</w:t>
      </w:r>
    </w:p>
    <w:p w14:paraId="75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Основанием для записей в бухгалтерском учёте являются первичные учётные документы, оформленные в соответствии со статьёй 9 Федерального закона № 402-ФЗ и содержащие обязательные реквизиты. В ООО «СтройРесурс» используются следующие основные первичные документы:</w:t>
      </w:r>
    </w:p>
    <w:p w14:paraId="76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универсальный передаточный документ (УПД) и товарная накладная (ТОРГ-12) – при приобретении и реализации товаров;</w:t>
      </w:r>
    </w:p>
    <w:p w14:paraId="77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счёт-фактура – для расчётов по налогу на добавленную стоимость;</w:t>
      </w:r>
    </w:p>
    <w:p w14:paraId="78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платёжное поручение и банковская выписка – по операциям расчётного счёта;</w:t>
      </w:r>
    </w:p>
    <w:p w14:paraId="79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приходный и расходный кассовые ордера – по кассовым операциям;</w:t>
      </w:r>
    </w:p>
    <w:p w14:paraId="7A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расчётно-платёжная ведомость – по расчётам с персоналом;</w:t>
      </w:r>
    </w:p>
    <w:p w14:paraId="7B00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бухгалтерская справка-расчёт – по операциям, не оформляемым внешними документами (начисление амортизации, страховых взносов, закрытие счетов).</w:t>
      </w:r>
    </w:p>
    <w:p w14:paraId="7C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Рабочий план счетов сформирован на основе типового Плана счетов (приказ № 94н) и включает счета, необходимые для торговой деятельности: 01, 02, 04, 05, 10, 41, 19, 50, 51, 60, 62, 66, 67, 68, 69, 70, 71, 76, 80, 84, 90, 91, 99. Аналитический учёт ведётся по контрагентам, договорам, номенклатуре товаров и видам платежей.</w:t>
      </w:r>
    </w:p>
    <w:p w14:paraId="7D00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2.2. Журнал хозяйственных операций</w:t>
      </w:r>
    </w:p>
    <w:p w14:paraId="7E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Для иллюстрации порядка отражения фактов хозяйственной жизни сформирован журнал типовых хозяйственных операций торговой организации за отчётный период (таблица 2). Операции отражены методом двойной записи; по каждой операции указаны первичный документ, корреспонденция счетов и сумма.</w:t>
      </w:r>
    </w:p>
    <w:p w14:paraId="7F00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2 – Журнал хозяйственных операций ООО «СтройРесурс» за отчётный период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20"/>
        <w:gridCol w:w="3650"/>
        <w:gridCol w:w="2300"/>
        <w:gridCol w:w="760"/>
        <w:gridCol w:w="760"/>
        <w:gridCol w:w="1265"/>
      </w:tblGrid>
      <w:tr>
        <w:trPr>
          <w:tblHeader/>
        </w:trP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0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1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Содержание операции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2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Документ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3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Дебет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4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Кредит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5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Сумма, руб.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6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7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Оприходованы товары, поступившие от поставщика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8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УПД (ТОРГ-12)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9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A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B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C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D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Отражён НДС, предъявленный поставщиком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E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Счёт-фактура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F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0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1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400 000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2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3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Принят к вычету входной НДС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4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Счёт-фактура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5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68.02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6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7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400 000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8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9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Перечислена оплата поставщику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A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Платёжное поручение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B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C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D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2 400 000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E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F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Признана выручка от продажи товаров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0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УПД (ТОРГ-12)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1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2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90.01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3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4 320 000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4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5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Начислен НДС с реализации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6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Счёт-фактура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7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90.03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8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68.02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9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720 000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A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B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Списана себестоимость проданных товаров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C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Бухгалтерская справка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D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90.02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E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F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2 400 000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0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1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Поступила оплата от покупателя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2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Банковская выписка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3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4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5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4 320 000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6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7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Начислена заработная плата работникам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8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Расчётно-платёжная ведомость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9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A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B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620 000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C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D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Начислены страховые взносы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E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Справка-расчёт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F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0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1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153 600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2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3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Удержан НДФЛ из заработной платы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4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Налоговый регистр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5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6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68.01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7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80 600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8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9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Начислена амортизация основных средств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A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Ведомость амортизации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B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C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D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64 000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E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F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Начислена арендная плата за офис и склад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0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Акт, счёт-фактура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1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2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3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150 000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4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5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Списаны издержки обращения на продажи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6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Бухгалтерская справка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7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90.07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8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9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987 600</w:t>
            </w:r>
          </w:p>
        </w:tc>
      </w:tr>
      <w:tr>
        <w:tc>
          <w:tcPr>
            <w:tcW w:type="dxa" w:w="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A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B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Отражён финансовый результат (прибыль) от продаж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C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Бухгалтерская справка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D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90.09</w:t>
            </w:r>
          </w:p>
        </w:tc>
        <w:tc>
          <w:tcPr>
            <w:tcW w:type="dxa" w:w="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E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type="dxa" w:w="1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F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212 400</w:t>
            </w:r>
          </w:p>
        </w:tc>
      </w:tr>
    </w:tbl>
    <w:p w14:paraId="E0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Сформированные записи систематизируются в регистрах бухгалтерского учёта и переносятся в Главную книгу. По результатам закрытия счёта 90 «Продажи» определён положительный финансовый результат от продаж за период в сумме 212 400 руб. Аналогичным образом в течение года отражаются все факты хозяйственной жизни, на основании накопленных оборотов формируется годовая бухгалтерская отчётность.</w:t>
      </w:r>
    </w:p>
    <w:p w14:paraId="E100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2.3. Формирование бухгалтерской (финансовой) отчётности</w:t>
      </w:r>
    </w:p>
    <w:p w14:paraId="E200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На основании данных бухгалтерского учёта за 2023–2025 годы сформированы основные формы бухгалтерской отчётности. Сравнительные показатели бухгалтерского баланса приведены в таблице 3.</w:t>
      </w:r>
    </w:p>
    <w:p w14:paraId="E300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3 – Бухгалтерский баланс ООО «СтройРесурс» (укрупнённо), тыс. руб.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55"/>
        <w:gridCol w:w="1600"/>
        <w:gridCol w:w="1600"/>
        <w:gridCol w:w="1600"/>
      </w:tblGrid>
      <w:tr>
        <w:trPr>
          <w:tblHeader/>
        </w:trP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4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5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2023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6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2024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700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2025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8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Нематериальные активы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9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60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A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B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120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C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Основные средства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D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2 700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E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3 200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F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3 850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0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Отложенные налоговые активы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1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2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40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3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60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4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I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5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2 790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6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3 330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7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4 030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8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Запасы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9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14 900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A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16 400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B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18 600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C00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НДС по приобретённым ценностям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D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150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E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180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F00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240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0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Дебиторская задолженность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1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9 700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2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11 200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3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12 800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4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Финансовые вложения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5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800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6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1 000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7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1 500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8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Денежные средства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9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2 360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A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3 360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B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5 100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C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II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D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27 910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E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32 140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F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38 240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0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БАЛАНС (актив)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1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30 700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2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35 470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3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42 270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4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Уставный капитал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5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6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7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8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Нераспределённая прибыль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9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9 010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A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12 780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B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17 680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C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III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D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9 110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E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12 880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F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17 780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0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Долгосрочные заёмные средства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1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6 000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2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5 500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3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4 800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4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IV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5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6 000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6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5 500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7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4 800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8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Краткосрочные заёмные средства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9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2 800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A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3 000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B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3 200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C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Кредиторская задолженность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D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12 790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E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14 090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F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16 490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0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V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1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15 590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2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17 090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3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19 690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4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БАЛАНС (пассив)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5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30 700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6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35 470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7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42 270</w:t>
            </w:r>
          </w:p>
        </w:tc>
      </w:tr>
    </w:tbl>
    <w:p w14:paraId="38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Финансовые результаты деятельности организации представлены в отчёте о финансовых результатах (таблица 4).</w:t>
      </w:r>
    </w:p>
    <w:p w14:paraId="3901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4 – Отчёт о финансовых результатах ООО «СтройРесурс», тыс. руб.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55"/>
        <w:gridCol w:w="1600"/>
        <w:gridCol w:w="1600"/>
        <w:gridCol w:w="1600"/>
      </w:tblGrid>
      <w:tr>
        <w:trPr>
          <w:tblHeader/>
        </w:trP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A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B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2023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C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2024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D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2025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E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Выручка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F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71 300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0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78 100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1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86 400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2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Себестоимость продаж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3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(54 100)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4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(58 600)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5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(64 200)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6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Валовая прибыль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7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17 200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8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19 500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9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22 200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A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Коммерческие расходы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B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(8 200)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C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(8 900)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D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(9 600)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E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Управленческие расходы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F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(4 700)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0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(5 000)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1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(5 200)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2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Прибыль от продаж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3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4 300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4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5 600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5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7 400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6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Проценты к уплате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7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(560)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8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(520)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9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(480)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A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Прочие доходы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B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C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280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D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350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E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Прочие расходы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F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(540)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0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(610)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1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(690)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2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Прибыль до налогообложения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3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3 410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4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4 750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5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6 580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6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Текущий налог на прибыль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7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(700)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8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(980)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9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(1 680)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A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Чистая прибыль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B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2 710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C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3 770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D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4 900</w:t>
            </w:r>
          </w:p>
        </w:tc>
      </w:tr>
    </w:tbl>
    <w:p w14:paraId="6E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За 2023–2025 годы организация демонстрирует устойчивый рост: выручка увеличилась с 71 300 до 86 400 тыс. руб. (на 21,2 %), чистая прибыль – с 2 710 до 4 900 тыс. руб. (на 80,8 %). Валюта баланса возросла с 30 700 до 42 270 тыс. руб. Рост чистой прибыли опережает рост выручки, что свидетельствует о повышении эффективности деятельности. Полные формы бухгалтерского баланса и отчёта о финансовых результатах приведены в приложениях 1 и 2.</w:t>
      </w:r>
    </w:p>
    <w:p w14:paraId="6F01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Раздел 3. Оценка и разработка системы внутреннего контроля</w:t>
      </w:r>
    </w:p>
    <w:p w14:paraId="7001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3.1. Объект контроля и действующие контрольные процедуры</w:t>
      </w:r>
    </w:p>
    <w:p w14:paraId="71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Для оценки системы внутреннего контроля выбран участок «Расчёты с поставщиками и подрядчиками» (счёт 60) в связи с кассовыми операциями (счёт 50, 51). Этот участок выбран как один из наиболее значимых для торговой организации: на нём концентрируются операции по приобретению товаров, формируется существенная часть кредиторской задолженности и расходов, проходят денежные расчёты, что создаёт повышенные риски ошибок и злоупотреблений.</w:t>
      </w:r>
    </w:p>
    <w:p w14:paraId="72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Действующая система внутреннего контроля основана на разделении функций, документальном оформлении операций и последующей проверке. Движение документов в организации представлено на рисунке 2.</w:t>
      </w:r>
    </w:p>
    <w:p w14:paraId="73010000">
      <w:pPr>
        <w:spacing w:after="40" w:before="120" w:line="240" w:lineRule="auto"/>
        <w:ind/>
        <w:jc w:val="center"/>
      </w:pPr>
      <w:r>
        <w:drawing>
          <wp:inline>
            <wp:extent cx="4095750" cy="2238375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4095750" cy="22383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4010000">
      <w:pPr>
        <w:keepNext w:val="1"/>
        <w:spacing w:after="60" w:before="0" w:line="360" w:lineRule="auto"/>
        <w:ind/>
        <w:jc w:val="center"/>
      </w:pPr>
      <w:r>
        <w:rPr>
          <w:rFonts w:ascii="Times New Roman" w:hAnsi="Times New Roman"/>
          <w:sz w:val="28"/>
        </w:rPr>
        <w:t>Рисунок 2 – Схема документооборота ООО «СтройРесурс»</w:t>
      </w:r>
    </w:p>
    <w:p w14:paraId="75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Первичные документы поступают в бухгалтерию, где проходят проверку по форме (наличие обязательных реквизитов), арифметическую проверку и проверку по существу (соответствие операции договору и хозяйственной целесообразности). После проверки документы отражаются в регистрах учёта, данные переносятся в Главную книгу и используются для формирования отчётности. Контрольными процедурами на выбранном участке являются: акцепт счетов руководителем, сверка расчётов с контрагентами по итогам отчётного периода, инвентаризация расчётов в соответствии с ФСБУ 28/2023.</w:t>
      </w:r>
    </w:p>
    <w:p w14:paraId="7601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3.2. Идентификация рисков и слабых мест контроля</w:t>
      </w:r>
    </w:p>
    <w:p w14:paraId="77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 ходе оценки выявлены риски ошибок и недобросовестных действий, а также слабые места действующей системы контроля (таблица 5).</w:t>
      </w:r>
    </w:p>
    <w:p w14:paraId="7801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5 – Риски и слабые места системы внутреннего контроля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100"/>
        <w:gridCol w:w="3155"/>
        <w:gridCol w:w="3100"/>
      </w:tblGrid>
      <w:tr>
        <w:trPr>
          <w:tblHeader/>
        </w:trP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9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Зона риска</w:t>
            </w:r>
          </w:p>
        </w:tc>
        <w:tc>
          <w:tcPr>
            <w:tcW w:type="dxa" w:w="3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A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Возможные ошибки и злоупотребления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B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Слабое место контроля</w:t>
            </w:r>
          </w:p>
        </w:tc>
      </w:tr>
      <w:t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C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Приёмка товаров</w:t>
            </w:r>
          </w:p>
        </w:tc>
        <w:tc>
          <w:tcPr>
            <w:tcW w:type="dxa" w:w="3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D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Несоответствие фактического количества данным документов; неотфактурованные поставки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E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Отсутствие обязательной сверки склада и бухгалтерии при приёмке</w:t>
            </w:r>
          </w:p>
        </w:tc>
      </w:tr>
      <w:t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F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Оплата поставщикам</w:t>
            </w:r>
          </w:p>
        </w:tc>
        <w:tc>
          <w:tcPr>
            <w:tcW w:type="dxa" w:w="3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0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Двойная оплата; оплата по фиктивным документам; ошибки в реквизитах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1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Совмещение функций оформления и оплаты одним сотрудником</w:t>
            </w:r>
          </w:p>
        </w:tc>
      </w:tr>
      <w:t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2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Кредиторская задолженность</w:t>
            </w:r>
          </w:p>
        </w:tc>
        <w:tc>
          <w:tcPr>
            <w:tcW w:type="dxa" w:w="3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3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Искажение суммы обязательств; несписанная просроченная задолженность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4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Нерегулярная сверка расчётов с контрагентами</w:t>
            </w:r>
          </w:p>
        </w:tc>
      </w:tr>
      <w:t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5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Кассовые операции</w:t>
            </w:r>
          </w:p>
        </w:tc>
        <w:tc>
          <w:tcPr>
            <w:tcW w:type="dxa" w:w="3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6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Недостача или излишек денежных средств; необоснованные выплаты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7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Несвоевременная инвентаризация кассы</w:t>
            </w:r>
          </w:p>
        </w:tc>
      </w:tr>
    </w:tbl>
    <w:p w14:paraId="8801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3.3. Разработанные меры контроля и оценка их эффективности</w:t>
      </w:r>
    </w:p>
    <w:p w14:paraId="89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С учётом выявленных рисков разработаны меры внутреннего контроля, направленные на их снижение (таблица 6).</w:t>
      </w:r>
    </w:p>
    <w:p w14:paraId="8A01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6 – Разработанные меры внутреннего контроля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100"/>
        <w:gridCol w:w="3955"/>
        <w:gridCol w:w="2300"/>
      </w:tblGrid>
      <w:tr>
        <w:trPr>
          <w:tblHeader/>
        </w:trP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B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Контрольная процедура</w:t>
            </w:r>
          </w:p>
        </w:tc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C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Содержание меры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D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Ожидаемый эффект</w:t>
            </w:r>
          </w:p>
        </w:tc>
      </w:tr>
      <w:t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E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Разделение обязанностей</w:t>
            </w:r>
          </w:p>
        </w:tc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F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Разграничение функций оформления документов, согласования и оплаты между разными сотрудниками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0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Снижение риска фиктивных и двойных оплат</w:t>
            </w:r>
          </w:p>
        </w:tc>
      </w:tr>
      <w:t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1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Авторизация операций</w:t>
            </w:r>
          </w:p>
        </w:tc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2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Установление лимитов и обязательного акцепта руководителя для платежей сверх лимита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3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Контроль обоснованности расходов</w:t>
            </w:r>
          </w:p>
        </w:tc>
      </w:tr>
      <w:t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4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Регулярная сверка</w:t>
            </w:r>
          </w:p>
        </w:tc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5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Ежеквартальная сверка расчётов с контрагентами с оформлением актов сверки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6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Достоверность кредиторской задолженности</w:t>
            </w:r>
          </w:p>
        </w:tc>
      </w:tr>
      <w:t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7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Инвентаризация</w:t>
            </w:r>
          </w:p>
        </w:tc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8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Плановая инвентаризация кассы и расчётов согласно ФСБУ 28/2023, внезапные проверки кассы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9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Сохранность активов, выявление недостач</w:t>
            </w:r>
          </w:p>
        </w:tc>
      </w:tr>
      <w:tr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A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Контрольные точки в «1С»</w:t>
            </w:r>
          </w:p>
        </w:tc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B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Настройка прав доступа и журналирования операций в учётной программе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C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Прослеживаемость и защита данных</w:t>
            </w:r>
          </w:p>
        </w:tc>
      </w:tr>
    </w:tbl>
    <w:p w14:paraId="9D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Эффективность предложенных мер оценивается как достаточная для малого предприятия. Внедрение разделения обязанностей и авторизации платежей устраняет ключевое слабое место – совмещение несовместимых функций одним сотрудником. Регулярная сверка и инвентаризация повышают достоверность данных о расчётах и сохранность денежных средств. Реализация мер не требует существенных затрат, поскольку основана на организационных процедурах и штатных возможностях «1С:Бухгалтерия 8.3». Внедрённые контрольные процедуры обеспечивают разумную (не абсолютную) уверенность в достоверности учёта и снижают вероятность существенных искажений отчётности.</w:t>
      </w:r>
    </w:p>
    <w:p w14:paraId="9E01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Раздел 4. Расчёт налоговой нагрузки и подготовка налоговой отчётности</w:t>
      </w:r>
    </w:p>
    <w:p w14:paraId="9F01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4.1. Система налогообложения и состав уплачиваемых налогов</w:t>
      </w:r>
    </w:p>
    <w:p w14:paraId="A0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ООО «СтройРесурс» применяет общую систему налогообложения. В состав уплачиваемых налогов и обязательных платежей входят: налог на добавленную стоимость, налог на прибыль организаций, страховые взносы (как плательщик), а также налог на доходы физических лиц (как налоговый агент). Налог на имущество организаций не уплачивается, поскольку у организации отсутствует недвижимое имущество, облагаемое по кадастровой или среднегодовой стоимости (основные средства представлены движимым имуществом – оргтехникой и автотранспортом).</w:t>
      </w:r>
    </w:p>
    <w:p w14:paraId="A1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Налоговый учёт ведётся на основании регистров бухгалтерского учёта, дополненных необходимыми реквизитами, в соответствии с учётной политикой для целей налогообложения. Доходы и расходы признаются методом начисления.</w:t>
      </w:r>
    </w:p>
    <w:p w14:paraId="A201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4.2. Налог на добавленную стоимость</w:t>
      </w:r>
    </w:p>
    <w:p w14:paraId="A3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Организация исчисляет НДС по ставке 20 %. Сумма налога к уплате определяется как разница между налогом, исчисленным с реализации, и налоговыми вычетами (входным НДС по приобретённым товарам, работам, услугам). Расчёт НДС за 2025 год приведён в таблице 7.</w:t>
      </w:r>
    </w:p>
    <w:p w14:paraId="A401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7 – Расчёт НДС за 2025 год, тыс. руб.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155"/>
        <w:gridCol w:w="3200"/>
      </w:tblGrid>
      <w:tr>
        <w:trPr>
          <w:tblHeader/>
        </w:trP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5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6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Сумма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7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Выручка от реализации (без НДС)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8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86 400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9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НДС, исчисленный с реализации (20 %)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A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17 280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B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Налоговые вычеты (входной НДС)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C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14 760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D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НДС к уплате в бюджет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E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2 520</w:t>
            </w:r>
          </w:p>
        </w:tc>
      </w:tr>
    </w:tbl>
    <w:p w14:paraId="AF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Налоговая декларация по НДС представляется ежеквартально в электронной форме не позднее 25-го числа месяца, следующего за истекшим кварталом; уплата производится равными долями в течение трёх месяцев. Право на вычет реализуется при наличии корректно оформленных счетов-фактур и принятии товаров к учёту.</w:t>
      </w:r>
    </w:p>
    <w:p w14:paraId="B001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4.3. Налог на прибыль организаций</w:t>
      </w:r>
    </w:p>
    <w:p w14:paraId="B1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С 01.01.2025 основная ставка налога на прибыль организаций составляет 25 % (из них 8 % зачисляется в федеральный бюджет и 17 % – в бюджет субъекта Российской Федерации на период 2025–2030 годов). Расчёт налога приведён в таблице 8.</w:t>
      </w:r>
    </w:p>
    <w:p w14:paraId="B201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8 – Расчёт налога на прибыль за 2025 год, тыс. руб.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155"/>
        <w:gridCol w:w="3200"/>
      </w:tblGrid>
      <w:tr>
        <w:trPr>
          <w:tblHeader/>
        </w:trP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3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4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Сумма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5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Прибыль до налогообложения (по данным учёта)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6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6 580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7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Корректировки (постоянные и временные разницы)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8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+140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9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Налоговая база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A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6 720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B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Ставка налога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C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25 %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D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Налог на прибыль к уплате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E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1 680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F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 том числе в федеральный бюджет (8 %)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0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537,6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1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 том числе в бюджет субъекта РФ (17 %)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2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1 142,4</w:t>
            </w:r>
          </w:p>
        </w:tc>
      </w:tr>
    </w:tbl>
    <w:p w14:paraId="C3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Налоговая декларация по налогу на прибыль представляется по итогам отчётных периодов не позднее 25-го числа месяца, следующего за отчётным периодом, и по итогам года – не позднее 25 марта года, следующего за истёкшим налоговым периодом.</w:t>
      </w:r>
    </w:p>
    <w:p w14:paraId="C401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4.4. Страховые взносы</w:t>
      </w:r>
    </w:p>
    <w:p w14:paraId="C5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Как субъект малого предпринимательства организация применяет пониженный тариф страховых взносов. С 01.01.2025 пониженный тариф применяется к выплатам, превышающим полтора федерального МРОТ. При МРОТ 2025 года 22 440 руб. пороговое значение составляет 33 660 руб. (22 440 × 1,5) в месяц на каждого работника. С части выплаты в пределах 1,5 МРОТ взносы начисляются по тарифу 30 %, с части свыше – по тарифу 15 % (до достижения единой предельной базы 2 759 000 руб.).</w:t>
      </w:r>
    </w:p>
    <w:p w14:paraId="C6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Расчёт страховых взносов на одного работника со среднемесячной выплатой 51 667 руб. приведён в таблице 9.</w:t>
      </w:r>
    </w:p>
    <w:p w14:paraId="C701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9 – Расчёт страховых взносов на одного работника (месяц), руб.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155"/>
        <w:gridCol w:w="3200"/>
      </w:tblGrid>
      <w:tr>
        <w:trPr>
          <w:tblHeader/>
        </w:trP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8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9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Сумма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A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Выплата в пределах 1,5 МРОТ (33 660) × 30 %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B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10 098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C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Выплата свыше 1,5 МРОТ (18 007) × 15 %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D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2 701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E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взносы за месяц на работника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F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12 799</w:t>
            </w:r>
          </w:p>
        </w:tc>
      </w:tr>
    </w:tbl>
    <w:p w14:paraId="D0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При фонде оплаты труда 7 440 тыс. руб. в год (12 работников) годовая сумма страховых взносов по приведённому тарифу составляет около 1 843 тыс. руб. Расчёт по страховым взносам представляется ежеквартально не позднее 25-го числа месяца, следующего за расчётным (отчётным) периодом; уплата взносов производится ежемесячно не позднее 28-го числа следующего месяца в составе единого налогового платежа.</w:t>
      </w:r>
    </w:p>
    <w:p w14:paraId="D1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С 01.01.2026 порядок применения данной льготы существенно изменён. Федеральным законом от 28.11.2025 № 425-ФЗ внесены поправки в статью 427 Налогового кодекса Российской Федерации, согласно которым «универсальный» пониженный тариф 15 % с выплат сверх 1,5 МРОТ для большинства субъектов малого и среднего предпринимательства отменён. Право на пониженный тариф сохраняется только за субъектами МСП, основной вид деятельности которых включён в перечень приоритетных отраслей, утверждённый распоряжением Правительства Российской Федерации от 27.12.2025 № 4125-р, при условии, что доля доходов от такого вида деятельности составляет не менее 70 % (пункт 13.3 статьи 427 НК РФ). Для субъектов МСП из сферы обрабатывающих производств сохранён отдельный пониженный тариф 7,6 %.</w:t>
      </w:r>
    </w:p>
    <w:p w14:paraId="D2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Основной вид деятельности ООО «СтройРесурс» – оптовая торговля строительными материалами (ОКВЭД 46.73). Оптовая торговля в перечень приоритетных отраслей не включена, поэтому с 01.01.2026 организация утрачивает право на пониженный тариф и исчисляет страховые взносы по общему тарифу: 30 % с выплат в пределах единой предельной величины базы (2 979 000 руб. на работника в 2026 году) и 15,1 % с выплат сверх этой величины. Поскольку годовая выплата на одного работника (620 тыс. руб.) ниже предельной базы, фактически вся сумма выплат облагается по тарифу 30 %. Сравнительный расчёт нагрузки приведён в таблице 10.</w:t>
      </w:r>
    </w:p>
    <w:p w14:paraId="D301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10 – Изменение нагрузки по страховым взносам в связи с отменой льготы, тыс. руб. в год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55"/>
        <w:gridCol w:w="2100"/>
        <w:gridCol w:w="2100"/>
      </w:tblGrid>
      <w:tr>
        <w:trPr>
          <w:tblHeader/>
        </w:trPr>
        <w:tc>
          <w:tcPr>
            <w:tcW w:type="dxa" w:w="5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4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5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2025 год (льгота)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6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2026 год (общий тариф)</w:t>
            </w:r>
          </w:p>
        </w:tc>
      </w:tr>
      <w:tr>
        <w:tc>
          <w:tcPr>
            <w:tcW w:type="dxa" w:w="5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7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Фонд оплаты труда (12 работников)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8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7 440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9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7 440</w:t>
            </w:r>
          </w:p>
        </w:tc>
      </w:tr>
      <w:tr>
        <w:tc>
          <w:tcPr>
            <w:tcW w:type="dxa" w:w="5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A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Применяемый тариф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B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30 % / 15 %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C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30 %</w:t>
            </w:r>
          </w:p>
        </w:tc>
      </w:tr>
      <w:tr>
        <w:tc>
          <w:tcPr>
            <w:tcW w:type="dxa" w:w="5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D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Годовая сумма страховых взносов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E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1 843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F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2 232</w:t>
            </w:r>
          </w:p>
        </w:tc>
      </w:tr>
      <w:tr>
        <w:tc>
          <w:tcPr>
            <w:tcW w:type="dxa" w:w="5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0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Прирост нагрузки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1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–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2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+389</w:t>
            </w:r>
          </w:p>
        </w:tc>
      </w:tr>
    </w:tbl>
    <w:p w14:paraId="E3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Таким образом, отмена льготы увеличивает годовые расходы Общества на страховые взносы с 1 843 до 2 232 тыс. руб., то есть на 389 тыс. руб. (на 21,1 %). Рост взносов относится к расходам на оплату труда и учитывается при налогообложении прибыли, поэтому он одновременно уменьшает базу по налогу на прибыль примерно на 389 тыс. руб. и снижает текущий налог на прибыль примерно на 97 тыс. руб.; чистый отток средств Общества возрастает приблизительно на 292 тыс. руб. в год. Для снижения последствий организации целесообразно: проверить, не относится ли какое-либо из направлений деятельности к приоритетным по перечню № 4125-р, и при наличии оснований закрепить его в качестве основного ОКВЭД с подтверждением 70-процентной доли доходов; заранее заложить возросшую нагрузку на фонд оплаты труда в бюджет 2026 года и в ценовую политику; рассмотреть оптимизацию структуры персонала и форм привлечения исполнителей в рамках действующего законодательства.</w:t>
      </w:r>
    </w:p>
    <w:p w14:paraId="E401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4.5. Налоговая нагрузка и элементы налогового планирования</w:t>
      </w:r>
    </w:p>
    <w:p w14:paraId="E5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Налоговая нагрузка рассчитана как отношение суммы начисленных налогов к выручке организации (таблица 11).</w:t>
      </w:r>
    </w:p>
    <w:p w14:paraId="E601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11 – Расчёт налоговой нагрузки за 2025 год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155"/>
        <w:gridCol w:w="3200"/>
      </w:tblGrid>
      <w:tr>
        <w:trPr>
          <w:tblHeader/>
        </w:trP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7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801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Значение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9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Выручка, тыс. руб.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A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86 400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B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НДС к уплате, тыс. руб.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C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2 520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D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Налог на прибыль, тыс. руб.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E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1 680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F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Налоговая нагрузка (НДС + прибыль) / выручка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0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4,9 %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1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Страховые взносы, тыс. руб.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2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1 843</w:t>
            </w:r>
          </w:p>
        </w:tc>
      </w:tr>
      <w:tr>
        <w:tc>
          <w:tcPr>
            <w:tcW w:type="dxa" w:w="6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301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Совокупная фискальная нагрузка / выручка</w:t>
            </w:r>
          </w:p>
        </w:tc>
        <w:tc>
          <w:tcPr>
            <w:tcW w:type="dxa" w:w="3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401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7,0 %</w:t>
            </w:r>
          </w:p>
        </w:tc>
      </w:tr>
    </w:tbl>
    <w:p w14:paraId="F5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Полученное значение налоговой нагрузки соответствует среднеотраслевому уровню по оптовой торговле, публикуемому ФНС России в рамках Концепции системы планирования выездных налоговых проверок (приказ ФНС России от 30.05.2007 № ММ-3-06/333@). Существенных отклонений, которые могли бы привлечь внимание налоговых органов, не выявлено.</w:t>
      </w:r>
    </w:p>
    <w:p w14:paraId="F6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 рамках законного налогового планирования организации рекомендованы следующие меры:</w:t>
      </w:r>
    </w:p>
    <w:p w14:paraId="F701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обеспечение своевременного получения корректно оформленных счетов-фактур для полного и своевременного применения вычетов по НДС;</w:t>
      </w:r>
    </w:p>
    <w:p w14:paraId="F801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применение амортизационной премии по приобретаемым основным средствам в пределах, установленных статьёй 258 НК РФ;</w:t>
      </w:r>
    </w:p>
    <w:p w14:paraId="F901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формирование резерва по сомнительным долгам в налоговом учёте при наличии просроченной дебиторской задолженности (статья 266 НК РФ);</w:t>
      </w:r>
    </w:p>
    <w:p w14:paraId="FA01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контроль за обоснованностью и документальным подтверждением расходов в соответствии со статьёй 252 НК РФ.</w:t>
      </w:r>
    </w:p>
    <w:p w14:paraId="FB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Возможность перехода на упрощённую систему налогообложения рассмотрена и признана нецелесообразной: с 2025 года организации на УСН с доходом свыше 60 млн руб. признаются плательщиками НДС, поэтому при текущем обороте переход не освобождает организацию от НДС и не приводит к существенному снижению совокупной нагрузки. Все предложенные меры носят правомерный характер и не связаны с искусственным занижением налоговой базы.</w:t>
      </w:r>
    </w:p>
    <w:p w14:paraId="FC01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Раздел 5. Аудиторская проверка бухгалтерской отчётности</w:t>
      </w:r>
    </w:p>
    <w:p w14:paraId="FD01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5.1. Цель, объём и ключевые участки проверки</w:t>
      </w:r>
    </w:p>
    <w:p w14:paraId="FE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Целью учебной аудиторской проверки является формирование мнения о достоверности бухгалтерской отчётности ООО «СтройРесурс» за 2025 год во всех существенных отношениях. Проверка проведена с учётом требований Международных стандартов аудита и Федерального закона от 30.12.2008 № 307-ФЗ «Об аудиторской деятельности».</w:t>
      </w:r>
    </w:p>
    <w:p w14:paraId="FF01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Аудиту подлежала годовая бухгалтерская (финансовая) отчётность ООО «СтройРесурс» за 2025 год в полном составе, установленном статьёй 14 Федерального закона от 06.12.2011 № 402-ФЗ «О бухгалтерском учёте» и ФСБУ 4/2023: бухгалтерский баланс (приложение 1), отчёт о финансовых результатах (приложение 2), отчёт об изменениях капитала (приложение 3), отчёт о движении денежных средств (приложение 4), а также пояснения к бухгалтерскому балансу и отчёту о финансовых результатах. Отчётность сформирована за период с 1 января по 31 декабря 2025 года; сравнительные показатели приведены за 2023 и 2024 годы.</w:t>
      </w:r>
    </w:p>
    <w:p w14:paraId="00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Ключевые участки проверки определены исходя из существенности и оценки рисков: запасы (наибольшая статья активов), дебиторская задолженность, кредиторская задолженность и заёмные средства, признание выручки и финансового результата. Для проверки применены преимущественно аналитические процедуры, проверка логической увязки показателей отчётности и выявление аномальных отклонений.</w:t>
      </w:r>
    </w:p>
    <w:p w14:paraId="0102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5.2. Аудиторские процедуры</w:t>
      </w:r>
    </w:p>
    <w:p w14:paraId="02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Выполнен анализ динамики ключевых показателей отчётности (таблица 12).</w:t>
      </w:r>
    </w:p>
    <w:p w14:paraId="0302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12 – Динамика ключевых показателей за 2023–2025 годы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55"/>
        <w:gridCol w:w="1800"/>
        <w:gridCol w:w="1800"/>
        <w:gridCol w:w="1800"/>
      </w:tblGrid>
      <w:tr>
        <w:trPr>
          <w:tblHeader/>
        </w:trPr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4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5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2023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6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2024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7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2025</w:t>
            </w:r>
          </w:p>
        </w:tc>
      </w:tr>
      <w:tr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8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Выручка, тыс. руб.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71 300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A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78 100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86 400</w:t>
            </w:r>
          </w:p>
        </w:tc>
      </w:tr>
      <w:tr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C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Запасы, тыс. руб.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D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14 900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E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16 400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18 600</w:t>
            </w:r>
          </w:p>
        </w:tc>
      </w:tr>
      <w:tr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0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Дебиторская задолженность, тыс. руб.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1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9 700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2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11 200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3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12 800</w:t>
            </w:r>
          </w:p>
        </w:tc>
      </w:tr>
      <w:tr>
        <w:tc>
          <w:tcPr>
            <w:tcW w:type="dxa" w:w="3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4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Чистая прибыль, тыс. руб.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5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2 710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6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3 770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7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4 900</w:t>
            </w:r>
          </w:p>
        </w:tc>
      </w:tr>
    </w:tbl>
    <w:p w14:paraId="18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По результатам расчёта финансовых коэффициентов за 2025 год получены следующие значения (таблица 13).</w:t>
      </w:r>
    </w:p>
    <w:p w14:paraId="19020000">
      <w:pPr>
        <w:keepNext w:val="1"/>
        <w:spacing w:after="60" w:before="120" w:line="360" w:lineRule="auto"/>
        <w:ind w:firstLine="709" w:left="0"/>
        <w:jc w:val="left"/>
      </w:pPr>
      <w:r>
        <w:rPr>
          <w:rFonts w:ascii="Times New Roman" w:hAnsi="Times New Roman"/>
          <w:sz w:val="28"/>
        </w:rPr>
        <w:t>Таблица 13 – Финансовые коэффициенты на 31.12.2025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55"/>
        <w:gridCol w:w="2400"/>
        <w:gridCol w:w="2400"/>
      </w:tblGrid>
      <w:tr>
        <w:trPr>
          <w:tblHeader/>
        </w:trP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A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Коэффициент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B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Значение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C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Норматив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D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Коэффициент текущей ликвидности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E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1,94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F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≥ 2,0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0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Коэффициент быстрой ликвидности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1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2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≥ 0,8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3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Коэффициент абсолютной ликвидности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4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0,34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5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≥ 0,2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6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Коэффициент автономии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7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0,42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8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≥ 0,5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9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Обеспеченность собственными оборотными средствами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A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0,36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B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≥ 0,1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C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Рентабельность продаж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D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8,6 %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E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–</w:t>
            </w:r>
          </w:p>
        </w:tc>
      </w:tr>
    </w:tbl>
    <w:p w14:paraId="2F02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5.3. Выявленные риски, искажения и рекомендации</w:t>
      </w:r>
    </w:p>
    <w:p w14:paraId="30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 ходе аналитических процедур существенных искажений отчётности не выявлено: показатели логически увязаны, валюта баланса по активу и пассиву совпадает, динамика прибыли согласуется с динамикой выручки и расходов. Вместе с тем выявлены отдельные обстоятельства, требующие внимания:</w:t>
      </w:r>
    </w:p>
    <w:p w14:paraId="3102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дебиторская задолженность за 2025 год выросла на 14,3 % при росте выручки на 10,6 %, что указывает на риск накопления просроченной задолженности и требует усиления контроля расчётов с покупателями;</w:t>
      </w:r>
    </w:p>
    <w:p w14:paraId="3202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запасы выросли на 13,4 % – темп выше темпа выручки, что создаёт риск образования неликвидных товарных остатков;</w:t>
      </w:r>
    </w:p>
    <w:p w14:paraId="3302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коэффициент автономии (0,42) ниже норматива (0,5), что отражает повышенную зависимость организации от заёмных источников, хотя показатель улучшается по сравнению с 2023 годом (0,30);</w:t>
      </w:r>
    </w:p>
    <w:p w14:paraId="3402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коэффициент текущей ликвидности (1,94) незначительно ниже рекомендуемого уровня 2,0.</w:t>
      </w:r>
    </w:p>
    <w:p w14:paraId="35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По итогам проверки рекомендовано: провести инвентаризацию расчётов и запасов, сформировать резерв по сомнительным долгам, оптимизировать структуру товарных запасов, наращивать долю собственного капитала за счёт капитализации прибыли. Выявленные обстоятельства не носят характера существенных искажений и не влияют на достоверность отчётности в целом.</w:t>
      </w:r>
    </w:p>
    <w:p w14:paraId="36020000">
      <w:pPr>
        <w:keepNext w:val="1"/>
        <w:spacing w:after="120" w:before="180" w:line="360" w:lineRule="auto"/>
        <w:ind w:firstLine="709" w:left="0"/>
        <w:jc w:val="left"/>
      </w:pPr>
      <w:r>
        <w:rPr>
          <w:rFonts w:ascii="Times New Roman" w:hAnsi="Times New Roman"/>
          <w:b w:val="1"/>
          <w:sz w:val="28"/>
        </w:rPr>
        <w:t>5.4. Учебное аудиторское заключение</w:t>
      </w:r>
    </w:p>
    <w:p w14:paraId="37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i w:val="1"/>
          <w:sz w:val="28"/>
        </w:rPr>
        <w:t>По результатам учебной аудиторской проверки сформулировано аудиторское заключение (приводится в учебных целях, в сокращённой форме).</w:t>
      </w:r>
    </w:p>
    <w:p w14:paraId="38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b w:val="0"/>
          <w:sz w:val="28"/>
        </w:rPr>
        <w:t>Мнение. По нашему мнению, бухгалтерская (финансовая) отчётность ООО «СтройРесурс» отражает достоверно во всех существенных отношениях финансовое положение организации по состоянию на 31 декабря 2025 года, а также её финансовые результаты и движение денежных средств за 2025 год в соответствии с правилами составления бухгалтерской отчётности, установленными в Российской Федерации.</w:t>
      </w:r>
    </w:p>
    <w:p w14:paraId="39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Основание для выражения мнения. Аудит проведён в соответствии с Международными стандартами аудита. Полученные аудиторские доказательства являются достаточными и надлежащими для выражения немодифицированного мнения.</w:t>
      </w:r>
    </w:p>
    <w:p w14:paraId="3A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Важные обстоятельства. Обращаем внимание на повышенную зависимость организации от заёмных источников финансирования (коэффициент автономии 0,42) и опережающий рост дебиторской задолженности и запасов относительно выручки. Указанные обстоятельства не влияют на выраженное мнение, однако требуют внимания руководства. Ответственность за подготовку отчётности несёт руководство организации; ответственность аудитора заключается в выражении мнения о достоверности отчётности на основе проведённого аудита.</w:t>
      </w:r>
    </w:p>
    <w:p w14:paraId="3B02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Заключение</w:t>
      </w:r>
    </w:p>
    <w:p w14:paraId="3C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 ходе производственной (технологической (проектно-технологической)) практики на базе ЧОУВО «Московский университет имени С.Ю. Витте» были приобретены необходимые компетенции, систематизированы и углублены теоретические знания в области бухгалтерского учёта, анализа и аудита. Практическая задача решалась на примере условной организации ООО «СтройРесурс».</w:t>
      </w:r>
    </w:p>
    <w:p w14:paraId="3D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 результате выполнения индивидуального задания решены поставленные задачи:</w:t>
      </w:r>
    </w:p>
    <w:p w14:paraId="3E02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сформулированы цель и круг задач, проанализирована нормативная база, ресурсы и ограничения, обоснован выбор оптимального способа организации учёта (компетенция УК-2);</w:t>
      </w:r>
    </w:p>
    <w:p w14:paraId="3F02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отражены хозяйственные операции методом двойной записи, систематизированы учётные документы и сформированы бухгалтерский баланс и отчёт о финансовых результатах (компетенция ПК-1);</w:t>
      </w:r>
    </w:p>
    <w:p w14:paraId="4002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оценена система внутреннего контроля по участку расчётов с поставщиками и кассовых операций, выявлены риски и разработаны меры их снижения (компетенция ПК-2);</w:t>
      </w:r>
    </w:p>
    <w:p w14:paraId="4102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рассчитаны НДС, налог на прибыль и страховые взносы, оценена налоговая нагрузка и предложены законные меры налогового планирования (компетенция ПК-3);</w:t>
      </w:r>
    </w:p>
    <w:p w14:paraId="42020000">
      <w:pPr>
        <w:pStyle w:val="Style_1"/>
        <w:numPr>
          <w:ilvl w:val="0"/>
          <w:numId w:val="1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проведены аудиторские процедуры, выявлены зоны риска и подготовлено учебное аудиторское заключение (компетенция ПК-5).</w:t>
      </w:r>
    </w:p>
    <w:p w14:paraId="43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Проведённый анализ показал, что ООО «СтройРесурс» в 2023–2025 годах развивается устойчиво. Выручка за период выросла с 71 300 до 86 400 тыс. руб. (на 21,2 %), чистая прибыль – с 2 710 до 4 900 тыс. руб., рентабельность продаж по итогам 2025 года составила 8,6 %. Валюта баланса увеличилась с 30 700 до 42 270 тыс. руб. при опережающем росте собственного капитала (с 9 110 до 17 780 тыс. руб.), что повысило коэффициент автономии с 0,30 до 0,42. Совокупная налоговая нагрузка организации оценена на уровне 4,9 %, что соответствует среднеотраслевому ориентиру для оптовой торговли и свидетельствует о низком налоговом риске.</w:t>
      </w:r>
    </w:p>
    <w:p w14:paraId="44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Вместе с тем по результатам внутреннего контроля и аудиторских процедур выявлены направления для улучшения: рост дебиторской задолженности (на 14,3 %) опережает рост выручки, что требует усиления контроля расчётов с покупателями и формирования резерва по сомнительным долгам; товарные запасы увеличились на 13,4 %, что создаёт риск образования неликвидов; коэффициенты автономии (0,42) и текущей ликвидности (1,94) пока ниже рекомендуемых значений, поэтому организации целесообразно наращивать долю собственного капитала за счёт капитализации прибыли и оптимизировать структуру оборотных активов.</w:t>
      </w:r>
    </w:p>
    <w:p w14:paraId="45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Все расчёты в отчёте выполнены на основе смоделированных, но внутренне согласованных данных: валюта баланса по активу и пассиву совпадает, журнал хозяйственных операций сбалансирован методом двойной записи, показатели отчётности увязаны между собой и с налоговыми расчётами. Учётные процедуры рассмотрены с учётом требований действующих федеральных стандартов бухгалтерского учёта (ФСБУ 4/2023, 5/2019, 6/2020, 28/2023) и положений Налогового кодекса Российской Федерации в редакции 2025 года, а применение программного продукта «1С:Бухгалтерия 8.3» обеспечивает автоматизацию учётных и контрольных процедур и снижает риск технических ошибок.</w:t>
      </w:r>
    </w:p>
    <w:p w14:paraId="46020000">
      <w:pPr>
        <w:spacing w:after="0" w:before="0" w:line="360" w:lineRule="auto"/>
        <w:ind w:firstLine="709" w:left="0"/>
        <w:jc w:val="both"/>
      </w:pPr>
      <w:r>
        <w:rPr>
          <w:rFonts w:ascii="Times New Roman" w:hAnsi="Times New Roman"/>
          <w:sz w:val="28"/>
        </w:rPr>
        <w:t>Содержание практики и отчёта о её результатах подтверждает формирование компетенций УК-2, ПК-1, ПК-2, ПК-3 и ПК-5. Практическая значимость практики состоит в закреплении навыков ведения учёта, составления отчётности, налогообложения и аудита, необходимых в будущей профессиональной деятельности.</w:t>
      </w:r>
    </w:p>
    <w:p w14:paraId="4702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Список использованных источников и литературы</w:t>
      </w:r>
    </w:p>
    <w:p w14:paraId="48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Налоговый кодекс Российской Федерации (часть вторая) от 05.08.2000 № 117-ФЗ (с изменениями).</w:t>
      </w:r>
    </w:p>
    <w:p w14:paraId="49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Федеральный закон от 06.12.2011 № 402-ФЗ «О бухгалтерском учёте».</w:t>
      </w:r>
    </w:p>
    <w:p w14:paraId="4A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Федеральный закон от 30.12.2008 № 307-ФЗ «Об аудиторской деятельности».</w:t>
      </w:r>
    </w:p>
    <w:p w14:paraId="4B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Федеральный закон от 12.07.2024 № 176-ФЗ «О внесении изменений в части первую и вторую Налогового кодекса Российской Федерации».</w:t>
      </w:r>
    </w:p>
    <w:p w14:paraId="4C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Федеральный закон от 28.11.2025 № 425-ФЗ «О внесении изменений в часть вторую Налогового кодекса Российской Федерации».</w:t>
      </w:r>
    </w:p>
    <w:p w14:paraId="4D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Федеральный закон от 24.07.2007 № 209-ФЗ «О развитии малого и среднего предпринимательства в Российской Федерации».</w:t>
      </w:r>
    </w:p>
    <w:p w14:paraId="4E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Распоряжение Правительства Российской Федерации от 27.12.2025 № 4125-р «Об утверждении перечня видов экономической деятельности для применения пониженных тарифов страховых взносов субъектами МСП».</w:t>
      </w:r>
    </w:p>
    <w:p w14:paraId="4F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Приказ Минфина России от 31.10.2000 № 94н «Об утверждении Плана счетов бухгалтерского учёта финансово-хозяйственной деятельности организаций и Инструкции по его применению».</w:t>
      </w:r>
    </w:p>
    <w:p w14:paraId="50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Положение по бухгалтерскому учёту «Бухгалтерская отчётность организации» (ПБУ 4/99), утверждено приказом Минфина России от 06.07.1999 № 43н.</w:t>
      </w:r>
    </w:p>
    <w:p w14:paraId="51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ФСБУ 4/2023 «Бухгалтерская (финансовая) отчётность», утверждён приказом Минфина России от 04.10.2023 № 157н.</w:t>
      </w:r>
    </w:p>
    <w:p w14:paraId="52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ФСБУ 5/2019 «Запасы», утверждён приказом Минфина России от 15.11.2019 № 180н.</w:t>
      </w:r>
    </w:p>
    <w:p w14:paraId="53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ФСБУ 6/2020 «Основные средства», утверждён приказом Минфина России от 17.09.2020 № 204н.</w:t>
      </w:r>
    </w:p>
    <w:p w14:paraId="54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ФСБУ 27/2021 «Документы и документооборот в бухгалтерском учёте», утверждён приказом Минфина России от 16.04.2021 № 62н.</w:t>
      </w:r>
    </w:p>
    <w:p w14:paraId="55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ФСБУ 28/2023 «Инвентаризация», утверждён приказом Минфина России от 13.01.2023 № 4н.</w:t>
      </w:r>
    </w:p>
    <w:p w14:paraId="56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Положение по бухгалтерскому учёту «Доходы организации» (ПБУ 9/99), утверждено приказом Минфина России от 06.05.1999 № 32н.</w:t>
      </w:r>
    </w:p>
    <w:p w14:paraId="57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Положение по бухгалтерскому учёту «Расходы организации» (ПБУ 10/99), утверждено приказом Минфина России от 06.05.1999 № 33н.</w:t>
      </w:r>
    </w:p>
    <w:p w14:paraId="58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Международный стандарт аудита 700 (пересмотренный) «Формирование мнения и составление заключения о финансовой отчётности», введён в действие на территории Российской Федерации приказом Минфина России от 09.01.2019 № 2н.</w:t>
      </w:r>
    </w:p>
    <w:p w14:paraId="59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Международный стандарт аудита 320 «Существенность при планировании и проведении аудита», введён в действие на территории Российской Федерации приказом Минфина России от 09.01.2019 № 2н.</w:t>
      </w:r>
    </w:p>
    <w:p w14:paraId="5A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Приказ ФНС России от 30.05.2007 № ММ-3-06/333@ «Об утверждении Концепции системы планирования выездных налоговых проверок».</w:t>
      </w:r>
    </w:p>
    <w:p w14:paraId="5B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Бухгалтерский учёт и анализ. Часть I. Теория бухгалтерского учёта: учебное пособие / И.С. Салихова. – М.: Московский университет им. С.Ю. Витте, 2018.</w:t>
      </w:r>
    </w:p>
    <w:p w14:paraId="5C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Бухгалтерский учёт / С.Н. Поленова, Н.А. Миславская. – М.: Дашков и К°, 2019.</w:t>
      </w:r>
    </w:p>
    <w:p w14:paraId="5D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Бухгалтерский финансовый учёт: учебник / Ю.А. Бабаев [и др.]; под ред. Ю.А. Бабаева. – 5-е изд. – М.: Вузовский учебник: ИНФРА-М, 2020.</w:t>
      </w:r>
    </w:p>
    <w:p w14:paraId="5E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Анализ финансовой отчётности: учебник / под ред. М.А. Вахрушиной. – 3-е изд. – М.: ИНФРА-М, 2019.</w:t>
      </w:r>
    </w:p>
    <w:p w14:paraId="5F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Смагина М.Н. Налоговый учёт и отчётность: учебное электронное издание. – Тамбов: ТГТУ, 2018. – 82 с.</w:t>
      </w:r>
    </w:p>
    <w:p w14:paraId="60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Налоги и налогообложение: учебник / под ред. Г.Б. Поляка, Е.Е. Смирновой. – 4-е изд. – М.: Юрайт, 2020.</w:t>
      </w:r>
    </w:p>
    <w:p w14:paraId="61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Мамаева У.З. Аудит коммерческих организаций: практикум. – М.; Берлин: Директ-Медиа, 2020. – 65 с.</w:t>
      </w:r>
    </w:p>
    <w:p w14:paraId="62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Аудит: учебник / под ред. Р.П. Булыги. – 4-е изд. – М.: ЮНИТИ-ДАНА, 2019.</w:t>
      </w:r>
    </w:p>
    <w:p w14:paraId="63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Государственный информационный ресурс бухгалтерской отчётности (ГИРБО) [Электронный ресурс]. – URL: https://bo.nalog.gov.ru/</w:t>
      </w:r>
    </w:p>
    <w:p w14:paraId="64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Справочно-правовая система «КонсультантПлюс» [Электронный ресурс]. – URL: https://www.consultant.ru/</w:t>
      </w:r>
    </w:p>
    <w:p w14:paraId="65020000">
      <w:pPr>
        <w:pStyle w:val="Style_1"/>
        <w:numPr>
          <w:ilvl w:val="0"/>
          <w:numId w:val="3"/>
        </w:numPr>
        <w:spacing w:after="0" w:before="0" w:line="360" w:lineRule="auto"/>
        <w:ind/>
        <w:jc w:val="both"/>
      </w:pPr>
      <w:r>
        <w:rPr>
          <w:rFonts w:ascii="Times New Roman" w:hAnsi="Times New Roman"/>
          <w:sz w:val="28"/>
        </w:rPr>
        <w:t>Официальный сайт ФНС России [Электронный ресурс]. – URL: https://www.nalog.gov.ru/</w:t>
      </w:r>
    </w:p>
    <w:p w14:paraId="6602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Приложение 1</w:t>
      </w:r>
    </w:p>
    <w:p w14:paraId="67020000">
      <w:pPr>
        <w:spacing w:after="120" w:before="0" w:line="360" w:lineRule="auto"/>
        <w:ind/>
        <w:jc w:val="center"/>
      </w:pPr>
      <w:r>
        <w:rPr>
          <w:rFonts w:ascii="Times New Roman" w:hAnsi="Times New Roman"/>
          <w:sz w:val="28"/>
        </w:rPr>
        <w:t>Бухгалтерский баланс ООО «СтройРесурс», тыс. руб.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55"/>
        <w:gridCol w:w="1600"/>
        <w:gridCol w:w="1600"/>
        <w:gridCol w:w="1600"/>
      </w:tblGrid>
      <w:tr>
        <w:trPr>
          <w:tblHeader/>
        </w:trP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8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9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2023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A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2024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B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2025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C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Нематериальные активы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D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60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E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6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120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0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Основные средства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1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2 700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2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3 200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3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3 850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4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Отложенные налоговые активы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5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6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40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7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60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8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I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2 790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A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3 330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4 030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C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Запасы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D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14 900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E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16 400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7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18 600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0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НДС по приобретённым ценностям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1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150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2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180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3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240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4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Дебиторская задолженность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5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9 700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6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11 200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7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12 800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8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Финансовые вложения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800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A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1 000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1 500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C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Денежные средства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D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2 360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E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3 360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8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5 100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0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II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1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27 910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2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32 140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3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38 240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4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БАЛАНС (актив)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5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30 700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6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35 470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7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42 270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8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Уставный капитал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A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C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Нераспределённая прибыль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D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9 010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E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12 780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9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17 680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0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III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1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9 110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2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12 880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3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17 780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4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Долгосрочные заёмные средства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5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6 000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6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5 500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7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4 800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8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IV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6 000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A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5 500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4 800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C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Краткосрочные заёмные средства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D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2 800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E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3 000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A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3 200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0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Кредиторская задолженность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1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12 790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2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14 090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3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16 490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4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Итого по разделу V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5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15 590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6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17 090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7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19 690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8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БАЛАНС (пассив)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30 700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A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35 470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42 270</w:t>
            </w:r>
          </w:p>
        </w:tc>
      </w:tr>
    </w:tbl>
    <w:p w14:paraId="BC02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Приложение 2</w:t>
      </w:r>
    </w:p>
    <w:p w14:paraId="BD020000">
      <w:pPr>
        <w:spacing w:after="120" w:before="0" w:line="360" w:lineRule="auto"/>
        <w:ind/>
        <w:jc w:val="center"/>
      </w:pPr>
      <w:r>
        <w:rPr>
          <w:rFonts w:ascii="Times New Roman" w:hAnsi="Times New Roman"/>
          <w:sz w:val="28"/>
        </w:rPr>
        <w:t>Отчёт о финансовых результатах ООО «СтройРесурс», тыс. руб.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55"/>
        <w:gridCol w:w="1600"/>
        <w:gridCol w:w="1600"/>
        <w:gridCol w:w="1600"/>
      </w:tblGrid>
      <w:tr>
        <w:trPr>
          <w:tblHeader/>
        </w:trP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E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BF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2023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0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2024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1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2025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2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Выручка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3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71 300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4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78 100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5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86 400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6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Себестоимость продаж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7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(54 100)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8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(58 600)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(64 200)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A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Валовая прибыль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17 200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C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19 500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D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22 200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E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Коммерческие расходы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C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(8 200)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0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(8 900)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1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(9 600)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2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Управленческие расходы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3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(4 700)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4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(5 000)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5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(5 200)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6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Прибыль от продаж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7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4 300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8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5 600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7 400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A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Проценты к уплате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(560)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C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(520)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D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(480)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E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Прочие доходы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D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0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280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1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350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2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Прочие расходы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3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(540)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4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(610)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5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(690)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6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Прибыль до налогообложения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7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3 410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8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4 750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6 580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A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Текущий налог на прибыль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(700)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C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(980)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D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0"/>
                <w:sz w:val="24"/>
              </w:rPr>
              <w:t>(1 680)</w:t>
            </w:r>
          </w:p>
        </w:tc>
      </w:tr>
      <w:tr>
        <w:tc>
          <w:tcPr>
            <w:tcW w:type="dxa" w:w="4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E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Чистая прибыль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E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2 710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0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3 770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1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4 900</w:t>
            </w:r>
          </w:p>
        </w:tc>
      </w:tr>
    </w:tbl>
    <w:p w14:paraId="F202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Приложение 3</w:t>
      </w:r>
    </w:p>
    <w:p w14:paraId="F3020000">
      <w:pPr>
        <w:spacing w:after="120" w:before="0" w:line="360" w:lineRule="auto"/>
        <w:ind/>
        <w:jc w:val="center"/>
      </w:pPr>
      <w:r>
        <w:rPr>
          <w:rFonts w:ascii="Times New Roman" w:hAnsi="Times New Roman"/>
          <w:sz w:val="28"/>
        </w:rPr>
        <w:t>Отчёт об изменениях капитала ООО «СтройРесурс», тыс. руб.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55"/>
        <w:gridCol w:w="1800"/>
        <w:gridCol w:w="2400"/>
        <w:gridCol w:w="1800"/>
      </w:tblGrid>
      <w:tr>
        <w:trPr>
          <w:tblHeader/>
        </w:trPr>
        <w:tc>
          <w:tcPr>
            <w:tcW w:type="dxa" w:w="3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4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5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Уставный капитал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6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Нераспределённая прибыль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7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Итого капитал</w:t>
            </w:r>
          </w:p>
        </w:tc>
      </w:tr>
      <w:tr>
        <w:tc>
          <w:tcPr>
            <w:tcW w:type="dxa" w:w="3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8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Величина капитала на 31.12.2023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9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100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A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9 010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B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9 110</w:t>
            </w:r>
          </w:p>
        </w:tc>
      </w:tr>
      <w:tr>
        <w:tc>
          <w:tcPr>
            <w:tcW w:type="dxa" w:w="3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C02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Чистая прибыль за 2024 год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D02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–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E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3 770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FF02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3 770</w:t>
            </w:r>
          </w:p>
        </w:tc>
      </w:tr>
      <w:tr>
        <w:tc>
          <w:tcPr>
            <w:tcW w:type="dxa" w:w="3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0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Величина капитала на 31.12.2024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1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100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2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12 780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3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12 880</w:t>
            </w:r>
          </w:p>
        </w:tc>
      </w:tr>
      <w:tr>
        <w:tc>
          <w:tcPr>
            <w:tcW w:type="dxa" w:w="3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4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Чистая прибыль за 2025 год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503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sz w:val="24"/>
              </w:rPr>
              <w:t>–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6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4 900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7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4 900</w:t>
            </w:r>
          </w:p>
        </w:tc>
      </w:tr>
      <w:tr>
        <w:tc>
          <w:tcPr>
            <w:tcW w:type="dxa" w:w="3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8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Величина капитала на 31.12.2025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9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100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A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17 680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B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17 780</w:t>
            </w:r>
          </w:p>
        </w:tc>
      </w:tr>
    </w:tbl>
    <w:p w14:paraId="0C030000">
      <w:pPr>
        <w:keepNext w:val="1"/>
        <w:pageBreakBefore w:val="1"/>
        <w:spacing w:after="200" w:before="240" w:line="360" w:lineRule="auto"/>
        <w:ind/>
        <w:jc w:val="center"/>
      </w:pPr>
      <w:r>
        <w:rPr>
          <w:rFonts w:ascii="Times New Roman" w:hAnsi="Times New Roman"/>
          <w:b w:val="1"/>
          <w:sz w:val="28"/>
        </w:rPr>
        <w:t>Приложение 4</w:t>
      </w:r>
    </w:p>
    <w:p w14:paraId="0D030000">
      <w:pPr>
        <w:spacing w:after="120" w:before="0" w:line="360" w:lineRule="auto"/>
        <w:ind/>
        <w:jc w:val="center"/>
      </w:pPr>
      <w:r>
        <w:rPr>
          <w:rFonts w:ascii="Times New Roman" w:hAnsi="Times New Roman"/>
          <w:sz w:val="28"/>
        </w:rPr>
        <w:t>Отчёт о движении денежных средств ООО «СтройРесурс», тыс. руб.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55"/>
        <w:gridCol w:w="1800"/>
        <w:gridCol w:w="1800"/>
      </w:tblGrid>
      <w:tr>
        <w:trPr>
          <w:tblHeader/>
        </w:trP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E03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Показатель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0F03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2025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0030000">
            <w:pPr>
              <w:spacing w:after="0" w:before="0" w:line="240" w:lineRule="auto"/>
              <w:ind w:firstLine="0" w:left="0"/>
              <w:jc w:val="center"/>
            </w:pPr>
            <w:r>
              <w:rPr>
                <w:rFonts w:ascii="Times New Roman" w:hAnsi="Times New Roman"/>
                <w:b w:val="1"/>
                <w:sz w:val="24"/>
              </w:rPr>
              <w:t>2024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1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Денежные потоки от текущих операций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2030000">
            <w:pPr>
              <w:spacing w:after="0" w:before="0" w:line="240" w:lineRule="auto"/>
              <w:ind w:firstLine="0" w:left="0"/>
              <w:jc w:val="left"/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3030000">
            <w:pPr>
              <w:spacing w:after="0" w:before="0" w:line="240" w:lineRule="auto"/>
              <w:ind w:firstLine="0" w:left="0"/>
              <w:jc w:val="left"/>
            </w:pP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4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Поступления от продажи товаров (с НДС)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5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101 760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6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91 500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7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Прочие поступления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8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350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9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280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A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Платежи поставщикам за товары, работы, услуги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B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(83 437)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C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(76 270)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D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Оплата труда работников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E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(7 440)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1F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(6 900)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0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Уплата страховых взносов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1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(1 843)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2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(1 700)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3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Уплата налога на добавленную стоимость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4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(2 520)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5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(2 200)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6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Уплата налога на прибыль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7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(1 680)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8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(980)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9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Прочие платежи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A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(690)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B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(610)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C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Сальдо денежных потоков от текущих операций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D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4 500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E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3 120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2F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Денежные потоки от инвестиционных операций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0030000">
            <w:pPr>
              <w:spacing w:after="0" w:before="0" w:line="240" w:lineRule="auto"/>
              <w:ind w:firstLine="0" w:left="0"/>
              <w:jc w:val="left"/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1030000">
            <w:pPr>
              <w:spacing w:after="0" w:before="0" w:line="240" w:lineRule="auto"/>
              <w:ind w:firstLine="0" w:left="0"/>
              <w:jc w:val="left"/>
            </w:pP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2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Приобретение основных средств и нематериальных активов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3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(1 280)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4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(1 100)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5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Приобретение финансовых вложений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6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(500)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7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(200)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8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Сальдо денежных потоков от инвестиционных операций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9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(1 780)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A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(1 300)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B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Денежные потоки от финансовых операций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C030000">
            <w:pPr>
              <w:spacing w:after="0" w:before="0" w:line="240" w:lineRule="auto"/>
              <w:ind w:firstLine="0" w:left="0"/>
              <w:jc w:val="left"/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D030000">
            <w:pPr>
              <w:spacing w:after="0" w:before="0" w:line="240" w:lineRule="auto"/>
              <w:ind w:firstLine="0" w:left="0"/>
              <w:jc w:val="left"/>
            </w:pP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E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Получение кредитов и займов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3F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2 000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0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1 500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1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Погашение кредитов и займов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2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(2 500)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3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(1 800)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4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Проценты уплаченные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5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(480)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6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(520)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7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Сальдо денежных потоков от финансовых операций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8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(980)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9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(820)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A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Сальдо денежных потоков за период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B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1 740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C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1 000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D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sz w:val="24"/>
              </w:rPr>
              <w:t>Остаток денежных средств на начало периода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E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3 360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4F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sz w:val="24"/>
              </w:rPr>
              <w:t>2 360</w:t>
            </w:r>
          </w:p>
        </w:tc>
      </w:tr>
      <w:tr>
        <w:tc>
          <w:tcPr>
            <w:tcW w:type="dxa" w:w="5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0030000">
            <w:pPr>
              <w:spacing w:after="0" w:before="0" w:line="240" w:lineRule="auto"/>
              <w:ind w:firstLine="0" w:left="0"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Остаток денежных средств на конец периода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1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5 100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 w14:paraId="52030000">
            <w:pPr>
              <w:spacing w:after="0" w:before="0" w:line="240" w:lineRule="auto"/>
              <w:ind w:firstLine="0" w:left="0"/>
              <w:jc w:val="right"/>
            </w:pPr>
            <w:r>
              <w:rPr>
                <w:rFonts w:ascii="Times New Roman" w:hAnsi="Times New Roman"/>
                <w:b w:val="1"/>
                <w:sz w:val="24"/>
              </w:rPr>
              <w:t>3 360</w:t>
            </w:r>
          </w:p>
        </w:tc>
      </w:tr>
    </w:tbl>
    <w:p w14:paraId="53030000"/>
    <w:sectPr>
      <w:footerReference r:id="rId1" w:type="default"/>
      <w:pgSz w:h="16838" w:orient="portrait" w:w="11906"/>
      <w:pgMar w:bottom="1134" w:footer="708" w:gutter="0" w:header="708" w:left="1701" w:right="850" w:top="1134"/>
      <w:pgNumType w:start="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ind/>
      <w:jc w:val="center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–"/>
      <w:lvlJc w:val="left"/>
      <w:pPr>
        <w:ind w:hanging="357" w:left="1066"/>
      </w:pPr>
    </w:lvl>
  </w:abstractNum>
  <w:abstractNum w:abstractNumId="1">
    <w:lvl w:ilvl="0">
      <w:start w:val="1"/>
      <w:numFmt w:val="decimal"/>
      <w:lvlText w:val="%1)"/>
      <w:lvlJc w:val="left"/>
      <w:pPr>
        <w:ind w:hanging="357" w:left="1066"/>
      </w:pPr>
    </w:lvl>
  </w:abstractNum>
  <w:abstractNum w:abstractNumId="2">
    <w:lvl w:ilvl="0">
      <w:start w:val="1"/>
      <w:numFmt w:val="decimal"/>
      <w:lvlText w:val="%1."/>
      <w:lvlJc w:val="left"/>
      <w:pPr>
        <w:ind w:hanging="357" w:left="1066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link w:val="Style_7_ch"/>
    <w:uiPriority w:val="9"/>
    <w:qFormat/>
    <w:pPr>
      <w:ind/>
      <w:outlineLvl w:val="2"/>
    </w:pPr>
    <w:rPr>
      <w:color w:val="1F4D78"/>
      <w:sz w:val="24"/>
    </w:rPr>
  </w:style>
  <w:style w:styleId="Style_7_ch" w:type="character">
    <w:name w:val="heading 3"/>
    <w:link w:val="Style_7"/>
    <w:rPr>
      <w:color w:val="1F4D78"/>
      <w:sz w:val="24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link w:val="Style_9_ch"/>
    <w:uiPriority w:val="9"/>
    <w:qFormat/>
    <w:pPr>
      <w:ind/>
      <w:outlineLvl w:val="4"/>
    </w:pPr>
    <w:rPr>
      <w:color w:val="2E74B5"/>
    </w:rPr>
  </w:style>
  <w:style w:styleId="Style_9_ch" w:type="character">
    <w:name w:val="heading 5"/>
    <w:link w:val="Style_9"/>
    <w:rPr>
      <w:color w:val="2E74B5"/>
    </w:rPr>
  </w:style>
  <w:style w:styleId="Style_10" w:type="paragraph">
    <w:name w:val="heading 1"/>
    <w:link w:val="Style_10_ch"/>
    <w:uiPriority w:val="9"/>
    <w:qFormat/>
    <w:pPr>
      <w:ind/>
      <w:outlineLvl w:val="0"/>
    </w:pPr>
    <w:rPr>
      <w:color w:val="2E74B5"/>
      <w:sz w:val="32"/>
    </w:rPr>
  </w:style>
  <w:style w:styleId="Style_10_ch" w:type="character">
    <w:name w:val="heading 1"/>
    <w:link w:val="Style_10"/>
    <w:rPr>
      <w:color w:val="2E74B5"/>
      <w:sz w:val="32"/>
    </w:rPr>
  </w:style>
  <w:style w:styleId="Style_11" w:type="paragraph">
    <w:name w:val="Hyperlink"/>
    <w:link w:val="Style_11_ch"/>
    <w:rPr>
      <w:color w:val="0563C1"/>
      <w:u w:val="single"/>
    </w:rPr>
  </w:style>
  <w:style w:styleId="Style_11_ch" w:type="character">
    <w:name w:val="Hyperlink"/>
    <w:link w:val="Style_11"/>
    <w:rPr>
      <w:color w:val="0563C1"/>
      <w:u w:val="single"/>
    </w:rPr>
  </w:style>
  <w:style w:styleId="Style_12" w:type="paragraph">
    <w:name w:val="Footnote"/>
    <w:link w:val="Style_12_ch"/>
    <w:pPr>
      <w:spacing w:after="0" w:line="240" w:lineRule="auto"/>
      <w:ind/>
    </w:pPr>
    <w:rPr>
      <w:sz w:val="20"/>
    </w:rPr>
  </w:style>
  <w:style w:styleId="Style_12_ch" w:type="character">
    <w:name w:val="Footnote"/>
    <w:link w:val="Style_12"/>
    <w:rPr>
      <w:sz w:val="20"/>
    </w:rPr>
  </w:style>
  <w:style w:styleId="Style_13" w:type="paragraph">
    <w:name w:val="endnote text"/>
    <w:link w:val="Style_13_ch"/>
    <w:pPr>
      <w:spacing w:after="0" w:line="240" w:lineRule="auto"/>
      <w:ind/>
    </w:pPr>
    <w:rPr>
      <w:sz w:val="20"/>
    </w:rPr>
  </w:style>
  <w:style w:styleId="Style_13_ch" w:type="character">
    <w:name w:val="endnote text"/>
    <w:link w:val="Style_13"/>
    <w:rPr>
      <w:sz w:val="20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Strong"/>
    <w:link w:val="Style_16_ch"/>
    <w:rPr>
      <w:b w:val="1"/>
    </w:rPr>
  </w:style>
  <w:style w:styleId="Style_16_ch" w:type="character">
    <w:name w:val="Strong"/>
    <w:link w:val="Style_16"/>
    <w:rPr>
      <w:b w:val="1"/>
    </w:rPr>
  </w:style>
  <w:style w:styleId="Style_17" w:type="paragraph">
    <w:name w:val="endnote reference"/>
    <w:link w:val="Style_17_ch"/>
    <w:rPr>
      <w:vertAlign w:val="superscript"/>
    </w:rPr>
  </w:style>
  <w:style w:styleId="Style_17_ch" w:type="character">
    <w:name w:val="endnote reference"/>
    <w:link w:val="Style_17"/>
    <w:rPr>
      <w:vertAlign w:val="superscript"/>
    </w:rPr>
  </w:style>
  <w:style w:styleId="Style_1" w:type="paragraph">
    <w:name w:val="List Paragraph"/>
    <w:link w:val="Style_1_ch"/>
  </w:style>
  <w:style w:styleId="Style_1_ch" w:type="character">
    <w:name w:val="List Paragraph"/>
    <w:link w:val="Style_1"/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footnote reference"/>
    <w:link w:val="Style_20_ch"/>
    <w:rPr>
      <w:vertAlign w:val="superscript"/>
    </w:rPr>
  </w:style>
  <w:style w:styleId="Style_20_ch" w:type="character">
    <w:name w:val="footnote reference"/>
    <w:link w:val="Style_20"/>
    <w:rPr>
      <w:vertAlign w:val="superscript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link w:val="Style_23_ch"/>
    <w:uiPriority w:val="10"/>
    <w:qFormat/>
    <w:rPr>
      <w:sz w:val="56"/>
    </w:rPr>
  </w:style>
  <w:style w:styleId="Style_23_ch" w:type="character">
    <w:name w:val="Title"/>
    <w:link w:val="Style_23"/>
    <w:rPr>
      <w:sz w:val="56"/>
    </w:rPr>
  </w:style>
  <w:style w:styleId="Style_24" w:type="paragraph">
    <w:name w:val="heading 4"/>
    <w:link w:val="Style_24_ch"/>
    <w:uiPriority w:val="9"/>
    <w:qFormat/>
    <w:pPr>
      <w:ind/>
      <w:outlineLvl w:val="3"/>
    </w:pPr>
    <w:rPr>
      <w:i w:val="1"/>
      <w:color w:val="2E74B5"/>
    </w:rPr>
  </w:style>
  <w:style w:styleId="Style_24_ch" w:type="character">
    <w:name w:val="heading 4"/>
    <w:link w:val="Style_24"/>
    <w:rPr>
      <w:i w:val="1"/>
      <w:color w:val="2E74B5"/>
    </w:rPr>
  </w:style>
  <w:style w:styleId="Style_25" w:type="paragraph">
    <w:name w:val="heading 2"/>
    <w:link w:val="Style_25_ch"/>
    <w:uiPriority w:val="9"/>
    <w:qFormat/>
    <w:pPr>
      <w:ind/>
      <w:outlineLvl w:val="1"/>
    </w:pPr>
    <w:rPr>
      <w:color w:val="2E74B5"/>
      <w:sz w:val="26"/>
    </w:rPr>
  </w:style>
  <w:style w:styleId="Style_25_ch" w:type="character">
    <w:name w:val="heading 2"/>
    <w:link w:val="Style_25"/>
    <w:rPr>
      <w:color w:val="2E74B5"/>
      <w:sz w:val="26"/>
    </w:rPr>
  </w:style>
  <w:style w:styleId="Style_26" w:type="paragraph">
    <w:name w:val="heading 6"/>
    <w:link w:val="Style_26_ch"/>
    <w:uiPriority w:val="9"/>
    <w:qFormat/>
    <w:pPr>
      <w:ind/>
      <w:outlineLvl w:val="5"/>
    </w:pPr>
    <w:rPr>
      <w:color w:val="1F4D78"/>
    </w:rPr>
  </w:style>
  <w:style w:styleId="Style_26_ch" w:type="character">
    <w:name w:val="heading 6"/>
    <w:link w:val="Style_26"/>
    <w:rPr>
      <w:color w:val="1F4D7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2.png" Type="http://schemas.openxmlformats.org/officeDocument/2006/relationships/imag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2026-09-01T10:10:53Z</dcterms:modified>
</cp:coreProperties>
</file>