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360" w:lineRule="auto"/>
        <w:ind w:hanging="10" w:left="11" w:right="73"/>
        <w:jc w:val="center"/>
        <w:rPr>
          <w:rFonts w:ascii="Times New Roman" w:hAnsi="Times New Roman"/>
          <w:color w:val="000000"/>
          <w:sz w:val="28"/>
        </w:rPr>
      </w:pPr>
      <w:r>
        <w:rPr>
          <w:rFonts w:ascii="Times New Roman" w:hAnsi="Times New Roman"/>
          <w:color w:val="000000"/>
          <w:sz w:val="28"/>
        </w:rPr>
        <w:t>Автономная некоммерческая организация высшего образования</w:t>
      </w:r>
    </w:p>
    <w:p w14:paraId="04000000">
      <w:pPr>
        <w:spacing w:after="0" w:line="360" w:lineRule="auto"/>
        <w:ind w:hanging="10" w:left="11" w:right="73"/>
        <w:jc w:val="center"/>
        <w:rPr>
          <w:rFonts w:ascii="Times New Roman" w:hAnsi="Times New Roman"/>
          <w:color w:val="000000"/>
          <w:sz w:val="28"/>
        </w:rPr>
      </w:pPr>
      <w:r>
        <w:rPr>
          <w:rFonts w:ascii="Times New Roman" w:hAnsi="Times New Roman"/>
          <w:color w:val="000000"/>
          <w:sz w:val="28"/>
        </w:rPr>
        <w:t>«Российский новый университет»</w:t>
      </w:r>
    </w:p>
    <w:p w14:paraId="05000000">
      <w:pPr>
        <w:spacing w:after="0" w:line="360" w:lineRule="auto"/>
        <w:ind w:hanging="10" w:left="11" w:right="73"/>
        <w:jc w:val="center"/>
        <w:rPr>
          <w:rFonts w:ascii="Times New Roman" w:hAnsi="Times New Roman"/>
          <w:color w:val="000000"/>
          <w:sz w:val="28"/>
        </w:rPr>
      </w:pPr>
      <w:r>
        <w:rPr>
          <w:rFonts w:ascii="Times New Roman" w:hAnsi="Times New Roman"/>
          <w:color w:val="000000"/>
          <w:sz w:val="28"/>
        </w:rPr>
        <w:t>(АНО ВО «Российский новый университет»)</w:t>
      </w:r>
    </w:p>
    <w:p w14:paraId="06000000">
      <w:pPr>
        <w:spacing w:after="0" w:line="360" w:lineRule="auto"/>
        <w:ind w:hanging="10" w:left="11" w:right="73"/>
        <w:jc w:val="center"/>
        <w:rPr>
          <w:rFonts w:ascii="Times New Roman" w:hAnsi="Times New Roman"/>
          <w:color w:val="000000"/>
          <w:sz w:val="28"/>
        </w:rPr>
      </w:pPr>
    </w:p>
    <w:p w14:paraId="07000000">
      <w:pPr>
        <w:spacing w:after="0" w:line="360" w:lineRule="auto"/>
        <w:ind w:hanging="10" w:left="11" w:right="73"/>
        <w:jc w:val="center"/>
        <w:rPr>
          <w:rFonts w:ascii="Times New Roman" w:hAnsi="Times New Roman"/>
          <w:color w:val="000000"/>
          <w:sz w:val="28"/>
        </w:rPr>
      </w:pPr>
      <w:r>
        <w:rPr>
          <w:rFonts w:ascii="Times New Roman" w:hAnsi="Times New Roman"/>
          <w:color w:val="000000"/>
          <w:sz w:val="28"/>
        </w:rPr>
        <w:t>Институт «Информационных систем и инженерно-компьютерных технологий»</w:t>
      </w:r>
    </w:p>
    <w:p w14:paraId="08000000">
      <w:pPr>
        <w:spacing w:after="0" w:line="360" w:lineRule="auto"/>
        <w:ind w:hanging="10" w:left="11" w:right="73"/>
        <w:jc w:val="center"/>
        <w:rPr>
          <w:rFonts w:ascii="Times New Roman" w:hAnsi="Times New Roman"/>
          <w:color w:val="000000"/>
          <w:sz w:val="28"/>
        </w:rPr>
      </w:pPr>
    </w:p>
    <w:p w14:paraId="09000000">
      <w:pPr>
        <w:spacing w:after="3" w:line="360" w:lineRule="auto"/>
        <w:ind w:hanging="10" w:left="11" w:right="73"/>
        <w:jc w:val="center"/>
        <w:rPr>
          <w:rFonts w:ascii="Times New Roman" w:hAnsi="Times New Roman"/>
          <w:color w:val="000000"/>
          <w:sz w:val="28"/>
        </w:rPr>
      </w:pPr>
      <w:r>
        <w:rPr>
          <w:rFonts w:ascii="Times New Roman" w:hAnsi="Times New Roman"/>
          <w:color w:val="000000"/>
          <w:sz w:val="28"/>
        </w:rPr>
        <w:t>Кафедра «Информационных систем в экономике и управлении»</w:t>
      </w:r>
    </w:p>
    <w:p w14:paraId="0A000000">
      <w:pPr>
        <w:spacing w:after="3" w:line="360" w:lineRule="auto"/>
        <w:ind w:hanging="10" w:left="11" w:right="73"/>
        <w:jc w:val="center"/>
        <w:rPr>
          <w:rFonts w:ascii="Times New Roman" w:hAnsi="Times New Roman"/>
          <w:color w:val="000000"/>
          <w:sz w:val="28"/>
        </w:rPr>
      </w:pPr>
    </w:p>
    <w:p w14:paraId="0B000000">
      <w:pPr>
        <w:spacing w:after="3" w:line="360" w:lineRule="auto"/>
        <w:ind w:hanging="10" w:left="11" w:right="73"/>
        <w:jc w:val="center"/>
        <w:rPr>
          <w:rFonts w:ascii="Times New Roman" w:hAnsi="Times New Roman"/>
          <w:color w:val="000000"/>
          <w:sz w:val="28"/>
        </w:rPr>
      </w:pPr>
    </w:p>
    <w:p w14:paraId="0C000000">
      <w:pPr>
        <w:tabs>
          <w:tab w:leader="none" w:pos="1170" w:val="left"/>
          <w:tab w:leader="none" w:pos="4898" w:val="center"/>
        </w:tabs>
        <w:spacing w:after="0" w:line="360" w:lineRule="auto"/>
        <w:ind w:hanging="10" w:left="11" w:right="198"/>
        <w:jc w:val="center"/>
        <w:rPr>
          <w:rFonts w:ascii="Times New Roman" w:hAnsi="Times New Roman"/>
          <w:color w:val="000000"/>
          <w:sz w:val="28"/>
        </w:rPr>
      </w:pPr>
      <w:r>
        <w:rPr>
          <w:rFonts w:ascii="Times New Roman" w:hAnsi="Times New Roman"/>
          <w:color w:val="000000"/>
          <w:sz w:val="28"/>
        </w:rPr>
        <w:t>О Т Ч Е Т</w:t>
      </w:r>
    </w:p>
    <w:p w14:paraId="0D000000">
      <w:pPr>
        <w:tabs>
          <w:tab w:leader="none" w:pos="1170" w:val="left"/>
          <w:tab w:leader="none" w:pos="4898" w:val="center"/>
        </w:tabs>
        <w:spacing w:after="0" w:line="360" w:lineRule="auto"/>
        <w:ind w:hanging="10" w:left="11" w:right="198"/>
        <w:jc w:val="center"/>
        <w:rPr>
          <w:rFonts w:ascii="Times New Roman" w:hAnsi="Times New Roman"/>
          <w:color w:val="000000"/>
          <w:sz w:val="28"/>
        </w:rPr>
      </w:pPr>
      <w:r>
        <w:rPr>
          <w:rFonts w:ascii="Times New Roman" w:hAnsi="Times New Roman"/>
          <w:color w:val="000000"/>
          <w:sz w:val="28"/>
        </w:rPr>
        <w:t xml:space="preserve">о прохождении производственной практики (тип: </w:t>
      </w:r>
      <w:r>
        <w:rPr>
          <w:rFonts w:ascii="Times New Roman" w:hAnsi="Times New Roman"/>
          <w:sz w:val="28"/>
        </w:rPr>
        <w:t>технологическая (проектно-технологическая) практика</w:t>
      </w:r>
      <w:r>
        <w:rPr>
          <w:rFonts w:ascii="Times New Roman" w:hAnsi="Times New Roman"/>
          <w:color w:val="000000"/>
          <w:sz w:val="28"/>
        </w:rPr>
        <w:t xml:space="preserve">) </w:t>
      </w:r>
    </w:p>
    <w:p w14:paraId="0E000000">
      <w:pPr>
        <w:tabs>
          <w:tab w:leader="none" w:pos="1170" w:val="left"/>
          <w:tab w:leader="none" w:pos="4898" w:val="center"/>
        </w:tabs>
        <w:spacing w:after="0" w:line="360" w:lineRule="auto"/>
        <w:ind w:hanging="10" w:left="11" w:right="198"/>
        <w:jc w:val="center"/>
        <w:rPr>
          <w:rFonts w:ascii="Times New Roman" w:hAnsi="Times New Roman"/>
          <w:color w:val="000000"/>
          <w:sz w:val="28"/>
        </w:rPr>
      </w:pPr>
      <w:r>
        <w:rPr>
          <w:rFonts w:ascii="Times New Roman" w:hAnsi="Times New Roman"/>
          <w:color w:val="000000"/>
          <w:sz w:val="28"/>
        </w:rPr>
        <w:t xml:space="preserve">в Муниципальном автономном учреждении </w:t>
      </w:r>
    </w:p>
    <w:p w14:paraId="0F000000">
      <w:pPr>
        <w:tabs>
          <w:tab w:leader="none" w:pos="1170" w:val="left"/>
          <w:tab w:leader="none" w:pos="4898" w:val="center"/>
        </w:tabs>
        <w:spacing w:after="0" w:line="360" w:lineRule="auto"/>
        <w:ind w:hanging="10" w:left="11" w:right="198"/>
        <w:jc w:val="center"/>
        <w:rPr>
          <w:rFonts w:ascii="Times New Roman" w:hAnsi="Times New Roman"/>
          <w:color w:val="000000"/>
          <w:sz w:val="28"/>
        </w:rPr>
      </w:pPr>
      <w:r>
        <w:rPr>
          <w:rFonts w:ascii="Times New Roman" w:hAnsi="Times New Roman"/>
          <w:color w:val="000000"/>
          <w:sz w:val="28"/>
        </w:rPr>
        <w:t xml:space="preserve">«Информационно-организационный центр» </w:t>
      </w:r>
      <w:r>
        <w:rPr>
          <w:rFonts w:ascii="Times New Roman" w:hAnsi="Times New Roman"/>
          <w:color w:val="000000"/>
          <w:sz w:val="28"/>
        </w:rPr>
        <w:t>г.Сургут</w:t>
      </w:r>
    </w:p>
    <w:p w14:paraId="10000000">
      <w:pPr>
        <w:tabs>
          <w:tab w:leader="none" w:pos="1170" w:val="left"/>
          <w:tab w:leader="none" w:pos="4898" w:val="center"/>
        </w:tabs>
        <w:spacing w:after="0" w:line="360" w:lineRule="auto"/>
        <w:ind w:hanging="10" w:left="11" w:right="198"/>
        <w:jc w:val="center"/>
        <w:rPr>
          <w:rFonts w:ascii="Times New Roman" w:hAnsi="Times New Roman"/>
          <w:color w:val="000000"/>
          <w:sz w:val="28"/>
        </w:rPr>
      </w:pPr>
    </w:p>
    <w:p w14:paraId="11000000">
      <w:pPr>
        <w:tabs>
          <w:tab w:leader="none" w:pos="1170" w:val="left"/>
          <w:tab w:leader="none" w:pos="4898" w:val="center"/>
        </w:tabs>
        <w:spacing w:after="0" w:line="360" w:lineRule="auto"/>
        <w:ind w:right="72"/>
        <w:jc w:val="right"/>
        <w:rPr>
          <w:rFonts w:ascii="Times New Roman" w:hAnsi="Times New Roman"/>
          <w:color w:val="000000"/>
          <w:sz w:val="28"/>
        </w:rPr>
      </w:pPr>
      <w:r>
        <w:rPr>
          <w:rFonts w:ascii="Times New Roman" w:hAnsi="Times New Roman"/>
          <w:color w:val="000000"/>
          <w:sz w:val="28"/>
        </w:rPr>
        <w:t xml:space="preserve">                                                                        студента группы</w:t>
      </w:r>
    </w:p>
    <w:p w14:paraId="12000000">
      <w:pPr>
        <w:spacing w:after="3" w:line="360" w:lineRule="auto"/>
        <w:ind w:hanging="10" w:left="4962" w:right="72"/>
        <w:jc w:val="right"/>
        <w:rPr>
          <w:rFonts w:ascii="Times New Roman" w:hAnsi="Times New Roman"/>
          <w:color w:val="000000"/>
          <w:sz w:val="28"/>
        </w:rPr>
      </w:pPr>
      <w:r>
        <w:rPr>
          <w:rFonts w:ascii="Times New Roman" w:hAnsi="Times New Roman"/>
          <w:color w:val="000000"/>
          <w:sz w:val="28"/>
        </w:rPr>
        <w:t>дистанционной формы обучения</w:t>
      </w:r>
    </w:p>
    <w:p w14:paraId="13000000">
      <w:pPr>
        <w:spacing w:after="3" w:line="360" w:lineRule="auto"/>
        <w:ind w:hanging="10" w:left="11" w:right="73"/>
        <w:jc w:val="right"/>
        <w:rPr>
          <w:rFonts w:ascii="Times New Roman" w:hAnsi="Times New Roman"/>
          <w:color w:val="000000"/>
          <w:sz w:val="28"/>
        </w:rPr>
      </w:pPr>
    </w:p>
    <w:p w14:paraId="14000000">
      <w:pPr>
        <w:spacing w:after="3" w:line="360" w:lineRule="auto"/>
        <w:ind w:hanging="10" w:left="11" w:right="73"/>
        <w:jc w:val="right"/>
        <w:rPr>
          <w:rFonts w:ascii="Times New Roman" w:hAnsi="Times New Roman"/>
          <w:color w:val="000000"/>
          <w:sz w:val="28"/>
        </w:rPr>
      </w:pPr>
      <w:r>
        <w:rPr>
          <w:rFonts w:ascii="Times New Roman" w:hAnsi="Times New Roman"/>
          <w:color w:val="000000"/>
          <w:sz w:val="28"/>
        </w:rPr>
        <w:t xml:space="preserve">Направление подготовки: </w:t>
      </w:r>
      <w:r>
        <w:rPr>
          <w:rFonts w:ascii="Times New Roman" w:hAnsi="Times New Roman"/>
          <w:color w:val="000000"/>
          <w:sz w:val="28"/>
          <w:u w:val="single"/>
        </w:rPr>
        <w:t>Прикладная информатика</w:t>
      </w:r>
    </w:p>
    <w:p w14:paraId="15000000">
      <w:pPr>
        <w:spacing w:after="3" w:line="360" w:lineRule="auto"/>
        <w:ind w:hanging="10" w:left="11" w:right="73"/>
        <w:jc w:val="right"/>
        <w:rPr>
          <w:rFonts w:ascii="Times New Roman" w:hAnsi="Times New Roman"/>
          <w:color w:val="000000"/>
          <w:sz w:val="28"/>
        </w:rPr>
      </w:pPr>
      <w:r>
        <w:rPr>
          <w:rFonts w:ascii="Times New Roman" w:hAnsi="Times New Roman"/>
          <w:color w:val="000000"/>
          <w:sz w:val="28"/>
        </w:rPr>
        <w:t xml:space="preserve">Профиль: </w:t>
      </w:r>
      <w:r>
        <w:rPr>
          <w:rFonts w:ascii="Times New Roman" w:hAnsi="Times New Roman"/>
          <w:color w:val="000000"/>
          <w:sz w:val="28"/>
          <w:u w:val="single"/>
        </w:rPr>
        <w:t>Прикладная информатика в экономике</w:t>
      </w:r>
    </w:p>
    <w:p w14:paraId="16000000">
      <w:pPr>
        <w:spacing w:after="3" w:line="240" w:lineRule="auto"/>
        <w:ind w:hanging="10" w:left="11" w:right="74"/>
        <w:jc w:val="right"/>
        <w:rPr>
          <w:rFonts w:ascii="Times New Roman" w:hAnsi="Times New Roman"/>
          <w:color w:val="000000"/>
          <w:sz w:val="28"/>
        </w:rPr>
      </w:pPr>
    </w:p>
    <w:p w14:paraId="17000000">
      <w:pPr>
        <w:keepNext w:val="1"/>
        <w:spacing w:after="0" w:line="216" w:lineRule="auto"/>
        <w:ind/>
        <w:rPr>
          <w:rFonts w:ascii="Times New Roman" w:hAnsi="Times New Roman"/>
          <w:b w:val="1"/>
          <w:sz w:val="24"/>
        </w:rPr>
      </w:pPr>
      <w:r>
        <w:rPr>
          <w:rFonts w:ascii="Times New Roman" w:hAnsi="Times New Roman"/>
          <w:b w:val="1"/>
          <w:sz w:val="24"/>
        </w:rPr>
        <w:t xml:space="preserve">«Согласовано» </w:t>
      </w:r>
    </w:p>
    <w:p w14:paraId="18000000">
      <w:pPr>
        <w:keepNext w:val="1"/>
        <w:spacing w:after="0" w:line="216" w:lineRule="auto"/>
        <w:ind/>
        <w:rPr>
          <w:rFonts w:ascii="Times New Roman" w:hAnsi="Times New Roman"/>
          <w:sz w:val="24"/>
        </w:rPr>
      </w:pPr>
      <w:r>
        <w:rPr>
          <w:rFonts w:ascii="Times New Roman" w:hAnsi="Times New Roman"/>
          <w:sz w:val="24"/>
        </w:rPr>
        <w:t xml:space="preserve">Руководитель практики от организации </w:t>
      </w:r>
      <w:r>
        <w:rPr>
          <w:rFonts w:ascii="Times New Roman" w:hAnsi="Times New Roman"/>
          <w:sz w:val="24"/>
        </w:rPr>
        <w:tab/>
      </w:r>
      <w:r>
        <w:rPr>
          <w:rFonts w:ascii="Times New Roman" w:hAnsi="Times New Roman"/>
          <w:sz w:val="24"/>
        </w:rPr>
        <w:tab/>
      </w:r>
      <w:r>
        <w:rPr>
          <w:rFonts w:ascii="Times New Roman" w:hAnsi="Times New Roman"/>
          <w:sz w:val="24"/>
        </w:rPr>
        <w:t xml:space="preserve">           </w:t>
      </w:r>
    </w:p>
    <w:p w14:paraId="19000000">
      <w:pPr>
        <w:keepNext w:val="1"/>
        <w:widowControl w:val="0"/>
        <w:spacing w:after="0" w:line="216" w:lineRule="auto"/>
        <w:ind/>
        <w:rPr>
          <w:rFonts w:ascii="Times New Roman" w:hAnsi="Times New Roman"/>
          <w:sz w:val="24"/>
        </w:rPr>
      </w:pPr>
      <w:r>
        <w:rPr>
          <w:rFonts w:ascii="Times New Roman" w:hAnsi="Times New Roman"/>
          <w:sz w:val="24"/>
        </w:rPr>
        <w:t>МАУ «Информационно-организационный центр»,</w:t>
      </w:r>
    </w:p>
    <w:p w14:paraId="1A000000">
      <w:pPr>
        <w:keepNext w:val="1"/>
        <w:spacing w:after="0" w:line="216" w:lineRule="auto"/>
        <w:ind/>
        <w:rPr>
          <w:rFonts w:ascii="Times New Roman" w:hAnsi="Times New Roman"/>
          <w:sz w:val="24"/>
        </w:rPr>
      </w:pPr>
      <w:r>
        <w:rPr>
          <w:rFonts w:ascii="Times New Roman" w:hAnsi="Times New Roman"/>
          <w:sz w:val="24"/>
        </w:rPr>
        <w:t xml:space="preserve">начальник отдела информационно-технического </w:t>
      </w:r>
    </w:p>
    <w:p w14:paraId="1B000000">
      <w:pPr>
        <w:keepNext w:val="1"/>
        <w:spacing w:after="0" w:line="216" w:lineRule="auto"/>
        <w:ind/>
        <w:rPr>
          <w:rFonts w:ascii="Times New Roman" w:hAnsi="Times New Roman"/>
          <w:sz w:val="24"/>
        </w:rPr>
      </w:pPr>
      <w:r>
        <w:rPr>
          <w:rFonts w:ascii="Times New Roman" w:hAnsi="Times New Roman"/>
          <w:sz w:val="24"/>
        </w:rPr>
        <w:t xml:space="preserve">сопровождения образовательных учреждений                 ________________     </w:t>
      </w:r>
    </w:p>
    <w:p w14:paraId="1C000000">
      <w:pPr>
        <w:keepNext w:val="1"/>
        <w:spacing w:after="0" w:line="216" w:lineRule="auto"/>
        <w:ind/>
        <w:rPr>
          <w:rFonts w:ascii="Times New Roman" w:hAnsi="Times New Roman"/>
          <w:sz w:val="24"/>
        </w:rPr>
      </w:pPr>
    </w:p>
    <w:p w14:paraId="1D000000">
      <w:pPr>
        <w:keepNext w:val="1"/>
        <w:spacing w:after="0" w:line="216" w:lineRule="auto"/>
        <w:ind/>
        <w:rPr>
          <w:rFonts w:ascii="Times New Roman" w:hAnsi="Times New Roman"/>
          <w:sz w:val="24"/>
        </w:rPr>
      </w:pPr>
      <w:r>
        <w:rPr>
          <w:rFonts w:ascii="Times New Roman" w:hAnsi="Times New Roman"/>
          <w:sz w:val="24"/>
        </w:rPr>
        <w:t>Руководитель практики от АНО ВО</w:t>
      </w:r>
    </w:p>
    <w:p w14:paraId="1E000000">
      <w:pPr>
        <w:keepNext w:val="1"/>
        <w:spacing w:after="0" w:line="216" w:lineRule="auto"/>
        <w:ind/>
        <w:rPr>
          <w:rFonts w:ascii="Times New Roman" w:hAnsi="Times New Roman"/>
          <w:sz w:val="24"/>
        </w:rPr>
      </w:pPr>
      <w:r>
        <w:rPr>
          <w:rFonts w:ascii="Times New Roman" w:hAnsi="Times New Roman"/>
          <w:sz w:val="24"/>
        </w:rPr>
        <w:t>«Российский новый университет»,</w:t>
      </w:r>
    </w:p>
    <w:p w14:paraId="1F000000">
      <w:pPr>
        <w:keepNext w:val="1"/>
        <w:spacing w:after="0" w:line="216" w:lineRule="auto"/>
        <w:ind/>
        <w:rPr>
          <w:rFonts w:ascii="Times New Roman" w:hAnsi="Times New Roman"/>
          <w:sz w:val="24"/>
        </w:rPr>
      </w:pPr>
      <w:r>
        <w:rPr>
          <w:rFonts w:ascii="Times New Roman" w:hAnsi="Times New Roman"/>
          <w:sz w:val="24"/>
        </w:rPr>
        <w:t xml:space="preserve">зав. каф. ИСЭУ, к.т.н., доцент                                         _______________     </w:t>
      </w:r>
    </w:p>
    <w:p w14:paraId="20000000">
      <w:pPr>
        <w:spacing w:after="3" w:line="360" w:lineRule="auto"/>
        <w:ind w:right="73"/>
        <w:rPr>
          <w:rFonts w:ascii="Times New Roman" w:hAnsi="Times New Roman"/>
          <w:color w:val="000000"/>
          <w:sz w:val="28"/>
        </w:rPr>
      </w:pPr>
    </w:p>
    <w:p w14:paraId="21000000">
      <w:pPr>
        <w:spacing w:after="3" w:line="360" w:lineRule="auto"/>
        <w:ind w:hanging="10" w:left="11" w:right="73"/>
        <w:jc w:val="right"/>
        <w:rPr>
          <w:rFonts w:ascii="Times New Roman" w:hAnsi="Times New Roman"/>
          <w:color w:val="000000"/>
          <w:sz w:val="28"/>
        </w:rPr>
      </w:pPr>
      <w:r>
        <w:rPr>
          <w:rFonts w:ascii="Times New Roman" w:hAnsi="Times New Roman"/>
          <w:color w:val="000000"/>
          <w:sz w:val="28"/>
        </w:rPr>
        <w:t>Оценка ___________________</w:t>
      </w:r>
    </w:p>
    <w:p w14:paraId="22000000">
      <w:pPr>
        <w:spacing w:after="3" w:line="264" w:lineRule="auto"/>
        <w:ind w:right="73"/>
        <w:jc w:val="center"/>
        <w:rPr>
          <w:rFonts w:ascii="Times New Roman" w:hAnsi="Times New Roman"/>
          <w:color w:val="000000"/>
          <w:sz w:val="28"/>
        </w:rPr>
      </w:pPr>
      <w:r>
        <w:rPr>
          <w:rFonts w:ascii="Times New Roman" w:hAnsi="Times New Roman"/>
          <w:color w:val="000000"/>
          <w:sz w:val="28"/>
        </w:rPr>
        <w:t>Москва 2026</w:t>
      </w:r>
    </w:p>
    <w:p w14:paraId="23000000">
      <w:pPr>
        <w:spacing w:after="0" w:line="240" w:lineRule="auto"/>
        <w:ind/>
        <w:rPr>
          <w:rStyle w:val="Style_2_ch"/>
          <w:rFonts w:ascii="Times New Roman" w:hAnsi="Times New Roman"/>
          <w:color w:val="0F1115"/>
          <w:sz w:val="28"/>
          <w:highlight w:val="white"/>
        </w:rPr>
      </w:pPr>
    </w:p>
    <w:p w14:paraId="24000000">
      <w:pPr>
        <w:pStyle w:val="Style_3"/>
        <w:spacing w:before="0" w:line="360" w:lineRule="auto"/>
        <w:ind/>
        <w:jc w:val="center"/>
        <w:rPr>
          <w:rFonts w:ascii="Times New Roman" w:hAnsi="Times New Roman"/>
          <w:b w:val="1"/>
          <w:color w:val="000000"/>
          <w:sz w:val="28"/>
        </w:rPr>
      </w:pPr>
      <w:r>
        <w:rPr>
          <w:rFonts w:ascii="Times New Roman" w:hAnsi="Times New Roman"/>
          <w:b w:val="1"/>
          <w:color w:val="000000"/>
          <w:sz w:val="28"/>
        </w:rPr>
        <w:t>ОГЛАВЛЕНИЕ</w:t>
      </w:r>
    </w:p>
    <w:p>
      <w:pPr>
        <w:pStyle w:val="Style_4"/>
        <w:tabs>
          <w:tab w:leader="dot" w:pos="9354"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Введение</w:t>
      </w:r>
      <w:r>
        <w:tab/>
      </w:r>
      <w:r>
        <w:fldChar w:fldCharType="begin"/>
      </w:r>
      <w:r>
        <w:instrText>PAGEREF __RefHeading___1 \h</w:instrText>
      </w:r>
      <w:r>
        <w:fldChar w:fldCharType="separate"/>
      </w:r>
      <w:r>
        <w:t>2</w:t>
      </w:r>
      <w:r>
        <w:fldChar w:fldCharType="end"/>
      </w:r>
      <w:r>
        <w:fldChar w:fldCharType="end"/>
      </w:r>
    </w:p>
    <w:p w14:paraId="26000000">
      <w:pPr>
        <w:pStyle w:val="Style_4"/>
        <w:tabs>
          <w:tab w:leader="dot" w:pos="9354" w:val="right"/>
        </w:tabs>
        <w:ind/>
      </w:pPr>
      <w:r>
        <w:fldChar w:fldCharType="begin"/>
      </w:r>
      <w:r>
        <w:instrText>HYPERLINK \l "__RefHeading___2"</w:instrText>
      </w:r>
      <w:r>
        <w:fldChar w:fldCharType="separate"/>
      </w:r>
      <w:r>
        <w:t>1.  Описание организации (Обследование предприятия)</w:t>
      </w:r>
      <w:r>
        <w:tab/>
      </w:r>
      <w:r>
        <w:fldChar w:fldCharType="begin"/>
      </w:r>
      <w:r>
        <w:instrText>PAGEREF __RefHeading___2 \h</w:instrText>
      </w:r>
      <w:r>
        <w:fldChar w:fldCharType="separate"/>
      </w:r>
      <w:r>
        <w:t>3</w:t>
      </w:r>
      <w:r>
        <w:fldChar w:fldCharType="end"/>
      </w:r>
      <w:r>
        <w:fldChar w:fldCharType="end"/>
      </w:r>
    </w:p>
    <w:p w14:paraId="27000000">
      <w:pPr>
        <w:pStyle w:val="Style_4"/>
        <w:tabs>
          <w:tab w:leader="dot" w:pos="9354" w:val="right"/>
        </w:tabs>
        <w:ind/>
      </w:pPr>
      <w:r>
        <w:fldChar w:fldCharType="begin"/>
      </w:r>
      <w:r>
        <w:instrText>HYPERLINK \l "__RefHeading___3"</w:instrText>
      </w:r>
      <w:r>
        <w:fldChar w:fldCharType="separate"/>
      </w:r>
      <w:r>
        <w:t>2.  Автоматизация бизнес-процессов в МАУ «ИОЦ» г.Сургут</w:t>
      </w:r>
      <w:r>
        <w:tab/>
      </w:r>
      <w:r>
        <w:fldChar w:fldCharType="begin"/>
      </w:r>
      <w:r>
        <w:instrText>PAGEREF __RefHeading___3 \h</w:instrText>
      </w:r>
      <w:r>
        <w:fldChar w:fldCharType="separate"/>
      </w:r>
      <w:r>
        <w:t>8</w:t>
      </w:r>
      <w:r>
        <w:fldChar w:fldCharType="end"/>
      </w:r>
      <w:r>
        <w:fldChar w:fldCharType="end"/>
      </w:r>
    </w:p>
    <w:p w14:paraId="28000000">
      <w:pPr>
        <w:pStyle w:val="Style_4"/>
        <w:tabs>
          <w:tab w:leader="dot" w:pos="9354" w:val="right"/>
        </w:tabs>
        <w:ind/>
      </w:pPr>
      <w:r>
        <w:fldChar w:fldCharType="begin"/>
      </w:r>
      <w:r>
        <w:instrText>HYPERLINK \l "__RefHeading___4"</w:instrText>
      </w:r>
      <w:r>
        <w:fldChar w:fldCharType="separate"/>
      </w:r>
      <w:r>
        <w:t>3.  Автоматизация процесса учета достижений, обучающихся АИС «Одаренные дети»</w:t>
      </w:r>
      <w:r>
        <w:tab/>
      </w:r>
      <w:r>
        <w:fldChar w:fldCharType="begin"/>
      </w:r>
      <w:r>
        <w:instrText>PAGEREF __RefHeading___4 \h</w:instrText>
      </w:r>
      <w:r>
        <w:fldChar w:fldCharType="separate"/>
      </w:r>
      <w:r>
        <w:t>11</w:t>
      </w:r>
      <w:r>
        <w:fldChar w:fldCharType="end"/>
      </w:r>
      <w:r>
        <w:fldChar w:fldCharType="end"/>
      </w:r>
    </w:p>
    <w:p w14:paraId="29000000">
      <w:pPr>
        <w:pStyle w:val="Style_4"/>
        <w:tabs>
          <w:tab w:leader="dot" w:pos="9354" w:val="right"/>
        </w:tabs>
        <w:ind/>
      </w:pPr>
      <w:r>
        <w:fldChar w:fldCharType="begin"/>
      </w:r>
      <w:r>
        <w:instrText>HYPERLINK \l "__RefHeading___5"</w:instrText>
      </w:r>
      <w:r>
        <w:fldChar w:fldCharType="separate"/>
      </w:r>
      <w:r>
        <w:t>4.  Автоматизация процесса ведения электронного журнала (ГИС «Образование Югры»)</w:t>
      </w:r>
      <w:r>
        <w:tab/>
      </w:r>
      <w:r>
        <w:fldChar w:fldCharType="begin"/>
      </w:r>
      <w:r>
        <w:instrText>PAGEREF __RefHeading___5 \h</w:instrText>
      </w:r>
      <w:r>
        <w:fldChar w:fldCharType="separate"/>
      </w:r>
      <w:r>
        <w:t>14</w:t>
      </w:r>
      <w:r>
        <w:fldChar w:fldCharType="end"/>
      </w:r>
      <w:r>
        <w:fldChar w:fldCharType="end"/>
      </w:r>
    </w:p>
    <w:p w14:paraId="2A000000">
      <w:pPr>
        <w:pStyle w:val="Style_4"/>
        <w:tabs>
          <w:tab w:leader="dot" w:pos="9354" w:val="right"/>
        </w:tabs>
        <w:ind/>
      </w:pPr>
      <w:r>
        <w:fldChar w:fldCharType="begin"/>
      </w:r>
      <w:r>
        <w:instrText>HYPERLINK \l "__RefHeading___6"</w:instrText>
      </w:r>
      <w:r>
        <w:fldChar w:fldCharType="separate"/>
      </w:r>
      <w:r>
        <w:t>5.  Автоматизация процесса персонифицированного дополнительного образования (АИС «ПДО»)</w:t>
      </w:r>
      <w:r>
        <w:tab/>
      </w:r>
      <w:r>
        <w:fldChar w:fldCharType="begin"/>
      </w:r>
      <w:r>
        <w:instrText>PAGEREF __RefHeading___6 \h</w:instrText>
      </w:r>
      <w:r>
        <w:fldChar w:fldCharType="separate"/>
      </w:r>
      <w:r>
        <w:t>17</w:t>
      </w:r>
      <w:r>
        <w:fldChar w:fldCharType="end"/>
      </w:r>
      <w:r>
        <w:fldChar w:fldCharType="end"/>
      </w:r>
    </w:p>
    <w:p w14:paraId="2B000000">
      <w:pPr>
        <w:pStyle w:val="Style_4"/>
        <w:tabs>
          <w:tab w:leader="dot" w:pos="9354" w:val="right"/>
        </w:tabs>
        <w:ind/>
      </w:pPr>
      <w:r>
        <w:fldChar w:fldCharType="begin"/>
      </w:r>
      <w:r>
        <w:instrText>HYPERLINK \l "__RefHeading___7"</w:instrText>
      </w:r>
      <w:r>
        <w:fldChar w:fldCharType="separate"/>
      </w:r>
      <w:r>
        <w:t>6.  Проблемы функционирования автоматизированных систем</w:t>
      </w:r>
      <w:r>
        <w:tab/>
      </w:r>
      <w:r>
        <w:fldChar w:fldCharType="begin"/>
      </w:r>
      <w:r>
        <w:instrText>PAGEREF __RefHeading___7 \h</w:instrText>
      </w:r>
      <w:r>
        <w:fldChar w:fldCharType="separate"/>
      </w:r>
      <w:r>
        <w:t>21</w:t>
      </w:r>
      <w:r>
        <w:fldChar w:fldCharType="end"/>
      </w:r>
      <w:r>
        <w:fldChar w:fldCharType="end"/>
      </w:r>
    </w:p>
    <w:p w14:paraId="2C000000">
      <w:pPr>
        <w:pStyle w:val="Style_4"/>
        <w:tabs>
          <w:tab w:leader="dot" w:pos="9354" w:val="right"/>
        </w:tabs>
        <w:ind/>
      </w:pPr>
      <w:r>
        <w:fldChar w:fldCharType="begin"/>
      </w:r>
      <w:r>
        <w:instrText>HYPERLINK \l "__RefHeading___8"</w:instrText>
      </w:r>
      <w:r>
        <w:fldChar w:fldCharType="separate"/>
      </w:r>
      <w:r>
        <w:t>7.  Рекомендации по улучшению автоматизированных процессов</w:t>
      </w:r>
      <w:r>
        <w:tab/>
      </w:r>
      <w:r>
        <w:fldChar w:fldCharType="begin"/>
      </w:r>
      <w:r>
        <w:instrText>PAGEREF __RefHeading___8 \h</w:instrText>
      </w:r>
      <w:r>
        <w:fldChar w:fldCharType="separate"/>
      </w:r>
      <w:r>
        <w:t>24</w:t>
      </w:r>
      <w:r>
        <w:fldChar w:fldCharType="end"/>
      </w:r>
      <w:r>
        <w:fldChar w:fldCharType="end"/>
      </w:r>
    </w:p>
    <w:p w14:paraId="2D000000">
      <w:pPr>
        <w:pStyle w:val="Style_4"/>
        <w:tabs>
          <w:tab w:leader="dot" w:pos="9354" w:val="right"/>
        </w:tabs>
        <w:ind/>
      </w:pPr>
      <w:r>
        <w:fldChar w:fldCharType="begin"/>
      </w:r>
      <w:r>
        <w:instrText>HYPERLINK \l "__RefHeading___9"</w:instrText>
      </w:r>
      <w:r>
        <w:fldChar w:fldCharType="separate"/>
      </w:r>
      <w:r>
        <w:t>8.  Направления оптимизации автоматизации бизнес-процессов</w:t>
      </w:r>
      <w:r>
        <w:tab/>
      </w:r>
      <w:r>
        <w:fldChar w:fldCharType="begin"/>
      </w:r>
      <w:r>
        <w:instrText>PAGEREF __RefHeading___9 \h</w:instrText>
      </w:r>
      <w:r>
        <w:fldChar w:fldCharType="separate"/>
      </w:r>
      <w:r>
        <w:t>26</w:t>
      </w:r>
      <w:r>
        <w:fldChar w:fldCharType="end"/>
      </w:r>
      <w:r>
        <w:fldChar w:fldCharType="end"/>
      </w:r>
    </w:p>
    <w:p w14:paraId="2E000000">
      <w:pPr>
        <w:pStyle w:val="Style_4"/>
        <w:tabs>
          <w:tab w:leader="dot" w:pos="9354" w:val="right"/>
        </w:tabs>
        <w:ind/>
      </w:pPr>
      <w:r>
        <w:fldChar w:fldCharType="begin"/>
      </w:r>
      <w:r>
        <w:instrText>HYPERLINK \l "__RefHeading___10"</w:instrText>
      </w:r>
      <w:r>
        <w:fldChar w:fldCharType="separate"/>
      </w:r>
      <w:r>
        <w:t>Заключение</w:t>
      </w:r>
      <w:r>
        <w:tab/>
      </w:r>
      <w:r>
        <w:fldChar w:fldCharType="begin"/>
      </w:r>
      <w:r>
        <w:instrText>PAGEREF __RefHeading___10 \h</w:instrText>
      </w:r>
      <w:r>
        <w:fldChar w:fldCharType="separate"/>
      </w:r>
      <w:r>
        <w:t>29</w:t>
      </w:r>
      <w:r>
        <w:fldChar w:fldCharType="end"/>
      </w:r>
      <w:r>
        <w:fldChar w:fldCharType="end"/>
      </w:r>
    </w:p>
    <w:p w14:paraId="2F000000">
      <w:pPr>
        <w:pStyle w:val="Style_4"/>
        <w:tabs>
          <w:tab w:leader="dot" w:pos="9354" w:val="right"/>
        </w:tabs>
        <w:ind/>
      </w:pPr>
      <w:r>
        <w:fldChar w:fldCharType="begin"/>
      </w:r>
      <w:r>
        <w:instrText>HYPERLINK \l "__RefHeading___11"</w:instrText>
      </w:r>
      <w:r>
        <w:fldChar w:fldCharType="separate"/>
      </w:r>
      <w:r>
        <w:t>Список использованных источников</w:t>
      </w:r>
      <w:r>
        <w:tab/>
      </w:r>
      <w:r>
        <w:fldChar w:fldCharType="begin"/>
      </w:r>
      <w:r>
        <w:instrText>PAGEREF __RefHeading___11 \h</w:instrText>
      </w:r>
      <w:r>
        <w:fldChar w:fldCharType="separate"/>
      </w:r>
      <w:r>
        <w:t>31</w:t>
      </w:r>
      <w:r>
        <w:fldChar w:fldCharType="end"/>
      </w:r>
      <w:r>
        <w:fldChar w:fldCharType="end"/>
      </w:r>
    </w:p>
    <w:p>
      <w:r>
        <w:fldChar w:fldCharType="end"/>
      </w:r>
    </w:p>
    <w:p w14:paraId="31000000">
      <w:pPr>
        <w:spacing w:after="0" w:line="360" w:lineRule="auto"/>
        <w:ind/>
        <w:jc w:val="both"/>
        <w:rPr>
          <w:rFonts w:ascii="Times New Roman" w:hAnsi="Times New Roman"/>
          <w:sz w:val="28"/>
        </w:rPr>
      </w:pPr>
      <w:bookmarkStart w:id="1" w:name="_GoBack"/>
      <w:bookmarkEnd w:id="1"/>
    </w:p>
    <w:p w14:paraId="32000000">
      <w:pPr>
        <w:spacing w:after="0" w:line="360" w:lineRule="auto"/>
        <w:ind/>
        <w:jc w:val="both"/>
        <w:rPr>
          <w:rFonts w:ascii="Times New Roman" w:hAnsi="Times New Roman"/>
          <w:sz w:val="28"/>
        </w:rPr>
      </w:pPr>
    </w:p>
    <w:p w14:paraId="33000000">
      <w:pPr>
        <w:spacing w:after="0" w:line="360" w:lineRule="auto"/>
        <w:ind/>
        <w:jc w:val="both"/>
        <w:rPr>
          <w:rFonts w:ascii="Times New Roman" w:hAnsi="Times New Roman"/>
          <w:sz w:val="28"/>
        </w:rPr>
      </w:pPr>
    </w:p>
    <w:p w14:paraId="34000000">
      <w:pPr>
        <w:spacing w:after="0" w:line="360" w:lineRule="auto"/>
        <w:ind/>
        <w:jc w:val="both"/>
        <w:rPr>
          <w:rFonts w:ascii="Times New Roman" w:hAnsi="Times New Roman"/>
          <w:sz w:val="28"/>
        </w:rPr>
      </w:pPr>
    </w:p>
    <w:p w14:paraId="35000000">
      <w:pPr>
        <w:spacing w:after="0" w:line="360" w:lineRule="auto"/>
        <w:ind/>
        <w:jc w:val="both"/>
        <w:rPr>
          <w:rFonts w:ascii="Times New Roman" w:hAnsi="Times New Roman"/>
          <w:sz w:val="28"/>
        </w:rPr>
      </w:pPr>
    </w:p>
    <w:p w14:paraId="36000000">
      <w:pPr>
        <w:spacing w:after="0" w:line="360" w:lineRule="auto"/>
        <w:ind/>
        <w:jc w:val="both"/>
        <w:rPr>
          <w:rFonts w:ascii="Times New Roman" w:hAnsi="Times New Roman"/>
          <w:sz w:val="28"/>
        </w:rPr>
      </w:pPr>
    </w:p>
    <w:p w14:paraId="37000000">
      <w:pPr>
        <w:spacing w:after="0" w:line="360" w:lineRule="auto"/>
        <w:ind/>
        <w:jc w:val="both"/>
        <w:rPr>
          <w:rFonts w:ascii="Times New Roman" w:hAnsi="Times New Roman"/>
          <w:sz w:val="28"/>
        </w:rPr>
      </w:pPr>
    </w:p>
    <w:p w14:paraId="38000000">
      <w:pPr>
        <w:spacing w:after="0" w:line="360" w:lineRule="auto"/>
        <w:ind/>
        <w:jc w:val="both"/>
        <w:rPr>
          <w:rFonts w:ascii="Times New Roman" w:hAnsi="Times New Roman"/>
          <w:sz w:val="28"/>
        </w:rPr>
      </w:pPr>
    </w:p>
    <w:p w14:paraId="39000000">
      <w:pPr>
        <w:spacing w:after="0" w:line="360" w:lineRule="auto"/>
        <w:ind/>
        <w:jc w:val="both"/>
        <w:rPr>
          <w:rFonts w:ascii="Times New Roman" w:hAnsi="Times New Roman"/>
          <w:sz w:val="28"/>
        </w:rPr>
      </w:pPr>
    </w:p>
    <w:p w14:paraId="3A000000">
      <w:pPr>
        <w:spacing w:after="0" w:line="360" w:lineRule="auto"/>
        <w:ind/>
        <w:jc w:val="both"/>
        <w:rPr>
          <w:rFonts w:ascii="Times New Roman" w:hAnsi="Times New Roman"/>
          <w:sz w:val="28"/>
        </w:rPr>
      </w:pPr>
    </w:p>
    <w:p w14:paraId="3B000000">
      <w:pPr>
        <w:spacing w:after="0" w:line="360" w:lineRule="auto"/>
        <w:ind/>
        <w:jc w:val="both"/>
        <w:rPr>
          <w:rFonts w:ascii="Times New Roman" w:hAnsi="Times New Roman"/>
          <w:sz w:val="28"/>
        </w:rPr>
      </w:pPr>
    </w:p>
    <w:p w14:paraId="3C000000">
      <w:pPr>
        <w:spacing w:after="0" w:line="360" w:lineRule="auto"/>
        <w:ind/>
        <w:jc w:val="both"/>
        <w:rPr>
          <w:rFonts w:ascii="Times New Roman" w:hAnsi="Times New Roman"/>
          <w:sz w:val="28"/>
        </w:rPr>
      </w:pPr>
    </w:p>
    <w:p w14:paraId="3D000000">
      <w:pPr>
        <w:spacing w:after="0" w:line="360" w:lineRule="auto"/>
        <w:ind/>
        <w:jc w:val="both"/>
        <w:rPr>
          <w:rFonts w:ascii="Times New Roman" w:hAnsi="Times New Roman"/>
          <w:sz w:val="28"/>
        </w:rPr>
      </w:pPr>
    </w:p>
    <w:p w14:paraId="3E000000">
      <w:pPr>
        <w:spacing w:after="0" w:line="360" w:lineRule="auto"/>
        <w:ind/>
        <w:jc w:val="both"/>
        <w:rPr>
          <w:rFonts w:ascii="Times New Roman" w:hAnsi="Times New Roman"/>
          <w:sz w:val="28"/>
        </w:rPr>
      </w:pPr>
    </w:p>
    <w:p w14:paraId="3F000000">
      <w:bookmarkStart w:id="2" w:name="__RefHeading___1"/>
      <w:bookmarkEnd w:id="2"/>
      <w:pPr>
        <w:pStyle w:val="Style_5"/>
        <w:spacing w:before="0" w:line="360" w:lineRule="auto"/>
        <w:ind/>
        <w:jc w:val="center"/>
        <w:rPr>
          <w:rFonts w:ascii="Times New Roman" w:hAnsi="Times New Roman"/>
          <w:b w:val="1"/>
          <w:color w:val="000000"/>
          <w:sz w:val="28"/>
        </w:rPr>
      </w:pPr>
      <w:r>
        <w:rPr>
          <w:rFonts w:ascii="Times New Roman" w:hAnsi="Times New Roman"/>
          <w:b w:val="1"/>
          <w:color w:val="000000"/>
          <w:sz w:val="28"/>
        </w:rPr>
        <w:t>В</w:t>
      </w:r>
      <w:r>
        <w:rPr>
          <w:rFonts w:ascii="Times New Roman" w:hAnsi="Times New Roman"/>
          <w:b w:val="1"/>
          <w:color w:val="000000"/>
          <w:sz w:val="28"/>
        </w:rPr>
        <w:t>ведение</w:t>
      </w:r>
    </w:p>
    <w:p w14:paraId="40000000">
      <w:pPr>
        <w:spacing w:after="0" w:line="360" w:lineRule="auto"/>
        <w:ind w:firstLine="709" w:left="0"/>
        <w:jc w:val="both"/>
        <w:rPr>
          <w:rFonts w:ascii="Times New Roman" w:hAnsi="Times New Roman"/>
          <w:sz w:val="28"/>
        </w:rPr>
      </w:pPr>
      <w:r>
        <w:rPr>
          <w:rFonts w:ascii="Times New Roman" w:hAnsi="Times New Roman"/>
          <w:sz w:val="28"/>
        </w:rPr>
        <w:t>Целью производственной практики является систематизация теоретических знаний и расширение круга практических умений по профилю подготовки путем сбора и анализа фактического материала для подготовки и написания выпускной квалификационной работы, проверки на практике её основных положений и рекомендаций.</w:t>
      </w:r>
    </w:p>
    <w:p w14:paraId="41000000">
      <w:pPr>
        <w:spacing w:after="0" w:line="360" w:lineRule="auto"/>
        <w:ind w:firstLine="709" w:left="0"/>
        <w:jc w:val="both"/>
        <w:rPr>
          <w:rFonts w:ascii="Times New Roman" w:hAnsi="Times New Roman"/>
          <w:sz w:val="28"/>
        </w:rPr>
      </w:pPr>
      <w:r>
        <w:rPr>
          <w:rFonts w:ascii="Times New Roman" w:hAnsi="Times New Roman"/>
          <w:sz w:val="28"/>
        </w:rPr>
        <w:t>Основная задача практики состоит в описании автоматизации бизнес-процессов в Муниципальном автономном учреждении «Информационно-организационный центр» и разработке рекомендаций по их оптимизации.</w:t>
      </w:r>
    </w:p>
    <w:p w14:paraId="42000000">
      <w:pPr>
        <w:spacing w:after="0" w:line="360" w:lineRule="auto"/>
        <w:ind w:firstLine="709" w:left="0"/>
        <w:jc w:val="both"/>
        <w:rPr>
          <w:rFonts w:ascii="Times New Roman" w:hAnsi="Times New Roman"/>
          <w:sz w:val="28"/>
        </w:rPr>
      </w:pPr>
      <w:r>
        <w:rPr>
          <w:rFonts w:ascii="Times New Roman" w:hAnsi="Times New Roman"/>
          <w:sz w:val="28"/>
        </w:rPr>
        <w:t>В соответствии с поставленной целью необходимо решить следующие задачи:</w:t>
      </w:r>
    </w:p>
    <w:p w14:paraId="4300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изучить организационную структуру и основные направления деятельности МАУ «ИОЦ»;</w:t>
      </w:r>
    </w:p>
    <w:p w14:paraId="4400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проанализировать автоматизированные информационные системы, используемые в учреждении;</w:t>
      </w:r>
    </w:p>
    <w:p w14:paraId="4500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выявить проблемы функционирования автоматизированных систем;</w:t>
      </w:r>
    </w:p>
    <w:p w14:paraId="4600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разработать рекомендации по оптимизации автоматизации бизнес-процессов;</w:t>
      </w:r>
    </w:p>
    <w:p w14:paraId="47000000">
      <w:pPr>
        <w:spacing w:after="0" w:line="36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подготовить отчет о прохождении производственной практики.</w:t>
      </w:r>
    </w:p>
    <w:p w14:paraId="48000000">
      <w:pPr>
        <w:spacing w:after="0" w:line="360" w:lineRule="auto"/>
        <w:ind w:firstLine="709" w:left="0"/>
        <w:jc w:val="both"/>
        <w:rPr>
          <w:rFonts w:ascii="Times New Roman" w:hAnsi="Times New Roman"/>
          <w:sz w:val="28"/>
        </w:rPr>
      </w:pPr>
      <w:r>
        <w:rPr>
          <w:rFonts w:ascii="Times New Roman" w:hAnsi="Times New Roman"/>
          <w:sz w:val="28"/>
        </w:rPr>
        <w:t>Объектом исследования является деятельность Муниципального автономного учреждения «Информационно-организационный центр» по информационно-организационному сопровождению образовательных учреждений города Сургута.</w:t>
      </w:r>
    </w:p>
    <w:p w14:paraId="49000000">
      <w:pPr>
        <w:spacing w:after="0" w:line="360" w:lineRule="auto"/>
        <w:ind w:firstLine="709" w:left="0"/>
        <w:jc w:val="both"/>
        <w:rPr>
          <w:rFonts w:ascii="Times New Roman" w:hAnsi="Times New Roman"/>
          <w:sz w:val="28"/>
        </w:rPr>
      </w:pPr>
      <w:r>
        <w:rPr>
          <w:rFonts w:ascii="Times New Roman" w:hAnsi="Times New Roman"/>
          <w:sz w:val="28"/>
        </w:rPr>
        <w:t>Предметом исследования являются автоматизированные информационные системы, используемые в МАУ «ИОЦ» для автоматизации бизнес-процессов.</w:t>
      </w:r>
    </w:p>
    <w:p w14:paraId="4A000000">
      <w:pPr>
        <w:spacing w:after="0" w:line="360" w:lineRule="auto"/>
        <w:ind w:firstLine="709" w:left="0"/>
        <w:jc w:val="both"/>
        <w:rPr>
          <w:rFonts w:ascii="Times New Roman" w:hAnsi="Times New Roman"/>
          <w:sz w:val="28"/>
        </w:rPr>
      </w:pPr>
    </w:p>
    <w:p w14:paraId="4B000000">
      <w:pPr>
        <w:spacing w:after="0" w:line="360" w:lineRule="auto"/>
        <w:ind w:firstLine="709" w:left="0"/>
        <w:jc w:val="both"/>
        <w:rPr>
          <w:rFonts w:ascii="Times New Roman" w:hAnsi="Times New Roman"/>
          <w:sz w:val="28"/>
        </w:rPr>
      </w:pPr>
    </w:p>
    <w:p w14:paraId="4C000000">
      <w:pPr>
        <w:spacing w:after="0" w:line="360" w:lineRule="auto"/>
        <w:ind w:firstLine="709" w:left="0"/>
        <w:jc w:val="both"/>
        <w:rPr>
          <w:rFonts w:ascii="Times New Roman" w:hAnsi="Times New Roman"/>
          <w:sz w:val="28"/>
        </w:rPr>
      </w:pPr>
    </w:p>
    <w:p w14:paraId="4D000000">
      <w:bookmarkStart w:id="3" w:name="__RefHeading___2"/>
      <w:bookmarkEnd w:id="3"/>
      <w:pPr>
        <w:pStyle w:val="Style_5"/>
        <w:spacing w:before="0" w:line="360" w:lineRule="auto"/>
        <w:ind w:firstLine="709" w:left="0"/>
        <w:rPr>
          <w:rFonts w:ascii="Times New Roman" w:hAnsi="Times New Roman"/>
          <w:b w:val="1"/>
          <w:color w:val="000000"/>
          <w:sz w:val="28"/>
        </w:rPr>
      </w:pPr>
      <w:r>
        <w:rPr>
          <w:rFonts w:ascii="Times New Roman" w:hAnsi="Times New Roman"/>
          <w:b w:val="1"/>
          <w:color w:val="000000"/>
          <w:sz w:val="28"/>
        </w:rPr>
        <w:t xml:space="preserve">1. </w:t>
      </w:r>
      <w:r>
        <w:rPr>
          <w:rFonts w:ascii="Times New Roman" w:hAnsi="Times New Roman"/>
          <w:b w:val="1"/>
          <w:color w:val="000000"/>
          <w:sz w:val="28"/>
        </w:rPr>
        <w:t xml:space="preserve"> </w:t>
      </w:r>
      <w:r>
        <w:rPr>
          <w:rFonts w:ascii="Times New Roman" w:hAnsi="Times New Roman"/>
          <w:b w:val="1"/>
          <w:color w:val="000000"/>
          <w:sz w:val="28"/>
        </w:rPr>
        <w:t>Описание организации (Обследование предприятия)</w:t>
      </w:r>
    </w:p>
    <w:p w14:paraId="4E000000">
      <w:pPr>
        <w:spacing w:after="0" w:line="360" w:lineRule="auto"/>
        <w:ind w:firstLine="709" w:left="0"/>
        <w:jc w:val="both"/>
        <w:rPr>
          <w:rFonts w:ascii="Times New Roman" w:hAnsi="Times New Roman"/>
          <w:sz w:val="28"/>
        </w:rPr>
      </w:pPr>
      <w:r>
        <w:rPr>
          <w:rFonts w:ascii="Times New Roman" w:hAnsi="Times New Roman"/>
          <w:sz w:val="28"/>
        </w:rPr>
        <w:t>Место прохождения практики: Муниципальное автономное учреждение «Информационно-организационный центр» (МАУ «ИОЦ»), город Сургут, Ханты-Мансийский автономный округ – Югра.</w:t>
      </w:r>
    </w:p>
    <w:p w14:paraId="4F000000">
      <w:pPr>
        <w:spacing w:after="0" w:line="360" w:lineRule="auto"/>
        <w:ind w:firstLine="709" w:left="0"/>
        <w:jc w:val="both"/>
        <w:rPr>
          <w:rFonts w:ascii="Times New Roman" w:hAnsi="Times New Roman"/>
          <w:sz w:val="28"/>
        </w:rPr>
      </w:pPr>
      <w:r>
        <w:rPr>
          <w:rFonts w:ascii="Times New Roman" w:hAnsi="Times New Roman"/>
          <w:sz w:val="28"/>
        </w:rPr>
        <w:t>На рисунке 1 представлена структура Муниципального автономного учреждения «Информационно-организационный центр».</w:t>
      </w:r>
    </w:p>
    <w:p w14:paraId="50000000">
      <w:pPr>
        <w:spacing w:after="0" w:line="360" w:lineRule="auto"/>
        <w:ind w:firstLine="709" w:left="0"/>
        <w:jc w:val="center"/>
        <w:rPr>
          <w:rFonts w:ascii="Times New Roman" w:hAnsi="Times New Roman"/>
          <w:sz w:val="28"/>
        </w:rPr>
      </w:pPr>
      <w:r>
        <w:rPr>
          <w:rFonts w:ascii="Times New Roman" w:hAnsi="Times New Roman"/>
          <w:sz w:val="28"/>
        </w:rPr>
        <w:drawing>
          <wp:inline>
            <wp:extent cx="5394783" cy="3284220"/>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5394783" cy="3284220"/>
                    </a:xfrm>
                    <a:prstGeom prst="rect"/>
                  </pic:spPr>
                </pic:pic>
              </a:graphicData>
            </a:graphic>
          </wp:inline>
        </w:drawing>
      </w:r>
    </w:p>
    <w:p w14:paraId="51000000">
      <w:pPr>
        <w:spacing w:after="0" w:line="360" w:lineRule="auto"/>
        <w:ind w:firstLine="709" w:left="0"/>
        <w:jc w:val="center"/>
        <w:rPr>
          <w:rFonts w:ascii="Times New Roman" w:hAnsi="Times New Roman"/>
          <w:sz w:val="28"/>
        </w:rPr>
      </w:pPr>
      <w:r>
        <w:rPr>
          <w:rFonts w:ascii="Times New Roman" w:hAnsi="Times New Roman"/>
          <w:sz w:val="28"/>
        </w:rPr>
        <w:t>Рисунок 1</w:t>
      </w:r>
      <w:r>
        <w:rPr>
          <w:rFonts w:ascii="Times New Roman" w:hAnsi="Times New Roman"/>
          <w:sz w:val="28"/>
        </w:rPr>
        <w:t xml:space="preserve"> - </w:t>
      </w:r>
      <w:r>
        <w:rPr>
          <w:rFonts w:ascii="Times New Roman" w:hAnsi="Times New Roman"/>
          <w:sz w:val="28"/>
        </w:rPr>
        <w:t xml:space="preserve">Муниципального автономного учреждения «Информационно-организационный центр» </w:t>
      </w:r>
      <w:r>
        <w:rPr>
          <w:rFonts w:ascii="Times New Roman" w:hAnsi="Times New Roman"/>
          <w:sz w:val="28"/>
        </w:rPr>
        <w:t>г.Сургут</w:t>
      </w:r>
    </w:p>
    <w:p w14:paraId="52000000">
      <w:pPr>
        <w:spacing w:after="0" w:line="360" w:lineRule="auto"/>
        <w:ind w:firstLine="709" w:left="0"/>
        <w:jc w:val="both"/>
        <w:rPr>
          <w:rFonts w:ascii="Times New Roman" w:hAnsi="Times New Roman"/>
          <w:sz w:val="28"/>
        </w:rPr>
      </w:pPr>
      <w:r>
        <w:rPr>
          <w:rFonts w:ascii="Times New Roman" w:hAnsi="Times New Roman"/>
          <w:sz w:val="28"/>
        </w:rPr>
        <w:t>Муниципальное автономное учреждение «Информационно-организационный центр» г. Сургут (МАУ «ИОЦ») является некоммерческой организацией, организационно-правовая форма – учреждение, тип учреждения – автономное [4].</w:t>
      </w:r>
    </w:p>
    <w:p w14:paraId="53000000">
      <w:pPr>
        <w:spacing w:after="0" w:line="360" w:lineRule="auto"/>
        <w:ind w:firstLine="709" w:left="0"/>
        <w:jc w:val="both"/>
        <w:rPr>
          <w:rFonts w:ascii="Times New Roman" w:hAnsi="Times New Roman"/>
          <w:sz w:val="28"/>
        </w:rPr>
      </w:pPr>
      <w:r>
        <w:rPr>
          <w:rFonts w:ascii="Times New Roman" w:hAnsi="Times New Roman"/>
          <w:sz w:val="28"/>
        </w:rPr>
        <w:t>Учреждение создано 29 августа 2001 года. До 20 марта 2023 года учреждение именовалось муниципальным автономным учреждением «Информационно-методический центр». Переименование в МАУ «Информационно-организационный центр» осуществлено на основании распоряжения Администрации города Сургута от 07.03.2023 № 635 [5].</w:t>
      </w:r>
    </w:p>
    <w:p w14:paraId="54000000">
      <w:pPr>
        <w:spacing w:after="0" w:line="360" w:lineRule="auto"/>
        <w:ind w:firstLine="709" w:left="0"/>
        <w:jc w:val="both"/>
        <w:rPr>
          <w:rFonts w:ascii="Times New Roman" w:hAnsi="Times New Roman"/>
          <w:sz w:val="28"/>
        </w:rPr>
      </w:pPr>
      <w:r>
        <w:rPr>
          <w:rFonts w:ascii="Times New Roman" w:hAnsi="Times New Roman"/>
          <w:sz w:val="28"/>
        </w:rPr>
        <w:t>Учредителем учреждения является муниципальное образование городской округ Сургут Ханты-Мансийского автономного округа – Югры. Функции и полномочия учредителя возложены на Администрацию города Сургута. Куратором учреждения является департамент образования Администрации города Сургута [4].</w:t>
      </w:r>
    </w:p>
    <w:p w14:paraId="55000000">
      <w:pPr>
        <w:spacing w:after="0" w:line="360" w:lineRule="auto"/>
        <w:ind w:firstLine="709" w:left="0"/>
        <w:jc w:val="both"/>
        <w:rPr>
          <w:rFonts w:ascii="Times New Roman" w:hAnsi="Times New Roman"/>
          <w:sz w:val="28"/>
        </w:rPr>
      </w:pPr>
      <w:r>
        <w:rPr>
          <w:rFonts w:ascii="Times New Roman" w:hAnsi="Times New Roman"/>
          <w:sz w:val="28"/>
        </w:rPr>
        <w:t>Место нахождения учреждения: Российская Федерация, Тюменская область, Ханты-Мансийский автономный округ – Югра, город Сургут, ул. Декабристов, д. 16 [4]. Юридическому лицу присвоены ИНН 8602003290, ОГРН 1028600595693 [5].</w:t>
      </w:r>
    </w:p>
    <w:p w14:paraId="56000000">
      <w:pPr>
        <w:spacing w:after="0" w:line="360" w:lineRule="auto"/>
        <w:ind w:firstLine="709" w:left="0"/>
        <w:jc w:val="both"/>
        <w:rPr>
          <w:rFonts w:ascii="Times New Roman" w:hAnsi="Times New Roman"/>
          <w:sz w:val="28"/>
        </w:rPr>
      </w:pPr>
      <w:r>
        <w:rPr>
          <w:rFonts w:ascii="Times New Roman" w:hAnsi="Times New Roman"/>
          <w:sz w:val="28"/>
        </w:rPr>
        <w:t>Основными целями деятельности МАУ «ИОЦ» г. Сургут являются [4]:</w:t>
      </w:r>
    </w:p>
    <w:p w14:paraId="5700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содействие развитию системы образования в городе Сургуте;</w:t>
      </w:r>
    </w:p>
    <w:p w14:paraId="5800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участие в реализации федеральных, региональных и муниципальных проектов и программ в сфере образования;</w:t>
      </w:r>
    </w:p>
    <w:p w14:paraId="5900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обеспечение информационно-организационного сопровождения образовательных учреждений, подведомственных департаменту образования Администрации города Сургута;</w:t>
      </w:r>
    </w:p>
    <w:p w14:paraId="5A00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 xml:space="preserve">выявление, поддержка и развитие способностей и талантов обучающихся с учетом их индивидуальных запросов, способностей и </w:t>
      </w:r>
      <w:r>
        <w:rPr>
          <w:rFonts w:ascii="Times New Roman" w:hAnsi="Times New Roman"/>
          <w:sz w:val="28"/>
        </w:rPr>
        <w:t>потребностей для дальнейшего профессионального самоопределения,</w:t>
      </w:r>
      <w:r>
        <w:rPr>
          <w:rFonts w:ascii="Times New Roman" w:hAnsi="Times New Roman"/>
          <w:sz w:val="28"/>
        </w:rPr>
        <w:t xml:space="preserve"> и реализации личного потенциала.</w:t>
      </w:r>
    </w:p>
    <w:p w14:paraId="5B000000">
      <w:pPr>
        <w:spacing w:after="0" w:line="360" w:lineRule="auto"/>
        <w:ind w:firstLine="709" w:left="0"/>
        <w:jc w:val="both"/>
        <w:rPr>
          <w:rFonts w:ascii="Times New Roman" w:hAnsi="Times New Roman"/>
          <w:sz w:val="28"/>
        </w:rPr>
      </w:pPr>
      <w:r>
        <w:rPr>
          <w:rFonts w:ascii="Times New Roman" w:hAnsi="Times New Roman"/>
          <w:sz w:val="28"/>
        </w:rPr>
        <w:t>Предметом деятельности учреждения является информационно-организационное сопровождение образовательных учреждений, подведомственных департаменту образования Администрации города Сургута, по проведению мероприятий, реализации проектов и программ, направленных на повышение качества общего и дополнительного образования в городе Сургуте [4].</w:t>
      </w:r>
    </w:p>
    <w:p w14:paraId="5C000000">
      <w:pPr>
        <w:spacing w:after="0" w:line="360" w:lineRule="auto"/>
        <w:ind w:firstLine="709" w:left="0"/>
        <w:jc w:val="both"/>
        <w:rPr>
          <w:rFonts w:ascii="Times New Roman" w:hAnsi="Times New Roman"/>
          <w:sz w:val="28"/>
        </w:rPr>
      </w:pPr>
      <w:r>
        <w:rPr>
          <w:rFonts w:ascii="Times New Roman" w:hAnsi="Times New Roman"/>
          <w:sz w:val="28"/>
        </w:rPr>
        <w:t>Основными видами деятельности учреждения являются [4]:</w:t>
      </w:r>
    </w:p>
    <w:p w14:paraId="5D000000">
      <w:pPr>
        <w:spacing w:after="0" w:line="360" w:lineRule="auto"/>
        <w:ind w:firstLine="709" w:left="0"/>
        <w:jc w:val="both"/>
        <w:rPr>
          <w:rFonts w:ascii="Times New Roman" w:hAnsi="Times New Roman"/>
          <w:sz w:val="28"/>
        </w:rPr>
      </w:pPr>
      <w:r>
        <w:rPr>
          <w:rFonts w:ascii="Times New Roman" w:hAnsi="Times New Roman"/>
          <w:sz w:val="28"/>
        </w:rPr>
        <w:t xml:space="preserve">А) </w:t>
      </w:r>
      <w:r>
        <w:rPr>
          <w:rFonts w:ascii="Times New Roman" w:hAnsi="Times New Roman"/>
          <w:sz w:val="28"/>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
    <w:p w14:paraId="5E000000">
      <w:pPr>
        <w:spacing w:after="0" w:line="360" w:lineRule="auto"/>
        <w:ind w:firstLine="709"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организация проведения общественно-значимых мероприятий в сфере образования;</w:t>
      </w:r>
    </w:p>
    <w:p w14:paraId="5F000000">
      <w:pPr>
        <w:spacing w:after="0" w:line="360" w:lineRule="auto"/>
        <w:ind w:firstLine="709"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организация проведения диагностических и оценочных процедур различных уровней;</w:t>
      </w:r>
    </w:p>
    <w:p w14:paraId="60000000">
      <w:pPr>
        <w:spacing w:after="0" w:line="360" w:lineRule="auto"/>
        <w:ind w:firstLine="709" w:left="0"/>
        <w:jc w:val="both"/>
        <w:rPr>
          <w:rFonts w:ascii="Times New Roman" w:hAnsi="Times New Roman"/>
          <w:sz w:val="28"/>
        </w:rPr>
      </w:pPr>
      <w:r>
        <w:rPr>
          <w:rFonts w:ascii="Times New Roman" w:hAnsi="Times New Roman"/>
          <w:sz w:val="28"/>
        </w:rPr>
        <w:t xml:space="preserve">Г) </w:t>
      </w:r>
      <w:r>
        <w:rPr>
          <w:rFonts w:ascii="Times New Roman" w:hAnsi="Times New Roman"/>
          <w:sz w:val="28"/>
        </w:rPr>
        <w:t>деятельность по информатизации образования, эффективному использованию новых информационных технологий в образовательных и управленческих процессах.</w:t>
      </w:r>
    </w:p>
    <w:p w14:paraId="61000000">
      <w:pPr>
        <w:spacing w:after="0" w:line="360" w:lineRule="auto"/>
        <w:ind w:firstLine="709" w:left="0"/>
        <w:jc w:val="both"/>
        <w:rPr>
          <w:rFonts w:ascii="Times New Roman" w:hAnsi="Times New Roman"/>
          <w:sz w:val="28"/>
        </w:rPr>
      </w:pPr>
      <w:r>
        <w:rPr>
          <w:rFonts w:ascii="Times New Roman" w:hAnsi="Times New Roman"/>
          <w:sz w:val="28"/>
        </w:rPr>
        <w:t>В учреждении действует наблюдательный совет – коллегиальный орган управления, созданный в соответствии с Федеральным законом от 03.11.2006 № 174-ФЗ «Об автономных учреждениях» [2]. В его состав входят представители учредителя, органов местного самоуправления и общественности. Срок полномочий наблюдательного совета составляет пять лет [4].</w:t>
      </w:r>
    </w:p>
    <w:p w14:paraId="62000000">
      <w:pPr>
        <w:spacing w:after="0" w:line="360" w:lineRule="auto"/>
        <w:ind w:firstLine="709" w:left="0"/>
        <w:jc w:val="both"/>
        <w:rPr>
          <w:rFonts w:ascii="Times New Roman" w:hAnsi="Times New Roman"/>
          <w:sz w:val="28"/>
        </w:rPr>
      </w:pPr>
      <w:r>
        <w:rPr>
          <w:rFonts w:ascii="Times New Roman" w:hAnsi="Times New Roman"/>
          <w:sz w:val="28"/>
        </w:rPr>
        <w:t>В структуре МАУ «ИОЦ» г. Сургут функционирует отдел информационно-технического сопровождения образовательных учреждений, который обеспечивает техническую и информационную поддержку образовательных организаций города. Именно в этом отделе проходила производственная практика.</w:t>
      </w:r>
    </w:p>
    <w:p w14:paraId="63000000">
      <w:pPr>
        <w:spacing w:after="0" w:line="360" w:lineRule="auto"/>
        <w:ind w:firstLine="709" w:left="0"/>
        <w:jc w:val="both"/>
        <w:rPr>
          <w:rFonts w:ascii="Times New Roman" w:hAnsi="Times New Roman"/>
          <w:sz w:val="28"/>
        </w:rPr>
      </w:pPr>
      <w:r>
        <w:rPr>
          <w:rFonts w:ascii="Times New Roman" w:hAnsi="Times New Roman"/>
          <w:sz w:val="28"/>
        </w:rPr>
        <w:t>Отдел создан для реализации задач по информатизации образования и эффективному использованию новых информационных технологий в образовательных и управленческих процессах [4]. Основными направлениями деятельности отдела являются:</w:t>
      </w:r>
    </w:p>
    <w:p w14:paraId="64000000">
      <w:pPr>
        <w:spacing w:after="0" w:line="360" w:lineRule="auto"/>
        <w:ind w:firstLine="709" w:left="0"/>
        <w:jc w:val="both"/>
        <w:rPr>
          <w:rFonts w:ascii="Times New Roman" w:hAnsi="Times New Roman"/>
          <w:sz w:val="28"/>
        </w:rPr>
      </w:pPr>
      <w:r>
        <w:rPr>
          <w:rFonts w:ascii="Times New Roman" w:hAnsi="Times New Roman"/>
          <w:sz w:val="28"/>
        </w:rPr>
        <w:t xml:space="preserve">а) </w:t>
      </w:r>
      <w:r>
        <w:rPr>
          <w:rFonts w:ascii="Times New Roman" w:hAnsi="Times New Roman"/>
          <w:sz w:val="28"/>
        </w:rPr>
        <w:t>информационно-техническое сопровождение муниципальных образовательных учреждений по администрированию, ведению и применению аналитических информационных систем в образовательном процессе [6];</w:t>
      </w:r>
    </w:p>
    <w:p w14:paraId="65000000">
      <w:pPr>
        <w:spacing w:after="0" w:line="360" w:lineRule="auto"/>
        <w:ind w:firstLine="709"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администрирование и ведение автоматизированных информационных систем по включению детей в систему персонифицированного дополнительного образования, ведению реестра выданных сертификатов дополнительного образования [6];</w:t>
      </w:r>
    </w:p>
    <w:p w14:paraId="66000000">
      <w:pPr>
        <w:spacing w:after="0" w:line="360" w:lineRule="auto"/>
        <w:ind w:firstLine="709"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организация мероприятий по проведению государственной итоговой аттестации обучающихся [7];</w:t>
      </w:r>
    </w:p>
    <w:p w14:paraId="67000000">
      <w:pPr>
        <w:spacing w:after="0" w:line="360" w:lineRule="auto"/>
        <w:ind w:firstLine="709" w:left="0"/>
        <w:jc w:val="both"/>
        <w:rPr>
          <w:rFonts w:ascii="Times New Roman" w:hAnsi="Times New Roman"/>
          <w:sz w:val="28"/>
        </w:rPr>
      </w:pPr>
      <w:r>
        <w:rPr>
          <w:rFonts w:ascii="Times New Roman" w:hAnsi="Times New Roman"/>
          <w:sz w:val="28"/>
        </w:rPr>
        <w:t xml:space="preserve">г) </w:t>
      </w:r>
      <w:r>
        <w:rPr>
          <w:rFonts w:ascii="Times New Roman" w:hAnsi="Times New Roman"/>
          <w:sz w:val="28"/>
        </w:rPr>
        <w:t>сопровождение (техническое) мероприятий, проводимых департаментом образования, учреждениями, подведомственными департаменту образования [7];</w:t>
      </w:r>
    </w:p>
    <w:p w14:paraId="68000000">
      <w:pPr>
        <w:spacing w:after="0" w:line="360" w:lineRule="auto"/>
        <w:ind w:firstLine="709" w:left="0"/>
        <w:jc w:val="both"/>
        <w:rPr>
          <w:rFonts w:ascii="Times New Roman" w:hAnsi="Times New Roman"/>
          <w:sz w:val="28"/>
        </w:rPr>
      </w:pPr>
      <w:r>
        <w:rPr>
          <w:rFonts w:ascii="Times New Roman" w:hAnsi="Times New Roman"/>
          <w:sz w:val="28"/>
        </w:rPr>
        <w:t xml:space="preserve">д) </w:t>
      </w:r>
      <w:r>
        <w:rPr>
          <w:rFonts w:ascii="Times New Roman" w:hAnsi="Times New Roman"/>
          <w:sz w:val="28"/>
        </w:rPr>
        <w:t>информационное и организационно-технологическое обеспечение функционирования сайтов [6].</w:t>
      </w:r>
    </w:p>
    <w:p w14:paraId="69000000">
      <w:pPr>
        <w:spacing w:after="0" w:line="360" w:lineRule="auto"/>
        <w:ind w:firstLine="709" w:left="0"/>
        <w:jc w:val="both"/>
        <w:rPr>
          <w:rFonts w:ascii="Times New Roman" w:hAnsi="Times New Roman"/>
          <w:sz w:val="28"/>
        </w:rPr>
      </w:pPr>
      <w:r>
        <w:rPr>
          <w:rFonts w:ascii="Times New Roman" w:hAnsi="Times New Roman"/>
          <w:sz w:val="28"/>
        </w:rPr>
        <w:t>В своей деятельности отдел взаимодействует с образовательными учреждениями города Сургута, департаментом образования Администрации города Сургута, а также с региональными и федеральными операторами информационных систем [12].</w:t>
      </w:r>
    </w:p>
    <w:p w14:paraId="6A000000">
      <w:pPr>
        <w:spacing w:after="0" w:line="360" w:lineRule="auto"/>
        <w:ind w:firstLine="709" w:left="0"/>
        <w:jc w:val="both"/>
        <w:rPr>
          <w:rFonts w:ascii="Times New Roman" w:hAnsi="Times New Roman"/>
          <w:sz w:val="28"/>
        </w:rPr>
      </w:pPr>
      <w:r>
        <w:rPr>
          <w:rFonts w:ascii="Times New Roman" w:hAnsi="Times New Roman"/>
          <w:sz w:val="28"/>
        </w:rPr>
        <w:t>В таблице 1 приведены основные функции отдела информационно-технического сопровождения образовательных учреждений.</w:t>
      </w:r>
    </w:p>
    <w:p w14:paraId="6B000000">
      <w:pPr>
        <w:spacing w:after="0" w:line="360" w:lineRule="auto"/>
        <w:ind/>
        <w:jc w:val="both"/>
        <w:rPr>
          <w:rFonts w:ascii="Times New Roman" w:hAnsi="Times New Roman"/>
          <w:sz w:val="28"/>
        </w:rPr>
      </w:pPr>
      <w:r>
        <w:rPr>
          <w:rFonts w:ascii="Times New Roman" w:hAnsi="Times New Roman"/>
          <w:sz w:val="28"/>
        </w:rPr>
        <w:t>Таблица 1. Основные функции отдела информационно-технического сопровождения образовательных учреждений</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482"/>
        <w:gridCol w:w="3428"/>
        <w:gridCol w:w="5457"/>
      </w:tblGrid>
      <w:tr>
        <w:trPr>
          <w:trHeight w:hRule="atLeast" w:val="240"/>
          <w:tblHeader/>
        </w:trPr>
        <w:tc>
          <w:tcPr>
            <w:tcW w:type="dxa" w:w="48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6C000000">
            <w:pPr>
              <w:spacing w:after="0" w:line="240" w:lineRule="auto"/>
              <w:ind/>
              <w:jc w:val="center"/>
              <w:rPr>
                <w:rFonts w:ascii="Times New Roman" w:hAnsi="Times New Roman"/>
                <w:b w:val="1"/>
                <w:sz w:val="24"/>
              </w:rPr>
            </w:pPr>
            <w:r>
              <w:rPr>
                <w:rFonts w:ascii="Times New Roman" w:hAnsi="Times New Roman"/>
                <w:b w:val="1"/>
                <w:sz w:val="24"/>
              </w:rPr>
              <w:t>№</w:t>
            </w:r>
          </w:p>
        </w:tc>
        <w:tc>
          <w:tcPr>
            <w:tcW w:type="dxa" w:w="3428"/>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6D000000">
            <w:pPr>
              <w:spacing w:after="0" w:line="240" w:lineRule="auto"/>
              <w:ind/>
              <w:jc w:val="center"/>
              <w:rPr>
                <w:rFonts w:ascii="Times New Roman" w:hAnsi="Times New Roman"/>
                <w:b w:val="1"/>
                <w:sz w:val="24"/>
              </w:rPr>
            </w:pPr>
            <w:r>
              <w:rPr>
                <w:rFonts w:ascii="Times New Roman" w:hAnsi="Times New Roman"/>
                <w:b w:val="1"/>
                <w:sz w:val="24"/>
              </w:rPr>
              <w:t>Направление деятельности</w:t>
            </w:r>
          </w:p>
        </w:tc>
        <w:tc>
          <w:tcPr>
            <w:tcW w:type="dxa" w:w="5457"/>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6E000000">
            <w:pPr>
              <w:spacing w:after="0" w:line="240" w:lineRule="auto"/>
              <w:ind/>
              <w:jc w:val="center"/>
              <w:rPr>
                <w:rFonts w:ascii="Times New Roman" w:hAnsi="Times New Roman"/>
                <w:b w:val="1"/>
                <w:sz w:val="24"/>
              </w:rPr>
            </w:pPr>
            <w:r>
              <w:rPr>
                <w:rFonts w:ascii="Times New Roman" w:hAnsi="Times New Roman"/>
                <w:b w:val="1"/>
                <w:sz w:val="24"/>
              </w:rPr>
              <w:t>Основные функции</w:t>
            </w:r>
          </w:p>
        </w:tc>
      </w:tr>
      <w:tr>
        <w:trPr>
          <w:trHeight w:hRule="atLeast" w:val="494"/>
        </w:trPr>
        <w:tc>
          <w:tcPr>
            <w:tcW w:type="dxa" w:w="48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6F000000">
            <w:pPr>
              <w:spacing w:after="0" w:line="240" w:lineRule="auto"/>
              <w:ind/>
              <w:jc w:val="center"/>
              <w:rPr>
                <w:rFonts w:ascii="Times New Roman" w:hAnsi="Times New Roman"/>
                <w:sz w:val="24"/>
              </w:rPr>
            </w:pPr>
            <w:r>
              <w:rPr>
                <w:rFonts w:ascii="Times New Roman" w:hAnsi="Times New Roman"/>
                <w:sz w:val="24"/>
              </w:rPr>
              <w:t>1</w:t>
            </w:r>
          </w:p>
        </w:tc>
        <w:tc>
          <w:tcPr>
            <w:tcW w:type="dxa" w:w="3428"/>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70000000">
            <w:pPr>
              <w:spacing w:after="0" w:line="240" w:lineRule="auto"/>
              <w:ind/>
              <w:rPr>
                <w:rFonts w:ascii="Times New Roman" w:hAnsi="Times New Roman"/>
                <w:sz w:val="24"/>
              </w:rPr>
            </w:pPr>
            <w:r>
              <w:rPr>
                <w:rFonts w:ascii="Times New Roman" w:hAnsi="Times New Roman"/>
                <w:sz w:val="24"/>
              </w:rPr>
              <w:t>Администрирование АИС</w:t>
            </w:r>
          </w:p>
        </w:tc>
        <w:tc>
          <w:tcPr>
            <w:tcW w:type="dxa" w:w="5457"/>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71000000">
            <w:pPr>
              <w:spacing w:after="0" w:line="240" w:lineRule="auto"/>
              <w:ind/>
              <w:rPr>
                <w:rFonts w:ascii="Times New Roman" w:hAnsi="Times New Roman"/>
                <w:sz w:val="24"/>
              </w:rPr>
            </w:pPr>
            <w:r>
              <w:rPr>
                <w:rFonts w:ascii="Times New Roman" w:hAnsi="Times New Roman"/>
                <w:sz w:val="24"/>
              </w:rPr>
              <w:t>Ведение и сопровождение ГИС «Образование Югры», АИС «Одаренные дети», АИС «ПДО»</w:t>
            </w:r>
          </w:p>
        </w:tc>
      </w:tr>
      <w:tr>
        <w:trPr>
          <w:trHeight w:hRule="atLeast" w:val="481"/>
        </w:trPr>
        <w:tc>
          <w:tcPr>
            <w:tcW w:type="dxa" w:w="48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72000000">
            <w:pPr>
              <w:spacing w:after="0" w:line="240" w:lineRule="auto"/>
              <w:ind/>
              <w:jc w:val="center"/>
              <w:rPr>
                <w:rFonts w:ascii="Times New Roman" w:hAnsi="Times New Roman"/>
                <w:sz w:val="24"/>
              </w:rPr>
            </w:pPr>
            <w:r>
              <w:rPr>
                <w:rFonts w:ascii="Times New Roman" w:hAnsi="Times New Roman"/>
                <w:sz w:val="24"/>
              </w:rPr>
              <w:t>2</w:t>
            </w:r>
          </w:p>
        </w:tc>
        <w:tc>
          <w:tcPr>
            <w:tcW w:type="dxa" w:w="3428"/>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73000000">
            <w:pPr>
              <w:spacing w:after="0" w:line="240" w:lineRule="auto"/>
              <w:ind/>
              <w:rPr>
                <w:rFonts w:ascii="Times New Roman" w:hAnsi="Times New Roman"/>
                <w:sz w:val="24"/>
              </w:rPr>
            </w:pPr>
            <w:r>
              <w:rPr>
                <w:rFonts w:ascii="Times New Roman" w:hAnsi="Times New Roman"/>
                <w:sz w:val="24"/>
              </w:rPr>
              <w:t>Техническая поддержка ОУ</w:t>
            </w:r>
          </w:p>
        </w:tc>
        <w:tc>
          <w:tcPr>
            <w:tcW w:type="dxa" w:w="5457"/>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74000000">
            <w:pPr>
              <w:spacing w:after="0" w:line="240" w:lineRule="auto"/>
              <w:ind/>
              <w:rPr>
                <w:rFonts w:ascii="Times New Roman" w:hAnsi="Times New Roman"/>
                <w:sz w:val="24"/>
              </w:rPr>
            </w:pPr>
            <w:r>
              <w:rPr>
                <w:rFonts w:ascii="Times New Roman" w:hAnsi="Times New Roman"/>
                <w:sz w:val="24"/>
              </w:rPr>
              <w:t>Консультирование и помощь в работе с информационными системами</w:t>
            </w:r>
          </w:p>
        </w:tc>
      </w:tr>
      <w:tr>
        <w:trPr>
          <w:trHeight w:hRule="atLeast" w:val="240"/>
        </w:trPr>
        <w:tc>
          <w:tcPr>
            <w:tcW w:type="dxa" w:w="48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75000000">
            <w:pPr>
              <w:spacing w:after="0" w:line="240" w:lineRule="auto"/>
              <w:ind/>
              <w:jc w:val="center"/>
              <w:rPr>
                <w:rFonts w:ascii="Times New Roman" w:hAnsi="Times New Roman"/>
                <w:sz w:val="24"/>
              </w:rPr>
            </w:pPr>
            <w:r>
              <w:rPr>
                <w:rFonts w:ascii="Times New Roman" w:hAnsi="Times New Roman"/>
                <w:sz w:val="24"/>
              </w:rPr>
              <w:t>3</w:t>
            </w:r>
          </w:p>
        </w:tc>
        <w:tc>
          <w:tcPr>
            <w:tcW w:type="dxa" w:w="3428"/>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76000000">
            <w:pPr>
              <w:spacing w:after="0" w:line="240" w:lineRule="auto"/>
              <w:ind/>
              <w:rPr>
                <w:rFonts w:ascii="Times New Roman" w:hAnsi="Times New Roman"/>
                <w:sz w:val="24"/>
              </w:rPr>
            </w:pPr>
            <w:r>
              <w:rPr>
                <w:rFonts w:ascii="Times New Roman" w:hAnsi="Times New Roman"/>
                <w:sz w:val="24"/>
              </w:rPr>
              <w:t>Организация ГИА</w:t>
            </w:r>
          </w:p>
        </w:tc>
        <w:tc>
          <w:tcPr>
            <w:tcW w:type="dxa" w:w="5457"/>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77000000">
            <w:pPr>
              <w:spacing w:after="0" w:line="240" w:lineRule="auto"/>
              <w:ind/>
              <w:rPr>
                <w:rFonts w:ascii="Times New Roman" w:hAnsi="Times New Roman"/>
                <w:sz w:val="24"/>
              </w:rPr>
            </w:pPr>
            <w:r>
              <w:rPr>
                <w:rFonts w:ascii="Times New Roman" w:hAnsi="Times New Roman"/>
                <w:sz w:val="24"/>
              </w:rPr>
              <w:t>Техническое сопровождение пунктов проведения экзаменов</w:t>
            </w:r>
          </w:p>
        </w:tc>
      </w:tr>
      <w:tr>
        <w:trPr>
          <w:trHeight w:hRule="atLeast" w:val="494"/>
        </w:trPr>
        <w:tc>
          <w:tcPr>
            <w:tcW w:type="dxa" w:w="48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78000000">
            <w:pPr>
              <w:spacing w:after="0" w:line="240" w:lineRule="auto"/>
              <w:ind/>
              <w:jc w:val="center"/>
              <w:rPr>
                <w:rFonts w:ascii="Times New Roman" w:hAnsi="Times New Roman"/>
                <w:sz w:val="24"/>
              </w:rPr>
            </w:pPr>
            <w:r>
              <w:rPr>
                <w:rFonts w:ascii="Times New Roman" w:hAnsi="Times New Roman"/>
                <w:sz w:val="24"/>
              </w:rPr>
              <w:t>4</w:t>
            </w:r>
          </w:p>
        </w:tc>
        <w:tc>
          <w:tcPr>
            <w:tcW w:type="dxa" w:w="3428"/>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79000000">
            <w:pPr>
              <w:spacing w:after="0" w:line="240" w:lineRule="auto"/>
              <w:ind/>
              <w:rPr>
                <w:rFonts w:ascii="Times New Roman" w:hAnsi="Times New Roman"/>
                <w:sz w:val="24"/>
              </w:rPr>
            </w:pPr>
            <w:r>
              <w:rPr>
                <w:rFonts w:ascii="Times New Roman" w:hAnsi="Times New Roman"/>
                <w:sz w:val="24"/>
              </w:rPr>
              <w:t>Сопровождение мероприятий</w:t>
            </w:r>
          </w:p>
        </w:tc>
        <w:tc>
          <w:tcPr>
            <w:tcW w:type="dxa" w:w="5457"/>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7A000000">
            <w:pPr>
              <w:spacing w:after="0" w:line="240" w:lineRule="auto"/>
              <w:ind/>
              <w:rPr>
                <w:rFonts w:ascii="Times New Roman" w:hAnsi="Times New Roman"/>
                <w:sz w:val="24"/>
              </w:rPr>
            </w:pPr>
            <w:r>
              <w:rPr>
                <w:rFonts w:ascii="Times New Roman" w:hAnsi="Times New Roman"/>
                <w:sz w:val="24"/>
              </w:rPr>
              <w:t>Техническое обеспечение проведения мероприятий в формате ВКС</w:t>
            </w:r>
          </w:p>
        </w:tc>
      </w:tr>
      <w:tr>
        <w:trPr>
          <w:trHeight w:hRule="atLeast" w:val="481"/>
        </w:trPr>
        <w:tc>
          <w:tcPr>
            <w:tcW w:type="dxa" w:w="48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7B000000">
            <w:pPr>
              <w:spacing w:after="0" w:line="240" w:lineRule="auto"/>
              <w:ind/>
              <w:jc w:val="center"/>
              <w:rPr>
                <w:rFonts w:ascii="Times New Roman" w:hAnsi="Times New Roman"/>
                <w:sz w:val="24"/>
              </w:rPr>
            </w:pPr>
            <w:r>
              <w:rPr>
                <w:rFonts w:ascii="Times New Roman" w:hAnsi="Times New Roman"/>
                <w:sz w:val="24"/>
              </w:rPr>
              <w:t>5</w:t>
            </w:r>
          </w:p>
        </w:tc>
        <w:tc>
          <w:tcPr>
            <w:tcW w:type="dxa" w:w="3428"/>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7C000000">
            <w:pPr>
              <w:spacing w:after="0" w:line="240" w:lineRule="auto"/>
              <w:ind/>
              <w:rPr>
                <w:rFonts w:ascii="Times New Roman" w:hAnsi="Times New Roman"/>
                <w:sz w:val="24"/>
              </w:rPr>
            </w:pPr>
            <w:r>
              <w:rPr>
                <w:rFonts w:ascii="Times New Roman" w:hAnsi="Times New Roman"/>
                <w:sz w:val="24"/>
              </w:rPr>
              <w:t>Обеспечение функционирования сайтов</w:t>
            </w:r>
          </w:p>
        </w:tc>
        <w:tc>
          <w:tcPr>
            <w:tcW w:type="dxa" w:w="5457"/>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7D000000">
            <w:pPr>
              <w:spacing w:after="0" w:line="240" w:lineRule="auto"/>
              <w:ind/>
              <w:rPr>
                <w:rFonts w:ascii="Times New Roman" w:hAnsi="Times New Roman"/>
                <w:sz w:val="24"/>
              </w:rPr>
            </w:pPr>
            <w:r>
              <w:rPr>
                <w:rFonts w:ascii="Times New Roman" w:hAnsi="Times New Roman"/>
                <w:sz w:val="24"/>
              </w:rPr>
              <w:t>Администрирование официальных сайтов и городских порталов</w:t>
            </w:r>
          </w:p>
        </w:tc>
      </w:tr>
    </w:tbl>
    <w:p w14:paraId="7E000000">
      <w:pPr>
        <w:spacing w:after="0" w:line="360" w:lineRule="auto"/>
        <w:ind w:firstLine="709" w:left="0"/>
        <w:jc w:val="both"/>
        <w:rPr>
          <w:rFonts w:ascii="Times New Roman" w:hAnsi="Times New Roman"/>
          <w:sz w:val="28"/>
        </w:rPr>
      </w:pPr>
      <w:r>
        <w:rPr>
          <w:rFonts w:ascii="Times New Roman" w:hAnsi="Times New Roman"/>
          <w:sz w:val="28"/>
        </w:rPr>
        <w:t>Отдел выполняет пять ключевых направлений деятельности, каждое из которых имеет конкретные функциональные задачи. Наибольший объем функций приходится на администрирование автоматизированных информационных систем – отдел осуществляет ведение и сопровождение ГИС «Образование Югры», АИС «Одаренные дети» и АИС «ПДО». Это свидетельствует о том, что автоматизация образовательных процессов является приоритетным направлением работы отдела.</w:t>
      </w:r>
    </w:p>
    <w:p w14:paraId="7F000000">
      <w:pPr>
        <w:spacing w:after="0" w:line="360" w:lineRule="auto"/>
        <w:ind w:firstLine="709" w:left="0"/>
        <w:jc w:val="both"/>
        <w:rPr>
          <w:rFonts w:ascii="Times New Roman" w:hAnsi="Times New Roman"/>
          <w:sz w:val="28"/>
        </w:rPr>
      </w:pPr>
      <w:r>
        <w:rPr>
          <w:rFonts w:ascii="Times New Roman" w:hAnsi="Times New Roman"/>
          <w:sz w:val="28"/>
        </w:rPr>
        <w:t>Вторым по значимости направлением является техническая поддержка образовательных учреждений, включающая консультирование и помощь в работе с информационными системами. Данная функция обеспечивает оперативное решение проблем пользователей и способствует эффективному использованию автоматизированных систем в образовательном процессе.</w:t>
      </w:r>
    </w:p>
    <w:p w14:paraId="80000000">
      <w:pPr>
        <w:spacing w:after="0" w:line="360" w:lineRule="auto"/>
        <w:ind w:firstLine="709" w:left="0"/>
        <w:jc w:val="both"/>
        <w:rPr>
          <w:rFonts w:ascii="Times New Roman" w:hAnsi="Times New Roman"/>
          <w:sz w:val="28"/>
        </w:rPr>
      </w:pPr>
      <w:r>
        <w:rPr>
          <w:rFonts w:ascii="Times New Roman" w:hAnsi="Times New Roman"/>
          <w:sz w:val="28"/>
        </w:rPr>
        <w:t>Отдел также участвует в организации государственной итоговой аттестации, обеспечивая техническое сопровождение пунктов проведения экзаменов, что подтверждает высокую ответственность и значимость отдела в проведении ГИА на муниципальном уровне.</w:t>
      </w:r>
    </w:p>
    <w:p w14:paraId="81000000">
      <w:pPr>
        <w:spacing w:after="0" w:line="360" w:lineRule="auto"/>
        <w:ind w:firstLine="709" w:left="0"/>
        <w:jc w:val="both"/>
        <w:rPr>
          <w:rFonts w:ascii="Times New Roman" w:hAnsi="Times New Roman"/>
          <w:sz w:val="28"/>
        </w:rPr>
      </w:pPr>
      <w:r>
        <w:rPr>
          <w:rFonts w:ascii="Times New Roman" w:hAnsi="Times New Roman"/>
          <w:sz w:val="28"/>
        </w:rPr>
        <w:t>Техническое обеспечение мероприятий в формате видеоконференцсвязи и администрирование официальных сайтов и городских порталов дополняют функционал отдела, обеспечивая информационную открытость и доступность образовательных услуг.</w:t>
      </w:r>
    </w:p>
    <w:p w14:paraId="82000000">
      <w:pPr>
        <w:spacing w:after="0" w:line="360" w:lineRule="auto"/>
        <w:ind w:firstLine="709" w:left="0"/>
        <w:jc w:val="both"/>
        <w:rPr>
          <w:rFonts w:ascii="Times New Roman" w:hAnsi="Times New Roman"/>
          <w:sz w:val="28"/>
        </w:rPr>
      </w:pPr>
      <w:r>
        <w:rPr>
          <w:rFonts w:ascii="Times New Roman" w:hAnsi="Times New Roman"/>
          <w:sz w:val="28"/>
        </w:rPr>
        <w:t>Таким образом, функции отдела охватывают все ключевые аспекты информационно-технического сопровождения образовательных учреждений города Сургута, что позволяет обеспечить непрерывность и качество образовательных процессов на муниципальном уровне.</w:t>
      </w:r>
    </w:p>
    <w:p w14:paraId="83000000">
      <w:bookmarkStart w:id="4" w:name="__RefHeading___3"/>
      <w:bookmarkEnd w:id="4"/>
      <w:pPr>
        <w:pStyle w:val="Style_5"/>
        <w:spacing w:before="0" w:line="360" w:lineRule="auto"/>
        <w:ind w:firstLine="709" w:left="0"/>
        <w:rPr>
          <w:rFonts w:ascii="Times New Roman" w:hAnsi="Times New Roman"/>
          <w:b w:val="1"/>
          <w:color w:themeColor="text1" w:val="000000"/>
          <w:sz w:val="28"/>
        </w:rPr>
      </w:pPr>
      <w:r>
        <w:rPr>
          <w:rFonts w:ascii="Times New Roman" w:hAnsi="Times New Roman"/>
          <w:b w:val="1"/>
          <w:color w:themeColor="text1" w:val="000000"/>
          <w:sz w:val="28"/>
        </w:rPr>
        <w:t xml:space="preserve">2. </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Автоматизация бизнес-процессов в МАУ «ИОЦ» </w:t>
      </w:r>
      <w:r>
        <w:rPr>
          <w:rFonts w:ascii="Times New Roman" w:hAnsi="Times New Roman"/>
          <w:b w:val="1"/>
          <w:color w:themeColor="text1" w:val="000000"/>
          <w:sz w:val="28"/>
        </w:rPr>
        <w:t>г.Сургут</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p>
    <w:p w14:paraId="84000000">
      <w:pPr>
        <w:spacing w:after="0" w:line="360" w:lineRule="auto"/>
        <w:ind w:firstLine="709" w:left="0"/>
        <w:jc w:val="both"/>
        <w:rPr>
          <w:rFonts w:ascii="Times New Roman" w:hAnsi="Times New Roman"/>
          <w:sz w:val="28"/>
        </w:rPr>
      </w:pPr>
      <w:r>
        <w:rPr>
          <w:rFonts w:ascii="Times New Roman" w:hAnsi="Times New Roman"/>
          <w:sz w:val="28"/>
        </w:rPr>
        <w:t>В своей деятельности МАУ «ИОЦ» г. Сургут использует ряд автоматизированных информационных систем для обеспечения образовательных процессов. Ключевыми системами являются:</w:t>
      </w:r>
    </w:p>
    <w:p w14:paraId="8500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ГИС «Образование Югры» — государственная информационная система Ханты-Мансийского автономного округа – Югры, включающая подсистему «Электронный журнал» для ведения учета успеваемости и посещаемости обучающихся [12].</w:t>
      </w:r>
    </w:p>
    <w:p w14:paraId="8600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АИС «Одаренные дети» — автоматизированная информационная система для учета достижений обучающихся в олимпиадах, конкурсах, соревнованиях и иных мероприятиях различных уровней [8].</w:t>
      </w:r>
    </w:p>
    <w:p w14:paraId="8700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АИС «ПДО» — автоматизированная информационная система персонифицированного дополнительного образования для учета выданных сертификатов дополнительного образования и управления программами дополнительного образования [13].</w:t>
      </w:r>
    </w:p>
    <w:p w14:paraId="8800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ФГИС «Моя школа» — федеральная государственная информационная система для обеспечения доступа к образовательным ресурсам [12].</w:t>
      </w:r>
    </w:p>
    <w:p w14:paraId="89000000">
      <w:pPr>
        <w:spacing w:after="0" w:line="36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ИКОП «</w:t>
      </w:r>
      <w:r>
        <w:rPr>
          <w:rFonts w:ascii="Times New Roman" w:hAnsi="Times New Roman"/>
          <w:sz w:val="28"/>
        </w:rPr>
        <w:t>Сферум</w:t>
      </w:r>
      <w:r>
        <w:rPr>
          <w:rFonts w:ascii="Times New Roman" w:hAnsi="Times New Roman"/>
          <w:sz w:val="28"/>
        </w:rPr>
        <w:t>» — информационно-коммуникационная образовательная платформа для взаимодействия участников образовательных отношений [12].</w:t>
      </w:r>
    </w:p>
    <w:p w14:paraId="8A000000">
      <w:pPr>
        <w:spacing w:after="0" w:line="360" w:lineRule="auto"/>
        <w:ind w:firstLine="709" w:left="0"/>
        <w:jc w:val="both"/>
        <w:rPr>
          <w:rFonts w:ascii="Times New Roman" w:hAnsi="Times New Roman"/>
          <w:sz w:val="28"/>
        </w:rPr>
      </w:pPr>
      <w:r>
        <w:rPr>
          <w:rFonts w:ascii="Times New Roman" w:hAnsi="Times New Roman"/>
          <w:sz w:val="28"/>
        </w:rPr>
        <w:t>На рисунке 2 изображена схема взаимодействия автоматизированных информационных систем в МАУ «ИОЦ» г. Сургут.</w:t>
      </w:r>
    </w:p>
    <w:p w14:paraId="8B000000">
      <w:pPr>
        <w:spacing w:after="0" w:line="360" w:lineRule="auto"/>
        <w:ind/>
        <w:jc w:val="both"/>
        <w:rPr>
          <w:rFonts w:ascii="Times New Roman" w:hAnsi="Times New Roman"/>
          <w:sz w:val="28"/>
        </w:rPr>
      </w:pPr>
      <w:r>
        <w:rPr>
          <w:rFonts w:ascii="Times New Roman" w:hAnsi="Times New Roman"/>
          <w:sz w:val="28"/>
        </w:rPr>
        <w:drawing>
          <wp:inline>
            <wp:extent cx="5932967" cy="4455795"/>
            <wp:effectExtent b="0" l="0" r="0" t="0"/>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5932967" cy="4455795"/>
                    </a:xfrm>
                    <a:prstGeom prst="rect"/>
                  </pic:spPr>
                </pic:pic>
              </a:graphicData>
            </a:graphic>
          </wp:inline>
        </w:drawing>
      </w:r>
    </w:p>
    <w:p w14:paraId="8C000000">
      <w:pPr>
        <w:spacing w:after="0" w:line="360" w:lineRule="auto"/>
        <w:ind w:firstLine="709" w:left="0"/>
        <w:jc w:val="center"/>
        <w:rPr>
          <w:rFonts w:ascii="Times New Roman" w:hAnsi="Times New Roman"/>
          <w:sz w:val="28"/>
        </w:rPr>
      </w:pPr>
      <w:r>
        <w:rPr>
          <w:rFonts w:ascii="Times New Roman" w:hAnsi="Times New Roman"/>
          <w:sz w:val="28"/>
        </w:rPr>
        <w:t>Рисунок 2 — Схема взаимодействия автоматизированных информационных систем МАУ «ИОЦ» г. Сургут</w:t>
      </w:r>
    </w:p>
    <w:p w14:paraId="8D000000">
      <w:pPr>
        <w:spacing w:after="0" w:line="360" w:lineRule="auto"/>
        <w:ind w:firstLine="709" w:left="0"/>
        <w:jc w:val="both"/>
        <w:rPr>
          <w:rFonts w:ascii="Times New Roman" w:hAnsi="Times New Roman"/>
          <w:sz w:val="28"/>
        </w:rPr>
      </w:pPr>
      <w:r>
        <w:rPr>
          <w:rFonts w:ascii="Times New Roman" w:hAnsi="Times New Roman"/>
          <w:sz w:val="28"/>
        </w:rPr>
        <w:t>Взаимодействие автоматизированных систем в МАУ «ИОЦ» г. Сургут организовано по принципу централизованного управления данными. МАУ «ИОЦ» выступает в роли координатора и администратора систем. Каждая система ориентирована на определенную группу пользователей и решает конкретные задачи.</w:t>
      </w:r>
    </w:p>
    <w:p w14:paraId="8E000000">
      <w:pPr>
        <w:spacing w:after="0" w:line="360" w:lineRule="auto"/>
        <w:ind w:firstLine="709" w:left="0"/>
        <w:jc w:val="both"/>
        <w:rPr>
          <w:rFonts w:ascii="Times New Roman" w:hAnsi="Times New Roman"/>
          <w:sz w:val="28"/>
        </w:rPr>
      </w:pPr>
      <w:r>
        <w:rPr>
          <w:rFonts w:ascii="Times New Roman" w:hAnsi="Times New Roman"/>
          <w:sz w:val="28"/>
        </w:rPr>
        <w:t>В таблице 2 представлена характеристика основных автоматизированных систем, используемых в МАУ «ИОЦ» г. Сургут.</w:t>
      </w:r>
    </w:p>
    <w:p w14:paraId="8F000000">
      <w:pPr>
        <w:spacing w:after="0" w:line="360" w:lineRule="auto"/>
        <w:ind/>
        <w:jc w:val="both"/>
        <w:rPr>
          <w:rFonts w:ascii="Times New Roman" w:hAnsi="Times New Roman"/>
          <w:sz w:val="28"/>
        </w:rPr>
      </w:pPr>
      <w:r>
        <w:rPr>
          <w:rFonts w:ascii="Times New Roman" w:hAnsi="Times New Roman"/>
          <w:sz w:val="28"/>
        </w:rPr>
        <w:t>Таблица 2. Характеристика автоматизированных информационных систем МАУ «ИОЦ» г. Сургут</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036"/>
        <w:gridCol w:w="2846"/>
        <w:gridCol w:w="2469"/>
        <w:gridCol w:w="1993"/>
      </w:tblGrid>
      <w:tr>
        <w:trPr>
          <w:tblHeader/>
        </w:trPr>
        <w:tc>
          <w:tcPr>
            <w:tcW w:type="dxa" w:w="2036"/>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90000000">
            <w:pPr>
              <w:spacing w:after="0" w:line="240" w:lineRule="auto"/>
              <w:ind/>
              <w:jc w:val="center"/>
              <w:rPr>
                <w:rFonts w:ascii="Times New Roman" w:hAnsi="Times New Roman"/>
                <w:b w:val="1"/>
                <w:sz w:val="24"/>
              </w:rPr>
            </w:pPr>
            <w:r>
              <w:rPr>
                <w:rFonts w:ascii="Times New Roman" w:hAnsi="Times New Roman"/>
                <w:b w:val="1"/>
                <w:sz w:val="24"/>
              </w:rPr>
              <w:t>Наименование системы</w:t>
            </w:r>
          </w:p>
        </w:tc>
        <w:tc>
          <w:tcPr>
            <w:tcW w:type="dxa" w:w="284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1000000">
            <w:pPr>
              <w:spacing w:after="0" w:line="240" w:lineRule="auto"/>
              <w:ind/>
              <w:jc w:val="center"/>
              <w:rPr>
                <w:rFonts w:ascii="Times New Roman" w:hAnsi="Times New Roman"/>
                <w:b w:val="1"/>
                <w:sz w:val="24"/>
              </w:rPr>
            </w:pPr>
            <w:r>
              <w:rPr>
                <w:rFonts w:ascii="Times New Roman" w:hAnsi="Times New Roman"/>
                <w:b w:val="1"/>
                <w:sz w:val="24"/>
              </w:rPr>
              <w:t>Назначение</w:t>
            </w:r>
          </w:p>
        </w:tc>
        <w:tc>
          <w:tcPr>
            <w:tcW w:type="dxa" w:w="2469"/>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2000000">
            <w:pPr>
              <w:spacing w:after="0" w:line="240" w:lineRule="auto"/>
              <w:ind/>
              <w:jc w:val="center"/>
              <w:rPr>
                <w:rFonts w:ascii="Times New Roman" w:hAnsi="Times New Roman"/>
                <w:b w:val="1"/>
                <w:sz w:val="24"/>
              </w:rPr>
            </w:pPr>
            <w:r>
              <w:rPr>
                <w:rFonts w:ascii="Times New Roman" w:hAnsi="Times New Roman"/>
                <w:b w:val="1"/>
                <w:sz w:val="24"/>
              </w:rPr>
              <w:t>Основные пользователи</w:t>
            </w:r>
          </w:p>
        </w:tc>
        <w:tc>
          <w:tcPr>
            <w:tcW w:type="dxa" w:w="1993"/>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3000000">
            <w:pPr>
              <w:spacing w:after="0" w:line="240" w:lineRule="auto"/>
              <w:ind/>
              <w:jc w:val="center"/>
              <w:rPr>
                <w:rFonts w:ascii="Times New Roman" w:hAnsi="Times New Roman"/>
                <w:b w:val="1"/>
                <w:sz w:val="24"/>
              </w:rPr>
            </w:pPr>
            <w:r>
              <w:rPr>
                <w:rFonts w:ascii="Times New Roman" w:hAnsi="Times New Roman"/>
                <w:b w:val="1"/>
                <w:sz w:val="24"/>
              </w:rPr>
              <w:t>Уровень системы</w:t>
            </w:r>
          </w:p>
        </w:tc>
      </w:tr>
      <w:tr>
        <w:tc>
          <w:tcPr>
            <w:tcW w:type="dxa" w:w="2036"/>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94000000">
            <w:pPr>
              <w:spacing w:after="0" w:line="240" w:lineRule="auto"/>
              <w:ind/>
              <w:rPr>
                <w:rFonts w:ascii="Times New Roman" w:hAnsi="Times New Roman"/>
                <w:sz w:val="24"/>
              </w:rPr>
            </w:pPr>
            <w:r>
              <w:rPr>
                <w:rFonts w:ascii="Times New Roman" w:hAnsi="Times New Roman"/>
                <w:sz w:val="24"/>
              </w:rPr>
              <w:t>ГИС «Образование Югры» (Электронный журнал)</w:t>
            </w:r>
          </w:p>
        </w:tc>
        <w:tc>
          <w:tcPr>
            <w:tcW w:type="dxa" w:w="284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5000000">
            <w:pPr>
              <w:spacing w:after="0" w:line="240" w:lineRule="auto"/>
              <w:ind/>
              <w:rPr>
                <w:rFonts w:ascii="Times New Roman" w:hAnsi="Times New Roman"/>
                <w:sz w:val="24"/>
              </w:rPr>
            </w:pPr>
            <w:r>
              <w:rPr>
                <w:rFonts w:ascii="Times New Roman" w:hAnsi="Times New Roman"/>
                <w:sz w:val="24"/>
              </w:rPr>
              <w:t>Ведение учета успеваемости и посещаемости, электронные дневники</w:t>
            </w:r>
          </w:p>
        </w:tc>
        <w:tc>
          <w:tcPr>
            <w:tcW w:type="dxa" w:w="2469"/>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6000000">
            <w:pPr>
              <w:spacing w:after="0" w:line="240" w:lineRule="auto"/>
              <w:ind/>
              <w:rPr>
                <w:rFonts w:ascii="Times New Roman" w:hAnsi="Times New Roman"/>
                <w:sz w:val="24"/>
              </w:rPr>
            </w:pPr>
            <w:r>
              <w:rPr>
                <w:rFonts w:ascii="Times New Roman" w:hAnsi="Times New Roman"/>
                <w:sz w:val="24"/>
              </w:rPr>
              <w:t>Педагоги, родители, обучающиеся, администраторы ОУ</w:t>
            </w:r>
          </w:p>
        </w:tc>
        <w:tc>
          <w:tcPr>
            <w:tcW w:type="dxa" w:w="1993"/>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97000000">
            <w:pPr>
              <w:spacing w:after="0" w:line="240" w:lineRule="auto"/>
              <w:ind/>
              <w:rPr>
                <w:rFonts w:ascii="Times New Roman" w:hAnsi="Times New Roman"/>
                <w:sz w:val="24"/>
              </w:rPr>
            </w:pPr>
            <w:r>
              <w:rPr>
                <w:rFonts w:ascii="Times New Roman" w:hAnsi="Times New Roman"/>
                <w:sz w:val="24"/>
              </w:rPr>
              <w:t>Региональный</w:t>
            </w:r>
          </w:p>
        </w:tc>
      </w:tr>
      <w:tr>
        <w:tc>
          <w:tcPr>
            <w:tcW w:type="dxa" w:w="2036"/>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98000000">
            <w:pPr>
              <w:spacing w:after="0" w:line="240" w:lineRule="auto"/>
              <w:ind/>
              <w:rPr>
                <w:rFonts w:ascii="Times New Roman" w:hAnsi="Times New Roman"/>
                <w:sz w:val="24"/>
              </w:rPr>
            </w:pPr>
            <w:r>
              <w:rPr>
                <w:rFonts w:ascii="Times New Roman" w:hAnsi="Times New Roman"/>
                <w:sz w:val="24"/>
              </w:rPr>
              <w:t>АИС «Одаренные дети»</w:t>
            </w:r>
          </w:p>
        </w:tc>
        <w:tc>
          <w:tcPr>
            <w:tcW w:type="dxa" w:w="284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9000000">
            <w:pPr>
              <w:spacing w:after="0" w:line="240" w:lineRule="auto"/>
              <w:ind/>
              <w:rPr>
                <w:rFonts w:ascii="Times New Roman" w:hAnsi="Times New Roman"/>
                <w:sz w:val="24"/>
              </w:rPr>
            </w:pPr>
            <w:r>
              <w:rPr>
                <w:rFonts w:ascii="Times New Roman" w:hAnsi="Times New Roman"/>
                <w:sz w:val="24"/>
              </w:rPr>
              <w:t>Учет достижений обучающихся в конкурсах, олимпиадах и соревнованиях</w:t>
            </w:r>
          </w:p>
        </w:tc>
        <w:tc>
          <w:tcPr>
            <w:tcW w:type="dxa" w:w="2469"/>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A000000">
            <w:pPr>
              <w:spacing w:after="0" w:line="240" w:lineRule="auto"/>
              <w:ind/>
              <w:rPr>
                <w:rFonts w:ascii="Times New Roman" w:hAnsi="Times New Roman"/>
                <w:sz w:val="24"/>
              </w:rPr>
            </w:pPr>
            <w:r>
              <w:rPr>
                <w:rFonts w:ascii="Times New Roman" w:hAnsi="Times New Roman"/>
                <w:sz w:val="24"/>
              </w:rPr>
              <w:t>Администраторы ОУ, сотрудники МАУ «ИОЦ»</w:t>
            </w:r>
          </w:p>
        </w:tc>
        <w:tc>
          <w:tcPr>
            <w:tcW w:type="dxa" w:w="1993"/>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9B000000">
            <w:pPr>
              <w:spacing w:after="0" w:line="240" w:lineRule="auto"/>
              <w:ind/>
              <w:rPr>
                <w:rFonts w:ascii="Times New Roman" w:hAnsi="Times New Roman"/>
                <w:sz w:val="24"/>
              </w:rPr>
            </w:pPr>
            <w:r>
              <w:rPr>
                <w:rFonts w:ascii="Times New Roman" w:hAnsi="Times New Roman"/>
                <w:sz w:val="24"/>
              </w:rPr>
              <w:t>Муниципальный</w:t>
            </w:r>
          </w:p>
        </w:tc>
      </w:tr>
      <w:tr>
        <w:tc>
          <w:tcPr>
            <w:tcW w:type="dxa" w:w="2036"/>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9C000000">
            <w:pPr>
              <w:spacing w:after="0" w:line="240" w:lineRule="auto"/>
              <w:ind/>
              <w:rPr>
                <w:rFonts w:ascii="Times New Roman" w:hAnsi="Times New Roman"/>
                <w:sz w:val="24"/>
              </w:rPr>
            </w:pPr>
            <w:r>
              <w:rPr>
                <w:rFonts w:ascii="Times New Roman" w:hAnsi="Times New Roman"/>
                <w:sz w:val="24"/>
              </w:rPr>
              <w:t>АИС «ПДО»</w:t>
            </w:r>
          </w:p>
        </w:tc>
        <w:tc>
          <w:tcPr>
            <w:tcW w:type="dxa" w:w="284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D000000">
            <w:pPr>
              <w:spacing w:after="0" w:line="240" w:lineRule="auto"/>
              <w:ind/>
              <w:rPr>
                <w:rFonts w:ascii="Times New Roman" w:hAnsi="Times New Roman"/>
                <w:sz w:val="24"/>
              </w:rPr>
            </w:pPr>
            <w:r>
              <w:rPr>
                <w:rFonts w:ascii="Times New Roman" w:hAnsi="Times New Roman"/>
                <w:sz w:val="24"/>
              </w:rPr>
              <w:t>Управление сертификатами дополнительного образования, учет программ ДОД</w:t>
            </w:r>
          </w:p>
        </w:tc>
        <w:tc>
          <w:tcPr>
            <w:tcW w:type="dxa" w:w="2469"/>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9E000000">
            <w:pPr>
              <w:spacing w:after="0" w:line="240" w:lineRule="auto"/>
              <w:ind/>
              <w:rPr>
                <w:rFonts w:ascii="Times New Roman" w:hAnsi="Times New Roman"/>
                <w:sz w:val="24"/>
              </w:rPr>
            </w:pPr>
            <w:r>
              <w:rPr>
                <w:rFonts w:ascii="Times New Roman" w:hAnsi="Times New Roman"/>
                <w:sz w:val="24"/>
              </w:rPr>
              <w:t>Родители, поставщики услуг, администраторы</w:t>
            </w:r>
          </w:p>
        </w:tc>
        <w:tc>
          <w:tcPr>
            <w:tcW w:type="dxa" w:w="1993"/>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9F000000">
            <w:pPr>
              <w:spacing w:after="0" w:line="240" w:lineRule="auto"/>
              <w:ind/>
              <w:rPr>
                <w:rFonts w:ascii="Times New Roman" w:hAnsi="Times New Roman"/>
                <w:sz w:val="24"/>
              </w:rPr>
            </w:pPr>
            <w:r>
              <w:rPr>
                <w:rFonts w:ascii="Times New Roman" w:hAnsi="Times New Roman"/>
                <w:sz w:val="24"/>
              </w:rPr>
              <w:t>Муниципальный</w:t>
            </w:r>
          </w:p>
        </w:tc>
      </w:tr>
      <w:tr>
        <w:tc>
          <w:tcPr>
            <w:tcW w:type="dxa" w:w="2036"/>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A0000000">
            <w:pPr>
              <w:spacing w:after="0" w:line="240" w:lineRule="auto"/>
              <w:ind/>
              <w:rPr>
                <w:rFonts w:ascii="Times New Roman" w:hAnsi="Times New Roman"/>
                <w:sz w:val="24"/>
              </w:rPr>
            </w:pPr>
            <w:r>
              <w:rPr>
                <w:rFonts w:ascii="Times New Roman" w:hAnsi="Times New Roman"/>
                <w:sz w:val="24"/>
              </w:rPr>
              <w:t>ФГИС «Моя школа»</w:t>
            </w:r>
          </w:p>
        </w:tc>
        <w:tc>
          <w:tcPr>
            <w:tcW w:type="dxa" w:w="284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A1000000">
            <w:pPr>
              <w:spacing w:after="0" w:line="240" w:lineRule="auto"/>
              <w:ind/>
              <w:rPr>
                <w:rFonts w:ascii="Times New Roman" w:hAnsi="Times New Roman"/>
                <w:sz w:val="24"/>
              </w:rPr>
            </w:pPr>
            <w:r>
              <w:rPr>
                <w:rFonts w:ascii="Times New Roman" w:hAnsi="Times New Roman"/>
                <w:sz w:val="24"/>
              </w:rPr>
              <w:t>Доступ к верифицированным образовательным ресурсам</w:t>
            </w:r>
          </w:p>
        </w:tc>
        <w:tc>
          <w:tcPr>
            <w:tcW w:type="dxa" w:w="2469"/>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A2000000">
            <w:pPr>
              <w:spacing w:after="0" w:line="240" w:lineRule="auto"/>
              <w:ind/>
              <w:rPr>
                <w:rFonts w:ascii="Times New Roman" w:hAnsi="Times New Roman"/>
                <w:sz w:val="24"/>
              </w:rPr>
            </w:pPr>
            <w:r>
              <w:rPr>
                <w:rFonts w:ascii="Times New Roman" w:hAnsi="Times New Roman"/>
                <w:sz w:val="24"/>
              </w:rPr>
              <w:t>Педагоги, обучающиеся</w:t>
            </w:r>
          </w:p>
        </w:tc>
        <w:tc>
          <w:tcPr>
            <w:tcW w:type="dxa" w:w="1993"/>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A3000000">
            <w:pPr>
              <w:spacing w:after="0" w:line="240" w:lineRule="auto"/>
              <w:ind/>
              <w:rPr>
                <w:rFonts w:ascii="Times New Roman" w:hAnsi="Times New Roman"/>
                <w:sz w:val="24"/>
              </w:rPr>
            </w:pPr>
            <w:r>
              <w:rPr>
                <w:rFonts w:ascii="Times New Roman" w:hAnsi="Times New Roman"/>
                <w:sz w:val="24"/>
              </w:rPr>
              <w:t>Федеральный</w:t>
            </w:r>
          </w:p>
        </w:tc>
      </w:tr>
      <w:tr>
        <w:tc>
          <w:tcPr>
            <w:tcW w:type="dxa" w:w="2036"/>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A4000000">
            <w:pPr>
              <w:spacing w:after="0" w:line="240" w:lineRule="auto"/>
              <w:ind/>
              <w:rPr>
                <w:rFonts w:ascii="Times New Roman" w:hAnsi="Times New Roman"/>
                <w:sz w:val="24"/>
              </w:rPr>
            </w:pPr>
            <w:r>
              <w:rPr>
                <w:rFonts w:ascii="Times New Roman" w:hAnsi="Times New Roman"/>
                <w:sz w:val="24"/>
              </w:rPr>
              <w:t>ИКОП «</w:t>
            </w:r>
            <w:r>
              <w:rPr>
                <w:rFonts w:ascii="Times New Roman" w:hAnsi="Times New Roman"/>
                <w:sz w:val="24"/>
              </w:rPr>
              <w:t>Сферум</w:t>
            </w:r>
            <w:r>
              <w:rPr>
                <w:rFonts w:ascii="Times New Roman" w:hAnsi="Times New Roman"/>
                <w:sz w:val="24"/>
              </w:rPr>
              <w:t>»</w:t>
            </w:r>
          </w:p>
        </w:tc>
        <w:tc>
          <w:tcPr>
            <w:tcW w:type="dxa" w:w="284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A5000000">
            <w:pPr>
              <w:spacing w:after="0" w:line="240" w:lineRule="auto"/>
              <w:ind/>
              <w:rPr>
                <w:rFonts w:ascii="Times New Roman" w:hAnsi="Times New Roman"/>
                <w:sz w:val="24"/>
              </w:rPr>
            </w:pPr>
            <w:r>
              <w:rPr>
                <w:rFonts w:ascii="Times New Roman" w:hAnsi="Times New Roman"/>
                <w:sz w:val="24"/>
              </w:rPr>
              <w:t>Коммуникация участников образовательного процесса</w:t>
            </w:r>
          </w:p>
        </w:tc>
        <w:tc>
          <w:tcPr>
            <w:tcW w:type="dxa" w:w="2469"/>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A6000000">
            <w:pPr>
              <w:spacing w:after="0" w:line="240" w:lineRule="auto"/>
              <w:ind/>
              <w:rPr>
                <w:rFonts w:ascii="Times New Roman" w:hAnsi="Times New Roman"/>
                <w:sz w:val="24"/>
              </w:rPr>
            </w:pPr>
            <w:r>
              <w:rPr>
                <w:rFonts w:ascii="Times New Roman" w:hAnsi="Times New Roman"/>
                <w:sz w:val="24"/>
              </w:rPr>
              <w:t>Педагоги, родители, обучающиеся</w:t>
            </w:r>
          </w:p>
        </w:tc>
        <w:tc>
          <w:tcPr>
            <w:tcW w:type="dxa" w:w="1993"/>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A7000000">
            <w:pPr>
              <w:spacing w:after="0" w:line="240" w:lineRule="auto"/>
              <w:ind/>
              <w:rPr>
                <w:rFonts w:ascii="Times New Roman" w:hAnsi="Times New Roman"/>
                <w:sz w:val="24"/>
              </w:rPr>
            </w:pPr>
            <w:r>
              <w:rPr>
                <w:rFonts w:ascii="Times New Roman" w:hAnsi="Times New Roman"/>
                <w:sz w:val="24"/>
              </w:rPr>
              <w:t>Федеральный</w:t>
            </w:r>
          </w:p>
        </w:tc>
      </w:tr>
    </w:tbl>
    <w:p w14:paraId="A8000000">
      <w:pPr>
        <w:spacing w:after="0" w:line="360" w:lineRule="auto"/>
        <w:ind w:firstLine="709" w:left="0"/>
        <w:jc w:val="both"/>
        <w:rPr>
          <w:rFonts w:ascii="Times New Roman" w:hAnsi="Times New Roman"/>
          <w:sz w:val="28"/>
        </w:rPr>
      </w:pPr>
      <w:r>
        <w:rPr>
          <w:rFonts w:ascii="Times New Roman" w:hAnsi="Times New Roman"/>
          <w:sz w:val="28"/>
        </w:rPr>
        <w:t xml:space="preserve">Согласно </w:t>
      </w:r>
      <w:r>
        <w:rPr>
          <w:rFonts w:ascii="Times New Roman" w:hAnsi="Times New Roman"/>
          <w:sz w:val="28"/>
        </w:rPr>
        <w:t>данны</w:t>
      </w:r>
      <w:r>
        <w:rPr>
          <w:rFonts w:ascii="Times New Roman" w:hAnsi="Times New Roman"/>
          <w:sz w:val="28"/>
        </w:rPr>
        <w:t>м</w:t>
      </w:r>
      <w:r>
        <w:rPr>
          <w:rFonts w:ascii="Times New Roman" w:hAnsi="Times New Roman"/>
          <w:sz w:val="28"/>
        </w:rPr>
        <w:t xml:space="preserve"> представленных в таблице 2, </w:t>
      </w:r>
      <w:r>
        <w:rPr>
          <w:rFonts w:ascii="Times New Roman" w:hAnsi="Times New Roman"/>
          <w:sz w:val="28"/>
        </w:rPr>
        <w:t>можем</w:t>
      </w:r>
      <w:r>
        <w:rPr>
          <w:rFonts w:ascii="Times New Roman" w:hAnsi="Times New Roman"/>
          <w:sz w:val="28"/>
        </w:rPr>
        <w:t xml:space="preserve"> сделать следующие выводы.</w:t>
      </w:r>
    </w:p>
    <w:p w14:paraId="A9000000">
      <w:pPr>
        <w:spacing w:after="0" w:line="360" w:lineRule="auto"/>
        <w:ind w:firstLine="709" w:left="0"/>
        <w:jc w:val="both"/>
        <w:rPr>
          <w:rFonts w:ascii="Times New Roman" w:hAnsi="Times New Roman"/>
          <w:sz w:val="28"/>
        </w:rPr>
      </w:pPr>
      <w:r>
        <w:rPr>
          <w:rFonts w:ascii="Times New Roman" w:hAnsi="Times New Roman"/>
          <w:sz w:val="28"/>
        </w:rPr>
        <w:t>В МАУ «ИОЦ» г. Сургут используется пять основных автоматизированных информационных систем, которые охватывают все ключевые направления образовательной деятельности: учет успеваемости, поддержку талантливых детей, управление дополнительным образованием, доступ к образовательным ресурсам и коммуникацию участников образовательного процесса. Каждая система имеет четкое целевое назначение и ориентирована на конкретные категории пользователей.</w:t>
      </w:r>
    </w:p>
    <w:p w14:paraId="AA000000">
      <w:pPr>
        <w:spacing w:after="0" w:line="360" w:lineRule="auto"/>
        <w:ind w:firstLine="709" w:left="0"/>
        <w:jc w:val="both"/>
        <w:rPr>
          <w:rFonts w:ascii="Times New Roman" w:hAnsi="Times New Roman"/>
          <w:sz w:val="28"/>
        </w:rPr>
      </w:pPr>
      <w:r>
        <w:rPr>
          <w:rFonts w:ascii="Times New Roman" w:hAnsi="Times New Roman"/>
          <w:sz w:val="28"/>
        </w:rPr>
        <w:t>Системы распределены по трем уровням: федеральному (ФГИС «Моя школа», ИКОП «</w:t>
      </w:r>
      <w:r>
        <w:rPr>
          <w:rFonts w:ascii="Times New Roman" w:hAnsi="Times New Roman"/>
          <w:sz w:val="28"/>
        </w:rPr>
        <w:t>Сферум</w:t>
      </w:r>
      <w:r>
        <w:rPr>
          <w:rFonts w:ascii="Times New Roman" w:hAnsi="Times New Roman"/>
          <w:sz w:val="28"/>
        </w:rPr>
        <w:t>»), региональному (ГИС «Образование Югры») и муниципальному (АИС «Одаренные дети», АИС «ПДО»). Такое распределение позволяет учреждению эффективно взаимодействовать с образовательными системами разных уровней и обеспечивать выполнение требований как федерального, так и регионального законодательства.</w:t>
      </w:r>
    </w:p>
    <w:p w14:paraId="AB000000">
      <w:pPr>
        <w:spacing w:after="0" w:line="360" w:lineRule="auto"/>
        <w:ind w:firstLine="709" w:left="0"/>
        <w:jc w:val="both"/>
        <w:rPr>
          <w:rFonts w:ascii="Times New Roman" w:hAnsi="Times New Roman"/>
          <w:sz w:val="28"/>
        </w:rPr>
      </w:pPr>
      <w:r>
        <w:rPr>
          <w:rFonts w:ascii="Times New Roman" w:hAnsi="Times New Roman"/>
          <w:sz w:val="28"/>
        </w:rPr>
        <w:t>Наибольшее количество пользователей охватывают системы федерального и регионального уровня – ГИС «Образование Югры», ФГИС «Моя школа» и ИКОП «</w:t>
      </w:r>
      <w:r>
        <w:rPr>
          <w:rFonts w:ascii="Times New Roman" w:hAnsi="Times New Roman"/>
          <w:sz w:val="28"/>
        </w:rPr>
        <w:t>Сферум</w:t>
      </w:r>
      <w:r>
        <w:rPr>
          <w:rFonts w:ascii="Times New Roman" w:hAnsi="Times New Roman"/>
          <w:sz w:val="28"/>
        </w:rPr>
        <w:t>», что обусловлено их применением во всех образовательных учреждениях города Сургута. Муниципальные системы – АИС «Одаренные дети» и АИС «ПДО» – решают специфические задачи на уровне города и используются ограниченным кругом пользователей (администраторы ОУ, сотрудники МАУ «ИОЦ», родители).</w:t>
      </w:r>
    </w:p>
    <w:p w14:paraId="AC000000">
      <w:pPr>
        <w:spacing w:after="0" w:line="360" w:lineRule="auto"/>
        <w:ind w:firstLine="709" w:left="0"/>
        <w:jc w:val="both"/>
        <w:rPr>
          <w:rFonts w:ascii="Times New Roman" w:hAnsi="Times New Roman"/>
          <w:sz w:val="28"/>
        </w:rPr>
      </w:pPr>
      <w:r>
        <w:rPr>
          <w:rFonts w:ascii="Times New Roman" w:hAnsi="Times New Roman"/>
          <w:sz w:val="28"/>
        </w:rPr>
        <w:t>Таким образом, комплексное использование автоматизированных систем позволяет МАУ «ИОЦ» г. Сургут обеспечивать полный цикл информационно-организационного сопровождения образовательных учреждений – от учета успеваемости до поддержки талантливых детей и управления дополнительным образованием.</w:t>
      </w:r>
    </w:p>
    <w:p w14:paraId="AD000000">
      <w:bookmarkStart w:id="5" w:name="__RefHeading___4"/>
      <w:bookmarkEnd w:id="5"/>
      <w:pPr>
        <w:keepNext w:val="1"/>
        <w:keepLines w:val="1"/>
        <w:spacing w:after="0" w:line="360" w:lineRule="auto"/>
        <w:ind w:firstLine="709" w:left="0"/>
        <w:jc w:val="both"/>
        <w:outlineLvl w:val="0"/>
        <w:rPr>
          <w:rFonts w:ascii="Times New Roman" w:hAnsi="Times New Roman"/>
          <w:b w:val="1"/>
          <w:color w:themeColor="text1" w:val="000000"/>
          <w:sz w:val="28"/>
        </w:rPr>
      </w:pPr>
      <w:r>
        <w:rPr>
          <w:rFonts w:ascii="Times New Roman" w:hAnsi="Times New Roman"/>
          <w:b w:val="1"/>
          <w:color w:themeColor="text1" w:val="000000"/>
          <w:sz w:val="28"/>
        </w:rPr>
        <w:t>3</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r>
        <w:rPr>
          <w:rFonts w:ascii="Times New Roman" w:hAnsi="Times New Roman"/>
          <w:b w:val="1"/>
          <w:color w:themeColor="text1" w:val="000000"/>
          <w:sz w:val="28"/>
        </w:rPr>
        <w:t>Автоматизация процесса учета достижений, обучающихся АИС «Одаренные дети»</w:t>
      </w:r>
      <w:r>
        <w:rPr>
          <w:rFonts w:ascii="Times New Roman" w:hAnsi="Times New Roman"/>
          <w:b w:val="1"/>
          <w:color w:themeColor="text1" w:val="000000"/>
          <w:sz w:val="28"/>
        </w:rPr>
        <w:t xml:space="preserve"> </w:t>
      </w:r>
    </w:p>
    <w:p w14:paraId="AE000000">
      <w:pPr>
        <w:spacing w:after="0" w:line="360" w:lineRule="auto"/>
        <w:ind w:firstLine="709" w:left="0"/>
        <w:jc w:val="both"/>
        <w:rPr>
          <w:rFonts w:ascii="Times New Roman" w:hAnsi="Times New Roman"/>
          <w:sz w:val="28"/>
        </w:rPr>
      </w:pPr>
      <w:r>
        <w:rPr>
          <w:rFonts w:ascii="Times New Roman" w:hAnsi="Times New Roman"/>
          <w:sz w:val="28"/>
        </w:rPr>
        <w:t xml:space="preserve">Одним из приоритетных направлений деятельности МАУ «ИОЦ» г. Сургут является выявление, поддержка и развитие способностей и </w:t>
      </w:r>
      <w:r>
        <w:rPr>
          <w:rFonts w:ascii="Times New Roman" w:hAnsi="Times New Roman"/>
          <w:sz w:val="28"/>
        </w:rPr>
        <w:t>талантов,</w:t>
      </w:r>
      <w:r>
        <w:rPr>
          <w:rFonts w:ascii="Times New Roman" w:hAnsi="Times New Roman"/>
          <w:sz w:val="28"/>
        </w:rPr>
        <w:t xml:space="preserve"> обучающихся [4]. Для систематизации этой работы и эффективного управления данными о достижениях учащихся внедрена автоматизированная информационная система «Одаренные дети» (АИС «Одаренные дети») [8].</w:t>
      </w:r>
    </w:p>
    <w:p w14:paraId="AF000000">
      <w:pPr>
        <w:spacing w:after="0" w:line="360" w:lineRule="auto"/>
        <w:ind w:firstLine="709" w:left="0"/>
        <w:jc w:val="both"/>
        <w:rPr>
          <w:rFonts w:ascii="Times New Roman" w:hAnsi="Times New Roman"/>
          <w:sz w:val="28"/>
        </w:rPr>
      </w:pPr>
      <w:r>
        <w:rPr>
          <w:rFonts w:ascii="Times New Roman" w:hAnsi="Times New Roman"/>
          <w:sz w:val="28"/>
        </w:rPr>
        <w:t xml:space="preserve">До внедрения АИС «Одаренные дети» информация о победах и </w:t>
      </w:r>
      <w:r>
        <w:rPr>
          <w:rFonts w:ascii="Times New Roman" w:hAnsi="Times New Roman"/>
          <w:sz w:val="28"/>
        </w:rPr>
        <w:t>призовых местах,</w:t>
      </w:r>
      <w:r>
        <w:rPr>
          <w:rFonts w:ascii="Times New Roman" w:hAnsi="Times New Roman"/>
          <w:sz w:val="28"/>
        </w:rPr>
        <w:t xml:space="preserve"> учащихся на олимпиадах, конкурсах и соревнованиях различных уровней собиралась и обрабатывалась вручную. Данный процесс являлся трудоемким, поскольку был связан со сбором бумажных отчетов из образовательных учреждений, их последующей проверкой и сводом в общие статистические таблицы. При таком подходе существовал высокий риск возникновения ошибок, потери данных и несвоевременного обновления информации.</w:t>
      </w:r>
    </w:p>
    <w:p w14:paraId="B0000000">
      <w:pPr>
        <w:spacing w:after="0" w:line="360" w:lineRule="auto"/>
        <w:ind w:firstLine="709" w:left="0"/>
        <w:jc w:val="both"/>
        <w:rPr>
          <w:rFonts w:ascii="Times New Roman" w:hAnsi="Times New Roman"/>
          <w:sz w:val="28"/>
        </w:rPr>
      </w:pPr>
      <w:r>
        <w:rPr>
          <w:rFonts w:ascii="Times New Roman" w:hAnsi="Times New Roman"/>
          <w:sz w:val="28"/>
        </w:rPr>
        <w:t>Внедрение АИС «Одаренные дети» позволило автоматизировать данный процесс. Система представляет собой централизованную базу данных, которая содержит сведения о достижениях детей города в различных сферах [8]. Автоматизированный процесс учета достижений организован следующим образом:</w:t>
      </w:r>
    </w:p>
    <w:p w14:paraId="B100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Образовательные учреждения вносят информацию о достижениях своих учащихся в систему.</w:t>
      </w:r>
    </w:p>
    <w:p w14:paraId="B200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Данные консолидируются в едином защищенном ресурсе, что исключает их дублирование и потерю. Доступ к системе, содержащей персональные данные, защищен в соответствии с требованиями Федерального закона от 27.07.2006 № 152-ФЗ «О персональных данных» [3].</w:t>
      </w:r>
    </w:p>
    <w:p w14:paraId="B300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Сотрудники МАУ «ИОЦ» г. Сургут и департамента образования оперативно формируют аналитические отчеты для оценки эффективности работы с одаренными детьми, планирования мероприятий и подготовки статистических сборников [7].</w:t>
      </w:r>
    </w:p>
    <w:p w14:paraId="B4000000">
      <w:pPr>
        <w:spacing w:after="0" w:line="360" w:lineRule="auto"/>
        <w:ind w:firstLine="709" w:left="0"/>
        <w:jc w:val="both"/>
        <w:rPr>
          <w:rFonts w:ascii="Times New Roman" w:hAnsi="Times New Roman"/>
          <w:sz w:val="28"/>
        </w:rPr>
      </w:pPr>
      <w:r>
        <w:rPr>
          <w:rFonts w:ascii="Times New Roman" w:hAnsi="Times New Roman"/>
          <w:sz w:val="28"/>
        </w:rPr>
        <w:t>На рисунке 3 представлена схема автоматизированного процесса учета достижений обучающихся.</w:t>
      </w:r>
    </w:p>
    <w:p w14:paraId="B5000000">
      <w:pPr>
        <w:spacing w:after="0" w:line="360" w:lineRule="auto"/>
        <w:ind w:firstLine="709" w:left="0"/>
        <w:jc w:val="center"/>
        <w:rPr>
          <w:rFonts w:ascii="Times New Roman" w:hAnsi="Times New Roman"/>
          <w:sz w:val="28"/>
        </w:rPr>
      </w:pPr>
      <w:r>
        <w:rPr>
          <w:rFonts w:ascii="Times New Roman" w:hAnsi="Times New Roman"/>
          <w:sz w:val="28"/>
        </w:rPr>
        <w:drawing>
          <wp:inline>
            <wp:extent cx="5627370" cy="3724909"/>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5627370" cy="3724909"/>
                    </a:xfrm>
                    <a:prstGeom prst="rect"/>
                  </pic:spPr>
                </pic:pic>
              </a:graphicData>
            </a:graphic>
          </wp:inline>
        </w:drawing>
      </w:r>
    </w:p>
    <w:p w14:paraId="B6000000">
      <w:pPr>
        <w:spacing w:after="0" w:line="360" w:lineRule="auto"/>
        <w:ind w:firstLine="709" w:left="0"/>
        <w:jc w:val="center"/>
        <w:rPr>
          <w:rFonts w:ascii="Times New Roman" w:hAnsi="Times New Roman"/>
          <w:sz w:val="28"/>
        </w:rPr>
      </w:pPr>
      <w:r>
        <w:rPr>
          <w:rFonts w:ascii="Times New Roman" w:hAnsi="Times New Roman"/>
          <w:sz w:val="28"/>
        </w:rPr>
        <w:t>Рисунок 3</w:t>
      </w:r>
      <w:r>
        <w:rPr>
          <w:rFonts w:ascii="Times New Roman" w:hAnsi="Times New Roman"/>
          <w:sz w:val="28"/>
        </w:rPr>
        <w:t xml:space="preserve"> - </w:t>
      </w:r>
      <w:r>
        <w:rPr>
          <w:rFonts w:ascii="Times New Roman" w:hAnsi="Times New Roman"/>
          <w:sz w:val="28"/>
        </w:rPr>
        <w:t xml:space="preserve"> Схема автоматизированного процесса учета достижений обучающихся</w:t>
      </w:r>
    </w:p>
    <w:p w14:paraId="B7000000">
      <w:pPr>
        <w:spacing w:after="0" w:line="360" w:lineRule="auto"/>
        <w:ind w:firstLine="709" w:left="0"/>
        <w:jc w:val="both"/>
        <w:rPr>
          <w:rFonts w:ascii="Times New Roman" w:hAnsi="Times New Roman"/>
          <w:sz w:val="28"/>
        </w:rPr>
      </w:pPr>
      <w:r>
        <w:rPr>
          <w:rFonts w:ascii="Times New Roman" w:hAnsi="Times New Roman"/>
          <w:sz w:val="28"/>
        </w:rPr>
        <w:t xml:space="preserve">Автоматизация процесса учета </w:t>
      </w:r>
      <w:r>
        <w:rPr>
          <w:rFonts w:ascii="Times New Roman" w:hAnsi="Times New Roman"/>
          <w:sz w:val="28"/>
        </w:rPr>
        <w:t>достижений,</w:t>
      </w:r>
      <w:r>
        <w:rPr>
          <w:rFonts w:ascii="Times New Roman" w:hAnsi="Times New Roman"/>
          <w:sz w:val="28"/>
        </w:rPr>
        <w:t xml:space="preserve"> обучающихся позволила перейти от ручного сбора разрозненных данных к централизованному автоматизированному учету. Информация вносится один раз, хранится в единой базе данных и может быть использована для формирования отчетов любого уровня.</w:t>
      </w:r>
    </w:p>
    <w:p w14:paraId="B8000000">
      <w:pPr>
        <w:spacing w:after="0" w:line="360" w:lineRule="auto"/>
        <w:ind w:firstLine="709" w:left="0"/>
        <w:jc w:val="both"/>
        <w:rPr>
          <w:rFonts w:ascii="Times New Roman" w:hAnsi="Times New Roman"/>
          <w:sz w:val="28"/>
        </w:rPr>
      </w:pPr>
      <w:r>
        <w:rPr>
          <w:rFonts w:ascii="Times New Roman" w:hAnsi="Times New Roman"/>
          <w:sz w:val="28"/>
        </w:rPr>
        <w:t>В результате автоматизации данного процесса значительно повысилась скорость и качество обработки информации, обеспечена прозрачность и объективность статистики, а также создана надежная основа для принятия управленческих решений в сфере поддержки талантливых детей.</w:t>
      </w:r>
    </w:p>
    <w:p w14:paraId="B9000000">
      <w:pPr>
        <w:spacing w:after="0" w:line="360" w:lineRule="auto"/>
        <w:ind w:firstLine="709" w:left="0"/>
        <w:jc w:val="both"/>
        <w:rPr>
          <w:rFonts w:ascii="Times New Roman" w:hAnsi="Times New Roman"/>
          <w:sz w:val="28"/>
        </w:rPr>
      </w:pPr>
      <w:r>
        <w:rPr>
          <w:rFonts w:ascii="Times New Roman" w:hAnsi="Times New Roman"/>
          <w:sz w:val="28"/>
        </w:rPr>
        <w:t xml:space="preserve">В таблице 3 приведены показатели </w:t>
      </w:r>
      <w:r>
        <w:rPr>
          <w:rFonts w:ascii="Times New Roman" w:hAnsi="Times New Roman"/>
          <w:sz w:val="28"/>
        </w:rPr>
        <w:t xml:space="preserve">эффективности </w:t>
      </w:r>
      <w:r>
        <w:rPr>
          <w:rFonts w:ascii="Times New Roman" w:hAnsi="Times New Roman"/>
          <w:sz w:val="28"/>
        </w:rPr>
        <w:t>автоматизации процесса учета достижений.</w:t>
      </w:r>
    </w:p>
    <w:p w14:paraId="BA000000">
      <w:pPr>
        <w:spacing w:after="0" w:line="360" w:lineRule="auto"/>
        <w:ind/>
        <w:jc w:val="both"/>
        <w:rPr>
          <w:rFonts w:ascii="Times New Roman" w:hAnsi="Times New Roman"/>
          <w:sz w:val="28"/>
        </w:rPr>
      </w:pPr>
      <w:r>
        <w:rPr>
          <w:rFonts w:ascii="Times New Roman" w:hAnsi="Times New Roman"/>
          <w:sz w:val="28"/>
        </w:rPr>
        <w:t>Таблица 3. Ключевые показатели автоматизации процесса учета достижений</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3972"/>
        <w:gridCol w:w="2511"/>
        <w:gridCol w:w="2884"/>
      </w:tblGrid>
      <w:tr>
        <w:trPr>
          <w:trHeight w:hRule="atLeast" w:val="213"/>
          <w:tblHeader/>
        </w:trPr>
        <w:tc>
          <w:tcPr>
            <w:tcW w:type="dxa" w:w="397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BB000000">
            <w:pPr>
              <w:spacing w:after="0" w:line="240" w:lineRule="auto"/>
              <w:ind/>
              <w:jc w:val="center"/>
              <w:rPr>
                <w:rFonts w:ascii="Times New Roman" w:hAnsi="Times New Roman"/>
                <w:b w:val="1"/>
                <w:sz w:val="24"/>
              </w:rPr>
            </w:pPr>
            <w:r>
              <w:rPr>
                <w:rFonts w:ascii="Times New Roman" w:hAnsi="Times New Roman"/>
                <w:b w:val="1"/>
                <w:sz w:val="24"/>
              </w:rPr>
              <w:t>Показатель</w:t>
            </w:r>
          </w:p>
        </w:tc>
        <w:tc>
          <w:tcPr>
            <w:tcW w:type="dxa" w:w="2511"/>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BC000000">
            <w:pPr>
              <w:spacing w:after="0" w:line="240" w:lineRule="auto"/>
              <w:ind/>
              <w:jc w:val="center"/>
              <w:rPr>
                <w:rFonts w:ascii="Times New Roman" w:hAnsi="Times New Roman"/>
                <w:b w:val="1"/>
                <w:sz w:val="24"/>
              </w:rPr>
            </w:pPr>
            <w:r>
              <w:rPr>
                <w:rFonts w:ascii="Times New Roman" w:hAnsi="Times New Roman"/>
                <w:b w:val="1"/>
                <w:sz w:val="24"/>
              </w:rPr>
              <w:t>До автоматизации</w:t>
            </w:r>
          </w:p>
        </w:tc>
        <w:tc>
          <w:tcPr>
            <w:tcW w:type="dxa" w:w="2884"/>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BD000000">
            <w:pPr>
              <w:spacing w:after="0" w:line="240" w:lineRule="auto"/>
              <w:ind/>
              <w:jc w:val="center"/>
              <w:rPr>
                <w:rFonts w:ascii="Times New Roman" w:hAnsi="Times New Roman"/>
                <w:b w:val="1"/>
                <w:sz w:val="24"/>
              </w:rPr>
            </w:pPr>
            <w:r>
              <w:rPr>
                <w:rFonts w:ascii="Times New Roman" w:hAnsi="Times New Roman"/>
                <w:b w:val="1"/>
                <w:sz w:val="24"/>
              </w:rPr>
              <w:t>После автоматизации</w:t>
            </w:r>
          </w:p>
        </w:tc>
      </w:tr>
      <w:tr>
        <w:trPr>
          <w:trHeight w:hRule="atLeast" w:val="213"/>
        </w:trPr>
        <w:tc>
          <w:tcPr>
            <w:tcW w:type="dxa" w:w="397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BE000000">
            <w:pPr>
              <w:spacing w:after="0" w:line="240" w:lineRule="auto"/>
              <w:ind/>
              <w:rPr>
                <w:rFonts w:ascii="Times New Roman" w:hAnsi="Times New Roman"/>
                <w:sz w:val="24"/>
              </w:rPr>
            </w:pPr>
            <w:r>
              <w:rPr>
                <w:rFonts w:ascii="Times New Roman" w:hAnsi="Times New Roman"/>
                <w:sz w:val="24"/>
              </w:rPr>
              <w:t>Время сбора данных с ОУ</w:t>
            </w:r>
          </w:p>
        </w:tc>
        <w:tc>
          <w:tcPr>
            <w:tcW w:type="dxa" w:w="2511"/>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BF000000">
            <w:pPr>
              <w:spacing w:after="0" w:line="240" w:lineRule="auto"/>
              <w:ind/>
              <w:rPr>
                <w:rFonts w:ascii="Times New Roman" w:hAnsi="Times New Roman"/>
                <w:sz w:val="24"/>
              </w:rPr>
            </w:pPr>
            <w:r>
              <w:rPr>
                <w:rFonts w:ascii="Times New Roman" w:hAnsi="Times New Roman"/>
                <w:sz w:val="24"/>
              </w:rPr>
              <w:t>7–10 дней</w:t>
            </w:r>
          </w:p>
        </w:tc>
        <w:tc>
          <w:tcPr>
            <w:tcW w:type="dxa" w:w="2884"/>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C0000000">
            <w:pPr>
              <w:spacing w:after="0" w:line="240" w:lineRule="auto"/>
              <w:ind/>
              <w:rPr>
                <w:rFonts w:ascii="Times New Roman" w:hAnsi="Times New Roman"/>
                <w:sz w:val="24"/>
              </w:rPr>
            </w:pPr>
            <w:r>
              <w:rPr>
                <w:rFonts w:ascii="Times New Roman" w:hAnsi="Times New Roman"/>
                <w:sz w:val="24"/>
              </w:rPr>
              <w:t>1–2 дня</w:t>
            </w:r>
          </w:p>
        </w:tc>
      </w:tr>
      <w:tr>
        <w:trPr>
          <w:trHeight w:hRule="atLeast" w:val="213"/>
        </w:trPr>
        <w:tc>
          <w:tcPr>
            <w:tcW w:type="dxa" w:w="397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C1000000">
            <w:pPr>
              <w:spacing w:after="0" w:line="240" w:lineRule="auto"/>
              <w:ind/>
              <w:rPr>
                <w:rFonts w:ascii="Times New Roman" w:hAnsi="Times New Roman"/>
                <w:sz w:val="24"/>
              </w:rPr>
            </w:pPr>
            <w:r>
              <w:rPr>
                <w:rFonts w:ascii="Times New Roman" w:hAnsi="Times New Roman"/>
                <w:sz w:val="24"/>
              </w:rPr>
              <w:t>Ошибки при вводе данных</w:t>
            </w:r>
          </w:p>
        </w:tc>
        <w:tc>
          <w:tcPr>
            <w:tcW w:type="dxa" w:w="2511"/>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C2000000">
            <w:pPr>
              <w:spacing w:after="0" w:line="240" w:lineRule="auto"/>
              <w:ind/>
              <w:rPr>
                <w:rFonts w:ascii="Times New Roman" w:hAnsi="Times New Roman"/>
                <w:sz w:val="24"/>
              </w:rPr>
            </w:pPr>
            <w:r>
              <w:rPr>
                <w:rFonts w:ascii="Times New Roman" w:hAnsi="Times New Roman"/>
                <w:sz w:val="24"/>
              </w:rPr>
              <w:t>Высокий риск</w:t>
            </w:r>
          </w:p>
        </w:tc>
        <w:tc>
          <w:tcPr>
            <w:tcW w:type="dxa" w:w="2884"/>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C3000000">
            <w:pPr>
              <w:spacing w:after="0" w:line="240" w:lineRule="auto"/>
              <w:ind/>
              <w:rPr>
                <w:rFonts w:ascii="Times New Roman" w:hAnsi="Times New Roman"/>
                <w:sz w:val="24"/>
              </w:rPr>
            </w:pPr>
            <w:r>
              <w:rPr>
                <w:rFonts w:ascii="Times New Roman" w:hAnsi="Times New Roman"/>
                <w:sz w:val="24"/>
              </w:rPr>
              <w:t>Минимальный</w:t>
            </w:r>
          </w:p>
        </w:tc>
      </w:tr>
      <w:tr>
        <w:trPr>
          <w:trHeight w:hRule="atLeast" w:val="213"/>
        </w:trPr>
        <w:tc>
          <w:tcPr>
            <w:tcW w:type="dxa" w:w="397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C4000000">
            <w:pPr>
              <w:spacing w:after="0" w:line="240" w:lineRule="auto"/>
              <w:ind/>
              <w:rPr>
                <w:rFonts w:ascii="Times New Roman" w:hAnsi="Times New Roman"/>
                <w:sz w:val="24"/>
              </w:rPr>
            </w:pPr>
            <w:r>
              <w:rPr>
                <w:rFonts w:ascii="Times New Roman" w:hAnsi="Times New Roman"/>
                <w:sz w:val="24"/>
              </w:rPr>
              <w:t>Возможность оперативного анализа</w:t>
            </w:r>
          </w:p>
        </w:tc>
        <w:tc>
          <w:tcPr>
            <w:tcW w:type="dxa" w:w="2511"/>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C5000000">
            <w:pPr>
              <w:spacing w:after="0" w:line="240" w:lineRule="auto"/>
              <w:ind/>
              <w:rPr>
                <w:rFonts w:ascii="Times New Roman" w:hAnsi="Times New Roman"/>
                <w:sz w:val="24"/>
              </w:rPr>
            </w:pPr>
            <w:r>
              <w:rPr>
                <w:rFonts w:ascii="Times New Roman" w:hAnsi="Times New Roman"/>
                <w:sz w:val="24"/>
              </w:rPr>
              <w:t>Отсутствует</w:t>
            </w:r>
          </w:p>
        </w:tc>
        <w:tc>
          <w:tcPr>
            <w:tcW w:type="dxa" w:w="2884"/>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C6000000">
            <w:pPr>
              <w:spacing w:after="0" w:line="240" w:lineRule="auto"/>
              <w:ind/>
              <w:rPr>
                <w:rFonts w:ascii="Times New Roman" w:hAnsi="Times New Roman"/>
                <w:sz w:val="24"/>
              </w:rPr>
            </w:pPr>
            <w:r>
              <w:rPr>
                <w:rFonts w:ascii="Times New Roman" w:hAnsi="Times New Roman"/>
                <w:sz w:val="24"/>
              </w:rPr>
              <w:t>Присутствует</w:t>
            </w:r>
          </w:p>
        </w:tc>
      </w:tr>
      <w:tr>
        <w:trPr>
          <w:trHeight w:hRule="atLeast" w:val="213"/>
        </w:trPr>
        <w:tc>
          <w:tcPr>
            <w:tcW w:type="dxa" w:w="397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C7000000">
            <w:pPr>
              <w:spacing w:after="0" w:line="240" w:lineRule="auto"/>
              <w:ind/>
              <w:rPr>
                <w:rFonts w:ascii="Times New Roman" w:hAnsi="Times New Roman"/>
                <w:sz w:val="24"/>
              </w:rPr>
            </w:pPr>
            <w:r>
              <w:rPr>
                <w:rFonts w:ascii="Times New Roman" w:hAnsi="Times New Roman"/>
                <w:sz w:val="24"/>
              </w:rPr>
              <w:t>Централизованное хранение</w:t>
            </w:r>
          </w:p>
        </w:tc>
        <w:tc>
          <w:tcPr>
            <w:tcW w:type="dxa" w:w="2511"/>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C8000000">
            <w:pPr>
              <w:spacing w:after="0" w:line="240" w:lineRule="auto"/>
              <w:ind/>
              <w:rPr>
                <w:rFonts w:ascii="Times New Roman" w:hAnsi="Times New Roman"/>
                <w:sz w:val="24"/>
              </w:rPr>
            </w:pPr>
            <w:r>
              <w:rPr>
                <w:rFonts w:ascii="Times New Roman" w:hAnsi="Times New Roman"/>
                <w:sz w:val="24"/>
              </w:rPr>
              <w:t>Отсутствует</w:t>
            </w:r>
          </w:p>
        </w:tc>
        <w:tc>
          <w:tcPr>
            <w:tcW w:type="dxa" w:w="2884"/>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C9000000">
            <w:pPr>
              <w:spacing w:after="0" w:line="240" w:lineRule="auto"/>
              <w:ind/>
              <w:rPr>
                <w:rFonts w:ascii="Times New Roman" w:hAnsi="Times New Roman"/>
                <w:sz w:val="24"/>
              </w:rPr>
            </w:pPr>
            <w:r>
              <w:rPr>
                <w:rFonts w:ascii="Times New Roman" w:hAnsi="Times New Roman"/>
                <w:sz w:val="24"/>
              </w:rPr>
              <w:t>Присутствует</w:t>
            </w:r>
          </w:p>
        </w:tc>
      </w:tr>
      <w:tr>
        <w:trPr>
          <w:trHeight w:hRule="atLeast" w:val="213"/>
        </w:trPr>
        <w:tc>
          <w:tcPr>
            <w:tcW w:type="dxa" w:w="397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CA000000">
            <w:pPr>
              <w:spacing w:after="0" w:line="240" w:lineRule="auto"/>
              <w:ind/>
              <w:rPr>
                <w:rFonts w:ascii="Times New Roman" w:hAnsi="Times New Roman"/>
                <w:sz w:val="24"/>
              </w:rPr>
            </w:pPr>
            <w:r>
              <w:rPr>
                <w:rFonts w:ascii="Times New Roman" w:hAnsi="Times New Roman"/>
                <w:sz w:val="24"/>
              </w:rPr>
              <w:t>Актуальность данных</w:t>
            </w:r>
          </w:p>
        </w:tc>
        <w:tc>
          <w:tcPr>
            <w:tcW w:type="dxa" w:w="2511"/>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CB000000">
            <w:pPr>
              <w:spacing w:after="0" w:line="240" w:lineRule="auto"/>
              <w:ind/>
              <w:rPr>
                <w:rFonts w:ascii="Times New Roman" w:hAnsi="Times New Roman"/>
                <w:sz w:val="24"/>
              </w:rPr>
            </w:pPr>
            <w:r>
              <w:rPr>
                <w:rFonts w:ascii="Times New Roman" w:hAnsi="Times New Roman"/>
                <w:sz w:val="24"/>
              </w:rPr>
              <w:t>Низкая</w:t>
            </w:r>
          </w:p>
        </w:tc>
        <w:tc>
          <w:tcPr>
            <w:tcW w:type="dxa" w:w="2884"/>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CC000000">
            <w:pPr>
              <w:spacing w:after="0" w:line="240" w:lineRule="auto"/>
              <w:ind/>
              <w:rPr>
                <w:rFonts w:ascii="Times New Roman" w:hAnsi="Times New Roman"/>
                <w:sz w:val="24"/>
              </w:rPr>
            </w:pPr>
            <w:r>
              <w:rPr>
                <w:rFonts w:ascii="Times New Roman" w:hAnsi="Times New Roman"/>
                <w:sz w:val="24"/>
              </w:rPr>
              <w:t>Высокая</w:t>
            </w:r>
          </w:p>
        </w:tc>
      </w:tr>
    </w:tbl>
    <w:p w14:paraId="CD000000">
      <w:pPr>
        <w:spacing w:after="0" w:line="360" w:lineRule="auto"/>
        <w:ind w:firstLine="709" w:left="0"/>
        <w:jc w:val="both"/>
        <w:rPr>
          <w:rFonts w:ascii="Times New Roman" w:hAnsi="Times New Roman"/>
          <w:sz w:val="28"/>
        </w:rPr>
      </w:pPr>
      <w:r>
        <w:rPr>
          <w:rFonts w:ascii="Times New Roman" w:hAnsi="Times New Roman"/>
          <w:sz w:val="28"/>
        </w:rPr>
        <w:t xml:space="preserve">Как видно из таблицы, автоматизация процесса учета </w:t>
      </w:r>
      <w:r>
        <w:rPr>
          <w:rFonts w:ascii="Times New Roman" w:hAnsi="Times New Roman"/>
          <w:sz w:val="28"/>
        </w:rPr>
        <w:t>достижений,</w:t>
      </w:r>
      <w:r>
        <w:rPr>
          <w:rFonts w:ascii="Times New Roman" w:hAnsi="Times New Roman"/>
          <w:sz w:val="28"/>
        </w:rPr>
        <w:t xml:space="preserve"> обучающихся привела к значительному сокращению временных затрат на сбор данных с образовательных учреждений. Если до внедрения системы на сбор информации требовалось от 7 до 10 дней, то после автоматизации данный процесс занимает не более 1–2 дней. Это свидетельствует о существенном повышении оперативности работы.</w:t>
      </w:r>
    </w:p>
    <w:p w14:paraId="CE000000">
      <w:pPr>
        <w:spacing w:after="0" w:line="360" w:lineRule="auto"/>
        <w:ind w:firstLine="709" w:left="0"/>
        <w:jc w:val="both"/>
        <w:rPr>
          <w:rFonts w:ascii="Times New Roman" w:hAnsi="Times New Roman"/>
          <w:sz w:val="28"/>
        </w:rPr>
      </w:pPr>
      <w:r>
        <w:rPr>
          <w:rFonts w:ascii="Times New Roman" w:hAnsi="Times New Roman"/>
          <w:sz w:val="28"/>
        </w:rPr>
        <w:t>Кроме того, внедрение АИС «Одаренные дети» позволило минимизировать риск ошибок при вводе данных. Ручной обработке информации, выполняемой с использованием бумажных носителей, был свойственен высокий риск возникновения ошибок, потери данных и их искажения. Автоматизированная система обеспечивает проверку корректности ввода и исключает дублирование записей.</w:t>
      </w:r>
    </w:p>
    <w:p w14:paraId="CF000000">
      <w:pPr>
        <w:spacing w:after="0" w:line="360" w:lineRule="auto"/>
        <w:ind w:firstLine="709" w:left="0"/>
        <w:jc w:val="both"/>
        <w:rPr>
          <w:rFonts w:ascii="Times New Roman" w:hAnsi="Times New Roman"/>
          <w:sz w:val="28"/>
        </w:rPr>
      </w:pPr>
      <w:r>
        <w:rPr>
          <w:rFonts w:ascii="Times New Roman" w:hAnsi="Times New Roman"/>
          <w:sz w:val="28"/>
        </w:rPr>
        <w:t>До автоматизации возможность оперативного анализа данных отсутствовала, поскольку информация была разрознена по отчетам различных образовательных учреждений. После внедрения системы анализ данных стал доступен в режиме реального времени, что позволяет своевременно выявлять наиболее результативных обучающихся и образовательные учреждения, а также планировать мероприятия по поддержке талантливых детей.</w:t>
      </w:r>
    </w:p>
    <w:p w14:paraId="D0000000">
      <w:pPr>
        <w:spacing w:after="0" w:line="360" w:lineRule="auto"/>
        <w:ind w:firstLine="709" w:left="0"/>
        <w:jc w:val="both"/>
        <w:rPr>
          <w:rFonts w:ascii="Times New Roman" w:hAnsi="Times New Roman"/>
          <w:sz w:val="28"/>
        </w:rPr>
      </w:pPr>
      <w:r>
        <w:rPr>
          <w:rFonts w:ascii="Times New Roman" w:hAnsi="Times New Roman"/>
          <w:sz w:val="28"/>
        </w:rPr>
        <w:t>Внедрение централизованного хранения данных обеспечило надежное и защищенное хранение информации о достижениях обучающихся, соответствующее требованиям Федерального закона от 27.07.2006 № 152-ФЗ «О персональных данных» [3]. Актуальность данных повысилась, так как информация обновляется в режиме реального времени по мере внесения сведений образовательными учреждениями.</w:t>
      </w:r>
    </w:p>
    <w:p w14:paraId="D1000000">
      <w:pPr>
        <w:spacing w:after="0" w:line="360" w:lineRule="auto"/>
        <w:ind w:firstLine="709" w:left="0"/>
        <w:jc w:val="both"/>
        <w:rPr>
          <w:rFonts w:ascii="Times New Roman" w:hAnsi="Times New Roman"/>
          <w:sz w:val="28"/>
        </w:rPr>
      </w:pPr>
      <w:r>
        <w:rPr>
          <w:rFonts w:ascii="Times New Roman" w:hAnsi="Times New Roman"/>
          <w:sz w:val="28"/>
        </w:rPr>
        <w:t>Таким образом, таблица 3 наглядно демонстрирует положительную динамику всех ключевых показателей эффективности автоматизации процесса учета достижений обучающихся, что подтверждает целесообразность внедрения и дальнейшего развития АИС «Одаренные дети» в деятельности МАУ «ИОЦ» г. Сургут.</w:t>
      </w:r>
    </w:p>
    <w:p w14:paraId="D2000000">
      <w:bookmarkStart w:id="6" w:name="__RefHeading___5"/>
      <w:bookmarkEnd w:id="6"/>
      <w:pPr>
        <w:keepNext w:val="1"/>
        <w:keepLines w:val="1"/>
        <w:spacing w:after="0" w:line="360" w:lineRule="auto"/>
        <w:ind w:firstLine="709" w:left="0"/>
        <w:outlineLvl w:val="0"/>
        <w:rPr>
          <w:rFonts w:ascii="Times New Roman" w:hAnsi="Times New Roman"/>
          <w:b w:val="1"/>
          <w:color w:themeColor="text1" w:val="000000"/>
          <w:sz w:val="28"/>
        </w:rPr>
      </w:pPr>
      <w:r>
        <w:rPr>
          <w:rFonts w:ascii="Times New Roman" w:hAnsi="Times New Roman"/>
          <w:b w:val="1"/>
          <w:color w:themeColor="text1" w:val="000000"/>
          <w:sz w:val="28"/>
        </w:rPr>
        <w:t>4</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r>
        <w:rPr>
          <w:rFonts w:ascii="Times New Roman" w:hAnsi="Times New Roman"/>
          <w:b w:val="1"/>
          <w:color w:themeColor="text1" w:val="000000"/>
          <w:sz w:val="28"/>
        </w:rPr>
        <w:t>Автоматизация процесса ведения электронного журнала (ГИС «Образование Югры»)</w:t>
      </w:r>
    </w:p>
    <w:p w14:paraId="D3000000">
      <w:pPr>
        <w:spacing w:after="0" w:line="360" w:lineRule="auto"/>
        <w:ind w:firstLine="709" w:left="0"/>
        <w:jc w:val="both"/>
        <w:rPr>
          <w:rFonts w:ascii="Times New Roman" w:hAnsi="Times New Roman"/>
          <w:sz w:val="28"/>
        </w:rPr>
      </w:pPr>
      <w:r>
        <w:rPr>
          <w:rFonts w:ascii="Times New Roman" w:hAnsi="Times New Roman"/>
          <w:sz w:val="28"/>
        </w:rPr>
        <w:t>Важнейшим направлением автоматизации в МАУ «ИОЦ» г. Сургут является внедрение и сопровождение государственной информационной системы Ханты-Мансийского автономного округа – Югры «Образование Югры», в частности подсистемы «Электронный журнал» [12]. Данная система обеспечивает ведение учета успеваемости и посещаемости обучающихся в электронном виде.</w:t>
      </w:r>
    </w:p>
    <w:p w14:paraId="D4000000">
      <w:pPr>
        <w:spacing w:after="0" w:line="360" w:lineRule="auto"/>
        <w:ind w:firstLine="709" w:left="0"/>
        <w:jc w:val="both"/>
        <w:rPr>
          <w:rFonts w:ascii="Times New Roman" w:hAnsi="Times New Roman"/>
          <w:sz w:val="28"/>
        </w:rPr>
      </w:pPr>
      <w:r>
        <w:rPr>
          <w:rFonts w:ascii="Times New Roman" w:hAnsi="Times New Roman"/>
          <w:sz w:val="28"/>
        </w:rPr>
        <w:t>До внедрения электронного журнала ведение классных журналов осуществлялось в бумажном виде. Данный процесс сопровождался рядом проблем: возможна была потеря документов, трудоемким являлся подсчет итоговых оценок, отсутствовал оперативный доступ родителей к информации об успеваемости детей, а также формирование отчетности для администрации образовательных учреждений и департамента образования требовало значительных временных затрат.</w:t>
      </w:r>
    </w:p>
    <w:p w14:paraId="D5000000">
      <w:pPr>
        <w:spacing w:after="0" w:line="360" w:lineRule="auto"/>
        <w:ind w:firstLine="709" w:left="0"/>
        <w:jc w:val="both"/>
        <w:rPr>
          <w:rFonts w:ascii="Times New Roman" w:hAnsi="Times New Roman"/>
          <w:sz w:val="28"/>
        </w:rPr>
      </w:pPr>
      <w:r>
        <w:rPr>
          <w:rFonts w:ascii="Times New Roman" w:hAnsi="Times New Roman"/>
          <w:sz w:val="28"/>
        </w:rPr>
        <w:t>Внедрение подсистемы «Электронный журнал» ГИС «Образование Югры» позволило автоматизировать данные процессы [12]. Система обеспечивает:</w:t>
      </w:r>
    </w:p>
    <w:p w14:paraId="D600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ведение учета успеваемости и посещаемости в режиме реального времени;</w:t>
      </w:r>
    </w:p>
    <w:p w14:paraId="D700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доступ родителей (законных представителей) к информации об успеваемости детей через личный кабинет;</w:t>
      </w:r>
    </w:p>
    <w:p w14:paraId="D800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автоматическое формирование итоговых оценок и отчетов;</w:t>
      </w:r>
    </w:p>
    <w:p w14:paraId="D900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интеграцию с ИКОП «</w:t>
      </w:r>
      <w:r>
        <w:rPr>
          <w:rFonts w:ascii="Times New Roman" w:hAnsi="Times New Roman"/>
          <w:sz w:val="28"/>
        </w:rPr>
        <w:t>Сферум</w:t>
      </w:r>
      <w:r>
        <w:rPr>
          <w:rFonts w:ascii="Times New Roman" w:hAnsi="Times New Roman"/>
          <w:sz w:val="28"/>
        </w:rPr>
        <w:t>» для проведения онлайн-уроков;</w:t>
      </w:r>
    </w:p>
    <w:p w14:paraId="DA000000">
      <w:pPr>
        <w:spacing w:after="0" w:line="36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интеграцию с ФГИС «Моя школа» для обеспечения доступа к верифицированным образовательным ресурсам [12].</w:t>
      </w:r>
    </w:p>
    <w:p w14:paraId="DB000000">
      <w:pPr>
        <w:spacing w:after="0" w:line="360" w:lineRule="auto"/>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рамках сопровождения данной системы МАУ «ИОЦ» г. Сургут выполняет следующие функции [6]:</w:t>
      </w:r>
    </w:p>
    <w:p w14:paraId="DC000000">
      <w:pPr>
        <w:spacing w:after="0" w:line="360" w:lineRule="auto"/>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мониторинг ведения электронных журналов согласно приказам департамента образования Администрации города Сургута;</w:t>
      </w:r>
    </w:p>
    <w:p w14:paraId="DD000000">
      <w:pPr>
        <w:spacing w:after="0" w:line="360" w:lineRule="auto"/>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консультирование педагогов и администраторов образовательных учреждений по работе с системой;</w:t>
      </w:r>
    </w:p>
    <w:p w14:paraId="DE000000">
      <w:pPr>
        <w:spacing w:after="0" w:line="360" w:lineRule="auto"/>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обеспечение интеграции с ФГИС «Моя школа» и ИКОП «</w:t>
      </w:r>
      <w:r>
        <w:rPr>
          <w:rFonts w:ascii="Times New Roman" w:hAnsi="Times New Roman"/>
          <w:sz w:val="28"/>
        </w:rPr>
        <w:t>Сферум</w:t>
      </w:r>
      <w:r>
        <w:rPr>
          <w:rFonts w:ascii="Times New Roman" w:hAnsi="Times New Roman"/>
          <w:sz w:val="28"/>
        </w:rPr>
        <w:t>»;</w:t>
      </w:r>
    </w:p>
    <w:p w14:paraId="DF000000">
      <w:pPr>
        <w:spacing w:after="0" w:line="360" w:lineRule="auto"/>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подготовка отчетов о проведенных мониторингах использования и ведения педагогами подсистемы «Электронный журнал» [7].</w:t>
      </w:r>
    </w:p>
    <w:p w14:paraId="E0000000">
      <w:pPr>
        <w:spacing w:after="0" w:line="360" w:lineRule="auto"/>
        <w:ind w:firstLine="709" w:left="0"/>
        <w:jc w:val="both"/>
        <w:rPr>
          <w:rFonts w:ascii="Times New Roman" w:hAnsi="Times New Roman"/>
          <w:sz w:val="28"/>
        </w:rPr>
      </w:pPr>
      <w:r>
        <w:rPr>
          <w:rFonts w:ascii="Times New Roman" w:hAnsi="Times New Roman"/>
          <w:sz w:val="28"/>
        </w:rPr>
        <w:t>На рисунке 4 представлена схема автоматизированного процесса ведения электронного журнала.</w:t>
      </w:r>
    </w:p>
    <w:p w14:paraId="E1000000">
      <w:pPr>
        <w:spacing w:after="0" w:line="360" w:lineRule="auto"/>
        <w:ind w:firstLine="709" w:left="0"/>
        <w:jc w:val="both"/>
        <w:rPr>
          <w:rFonts w:ascii="Times New Roman" w:hAnsi="Times New Roman"/>
          <w:sz w:val="28"/>
        </w:rPr>
      </w:pPr>
      <w:r>
        <w:rPr>
          <w:rFonts w:ascii="Times New Roman" w:hAnsi="Times New Roman"/>
          <w:sz w:val="28"/>
        </w:rPr>
        <w:drawing>
          <wp:inline>
            <wp:extent cx="5487035" cy="3225165"/>
            <wp:effectExtent b="0" l="0" r="0" t="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5487035" cy="3225165"/>
                    </a:xfrm>
                    <a:prstGeom prst="rect"/>
                  </pic:spPr>
                </pic:pic>
              </a:graphicData>
            </a:graphic>
          </wp:inline>
        </w:drawing>
      </w:r>
    </w:p>
    <w:p w14:paraId="E2000000">
      <w:pPr>
        <w:spacing w:after="0" w:line="360" w:lineRule="auto"/>
        <w:ind w:firstLine="709" w:left="0"/>
        <w:jc w:val="center"/>
        <w:rPr>
          <w:rFonts w:ascii="Times New Roman" w:hAnsi="Times New Roman"/>
          <w:sz w:val="28"/>
        </w:rPr>
      </w:pPr>
      <w:r>
        <w:rPr>
          <w:rFonts w:ascii="Times New Roman" w:hAnsi="Times New Roman"/>
          <w:sz w:val="28"/>
        </w:rPr>
        <w:t>Рисунок 4</w:t>
      </w:r>
      <w:r>
        <w:rPr>
          <w:rFonts w:ascii="Times New Roman" w:hAnsi="Times New Roman"/>
          <w:sz w:val="28"/>
        </w:rPr>
        <w:t xml:space="preserve"> -</w:t>
      </w:r>
      <w:r>
        <w:rPr>
          <w:rFonts w:ascii="Times New Roman" w:hAnsi="Times New Roman"/>
          <w:sz w:val="28"/>
        </w:rPr>
        <w:t xml:space="preserve"> Схема автоматизированного процесса ведения электронного журнала</w:t>
      </w:r>
    </w:p>
    <w:p w14:paraId="E3000000">
      <w:pPr>
        <w:spacing w:after="0" w:line="360" w:lineRule="auto"/>
        <w:ind w:firstLine="709" w:left="0"/>
        <w:jc w:val="both"/>
        <w:rPr>
          <w:rFonts w:ascii="Times New Roman" w:hAnsi="Times New Roman"/>
          <w:sz w:val="28"/>
        </w:rPr>
      </w:pPr>
      <w:r>
        <w:rPr>
          <w:rFonts w:ascii="Times New Roman" w:hAnsi="Times New Roman"/>
          <w:sz w:val="28"/>
        </w:rPr>
        <w:t>Автоматизация процесса ведения электронного журнала обеспечивает непрерывный цикл учета успеваемости и посещаемости. Педагог вносит информацию, система автоматически обрабатывает данные и формирует отчеты, а все участники образовательного процесса (родители, администрация ОУ, департамент образования) получают доступ к актуальной информации в зависимости от своих полномочий.</w:t>
      </w:r>
    </w:p>
    <w:p w14:paraId="E4000000">
      <w:pPr>
        <w:spacing w:after="0" w:line="360" w:lineRule="auto"/>
        <w:ind w:firstLine="709" w:left="0"/>
        <w:jc w:val="both"/>
        <w:rPr>
          <w:rFonts w:ascii="Times New Roman" w:hAnsi="Times New Roman"/>
          <w:sz w:val="28"/>
        </w:rPr>
      </w:pPr>
      <w:r>
        <w:rPr>
          <w:rFonts w:ascii="Times New Roman" w:hAnsi="Times New Roman"/>
          <w:sz w:val="28"/>
        </w:rPr>
        <w:t>Внедрение электронного журнала позволило обеспечить прозрачность образовательного процесса для родителей, снизить трудоемкость работы педагогов по формированию отчетности, создать единую базу данных об успеваемости обучающихся и обеспечить возможность оперативного мониторинга успеваемости на всех уровнях управления.</w:t>
      </w:r>
    </w:p>
    <w:p w14:paraId="E5000000">
      <w:pPr>
        <w:spacing w:after="0" w:line="360" w:lineRule="auto"/>
        <w:ind w:firstLine="709" w:left="0"/>
        <w:jc w:val="both"/>
        <w:rPr>
          <w:rFonts w:ascii="Times New Roman" w:hAnsi="Times New Roman"/>
          <w:sz w:val="28"/>
        </w:rPr>
      </w:pPr>
      <w:r>
        <w:rPr>
          <w:rFonts w:ascii="Times New Roman" w:hAnsi="Times New Roman"/>
          <w:sz w:val="28"/>
        </w:rPr>
        <w:t>В таблице 4 приведены результаты внедрения электронного журнала в образовательных учреждениях города Сургута.</w:t>
      </w:r>
    </w:p>
    <w:p w14:paraId="E6000000">
      <w:pPr>
        <w:spacing w:after="0" w:line="360" w:lineRule="auto"/>
        <w:ind/>
        <w:jc w:val="both"/>
        <w:rPr>
          <w:rFonts w:ascii="Times New Roman" w:hAnsi="Times New Roman"/>
          <w:sz w:val="28"/>
        </w:rPr>
      </w:pPr>
      <w:r>
        <w:rPr>
          <w:rFonts w:ascii="Times New Roman" w:hAnsi="Times New Roman"/>
          <w:sz w:val="28"/>
        </w:rPr>
        <w:t>Таблица 4. Результаты внедрения электронного журнала</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7698"/>
        <w:gridCol w:w="1490"/>
      </w:tblGrid>
      <w:tr>
        <w:trPr>
          <w:trHeight w:hRule="atLeast" w:val="176"/>
          <w:tblHeader/>
        </w:trPr>
        <w:tc>
          <w:tcPr>
            <w:tcW w:type="dxa" w:w="7698"/>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E7000000">
            <w:pPr>
              <w:spacing w:after="0" w:line="240" w:lineRule="auto"/>
              <w:ind/>
              <w:jc w:val="center"/>
              <w:rPr>
                <w:rFonts w:ascii="Times New Roman" w:hAnsi="Times New Roman"/>
                <w:b w:val="1"/>
                <w:sz w:val="24"/>
              </w:rPr>
            </w:pPr>
            <w:r>
              <w:rPr>
                <w:rFonts w:ascii="Times New Roman" w:hAnsi="Times New Roman"/>
                <w:b w:val="1"/>
                <w:sz w:val="24"/>
              </w:rPr>
              <w:t>Показатель</w:t>
            </w:r>
          </w:p>
        </w:tc>
        <w:tc>
          <w:tcPr>
            <w:tcW w:type="dxa" w:w="1490"/>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E8000000">
            <w:pPr>
              <w:spacing w:after="0" w:line="240" w:lineRule="auto"/>
              <w:ind/>
              <w:jc w:val="center"/>
              <w:rPr>
                <w:rFonts w:ascii="Times New Roman" w:hAnsi="Times New Roman"/>
                <w:b w:val="1"/>
                <w:sz w:val="24"/>
              </w:rPr>
            </w:pPr>
            <w:r>
              <w:rPr>
                <w:rFonts w:ascii="Times New Roman" w:hAnsi="Times New Roman"/>
                <w:b w:val="1"/>
                <w:sz w:val="24"/>
              </w:rPr>
              <w:t>Значение</w:t>
            </w:r>
          </w:p>
        </w:tc>
      </w:tr>
      <w:tr>
        <w:trPr>
          <w:trHeight w:hRule="atLeast" w:val="176"/>
        </w:trPr>
        <w:tc>
          <w:tcPr>
            <w:tcW w:type="dxa" w:w="7698"/>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E9000000">
            <w:pPr>
              <w:spacing w:after="0" w:line="240" w:lineRule="auto"/>
              <w:ind/>
              <w:rPr>
                <w:rFonts w:ascii="Times New Roman" w:hAnsi="Times New Roman"/>
                <w:sz w:val="24"/>
              </w:rPr>
            </w:pPr>
            <w:r>
              <w:rPr>
                <w:rFonts w:ascii="Times New Roman" w:hAnsi="Times New Roman"/>
                <w:sz w:val="24"/>
              </w:rPr>
              <w:t>Доля педагогов, использующих Электронный журнал</w:t>
            </w:r>
          </w:p>
        </w:tc>
        <w:tc>
          <w:tcPr>
            <w:tcW w:type="dxa" w:w="1490"/>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EA000000">
            <w:pPr>
              <w:spacing w:after="0" w:line="240" w:lineRule="auto"/>
              <w:ind/>
              <w:rPr>
                <w:rFonts w:ascii="Times New Roman" w:hAnsi="Times New Roman"/>
                <w:sz w:val="24"/>
              </w:rPr>
            </w:pPr>
            <w:r>
              <w:rPr>
                <w:rFonts w:ascii="Times New Roman" w:hAnsi="Times New Roman"/>
                <w:sz w:val="24"/>
              </w:rPr>
              <w:t>100%</w:t>
            </w:r>
          </w:p>
        </w:tc>
      </w:tr>
      <w:tr>
        <w:trPr>
          <w:trHeight w:hRule="atLeast" w:val="362"/>
        </w:trPr>
        <w:tc>
          <w:tcPr>
            <w:tcW w:type="dxa" w:w="7698"/>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EB000000">
            <w:pPr>
              <w:spacing w:after="0" w:line="240" w:lineRule="auto"/>
              <w:ind/>
              <w:rPr>
                <w:rFonts w:ascii="Times New Roman" w:hAnsi="Times New Roman"/>
                <w:sz w:val="24"/>
              </w:rPr>
            </w:pPr>
            <w:r>
              <w:rPr>
                <w:rFonts w:ascii="Times New Roman" w:hAnsi="Times New Roman"/>
                <w:sz w:val="24"/>
              </w:rPr>
              <w:t>Доля обучающихся, для которых созданы равные условия получения качественного образования</w:t>
            </w:r>
          </w:p>
        </w:tc>
        <w:tc>
          <w:tcPr>
            <w:tcW w:type="dxa" w:w="1490"/>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EC000000">
            <w:pPr>
              <w:spacing w:after="0" w:line="240" w:lineRule="auto"/>
              <w:ind/>
              <w:rPr>
                <w:rFonts w:ascii="Times New Roman" w:hAnsi="Times New Roman"/>
                <w:sz w:val="24"/>
              </w:rPr>
            </w:pPr>
            <w:r>
              <w:rPr>
                <w:rFonts w:ascii="Times New Roman" w:hAnsi="Times New Roman"/>
                <w:sz w:val="24"/>
              </w:rPr>
              <w:t>100%</w:t>
            </w:r>
          </w:p>
        </w:tc>
      </w:tr>
      <w:tr>
        <w:trPr>
          <w:trHeight w:hRule="atLeast" w:val="166"/>
        </w:trPr>
        <w:tc>
          <w:tcPr>
            <w:tcW w:type="dxa" w:w="7698"/>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ED000000">
            <w:pPr>
              <w:spacing w:after="0" w:line="240" w:lineRule="auto"/>
              <w:ind/>
              <w:rPr>
                <w:rFonts w:ascii="Times New Roman" w:hAnsi="Times New Roman"/>
                <w:sz w:val="24"/>
              </w:rPr>
            </w:pPr>
            <w:r>
              <w:rPr>
                <w:rFonts w:ascii="Times New Roman" w:hAnsi="Times New Roman"/>
                <w:sz w:val="24"/>
              </w:rPr>
              <w:t>Доля ОУ, использующих сервисы ФГИС «Моя школа»</w:t>
            </w:r>
          </w:p>
        </w:tc>
        <w:tc>
          <w:tcPr>
            <w:tcW w:type="dxa" w:w="1490"/>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EE000000">
            <w:pPr>
              <w:spacing w:after="0" w:line="240" w:lineRule="auto"/>
              <w:ind/>
              <w:rPr>
                <w:rFonts w:ascii="Times New Roman" w:hAnsi="Times New Roman"/>
                <w:sz w:val="24"/>
              </w:rPr>
            </w:pPr>
            <w:r>
              <w:rPr>
                <w:rFonts w:ascii="Times New Roman" w:hAnsi="Times New Roman"/>
                <w:sz w:val="24"/>
              </w:rPr>
              <w:t>86%</w:t>
            </w:r>
          </w:p>
        </w:tc>
      </w:tr>
    </w:tbl>
    <w:p w14:paraId="EF000000">
      <w:pPr>
        <w:spacing w:after="0" w:line="360" w:lineRule="auto"/>
        <w:ind w:firstLine="709" w:left="0"/>
        <w:jc w:val="both"/>
        <w:rPr>
          <w:rFonts w:ascii="Times New Roman" w:hAnsi="Times New Roman"/>
          <w:sz w:val="28"/>
        </w:rPr>
      </w:pPr>
      <w:r>
        <w:rPr>
          <w:rFonts w:ascii="Times New Roman" w:hAnsi="Times New Roman"/>
          <w:sz w:val="28"/>
        </w:rPr>
        <w:t>Как показывают данные таблицы, все педагоги образовательных учреждений города Сургута используют электронный журнал в своей работе (100%). Это свидетельствует о полном охвате автоматизацией процесса учета успеваемости и посещаемости, что обеспечивает единообразие ведения документации во всех школах города.</w:t>
      </w:r>
    </w:p>
    <w:p w14:paraId="F0000000">
      <w:pPr>
        <w:spacing w:after="0" w:line="360" w:lineRule="auto"/>
        <w:ind w:firstLine="709" w:left="0"/>
        <w:jc w:val="both"/>
        <w:rPr>
          <w:rFonts w:ascii="Times New Roman" w:hAnsi="Times New Roman"/>
          <w:sz w:val="28"/>
        </w:rPr>
      </w:pPr>
      <w:r>
        <w:rPr>
          <w:rFonts w:ascii="Times New Roman" w:hAnsi="Times New Roman"/>
          <w:sz w:val="28"/>
        </w:rPr>
        <w:t xml:space="preserve">Доля обучающихся, для которых созданы равные условия получения качественного образования, также составляет 100%. Это означает, что внедрение электронного журнала обеспечивает равный доступ к образовательным ресурсам и информации об успеваемости для всех </w:t>
      </w:r>
      <w:r>
        <w:rPr>
          <w:rFonts w:ascii="Times New Roman" w:hAnsi="Times New Roman"/>
          <w:sz w:val="28"/>
        </w:rPr>
        <w:t>категорий,</w:t>
      </w:r>
      <w:r>
        <w:rPr>
          <w:rFonts w:ascii="Times New Roman" w:hAnsi="Times New Roman"/>
          <w:sz w:val="28"/>
        </w:rPr>
        <w:t xml:space="preserve"> обучающихся независимо от места их нахождения, что соответствует требованиям регионального проекта «Цифровая образовательная среда» [12].</w:t>
      </w:r>
    </w:p>
    <w:p w14:paraId="F1000000">
      <w:pPr>
        <w:spacing w:after="0" w:line="360" w:lineRule="auto"/>
        <w:ind w:firstLine="709" w:left="0"/>
        <w:jc w:val="both"/>
        <w:rPr>
          <w:rFonts w:ascii="Times New Roman" w:hAnsi="Times New Roman"/>
          <w:sz w:val="28"/>
        </w:rPr>
      </w:pPr>
      <w:r>
        <w:rPr>
          <w:rFonts w:ascii="Times New Roman" w:hAnsi="Times New Roman"/>
          <w:sz w:val="28"/>
        </w:rPr>
        <w:t>Доля образовательных учреждений, использующих сервисы ФГИС «Моя школа», составляет 86%. Данный показатель демонстрирует высокий уровень интеграции муниципальной системы образования с федеральными образовательными ресурсами, что позволяет обеспечить доступ к верифицированным образовательным материалам и единую цифровую образовательную среду.</w:t>
      </w:r>
    </w:p>
    <w:p w14:paraId="F2000000">
      <w:pPr>
        <w:spacing w:after="0" w:line="360" w:lineRule="auto"/>
        <w:ind w:firstLine="709" w:left="0"/>
        <w:jc w:val="both"/>
        <w:rPr>
          <w:rFonts w:ascii="Times New Roman" w:hAnsi="Times New Roman"/>
          <w:sz w:val="28"/>
        </w:rPr>
      </w:pPr>
      <w:r>
        <w:rPr>
          <w:rFonts w:ascii="Times New Roman" w:hAnsi="Times New Roman"/>
          <w:sz w:val="28"/>
        </w:rPr>
        <w:t xml:space="preserve">Таким образом, внедрение электронного журнала в образовательных учреждениях города Сургута является успешным и позволяет обеспечить полный переход к электронному документообороту в сфере учета успеваемости и посещаемости, что соответствует требованиям федеральных и региональных проектов по </w:t>
      </w:r>
      <w:r>
        <w:rPr>
          <w:rFonts w:ascii="Times New Roman" w:hAnsi="Times New Roman"/>
          <w:sz w:val="28"/>
        </w:rPr>
        <w:t>цифровизации</w:t>
      </w:r>
      <w:r>
        <w:rPr>
          <w:rFonts w:ascii="Times New Roman" w:hAnsi="Times New Roman"/>
          <w:sz w:val="28"/>
        </w:rPr>
        <w:t xml:space="preserve"> образования.</w:t>
      </w:r>
    </w:p>
    <w:p w14:paraId="F3000000">
      <w:bookmarkStart w:id="7" w:name="__RefHeading___6"/>
      <w:bookmarkEnd w:id="7"/>
      <w:pPr>
        <w:keepNext w:val="1"/>
        <w:keepLines w:val="1"/>
        <w:spacing w:after="0" w:line="360" w:lineRule="auto"/>
        <w:ind w:firstLine="709" w:left="0"/>
        <w:outlineLvl w:val="0"/>
        <w:rPr>
          <w:rFonts w:ascii="Times New Roman" w:hAnsi="Times New Roman"/>
          <w:b w:val="1"/>
          <w:color w:themeColor="text1" w:val="000000"/>
          <w:sz w:val="28"/>
        </w:rPr>
      </w:pPr>
      <w:r>
        <w:rPr>
          <w:rFonts w:ascii="Times New Roman" w:hAnsi="Times New Roman"/>
          <w:b w:val="1"/>
          <w:color w:themeColor="text1" w:val="000000"/>
          <w:sz w:val="28"/>
        </w:rPr>
        <w:t>5</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r>
        <w:rPr>
          <w:rFonts w:ascii="Times New Roman" w:hAnsi="Times New Roman"/>
          <w:b w:val="1"/>
          <w:color w:themeColor="text1" w:val="000000"/>
          <w:sz w:val="28"/>
        </w:rPr>
        <w:t>Автоматизация процесса персонифицированного дополнительного образования (АИС «ПДО»)</w:t>
      </w:r>
    </w:p>
    <w:p w14:paraId="F4000000">
      <w:pPr>
        <w:spacing w:after="0" w:line="360" w:lineRule="auto"/>
        <w:ind w:firstLine="709" w:left="0"/>
        <w:jc w:val="both"/>
        <w:rPr>
          <w:rFonts w:ascii="Times New Roman" w:hAnsi="Times New Roman"/>
          <w:sz w:val="28"/>
        </w:rPr>
      </w:pPr>
      <w:r>
        <w:rPr>
          <w:rFonts w:ascii="Times New Roman" w:hAnsi="Times New Roman"/>
          <w:sz w:val="28"/>
        </w:rPr>
        <w:t>МАУ «ИОЦ» г. Сургут является уполномоченной организацией и муниципальным опорным центром дополнительного образования детей [4]. Одной из ключевых задач учреждения является администрирование автоматизированной информационной системы персонифицированного дополнительного образования (АИС «ПДО») [13].</w:t>
      </w:r>
    </w:p>
    <w:p w14:paraId="F5000000">
      <w:pPr>
        <w:spacing w:after="0" w:line="360" w:lineRule="auto"/>
        <w:ind w:firstLine="709" w:left="0"/>
        <w:jc w:val="both"/>
        <w:rPr>
          <w:rFonts w:ascii="Times New Roman" w:hAnsi="Times New Roman"/>
          <w:sz w:val="28"/>
        </w:rPr>
      </w:pPr>
      <w:r>
        <w:rPr>
          <w:rFonts w:ascii="Times New Roman" w:hAnsi="Times New Roman"/>
          <w:sz w:val="28"/>
        </w:rPr>
        <w:t>До внедрения АИС «ПДО» учет выданных сертификатов дополнительного образования и контроль их использования осуществлялся в ручном режиме с использованием бумажных документов и электронных таблиц. Данный процесс создавал высокую нагрузку на сотрудников, сопровождался риском ошибок и потерь данных, а также затруднял контроль за использованием бюджетных средств, выделяемых на дополнительное образование детей.</w:t>
      </w:r>
    </w:p>
    <w:p w14:paraId="F6000000">
      <w:pPr>
        <w:spacing w:after="0" w:line="360" w:lineRule="auto"/>
        <w:ind w:firstLine="709" w:left="0"/>
        <w:jc w:val="both"/>
        <w:rPr>
          <w:rFonts w:ascii="Times New Roman" w:hAnsi="Times New Roman"/>
          <w:sz w:val="28"/>
        </w:rPr>
      </w:pPr>
      <w:r>
        <w:rPr>
          <w:rFonts w:ascii="Times New Roman" w:hAnsi="Times New Roman"/>
          <w:sz w:val="28"/>
        </w:rPr>
        <w:t>Внедрение АИС «ПДО» позволило автоматизировать данные процессы [13]. Система обеспечивает:</w:t>
      </w:r>
    </w:p>
    <w:p w14:paraId="F700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учет выданных сертификатов дополнительного образования;</w:t>
      </w:r>
    </w:p>
    <w:p w14:paraId="F800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управление реестром поставщиков образовательных услуг;</w:t>
      </w:r>
    </w:p>
    <w:p w14:paraId="F900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контроль использования сертификатов и списания средств;</w:t>
      </w:r>
    </w:p>
    <w:p w14:paraId="FA00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формирование отчетности для департамента образования Администрации города Сургута.</w:t>
      </w:r>
    </w:p>
    <w:p w14:paraId="FB000000">
      <w:pPr>
        <w:spacing w:after="0" w:line="360" w:lineRule="auto"/>
        <w:ind w:firstLine="709" w:left="0"/>
        <w:jc w:val="both"/>
        <w:rPr>
          <w:rFonts w:ascii="Times New Roman" w:hAnsi="Times New Roman"/>
          <w:sz w:val="28"/>
        </w:rPr>
      </w:pPr>
      <w:r>
        <w:rPr>
          <w:rFonts w:ascii="Times New Roman" w:hAnsi="Times New Roman"/>
          <w:sz w:val="28"/>
        </w:rPr>
        <w:t>В рамках сопровождения данной системы МАУ «ИОЦ» г. Сургут выполняет следующие функции [6]:</w:t>
      </w:r>
    </w:p>
    <w:p w14:paraId="FC000000">
      <w:pPr>
        <w:spacing w:after="0" w:line="360" w:lineRule="auto"/>
        <w:ind w:firstLine="709" w:left="0"/>
        <w:jc w:val="both"/>
        <w:rPr>
          <w:rFonts w:ascii="Times New Roman" w:hAnsi="Times New Roman"/>
          <w:sz w:val="28"/>
        </w:rPr>
      </w:pPr>
      <w:r>
        <w:rPr>
          <w:rFonts w:ascii="Times New Roman" w:hAnsi="Times New Roman"/>
          <w:sz w:val="28"/>
        </w:rPr>
        <w:t xml:space="preserve">а) </w:t>
      </w:r>
      <w:r>
        <w:rPr>
          <w:rFonts w:ascii="Times New Roman" w:hAnsi="Times New Roman"/>
          <w:sz w:val="28"/>
        </w:rPr>
        <w:t>администрирование системы и ведение реестра выданных сертификатов;</w:t>
      </w:r>
    </w:p>
    <w:p w14:paraId="FD000000">
      <w:pPr>
        <w:spacing w:after="0" w:line="360" w:lineRule="auto"/>
        <w:ind w:firstLine="709"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консультирование родителей (законных представителей) по вопросам получения и использования сертификатов;</w:t>
      </w:r>
    </w:p>
    <w:p w14:paraId="FE000000">
      <w:pPr>
        <w:spacing w:after="0" w:line="360" w:lineRule="auto"/>
        <w:ind w:firstLine="709"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консультирование педагогов и поставщиков услуг по вопросам работы в системе ПДО;</w:t>
      </w:r>
    </w:p>
    <w:p w14:paraId="FF000000">
      <w:pPr>
        <w:spacing w:after="0" w:line="360" w:lineRule="auto"/>
        <w:ind w:firstLine="709" w:left="0"/>
        <w:jc w:val="both"/>
        <w:rPr>
          <w:rFonts w:ascii="Times New Roman" w:hAnsi="Times New Roman"/>
          <w:sz w:val="28"/>
        </w:rPr>
      </w:pPr>
      <w:r>
        <w:rPr>
          <w:rFonts w:ascii="Times New Roman" w:hAnsi="Times New Roman"/>
          <w:sz w:val="28"/>
        </w:rPr>
        <w:t xml:space="preserve">г) </w:t>
      </w:r>
      <w:r>
        <w:rPr>
          <w:rFonts w:ascii="Times New Roman" w:hAnsi="Times New Roman"/>
          <w:sz w:val="28"/>
        </w:rPr>
        <w:t>обеспечение стабильного функционирования АИС ПДО в статусе уполномоченной организации.</w:t>
      </w:r>
    </w:p>
    <w:p w14:paraId="00010000">
      <w:pPr>
        <w:spacing w:after="0" w:line="360" w:lineRule="auto"/>
        <w:ind w:firstLine="709" w:left="0"/>
        <w:jc w:val="both"/>
        <w:rPr>
          <w:rFonts w:ascii="Times New Roman" w:hAnsi="Times New Roman"/>
          <w:sz w:val="28"/>
        </w:rPr>
      </w:pPr>
      <w:r>
        <w:rPr>
          <w:rFonts w:ascii="Times New Roman" w:hAnsi="Times New Roman"/>
          <w:sz w:val="28"/>
        </w:rPr>
        <w:t>На рисунке 5 представлена схема автоматизированного процесса персонифицированного дополнительного образования.</w:t>
      </w:r>
    </w:p>
    <w:p w14:paraId="01010000">
      <w:pPr>
        <w:spacing w:after="0" w:line="360" w:lineRule="auto"/>
        <w:ind w:firstLine="709" w:left="0"/>
        <w:jc w:val="both"/>
        <w:rPr>
          <w:rFonts w:ascii="Times New Roman" w:hAnsi="Times New Roman"/>
          <w:sz w:val="28"/>
        </w:rPr>
      </w:pPr>
      <w:r>
        <w:rPr>
          <w:rFonts w:ascii="Times New Roman" w:hAnsi="Times New Roman"/>
          <w:sz w:val="28"/>
        </w:rPr>
        <w:drawing>
          <wp:inline>
            <wp:extent cx="5487035" cy="3225165"/>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5487035" cy="3225165"/>
                    </a:xfrm>
                    <a:prstGeom prst="rect"/>
                  </pic:spPr>
                </pic:pic>
              </a:graphicData>
            </a:graphic>
          </wp:inline>
        </w:drawing>
      </w:r>
    </w:p>
    <w:p w14:paraId="02010000">
      <w:pPr>
        <w:spacing w:after="0" w:line="360" w:lineRule="auto"/>
        <w:ind w:firstLine="709" w:left="0"/>
        <w:jc w:val="center"/>
        <w:rPr>
          <w:rFonts w:ascii="Times New Roman" w:hAnsi="Times New Roman"/>
          <w:sz w:val="28"/>
        </w:rPr>
      </w:pPr>
      <w:r>
        <w:rPr>
          <w:rFonts w:ascii="Times New Roman" w:hAnsi="Times New Roman"/>
          <w:sz w:val="28"/>
        </w:rPr>
        <w:t>Рисунок 5</w:t>
      </w:r>
      <w:r>
        <w:rPr>
          <w:rFonts w:ascii="Times New Roman" w:hAnsi="Times New Roman"/>
          <w:sz w:val="28"/>
        </w:rPr>
        <w:t xml:space="preserve"> - </w:t>
      </w:r>
      <w:r>
        <w:rPr>
          <w:rFonts w:ascii="Times New Roman" w:hAnsi="Times New Roman"/>
          <w:sz w:val="28"/>
        </w:rPr>
        <w:t>Схема автоматизированного процесса персонифицированного дополнительного образования</w:t>
      </w:r>
    </w:p>
    <w:p w14:paraId="03010000">
      <w:pPr>
        <w:spacing w:after="0" w:line="360" w:lineRule="auto"/>
        <w:ind w:firstLine="709" w:left="0"/>
        <w:jc w:val="both"/>
        <w:rPr>
          <w:rFonts w:ascii="Times New Roman" w:hAnsi="Times New Roman"/>
          <w:sz w:val="28"/>
        </w:rPr>
      </w:pPr>
      <w:r>
        <w:rPr>
          <w:rFonts w:ascii="Times New Roman" w:hAnsi="Times New Roman"/>
          <w:sz w:val="28"/>
        </w:rPr>
        <w:t>Автоматизация процесса персонифицированного дополнительного образования обеспечивает полный цикл управления сертификатами – от подачи заявления родителем до списания средств за оказанную услугу. Система связывает всех участников процесса: родителей, поставщиков услуг, администраторов и департамент образования, обеспечивая прозрачность и контроль использования бюджетных средств.</w:t>
      </w:r>
    </w:p>
    <w:p w14:paraId="04010000">
      <w:pPr>
        <w:spacing w:after="0" w:line="360" w:lineRule="auto"/>
        <w:ind w:firstLine="709" w:left="0"/>
        <w:jc w:val="both"/>
        <w:rPr>
          <w:rFonts w:ascii="Times New Roman" w:hAnsi="Times New Roman"/>
          <w:sz w:val="28"/>
        </w:rPr>
      </w:pPr>
      <w:r>
        <w:rPr>
          <w:rFonts w:ascii="Times New Roman" w:hAnsi="Times New Roman"/>
          <w:sz w:val="28"/>
        </w:rPr>
        <w:t>Внедрение АИС «ПДО» позволило автоматизировать учет и контроль использования сертификатов дополнительного образования, обеспечить прозрачность расходования бюджетных средств, упростить процесс получения дополнительного образования для родителей, создать единую базу данных о программах дополнительного образования и обеспечить высокий охват детей дополнительным образованием.</w:t>
      </w:r>
    </w:p>
    <w:p w14:paraId="05010000">
      <w:pPr>
        <w:spacing w:after="0" w:line="360" w:lineRule="auto"/>
        <w:ind w:firstLine="709" w:left="0"/>
        <w:jc w:val="both"/>
        <w:rPr>
          <w:rFonts w:ascii="Times New Roman" w:hAnsi="Times New Roman"/>
          <w:sz w:val="28"/>
        </w:rPr>
      </w:pPr>
      <w:r>
        <w:rPr>
          <w:rFonts w:ascii="Times New Roman" w:hAnsi="Times New Roman"/>
          <w:sz w:val="28"/>
        </w:rPr>
        <w:t>В таблице 5 приведены ключевые показатели системы персонифицированного дополнительного образования.</w:t>
      </w:r>
    </w:p>
    <w:p w14:paraId="06010000">
      <w:pPr>
        <w:spacing w:after="0" w:line="360" w:lineRule="auto"/>
        <w:ind/>
        <w:jc w:val="both"/>
        <w:rPr>
          <w:rFonts w:ascii="Times New Roman" w:hAnsi="Times New Roman"/>
          <w:sz w:val="28"/>
        </w:rPr>
      </w:pPr>
      <w:r>
        <w:rPr>
          <w:rFonts w:ascii="Times New Roman" w:hAnsi="Times New Roman"/>
          <w:sz w:val="28"/>
        </w:rPr>
        <w:t>Таблица 5. Ключевые показатели АИС «ПДО»</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7362"/>
        <w:gridCol w:w="1646"/>
      </w:tblGrid>
      <w:tr>
        <w:trPr>
          <w:trHeight w:hRule="atLeast" w:val="217"/>
          <w:tblHeader/>
        </w:trPr>
        <w:tc>
          <w:tcPr>
            <w:tcW w:type="dxa" w:w="736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07010000">
            <w:pPr>
              <w:spacing w:after="0" w:line="240" w:lineRule="auto"/>
              <w:ind/>
              <w:jc w:val="center"/>
              <w:rPr>
                <w:rFonts w:ascii="Times New Roman" w:hAnsi="Times New Roman"/>
                <w:b w:val="1"/>
                <w:sz w:val="24"/>
              </w:rPr>
            </w:pPr>
            <w:r>
              <w:rPr>
                <w:rFonts w:ascii="Times New Roman" w:hAnsi="Times New Roman"/>
                <w:b w:val="1"/>
                <w:sz w:val="24"/>
              </w:rPr>
              <w:t>Показатель</w:t>
            </w:r>
          </w:p>
        </w:tc>
        <w:tc>
          <w:tcPr>
            <w:tcW w:type="dxa" w:w="1646"/>
            <w:tcBorders>
              <w:top w:color="000000" w:sz="4" w:val="single"/>
              <w:left w:color="000000" w:sz="4" w:val="single"/>
              <w:bottom w:color="000000" w:sz="4" w:val="single"/>
              <w:right w:color="000000" w:sz="4" w:val="single"/>
            </w:tcBorders>
            <w:tcMar>
              <w:top w:type="dxa" w:w="150"/>
              <w:left w:type="dxa" w:w="240"/>
              <w:bottom w:type="dxa" w:w="150"/>
              <w:right w:type="dxa" w:w="240"/>
            </w:tcMar>
            <w:vAlign w:val="center"/>
          </w:tcPr>
          <w:p w14:paraId="08010000">
            <w:pPr>
              <w:spacing w:after="0" w:line="240" w:lineRule="auto"/>
              <w:ind/>
              <w:jc w:val="center"/>
              <w:rPr>
                <w:rFonts w:ascii="Times New Roman" w:hAnsi="Times New Roman"/>
                <w:b w:val="1"/>
                <w:sz w:val="24"/>
              </w:rPr>
            </w:pPr>
            <w:r>
              <w:rPr>
                <w:rFonts w:ascii="Times New Roman" w:hAnsi="Times New Roman"/>
                <w:b w:val="1"/>
                <w:sz w:val="24"/>
              </w:rPr>
              <w:t>Значение</w:t>
            </w:r>
          </w:p>
        </w:tc>
      </w:tr>
      <w:tr>
        <w:trPr>
          <w:trHeight w:hRule="atLeast" w:val="217"/>
        </w:trPr>
        <w:tc>
          <w:tcPr>
            <w:tcW w:type="dxa" w:w="736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09010000">
            <w:pPr>
              <w:spacing w:after="0" w:line="240" w:lineRule="auto"/>
              <w:ind/>
              <w:rPr>
                <w:rFonts w:ascii="Times New Roman" w:hAnsi="Times New Roman"/>
                <w:sz w:val="24"/>
              </w:rPr>
            </w:pPr>
            <w:r>
              <w:rPr>
                <w:rFonts w:ascii="Times New Roman" w:hAnsi="Times New Roman"/>
                <w:sz w:val="24"/>
              </w:rPr>
              <w:t>Выдано сертификатов дополнительного образования</w:t>
            </w:r>
          </w:p>
        </w:tc>
        <w:tc>
          <w:tcPr>
            <w:tcW w:type="dxa" w:w="1646"/>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0A010000">
            <w:pPr>
              <w:spacing w:after="0" w:line="240" w:lineRule="auto"/>
              <w:ind/>
              <w:rPr>
                <w:rFonts w:ascii="Times New Roman" w:hAnsi="Times New Roman"/>
                <w:sz w:val="24"/>
              </w:rPr>
            </w:pPr>
            <w:r>
              <w:rPr>
                <w:rFonts w:ascii="Times New Roman" w:hAnsi="Times New Roman"/>
                <w:sz w:val="24"/>
              </w:rPr>
              <w:t>81 040</w:t>
            </w:r>
          </w:p>
        </w:tc>
      </w:tr>
      <w:tr>
        <w:trPr>
          <w:trHeight w:hRule="atLeast" w:val="217"/>
        </w:trPr>
        <w:tc>
          <w:tcPr>
            <w:tcW w:type="dxa" w:w="736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0B010000">
            <w:pPr>
              <w:spacing w:after="0" w:line="240" w:lineRule="auto"/>
              <w:ind/>
              <w:rPr>
                <w:rFonts w:ascii="Times New Roman" w:hAnsi="Times New Roman"/>
                <w:sz w:val="24"/>
              </w:rPr>
            </w:pPr>
            <w:r>
              <w:rPr>
                <w:rFonts w:ascii="Times New Roman" w:hAnsi="Times New Roman"/>
                <w:sz w:val="24"/>
              </w:rPr>
              <w:t>Программ дополнительного образования</w:t>
            </w:r>
          </w:p>
        </w:tc>
        <w:tc>
          <w:tcPr>
            <w:tcW w:type="dxa" w:w="1646"/>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0C010000">
            <w:pPr>
              <w:spacing w:after="0" w:line="240" w:lineRule="auto"/>
              <w:ind/>
              <w:rPr>
                <w:rFonts w:ascii="Times New Roman" w:hAnsi="Times New Roman"/>
                <w:sz w:val="24"/>
              </w:rPr>
            </w:pPr>
            <w:r>
              <w:rPr>
                <w:rFonts w:ascii="Times New Roman" w:hAnsi="Times New Roman"/>
                <w:sz w:val="24"/>
              </w:rPr>
              <w:t>1 874</w:t>
            </w:r>
          </w:p>
        </w:tc>
      </w:tr>
      <w:tr>
        <w:trPr>
          <w:trHeight w:hRule="atLeast" w:val="217"/>
        </w:trPr>
        <w:tc>
          <w:tcPr>
            <w:tcW w:type="dxa" w:w="736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0D010000">
            <w:pPr>
              <w:spacing w:after="0" w:line="240" w:lineRule="auto"/>
              <w:ind/>
              <w:rPr>
                <w:rFonts w:ascii="Times New Roman" w:hAnsi="Times New Roman"/>
                <w:sz w:val="24"/>
              </w:rPr>
            </w:pPr>
            <w:r>
              <w:rPr>
                <w:rFonts w:ascii="Times New Roman" w:hAnsi="Times New Roman"/>
                <w:sz w:val="24"/>
              </w:rPr>
              <w:t>Охват детей дополнительным образованием</w:t>
            </w:r>
          </w:p>
        </w:tc>
        <w:tc>
          <w:tcPr>
            <w:tcW w:type="dxa" w:w="1646"/>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0E010000">
            <w:pPr>
              <w:spacing w:after="0" w:line="240" w:lineRule="auto"/>
              <w:ind/>
              <w:rPr>
                <w:rFonts w:ascii="Times New Roman" w:hAnsi="Times New Roman"/>
                <w:sz w:val="24"/>
              </w:rPr>
            </w:pPr>
            <w:r>
              <w:rPr>
                <w:rFonts w:ascii="Times New Roman" w:hAnsi="Times New Roman"/>
                <w:sz w:val="24"/>
              </w:rPr>
              <w:t>92,33%</w:t>
            </w:r>
          </w:p>
        </w:tc>
      </w:tr>
      <w:tr>
        <w:trPr>
          <w:trHeight w:hRule="atLeast" w:val="217"/>
        </w:trPr>
        <w:tc>
          <w:tcPr>
            <w:tcW w:type="dxa" w:w="736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0F010000">
            <w:pPr>
              <w:spacing w:after="0" w:line="240" w:lineRule="auto"/>
              <w:ind/>
              <w:rPr>
                <w:rFonts w:ascii="Times New Roman" w:hAnsi="Times New Roman"/>
                <w:sz w:val="24"/>
              </w:rPr>
            </w:pPr>
            <w:r>
              <w:rPr>
                <w:rFonts w:ascii="Times New Roman" w:hAnsi="Times New Roman"/>
                <w:sz w:val="24"/>
              </w:rPr>
              <w:t>Образовательных учреждений, реализующих программы ДОД</w:t>
            </w:r>
          </w:p>
        </w:tc>
        <w:tc>
          <w:tcPr>
            <w:tcW w:type="dxa" w:w="1646"/>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10010000">
            <w:pPr>
              <w:spacing w:after="0" w:line="240" w:lineRule="auto"/>
              <w:ind/>
              <w:rPr>
                <w:rFonts w:ascii="Times New Roman" w:hAnsi="Times New Roman"/>
                <w:sz w:val="24"/>
              </w:rPr>
            </w:pPr>
            <w:r>
              <w:rPr>
                <w:rFonts w:ascii="Times New Roman" w:hAnsi="Times New Roman"/>
                <w:sz w:val="24"/>
              </w:rPr>
              <w:t>103</w:t>
            </w:r>
          </w:p>
        </w:tc>
      </w:tr>
      <w:tr>
        <w:trPr>
          <w:trHeight w:hRule="atLeast" w:val="217"/>
        </w:trPr>
        <w:tc>
          <w:tcPr>
            <w:tcW w:type="dxa" w:w="7362"/>
            <w:tcBorders>
              <w:top w:color="000000" w:sz="4" w:val="single"/>
              <w:left w:color="000000" w:sz="4" w:val="single"/>
              <w:bottom w:color="000000" w:sz="4" w:val="single"/>
              <w:right w:color="000000" w:sz="4" w:val="single"/>
            </w:tcBorders>
            <w:tcMar>
              <w:top w:type="dxa" w:w="150"/>
              <w:left w:type="dxa" w:w="0"/>
              <w:bottom w:type="dxa" w:w="150"/>
              <w:right w:type="dxa" w:w="240"/>
            </w:tcMar>
            <w:vAlign w:val="center"/>
          </w:tcPr>
          <w:p w14:paraId="11010000">
            <w:pPr>
              <w:spacing w:after="0" w:line="240" w:lineRule="auto"/>
              <w:ind/>
              <w:rPr>
                <w:rFonts w:ascii="Times New Roman" w:hAnsi="Times New Roman"/>
                <w:sz w:val="24"/>
              </w:rPr>
            </w:pPr>
            <w:r>
              <w:rPr>
                <w:rFonts w:ascii="Times New Roman" w:hAnsi="Times New Roman"/>
                <w:sz w:val="24"/>
              </w:rPr>
              <w:t>Проведено консультаций для родителей</w:t>
            </w:r>
          </w:p>
        </w:tc>
        <w:tc>
          <w:tcPr>
            <w:tcW w:type="dxa" w:w="1646"/>
            <w:tcBorders>
              <w:top w:color="000000" w:sz="4" w:val="single"/>
              <w:left w:color="000000" w:sz="4" w:val="single"/>
              <w:bottom w:color="000000" w:sz="4" w:val="single"/>
              <w:right w:color="000000" w:sz="4" w:val="single"/>
            </w:tcBorders>
            <w:tcMar>
              <w:top w:type="dxa" w:w="150"/>
              <w:left w:type="dxa" w:w="240"/>
              <w:bottom w:type="dxa" w:w="150"/>
              <w:right w:type="dxa" w:w="0"/>
            </w:tcMar>
            <w:vAlign w:val="center"/>
          </w:tcPr>
          <w:p w14:paraId="12010000">
            <w:pPr>
              <w:spacing w:after="0" w:line="240" w:lineRule="auto"/>
              <w:ind/>
              <w:rPr>
                <w:rFonts w:ascii="Times New Roman" w:hAnsi="Times New Roman"/>
                <w:sz w:val="24"/>
              </w:rPr>
            </w:pPr>
            <w:r>
              <w:rPr>
                <w:rFonts w:ascii="Times New Roman" w:hAnsi="Times New Roman"/>
                <w:sz w:val="24"/>
              </w:rPr>
              <w:t>Более 5 300</w:t>
            </w:r>
          </w:p>
        </w:tc>
      </w:tr>
    </w:tbl>
    <w:p w14:paraId="13010000">
      <w:pPr>
        <w:spacing w:after="0" w:line="360" w:lineRule="auto"/>
        <w:ind w:firstLine="709" w:left="0"/>
        <w:jc w:val="both"/>
        <w:rPr>
          <w:rFonts w:ascii="Times New Roman" w:hAnsi="Times New Roman"/>
          <w:sz w:val="28"/>
        </w:rPr>
      </w:pPr>
      <w:r>
        <w:rPr>
          <w:rFonts w:ascii="Times New Roman" w:hAnsi="Times New Roman"/>
          <w:sz w:val="28"/>
        </w:rPr>
        <w:t>Как показывают данные таблицы, в городе Сургуте выдано 81 040 сертификатов дополнительного образования, из которых 77 069 выданы детям от 5 до 18 лет, а 3 971 – детям с ограниченными возможностями здоровья. Данный показатель свидетельствует о высоком охвате детей системой персонифицированного финансирования дополнительного образования.</w:t>
      </w:r>
    </w:p>
    <w:p w14:paraId="14010000">
      <w:pPr>
        <w:spacing w:after="0" w:line="360" w:lineRule="auto"/>
        <w:ind w:firstLine="709" w:left="0"/>
        <w:jc w:val="both"/>
        <w:rPr>
          <w:rFonts w:ascii="Times New Roman" w:hAnsi="Times New Roman"/>
          <w:sz w:val="28"/>
        </w:rPr>
      </w:pPr>
      <w:r>
        <w:rPr>
          <w:rFonts w:ascii="Times New Roman" w:hAnsi="Times New Roman"/>
          <w:sz w:val="28"/>
        </w:rPr>
        <w:t>Количество программ дополнительного образования, реализуемых в городе, составляет 1 874, при этом 132 программы являются сертифицированными. Это обеспечивает широкий выбор образовательных услуг для детей и их родителей, включая как бюджетные программы (1 269), так и платные (473). Программы реализуются 103 образовательными учреждениями, включая 37 общеобразовательных учреждений, 39 дошкольных образовательных учреждений, 4 учреждения дополнительного образования, а также 23 негосударственные (немуниципальные) организации. Такой состав поставщиков услуг свидетельствует о развитой сети организаций, предоставляющих дополнительное образование в городе.</w:t>
      </w:r>
    </w:p>
    <w:p w14:paraId="15010000">
      <w:pPr>
        <w:spacing w:after="0" w:line="360" w:lineRule="auto"/>
        <w:ind w:firstLine="709" w:left="0"/>
        <w:jc w:val="both"/>
        <w:rPr>
          <w:rFonts w:ascii="Times New Roman" w:hAnsi="Times New Roman"/>
          <w:sz w:val="28"/>
        </w:rPr>
      </w:pPr>
      <w:r>
        <w:rPr>
          <w:rFonts w:ascii="Times New Roman" w:hAnsi="Times New Roman"/>
          <w:sz w:val="28"/>
        </w:rPr>
        <w:t>Охват детей дополнительным образованием составляет 92,33%, что является высоким показателем и свидетельствует об эффективности системы персонифицированного финансирования дополнительного образования, внедренной в городе Сургуте.</w:t>
      </w:r>
    </w:p>
    <w:p w14:paraId="16010000">
      <w:pPr>
        <w:spacing w:after="0" w:line="360" w:lineRule="auto"/>
        <w:ind w:firstLine="709" w:left="0"/>
        <w:jc w:val="both"/>
        <w:rPr>
          <w:rFonts w:ascii="Times New Roman" w:hAnsi="Times New Roman"/>
          <w:sz w:val="28"/>
        </w:rPr>
      </w:pPr>
      <w:r>
        <w:rPr>
          <w:rFonts w:ascii="Times New Roman" w:hAnsi="Times New Roman"/>
          <w:sz w:val="28"/>
        </w:rPr>
        <w:t>Кроме того, сотрудниками МАУ «ИОЦ» г. Сургут проведено более 5 300 консультаций для родителей (законных представителей) по вопросам получения и использования сертификатов дополнительного образования, что подтверждает высокую востребованность системы и необходимость информационно-разъяснительной работы с населением.</w:t>
      </w:r>
    </w:p>
    <w:p w14:paraId="17010000">
      <w:pPr>
        <w:spacing w:after="0" w:line="360" w:lineRule="auto"/>
        <w:ind w:firstLine="709" w:left="0"/>
        <w:jc w:val="both"/>
        <w:rPr>
          <w:rFonts w:ascii="Times New Roman" w:hAnsi="Times New Roman"/>
          <w:sz w:val="28"/>
        </w:rPr>
      </w:pPr>
      <w:r>
        <w:rPr>
          <w:rFonts w:ascii="Times New Roman" w:hAnsi="Times New Roman"/>
          <w:sz w:val="28"/>
        </w:rPr>
        <w:t>Таким образом, внедрение и развитие АИС «ПДО» в городе Сургуте является успешным и позволяет обеспечить доступность дополнительного образования для всех категорий детей, прозрачность расходования бюджетных средств и эффективное управление системой дополнительного образования на муниципальном уровне.</w:t>
      </w:r>
    </w:p>
    <w:p w14:paraId="18010000">
      <w:bookmarkStart w:id="8" w:name="__RefHeading___7"/>
      <w:bookmarkEnd w:id="8"/>
      <w:pPr>
        <w:keepNext w:val="1"/>
        <w:keepLines w:val="1"/>
        <w:spacing w:after="0" w:line="360" w:lineRule="auto"/>
        <w:ind w:firstLine="709" w:left="0"/>
        <w:outlineLvl w:val="0"/>
        <w:rPr>
          <w:rFonts w:ascii="Times New Roman" w:hAnsi="Times New Roman"/>
          <w:b w:val="1"/>
          <w:color w:themeColor="text1" w:val="000000"/>
          <w:sz w:val="28"/>
        </w:rPr>
      </w:pPr>
      <w:r>
        <w:rPr>
          <w:rFonts w:ascii="Times New Roman" w:hAnsi="Times New Roman"/>
          <w:b w:val="1"/>
          <w:color w:themeColor="text1" w:val="000000"/>
          <w:sz w:val="28"/>
        </w:rPr>
        <w:t>6</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r>
        <w:rPr>
          <w:rFonts w:ascii="Times New Roman" w:hAnsi="Times New Roman"/>
          <w:b w:val="1"/>
          <w:color w:themeColor="text1" w:val="000000"/>
          <w:sz w:val="28"/>
        </w:rPr>
        <w:t>Проблемы функционирования автоматизированных систем</w:t>
      </w:r>
      <w:r>
        <w:rPr>
          <w:rFonts w:ascii="Times New Roman" w:hAnsi="Times New Roman"/>
          <w:b w:val="1"/>
          <w:color w:themeColor="text1" w:val="000000"/>
          <w:sz w:val="28"/>
        </w:rPr>
        <w:t xml:space="preserve"> </w:t>
      </w:r>
    </w:p>
    <w:p w14:paraId="19010000">
      <w:pPr>
        <w:spacing w:after="0" w:line="360" w:lineRule="auto"/>
        <w:ind w:firstLine="709" w:left="0"/>
        <w:jc w:val="both"/>
        <w:rPr>
          <w:rFonts w:ascii="Times New Roman" w:hAnsi="Times New Roman"/>
          <w:sz w:val="28"/>
        </w:rPr>
      </w:pPr>
      <w:r>
        <w:rPr>
          <w:rFonts w:ascii="Times New Roman" w:hAnsi="Times New Roman"/>
          <w:sz w:val="28"/>
        </w:rPr>
        <w:t>В ходе прохождения производственной практики был проведен анализ функционирования автоматизированных систем МАУ «ИОЦ» г. Сургут. Для сбора информации применялись методы практической работы с системами и опрос сотрудников отдела информационно-технического сопровождения образовательных учреждений. Целью являлось получение детальных сведений о текущем состоянии автоматизированных процессов.</w:t>
      </w:r>
    </w:p>
    <w:p w14:paraId="1A010000">
      <w:pPr>
        <w:spacing w:after="0" w:line="360" w:lineRule="auto"/>
        <w:ind w:firstLine="709" w:left="0"/>
        <w:jc w:val="both"/>
        <w:rPr>
          <w:rFonts w:ascii="Times New Roman" w:hAnsi="Times New Roman"/>
          <w:sz w:val="28"/>
        </w:rPr>
      </w:pPr>
      <w:r>
        <w:rPr>
          <w:rFonts w:ascii="Times New Roman" w:hAnsi="Times New Roman"/>
          <w:sz w:val="28"/>
        </w:rPr>
        <w:t>Непосредственная работа с системами позволила изучить функционал и логику работы каждой из них. Общение с сотрудниками отдела помогло выявить проблемы и узкие места в автоматизации, с которыми они сталкиваются в повседневной деятельности. В результате анализа были выявлены следующие проблемы функционирования автоматизированных систем, с которыми сотрудники и пользователи сталкиваются наиболее часто:</w:t>
      </w:r>
    </w:p>
    <w:p w14:paraId="1B010000">
      <w:pPr>
        <w:spacing w:after="0" w:line="360" w:lineRule="auto"/>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Проблемы интеграции данных между системами. Отсутствие полной синхронизации между ГИС «Образование Югры», АИС «ПДО» и ФГИС «Моя школа» приводит к дублированию ввода данных и возникновению ошибок. Информация об обучающихся может вноситься в каждую систему отдельно, что увеличивает трудозатраты сотрудников и риск возникновения ошибок.</w:t>
      </w:r>
    </w:p>
    <w:p w14:paraId="1C010000">
      <w:pPr>
        <w:spacing w:after="0" w:line="360" w:lineRule="auto"/>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Недостаточная скорость работы системы. В периоды пиковой нагрузки (начало учебного года, период сдачи отчетности, проведение государственной итоговой аттестации) наблюдается замедление работы АИС «ПДО» и ГИС «Образование Югры», что создает трудности для пользователей и увеличивает время выполнения операций.</w:t>
      </w:r>
    </w:p>
    <w:p w14:paraId="1D010000">
      <w:pPr>
        <w:spacing w:after="0" w:line="360" w:lineRule="auto"/>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Сложность интерфейса для пользователей. Некоторые педагоги и родители испытывают трудности при работе с подсистемой «Электронный журнал» и ИКОП «</w:t>
      </w:r>
      <w:r>
        <w:rPr>
          <w:rFonts w:ascii="Times New Roman" w:hAnsi="Times New Roman"/>
          <w:sz w:val="28"/>
        </w:rPr>
        <w:t>Сферум</w:t>
      </w:r>
      <w:r>
        <w:rPr>
          <w:rFonts w:ascii="Times New Roman" w:hAnsi="Times New Roman"/>
          <w:sz w:val="28"/>
        </w:rPr>
        <w:t>» из-за недостаточной интуитивности интерфейса и отсутствия достаточных обучающих материалов. Это приводит к необходимости дополнительных консультаций со стороны сотрудников МАУ «ИОЦ» г. Сургут.</w:t>
      </w:r>
    </w:p>
    <w:p w14:paraId="1E010000">
      <w:pPr>
        <w:spacing w:after="0" w:line="360" w:lineRule="auto"/>
        <w:ind w:firstLine="709"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Проблемы с доставкой уведомлений. Не всегда своевременно приходят уведомления пользователям через встроенные механизмы оповещения в системах, что снижает оперативность информирования участников образовательного процесса.</w:t>
      </w:r>
    </w:p>
    <w:p w14:paraId="1F010000">
      <w:pPr>
        <w:spacing w:after="0" w:line="360" w:lineRule="auto"/>
        <w:ind w:firstLine="709"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Недостаточная автоматизация отчетности. Формирование сводных отчетов для департамента образования Администрации города Сургута требует значительных временных затрат, так как многие процессы не автоматизированы и требуют ручной обработки данных из разных систем.</w:t>
      </w:r>
    </w:p>
    <w:p w14:paraId="20010000">
      <w:pPr>
        <w:spacing w:after="0" w:line="360" w:lineRule="auto"/>
        <w:ind w:firstLine="709"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Зависимость от внешних поставщиков услуг. Работа систем зависит от стабильности работы региональных и федеральных операторов, что может приводить к временным сбоям в работе.</w:t>
      </w:r>
    </w:p>
    <w:p w14:paraId="21010000">
      <w:pPr>
        <w:spacing w:after="0" w:line="360" w:lineRule="auto"/>
        <w:ind w:firstLine="709" w:left="0"/>
        <w:jc w:val="both"/>
        <w:rPr>
          <w:rFonts w:ascii="Times New Roman" w:hAnsi="Times New Roman"/>
          <w:sz w:val="28"/>
        </w:rPr>
      </w:pPr>
      <w:r>
        <w:rPr>
          <w:rFonts w:ascii="Times New Roman" w:hAnsi="Times New Roman"/>
          <w:sz w:val="28"/>
        </w:rPr>
        <w:t>В таблице 6 представлены выявленные проблемы функционирования автоматизированных систем и их влияние на деятельность МАУ «ИОЦ» г. Сургут.</w:t>
      </w:r>
    </w:p>
    <w:p w14:paraId="22010000">
      <w:pPr>
        <w:spacing w:after="0" w:line="360" w:lineRule="auto"/>
        <w:ind/>
        <w:jc w:val="both"/>
        <w:rPr>
          <w:rFonts w:ascii="Times New Roman" w:hAnsi="Times New Roman"/>
          <w:sz w:val="28"/>
        </w:rPr>
      </w:pPr>
      <w:r>
        <w:rPr>
          <w:rFonts w:ascii="Times New Roman" w:hAnsi="Times New Roman"/>
          <w:sz w:val="28"/>
        </w:rPr>
        <w:t>Таблица 6. Проблемы функционирования автоматизированных систем</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482"/>
        <w:gridCol w:w="2350"/>
        <w:gridCol w:w="3416"/>
        <w:gridCol w:w="3096"/>
      </w:tblGrid>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23010000">
            <w:pPr>
              <w:spacing w:after="0" w:line="240" w:lineRule="auto"/>
              <w:ind/>
              <w:jc w:val="center"/>
              <w:rPr>
                <w:rFonts w:ascii="Times New Roman" w:hAnsi="Times New Roman"/>
                <w:b w:val="1"/>
                <w:sz w:val="24"/>
              </w:rPr>
            </w:pPr>
            <w:r>
              <w:rPr>
                <w:rFonts w:ascii="Times New Roman" w:hAnsi="Times New Roman"/>
                <w:b w:val="1"/>
                <w:sz w:val="24"/>
              </w:rPr>
              <w:t>№</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4010000">
            <w:pPr>
              <w:spacing w:after="0" w:line="240" w:lineRule="auto"/>
              <w:ind/>
              <w:jc w:val="center"/>
              <w:rPr>
                <w:rFonts w:ascii="Times New Roman" w:hAnsi="Times New Roman"/>
                <w:b w:val="1"/>
                <w:sz w:val="24"/>
              </w:rPr>
            </w:pPr>
            <w:r>
              <w:rPr>
                <w:rFonts w:ascii="Times New Roman" w:hAnsi="Times New Roman"/>
                <w:b w:val="1"/>
                <w:sz w:val="24"/>
              </w:rPr>
              <w:t>Проблема</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5010000">
            <w:pPr>
              <w:spacing w:after="0" w:line="240" w:lineRule="auto"/>
              <w:ind/>
              <w:jc w:val="center"/>
              <w:rPr>
                <w:rFonts w:ascii="Times New Roman" w:hAnsi="Times New Roman"/>
                <w:b w:val="1"/>
                <w:sz w:val="24"/>
              </w:rPr>
            </w:pPr>
            <w:r>
              <w:rPr>
                <w:rFonts w:ascii="Times New Roman" w:hAnsi="Times New Roman"/>
                <w:b w:val="1"/>
                <w:sz w:val="24"/>
              </w:rPr>
              <w:t>Описание</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6010000">
            <w:pPr>
              <w:spacing w:after="0" w:line="240" w:lineRule="auto"/>
              <w:ind/>
              <w:jc w:val="center"/>
              <w:rPr>
                <w:rFonts w:ascii="Times New Roman" w:hAnsi="Times New Roman"/>
                <w:b w:val="1"/>
                <w:sz w:val="24"/>
              </w:rPr>
            </w:pPr>
            <w:r>
              <w:rPr>
                <w:rFonts w:ascii="Times New Roman" w:hAnsi="Times New Roman"/>
                <w:b w:val="1"/>
                <w:sz w:val="24"/>
              </w:rPr>
              <w:t>Влияние на деятельность</w:t>
            </w:r>
          </w:p>
        </w:tc>
      </w:tr>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27010000">
            <w:pPr>
              <w:spacing w:after="0" w:line="240" w:lineRule="auto"/>
              <w:ind/>
              <w:jc w:val="center"/>
              <w:rPr>
                <w:rFonts w:ascii="Times New Roman" w:hAnsi="Times New Roman"/>
                <w:sz w:val="24"/>
              </w:rPr>
            </w:pPr>
            <w:r>
              <w:rPr>
                <w:rFonts w:ascii="Times New Roman" w:hAnsi="Times New Roman"/>
                <w:sz w:val="24"/>
              </w:rPr>
              <w:t>1</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8010000">
            <w:pPr>
              <w:spacing w:after="0" w:line="240" w:lineRule="auto"/>
              <w:ind/>
              <w:rPr>
                <w:rFonts w:ascii="Times New Roman" w:hAnsi="Times New Roman"/>
                <w:sz w:val="24"/>
              </w:rPr>
            </w:pPr>
            <w:r>
              <w:rPr>
                <w:rFonts w:ascii="Times New Roman" w:hAnsi="Times New Roman"/>
                <w:sz w:val="24"/>
              </w:rPr>
              <w:t>Отсутствие интеграции между системами</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9010000">
            <w:pPr>
              <w:spacing w:after="0" w:line="240" w:lineRule="auto"/>
              <w:ind/>
              <w:rPr>
                <w:rFonts w:ascii="Times New Roman" w:hAnsi="Times New Roman"/>
                <w:sz w:val="24"/>
              </w:rPr>
            </w:pPr>
            <w:r>
              <w:rPr>
                <w:rFonts w:ascii="Times New Roman" w:hAnsi="Times New Roman"/>
                <w:sz w:val="24"/>
              </w:rPr>
              <w:t>Дублирование ввода данных в ГИС «Образование Югры», АИС «ПДО» и ФГИС «Моя школа»</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2A010000">
            <w:pPr>
              <w:spacing w:after="0" w:line="240" w:lineRule="auto"/>
              <w:ind/>
              <w:rPr>
                <w:rFonts w:ascii="Times New Roman" w:hAnsi="Times New Roman"/>
                <w:sz w:val="24"/>
              </w:rPr>
            </w:pPr>
            <w:r>
              <w:rPr>
                <w:rFonts w:ascii="Times New Roman" w:hAnsi="Times New Roman"/>
                <w:sz w:val="24"/>
              </w:rPr>
              <w:t>Увеличение трудозатрат, риск ошибок</w:t>
            </w:r>
          </w:p>
        </w:tc>
      </w:tr>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2B010000">
            <w:pPr>
              <w:spacing w:after="0" w:line="240" w:lineRule="auto"/>
              <w:ind/>
              <w:jc w:val="center"/>
              <w:rPr>
                <w:rFonts w:ascii="Times New Roman" w:hAnsi="Times New Roman"/>
                <w:sz w:val="24"/>
              </w:rPr>
            </w:pPr>
            <w:r>
              <w:rPr>
                <w:rFonts w:ascii="Times New Roman" w:hAnsi="Times New Roman"/>
                <w:sz w:val="24"/>
              </w:rPr>
              <w:t>2</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C010000">
            <w:pPr>
              <w:spacing w:after="0" w:line="240" w:lineRule="auto"/>
              <w:ind/>
              <w:rPr>
                <w:rFonts w:ascii="Times New Roman" w:hAnsi="Times New Roman"/>
                <w:sz w:val="24"/>
              </w:rPr>
            </w:pPr>
            <w:r>
              <w:rPr>
                <w:rFonts w:ascii="Times New Roman" w:hAnsi="Times New Roman"/>
                <w:sz w:val="24"/>
              </w:rPr>
              <w:t>Низкая скорость работы в пиковые периоды</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2D010000">
            <w:pPr>
              <w:spacing w:after="0" w:line="240" w:lineRule="auto"/>
              <w:ind/>
              <w:rPr>
                <w:rFonts w:ascii="Times New Roman" w:hAnsi="Times New Roman"/>
                <w:sz w:val="24"/>
              </w:rPr>
            </w:pPr>
            <w:r>
              <w:rPr>
                <w:rFonts w:ascii="Times New Roman" w:hAnsi="Times New Roman"/>
                <w:sz w:val="24"/>
              </w:rPr>
              <w:t>Замедление работы АИС «ПДО» и ГИС «Образование Югры» в начале учебного года и в период сдачи отчетности</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2E010000">
            <w:pPr>
              <w:spacing w:after="0" w:line="240" w:lineRule="auto"/>
              <w:ind/>
              <w:rPr>
                <w:rFonts w:ascii="Times New Roman" w:hAnsi="Times New Roman"/>
                <w:sz w:val="24"/>
              </w:rPr>
            </w:pPr>
            <w:r>
              <w:rPr>
                <w:rFonts w:ascii="Times New Roman" w:hAnsi="Times New Roman"/>
                <w:sz w:val="24"/>
              </w:rPr>
              <w:t>Увеличение времени выполнения операций, снижение эффективности работы</w:t>
            </w:r>
          </w:p>
        </w:tc>
      </w:tr>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2F010000">
            <w:pPr>
              <w:spacing w:after="0" w:line="240" w:lineRule="auto"/>
              <w:ind/>
              <w:jc w:val="center"/>
              <w:rPr>
                <w:rFonts w:ascii="Times New Roman" w:hAnsi="Times New Roman"/>
                <w:sz w:val="24"/>
              </w:rPr>
            </w:pPr>
            <w:r>
              <w:rPr>
                <w:rFonts w:ascii="Times New Roman" w:hAnsi="Times New Roman"/>
                <w:sz w:val="24"/>
              </w:rPr>
              <w:t>3</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0010000">
            <w:pPr>
              <w:spacing w:after="0" w:line="240" w:lineRule="auto"/>
              <w:ind/>
              <w:rPr>
                <w:rFonts w:ascii="Times New Roman" w:hAnsi="Times New Roman"/>
                <w:sz w:val="24"/>
              </w:rPr>
            </w:pPr>
            <w:r>
              <w:rPr>
                <w:rFonts w:ascii="Times New Roman" w:hAnsi="Times New Roman"/>
                <w:sz w:val="24"/>
              </w:rPr>
              <w:t>Сложность интерфейса для пользователей</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1010000">
            <w:pPr>
              <w:spacing w:after="0" w:line="240" w:lineRule="auto"/>
              <w:ind/>
              <w:rPr>
                <w:rFonts w:ascii="Times New Roman" w:hAnsi="Times New Roman"/>
                <w:sz w:val="24"/>
              </w:rPr>
            </w:pPr>
            <w:r>
              <w:rPr>
                <w:rFonts w:ascii="Times New Roman" w:hAnsi="Times New Roman"/>
                <w:sz w:val="24"/>
              </w:rPr>
              <w:t>Недостаточная интуитивность интерфейса Электронного журнала и ИКОП «</w:t>
            </w:r>
            <w:r>
              <w:rPr>
                <w:rFonts w:ascii="Times New Roman" w:hAnsi="Times New Roman"/>
                <w:sz w:val="24"/>
              </w:rPr>
              <w:t>Сферум</w:t>
            </w:r>
            <w:r>
              <w:rPr>
                <w:rFonts w:ascii="Times New Roman" w:hAnsi="Times New Roman"/>
                <w:sz w:val="24"/>
              </w:rPr>
              <w:t>»</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32010000">
            <w:pPr>
              <w:spacing w:after="0" w:line="240" w:lineRule="auto"/>
              <w:ind/>
              <w:rPr>
                <w:rFonts w:ascii="Times New Roman" w:hAnsi="Times New Roman"/>
                <w:sz w:val="24"/>
              </w:rPr>
            </w:pPr>
            <w:r>
              <w:rPr>
                <w:rFonts w:ascii="Times New Roman" w:hAnsi="Times New Roman"/>
                <w:sz w:val="24"/>
              </w:rPr>
              <w:t>Необходимость дополнительного консультирования, увеличение нагрузки на сотрудников отдела</w:t>
            </w:r>
          </w:p>
        </w:tc>
      </w:tr>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33010000">
            <w:pPr>
              <w:spacing w:after="0" w:line="240" w:lineRule="auto"/>
              <w:ind/>
              <w:jc w:val="center"/>
              <w:rPr>
                <w:rFonts w:ascii="Times New Roman" w:hAnsi="Times New Roman"/>
                <w:sz w:val="24"/>
              </w:rPr>
            </w:pPr>
            <w:r>
              <w:rPr>
                <w:rFonts w:ascii="Times New Roman" w:hAnsi="Times New Roman"/>
                <w:sz w:val="24"/>
              </w:rPr>
              <w:t>4</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4010000">
            <w:pPr>
              <w:spacing w:after="0" w:line="240" w:lineRule="auto"/>
              <w:ind/>
              <w:rPr>
                <w:rFonts w:ascii="Times New Roman" w:hAnsi="Times New Roman"/>
                <w:sz w:val="24"/>
              </w:rPr>
            </w:pPr>
            <w:r>
              <w:rPr>
                <w:rFonts w:ascii="Times New Roman" w:hAnsi="Times New Roman"/>
                <w:sz w:val="24"/>
              </w:rPr>
              <w:t>Проблемы с доставкой уведомлений</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5010000">
            <w:pPr>
              <w:spacing w:after="0" w:line="240" w:lineRule="auto"/>
              <w:ind/>
              <w:rPr>
                <w:rFonts w:ascii="Times New Roman" w:hAnsi="Times New Roman"/>
                <w:sz w:val="24"/>
              </w:rPr>
            </w:pPr>
            <w:r>
              <w:rPr>
                <w:rFonts w:ascii="Times New Roman" w:hAnsi="Times New Roman"/>
                <w:sz w:val="24"/>
              </w:rPr>
              <w:t>Несвоевременное оповещение пользователей через встроенные механизмы систем</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36010000">
            <w:pPr>
              <w:spacing w:after="0" w:line="240" w:lineRule="auto"/>
              <w:ind/>
              <w:rPr>
                <w:rFonts w:ascii="Times New Roman" w:hAnsi="Times New Roman"/>
                <w:sz w:val="24"/>
              </w:rPr>
            </w:pPr>
            <w:r>
              <w:rPr>
                <w:rFonts w:ascii="Times New Roman" w:hAnsi="Times New Roman"/>
                <w:sz w:val="24"/>
              </w:rPr>
              <w:t>Снижение оперативности информирования участников образовательного процесса</w:t>
            </w:r>
          </w:p>
        </w:tc>
      </w:tr>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37010000">
            <w:pPr>
              <w:spacing w:after="0" w:line="240" w:lineRule="auto"/>
              <w:ind/>
              <w:jc w:val="center"/>
              <w:rPr>
                <w:rFonts w:ascii="Times New Roman" w:hAnsi="Times New Roman"/>
                <w:sz w:val="24"/>
              </w:rPr>
            </w:pPr>
            <w:r>
              <w:rPr>
                <w:rFonts w:ascii="Times New Roman" w:hAnsi="Times New Roman"/>
                <w:sz w:val="24"/>
              </w:rPr>
              <w:t>5</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8010000">
            <w:pPr>
              <w:spacing w:after="0" w:line="240" w:lineRule="auto"/>
              <w:ind/>
              <w:rPr>
                <w:rFonts w:ascii="Times New Roman" w:hAnsi="Times New Roman"/>
                <w:sz w:val="24"/>
              </w:rPr>
            </w:pPr>
            <w:r>
              <w:rPr>
                <w:rFonts w:ascii="Times New Roman" w:hAnsi="Times New Roman"/>
                <w:sz w:val="24"/>
              </w:rPr>
              <w:t>Недостаточная автоматизация отчетности</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9010000">
            <w:pPr>
              <w:spacing w:after="0" w:line="240" w:lineRule="auto"/>
              <w:ind/>
              <w:rPr>
                <w:rFonts w:ascii="Times New Roman" w:hAnsi="Times New Roman"/>
                <w:sz w:val="24"/>
              </w:rPr>
            </w:pPr>
            <w:r>
              <w:rPr>
                <w:rFonts w:ascii="Times New Roman" w:hAnsi="Times New Roman"/>
                <w:sz w:val="24"/>
              </w:rPr>
              <w:t>Ручная обработка данных при формировании сводных отчетов</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3A010000">
            <w:pPr>
              <w:spacing w:after="0" w:line="240" w:lineRule="auto"/>
              <w:ind/>
              <w:rPr>
                <w:rFonts w:ascii="Times New Roman" w:hAnsi="Times New Roman"/>
                <w:sz w:val="24"/>
              </w:rPr>
            </w:pPr>
            <w:r>
              <w:rPr>
                <w:rFonts w:ascii="Times New Roman" w:hAnsi="Times New Roman"/>
                <w:sz w:val="24"/>
              </w:rPr>
              <w:t>Значительные временные затраты, риск ошибок</w:t>
            </w:r>
          </w:p>
        </w:tc>
      </w:tr>
      <w:tr>
        <w:tc>
          <w:tcPr>
            <w:tcW w:type="dxa" w:w="482"/>
            <w:tcBorders>
              <w:top w:color="000000" w:sz="4" w:val="single"/>
              <w:left w:color="000000" w:sz="4" w:val="single"/>
              <w:bottom w:color="000000" w:sz="4" w:val="single"/>
              <w:right w:color="000000" w:sz="4" w:val="single"/>
            </w:tcBorders>
            <w:tcMar>
              <w:top w:type="dxa" w:w="0"/>
              <w:left w:type="dxa" w:w="0"/>
              <w:bottom w:type="dxa" w:w="0"/>
              <w:right w:type="dxa" w:w="240"/>
            </w:tcMar>
            <w:vAlign w:val="center"/>
          </w:tcPr>
          <w:p w14:paraId="3B010000">
            <w:pPr>
              <w:spacing w:after="0" w:line="240" w:lineRule="auto"/>
              <w:ind/>
              <w:jc w:val="center"/>
              <w:rPr>
                <w:rFonts w:ascii="Times New Roman" w:hAnsi="Times New Roman"/>
                <w:sz w:val="24"/>
              </w:rPr>
            </w:pPr>
            <w:r>
              <w:rPr>
                <w:rFonts w:ascii="Times New Roman" w:hAnsi="Times New Roman"/>
                <w:sz w:val="24"/>
              </w:rPr>
              <w:t>6</w:t>
            </w:r>
          </w:p>
        </w:tc>
        <w:tc>
          <w:tcPr>
            <w:tcW w:type="dxa" w:w="2350"/>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C010000">
            <w:pPr>
              <w:spacing w:after="0" w:line="240" w:lineRule="auto"/>
              <w:ind/>
              <w:rPr>
                <w:rFonts w:ascii="Times New Roman" w:hAnsi="Times New Roman"/>
                <w:sz w:val="24"/>
              </w:rPr>
            </w:pPr>
            <w:r>
              <w:rPr>
                <w:rFonts w:ascii="Times New Roman" w:hAnsi="Times New Roman"/>
                <w:sz w:val="24"/>
              </w:rPr>
              <w:t>Зависимость от внешних поставщиков</w:t>
            </w:r>
          </w:p>
        </w:tc>
        <w:tc>
          <w:tcPr>
            <w:tcW w:type="dxa" w:w="3416"/>
            <w:tcBorders>
              <w:top w:color="000000" w:sz="4" w:val="single"/>
              <w:left w:color="000000" w:sz="4" w:val="single"/>
              <w:bottom w:color="000000" w:sz="4" w:val="single"/>
              <w:right w:color="000000" w:sz="4" w:val="single"/>
            </w:tcBorders>
            <w:tcMar>
              <w:top w:type="dxa" w:w="0"/>
              <w:left w:type="dxa" w:w="240"/>
              <w:bottom w:type="dxa" w:w="0"/>
              <w:right w:type="dxa" w:w="240"/>
            </w:tcMar>
            <w:vAlign w:val="center"/>
          </w:tcPr>
          <w:p w14:paraId="3D010000">
            <w:pPr>
              <w:spacing w:after="0" w:line="240" w:lineRule="auto"/>
              <w:ind/>
              <w:rPr>
                <w:rFonts w:ascii="Times New Roman" w:hAnsi="Times New Roman"/>
                <w:sz w:val="24"/>
              </w:rPr>
            </w:pPr>
            <w:r>
              <w:rPr>
                <w:rFonts w:ascii="Times New Roman" w:hAnsi="Times New Roman"/>
                <w:sz w:val="24"/>
              </w:rPr>
              <w:t>Работа систем зависит от стабильности региональных и федеральных операторов</w:t>
            </w:r>
          </w:p>
        </w:tc>
        <w:tc>
          <w:tcPr>
            <w:tcW w:type="dxa" w:w="3096"/>
            <w:tcBorders>
              <w:top w:color="000000" w:sz="4" w:val="single"/>
              <w:left w:color="000000" w:sz="4" w:val="single"/>
              <w:bottom w:color="000000" w:sz="4" w:val="single"/>
              <w:right w:color="000000" w:sz="4" w:val="single"/>
            </w:tcBorders>
            <w:tcMar>
              <w:top w:type="dxa" w:w="0"/>
              <w:left w:type="dxa" w:w="240"/>
              <w:bottom w:type="dxa" w:w="0"/>
              <w:right w:type="dxa" w:w="0"/>
            </w:tcMar>
            <w:vAlign w:val="center"/>
          </w:tcPr>
          <w:p w14:paraId="3E010000">
            <w:pPr>
              <w:spacing w:after="0" w:line="240" w:lineRule="auto"/>
              <w:ind/>
              <w:rPr>
                <w:rFonts w:ascii="Times New Roman" w:hAnsi="Times New Roman"/>
                <w:sz w:val="24"/>
              </w:rPr>
            </w:pPr>
            <w:r>
              <w:rPr>
                <w:rFonts w:ascii="Times New Roman" w:hAnsi="Times New Roman"/>
                <w:sz w:val="24"/>
              </w:rPr>
              <w:t>Временные сбои в работе систем</w:t>
            </w:r>
          </w:p>
        </w:tc>
      </w:tr>
    </w:tbl>
    <w:p w14:paraId="3F010000">
      <w:pPr>
        <w:spacing w:after="0" w:line="360" w:lineRule="auto"/>
        <w:ind w:firstLine="709" w:left="0"/>
        <w:jc w:val="both"/>
        <w:rPr>
          <w:rFonts w:ascii="Times New Roman" w:hAnsi="Times New Roman"/>
          <w:sz w:val="28"/>
        </w:rPr>
      </w:pPr>
      <w:r>
        <w:rPr>
          <w:rFonts w:ascii="Times New Roman" w:hAnsi="Times New Roman"/>
          <w:sz w:val="28"/>
        </w:rPr>
        <w:t>Анализ данных, представленных в таблице 6, позволяет систематизировать проблемы функционирования автоматизированных систем в МАУ «ИОЦ» г. Сургут и оценить их влияние на деятельность учреждения.</w:t>
      </w:r>
    </w:p>
    <w:p w14:paraId="40010000">
      <w:pPr>
        <w:spacing w:after="0" w:line="360" w:lineRule="auto"/>
        <w:ind w:firstLine="709" w:left="0"/>
        <w:jc w:val="both"/>
        <w:rPr>
          <w:rFonts w:ascii="Times New Roman" w:hAnsi="Times New Roman"/>
          <w:sz w:val="28"/>
        </w:rPr>
      </w:pPr>
      <w:r>
        <w:rPr>
          <w:rFonts w:ascii="Times New Roman" w:hAnsi="Times New Roman"/>
          <w:sz w:val="28"/>
        </w:rPr>
        <w:t>Как показывают данные таблицы, все выявленные проблемы можно разделить на три группы: технические (отсутствие интеграции между системами, низкая скорость работы в пиковые периоды, зависимость от внешних поставщиков), пользовательские (сложность интерфейса, проблемы с доставкой уведомлений) и организационные (недостаточная автоматизация отчетности).</w:t>
      </w:r>
    </w:p>
    <w:p w14:paraId="41010000">
      <w:pPr>
        <w:spacing w:after="0" w:line="360" w:lineRule="auto"/>
        <w:ind w:firstLine="709" w:left="0"/>
        <w:jc w:val="both"/>
        <w:rPr>
          <w:rFonts w:ascii="Times New Roman" w:hAnsi="Times New Roman"/>
          <w:sz w:val="28"/>
        </w:rPr>
      </w:pPr>
      <w:r>
        <w:rPr>
          <w:rFonts w:ascii="Times New Roman" w:hAnsi="Times New Roman"/>
          <w:sz w:val="28"/>
        </w:rPr>
        <w:t>Наиболее значимой проблемой является отсутствие интеграции между системами, поскольку она приводит к дублированию ввода данных и увеличению трудозатрат сотрудников. Данная проблема затрагивает все ключевые системы учреждения и создает дополнительные риски возникновения ошибок при ручном вводе информации.</w:t>
      </w:r>
    </w:p>
    <w:p w14:paraId="42010000">
      <w:pPr>
        <w:spacing w:after="0" w:line="360" w:lineRule="auto"/>
        <w:ind w:firstLine="709" w:left="0"/>
        <w:jc w:val="both"/>
        <w:rPr>
          <w:rFonts w:ascii="Times New Roman" w:hAnsi="Times New Roman"/>
          <w:sz w:val="28"/>
        </w:rPr>
      </w:pPr>
      <w:r>
        <w:rPr>
          <w:rFonts w:ascii="Times New Roman" w:hAnsi="Times New Roman"/>
          <w:sz w:val="28"/>
        </w:rPr>
        <w:t>Проблемы низкой скорости работы в пиковые периоды и недостаточной автоматизации отчетности также оказывают существенное влияние на деятельность учреждения, поскольку увеличивают время выполнения операций и снижают эффективность работы сотрудников в наиболее напряженные периоды (начало учебного года, период сдачи отчетности).</w:t>
      </w:r>
    </w:p>
    <w:p w14:paraId="43010000">
      <w:pPr>
        <w:spacing w:after="0" w:line="360" w:lineRule="auto"/>
        <w:ind w:firstLine="709" w:left="0"/>
        <w:jc w:val="both"/>
        <w:rPr>
          <w:rFonts w:ascii="Times New Roman" w:hAnsi="Times New Roman"/>
          <w:sz w:val="28"/>
        </w:rPr>
      </w:pPr>
      <w:r>
        <w:rPr>
          <w:rFonts w:ascii="Times New Roman" w:hAnsi="Times New Roman"/>
          <w:sz w:val="28"/>
        </w:rPr>
        <w:t>Пользовательские проблемы (сложность интерфейса, проблемы с доставкой уведомлений) хотя и не являются критическими для функционирования систем, но создают дополнительную нагрузку на сотрудников отдела информационно-технического сопровождения, вынужденных проводить дополнительные консультации пользователей.</w:t>
      </w:r>
    </w:p>
    <w:p w14:paraId="44010000">
      <w:pPr>
        <w:spacing w:after="0" w:line="360" w:lineRule="auto"/>
        <w:ind w:firstLine="709" w:left="0"/>
        <w:jc w:val="both"/>
        <w:rPr>
          <w:rFonts w:ascii="Times New Roman" w:hAnsi="Times New Roman"/>
          <w:sz w:val="28"/>
        </w:rPr>
      </w:pPr>
      <w:r>
        <w:rPr>
          <w:rFonts w:ascii="Times New Roman" w:hAnsi="Times New Roman"/>
          <w:sz w:val="28"/>
        </w:rPr>
        <w:t>Зависимость от внешних поставщиков услуг является внешним фактором, который учреждение не может контролировать, однако своевременное информирование пользователей о возможных сбоях и оперативное взаимодействие с поставщиками позволяет минимизировать негативные последствия.</w:t>
      </w:r>
    </w:p>
    <w:p w14:paraId="45010000">
      <w:pPr>
        <w:spacing w:after="0" w:line="360" w:lineRule="auto"/>
        <w:ind w:firstLine="709" w:left="0"/>
        <w:jc w:val="both"/>
        <w:rPr>
          <w:rFonts w:ascii="Times New Roman" w:hAnsi="Times New Roman"/>
          <w:sz w:val="28"/>
        </w:rPr>
      </w:pPr>
      <w:r>
        <w:rPr>
          <w:rFonts w:ascii="Times New Roman" w:hAnsi="Times New Roman"/>
          <w:sz w:val="28"/>
        </w:rPr>
        <w:t>Таким образом, для повышения эффективности функционирования автоматизированных систем МАУ «ИОЦ» г. Сургут требуется комплексное решение выявленных проблем, включающее как технические мероприятия (интеграция систем, оптимизация производительности), так и организационные (разработка инструкций для пользователей, автоматизация отчетности).</w:t>
      </w:r>
    </w:p>
    <w:p w14:paraId="46010000">
      <w:bookmarkStart w:id="9" w:name="__RefHeading___8"/>
      <w:bookmarkEnd w:id="9"/>
      <w:pPr>
        <w:keepNext w:val="1"/>
        <w:keepLines w:val="1"/>
        <w:spacing w:after="0" w:line="360" w:lineRule="auto"/>
        <w:ind w:firstLine="709" w:left="0"/>
        <w:outlineLvl w:val="0"/>
        <w:rPr>
          <w:rFonts w:ascii="Times New Roman" w:hAnsi="Times New Roman"/>
          <w:b w:val="1"/>
          <w:color w:themeColor="text1" w:val="000000"/>
          <w:sz w:val="28"/>
        </w:rPr>
      </w:pPr>
      <w:r>
        <w:rPr>
          <w:rFonts w:ascii="Times New Roman" w:hAnsi="Times New Roman"/>
          <w:b w:val="1"/>
          <w:color w:themeColor="text1" w:val="000000"/>
          <w:sz w:val="28"/>
        </w:rPr>
        <w:t>7</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r>
        <w:rPr>
          <w:rFonts w:ascii="Times New Roman" w:hAnsi="Times New Roman"/>
          <w:b w:val="1"/>
          <w:color w:themeColor="text1" w:val="000000"/>
          <w:sz w:val="28"/>
        </w:rPr>
        <w:t>Рекомендации по улучшению автоматизированных процессов</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p>
    <w:p w14:paraId="47010000">
      <w:pPr>
        <w:spacing w:after="0" w:line="360" w:lineRule="auto"/>
        <w:ind w:firstLine="709" w:left="0"/>
        <w:jc w:val="both"/>
        <w:rPr>
          <w:rFonts w:ascii="Times New Roman" w:hAnsi="Times New Roman"/>
          <w:sz w:val="28"/>
        </w:rPr>
      </w:pPr>
      <w:r>
        <w:rPr>
          <w:rFonts w:ascii="Times New Roman" w:hAnsi="Times New Roman"/>
          <w:sz w:val="28"/>
        </w:rPr>
        <w:t>По результатам анализа проблем функционирования автоматизированных систем в МАУ «ИОЦ» г. Сургут были разработаны рекомендации, направленные на повышение эффективности автоматизированных процессов и устранение выявленных недостатков.</w:t>
      </w:r>
    </w:p>
    <w:p w14:paraId="4801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 Организация централизованной интеграции данных.</w:t>
      </w:r>
    </w:p>
    <w:p w14:paraId="49010000">
      <w:pPr>
        <w:spacing w:after="0" w:line="360" w:lineRule="auto"/>
        <w:ind w:firstLine="709" w:left="0"/>
        <w:jc w:val="both"/>
        <w:rPr>
          <w:rFonts w:ascii="Times New Roman" w:hAnsi="Times New Roman"/>
          <w:sz w:val="28"/>
        </w:rPr>
      </w:pPr>
      <w:r>
        <w:rPr>
          <w:rFonts w:ascii="Times New Roman" w:hAnsi="Times New Roman"/>
          <w:sz w:val="28"/>
        </w:rPr>
        <w:t>Для решения проблемы дублирования ввода информации предлагается разработать единый механизм синхронизации данных между ГИС «Образование Югры», АИС «ПДО» и ФГИС «Моя школа» на основе единого идентификатора обучающегося. Внедрение системы автоматического обмена данными позволит исключить ручное дублирование информации и снизить риск возникновения ошибок. Также рекомендуется создать единый справочник участников образовательного процесса, используемый во всех системах.</w:t>
      </w:r>
    </w:p>
    <w:p w14:paraId="4A01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Оптимизация производительности систем.</w:t>
      </w:r>
    </w:p>
    <w:p w14:paraId="4B010000">
      <w:pPr>
        <w:spacing w:after="0" w:line="360" w:lineRule="auto"/>
        <w:ind w:firstLine="709" w:left="0"/>
        <w:jc w:val="both"/>
        <w:rPr>
          <w:rFonts w:ascii="Times New Roman" w:hAnsi="Times New Roman"/>
          <w:sz w:val="28"/>
        </w:rPr>
      </w:pPr>
      <w:r>
        <w:rPr>
          <w:rFonts w:ascii="Times New Roman" w:hAnsi="Times New Roman"/>
          <w:sz w:val="28"/>
        </w:rPr>
        <w:t>Для повышения скорости работы систем в периоды пиковых нагрузок предлагается провести технический аудит серверного оборудования и сетевой инфраструктуры, оптимизировать запросы к базам данных, а также рассмотреть возможность использования облачных решений для распределения нагрузки. Данные меры позволят обеспечить стабильную работу систем в наиболее напряженные периоды (начало учебного года, период сдачи отчетности, проведение государственной итоговой аттестации).</w:t>
      </w:r>
    </w:p>
    <w:p w14:paraId="4C01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Улучшение пользовательского интерфейса и обучение пользователей.</w:t>
      </w:r>
    </w:p>
    <w:p w14:paraId="4D010000">
      <w:pPr>
        <w:spacing w:after="0" w:line="360" w:lineRule="auto"/>
        <w:ind w:firstLine="709" w:left="0"/>
        <w:jc w:val="both"/>
        <w:rPr>
          <w:rFonts w:ascii="Times New Roman" w:hAnsi="Times New Roman"/>
          <w:sz w:val="28"/>
        </w:rPr>
      </w:pPr>
      <w:r>
        <w:rPr>
          <w:rFonts w:ascii="Times New Roman" w:hAnsi="Times New Roman"/>
          <w:sz w:val="28"/>
        </w:rPr>
        <w:t xml:space="preserve">Для снижения сложности работы с системами рекомендуется разработать краткие инструкции и </w:t>
      </w:r>
      <w:r>
        <w:rPr>
          <w:rFonts w:ascii="Times New Roman" w:hAnsi="Times New Roman"/>
          <w:sz w:val="28"/>
        </w:rPr>
        <w:t>видеоуроки</w:t>
      </w:r>
      <w:r>
        <w:rPr>
          <w:rFonts w:ascii="Times New Roman" w:hAnsi="Times New Roman"/>
          <w:sz w:val="28"/>
        </w:rPr>
        <w:t xml:space="preserve"> для пользователей, внедрить систему подсказок непосредственно в интерфейсах, а также провести серию </w:t>
      </w:r>
      <w:r>
        <w:rPr>
          <w:rFonts w:ascii="Times New Roman" w:hAnsi="Times New Roman"/>
          <w:sz w:val="28"/>
        </w:rPr>
        <w:t>вебинаров</w:t>
      </w:r>
      <w:r>
        <w:rPr>
          <w:rFonts w:ascii="Times New Roman" w:hAnsi="Times New Roman"/>
          <w:sz w:val="28"/>
        </w:rPr>
        <w:t xml:space="preserve"> для педагогических работников по эффективной работе с системами. Это позволит снизить нагрузку на сотрудников отдела информационно-технического сопровождения и повысить самостоятельность пользователей при работе с автоматизированными системами.</w:t>
      </w:r>
    </w:p>
    <w:p w14:paraId="4E01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Настройка системы оповещений.</w:t>
      </w:r>
    </w:p>
    <w:p w14:paraId="4F010000">
      <w:pPr>
        <w:spacing w:after="0" w:line="360" w:lineRule="auto"/>
        <w:ind w:firstLine="709" w:left="0"/>
        <w:jc w:val="both"/>
        <w:rPr>
          <w:rFonts w:ascii="Times New Roman" w:hAnsi="Times New Roman"/>
          <w:sz w:val="28"/>
        </w:rPr>
      </w:pPr>
      <w:r>
        <w:rPr>
          <w:rFonts w:ascii="Times New Roman" w:hAnsi="Times New Roman"/>
          <w:sz w:val="28"/>
        </w:rPr>
        <w:t>Для обеспечения своевременного информирования участников образовательного процесса рекомендуется настроить модули отправки уведомлений через альтернативные каналы связи, в том числе электронную почту и мессенджеры. Обеспечение дублирования критических уведомлений несколькими способами позволит гарантировать их доставку даже при сбоях одного из каналов.</w:t>
      </w:r>
    </w:p>
    <w:p w14:paraId="50010000">
      <w:pPr>
        <w:spacing w:after="0" w:line="36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Автоматизация формирования отчетности.</w:t>
      </w:r>
    </w:p>
    <w:p w14:paraId="51010000">
      <w:pPr>
        <w:spacing w:after="0" w:line="360" w:lineRule="auto"/>
        <w:ind w:firstLine="709" w:left="0"/>
        <w:jc w:val="both"/>
        <w:rPr>
          <w:rFonts w:ascii="Times New Roman" w:hAnsi="Times New Roman"/>
          <w:sz w:val="28"/>
        </w:rPr>
      </w:pPr>
      <w:r>
        <w:rPr>
          <w:rFonts w:ascii="Times New Roman" w:hAnsi="Times New Roman"/>
          <w:sz w:val="28"/>
        </w:rPr>
        <w:t>Для сокращения временных затрат на подготовку отчетов предлагается разработать шаблоны автоматической генерации сводных отчетов по ключевым показателям деятельности, внедрить механизмы автоматической выгрузки данных в требуемых форматах, а также создать систему мониторинга ключевых показателей в режиме реального времени. Данные меры позволят минимизировать ручную обработку данных и снизить риск возникновения ошибок при формировании отчетности.</w:t>
      </w:r>
    </w:p>
    <w:p w14:paraId="52010000">
      <w:pPr>
        <w:spacing w:after="0" w:line="360" w:lineRule="auto"/>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Развитие системы мониторинга и контроля.</w:t>
      </w:r>
    </w:p>
    <w:p w14:paraId="53010000">
      <w:pPr>
        <w:spacing w:after="0" w:line="360" w:lineRule="auto"/>
        <w:ind w:firstLine="709" w:left="0"/>
        <w:jc w:val="both"/>
        <w:rPr>
          <w:rFonts w:ascii="Times New Roman" w:hAnsi="Times New Roman"/>
          <w:sz w:val="28"/>
        </w:rPr>
      </w:pPr>
      <w:r>
        <w:rPr>
          <w:rFonts w:ascii="Times New Roman" w:hAnsi="Times New Roman"/>
          <w:sz w:val="28"/>
        </w:rPr>
        <w:t>Рекомендуется внедрить систему автоматического мониторинга работоспособности автоматизированных систем, которая позволит оперативно выявлять сбои и информировать ответственных сотрудников. Также предлагается создать регламент взаимодействия с региональными и федеральными операторами систем для оперативного решения возникающих проблем.</w:t>
      </w:r>
    </w:p>
    <w:p w14:paraId="54010000">
      <w:pPr>
        <w:spacing w:after="0" w:line="360" w:lineRule="auto"/>
        <w:ind w:firstLine="709" w:left="0"/>
        <w:jc w:val="both"/>
        <w:rPr>
          <w:rFonts w:ascii="Times New Roman" w:hAnsi="Times New Roman"/>
          <w:sz w:val="28"/>
        </w:rPr>
      </w:pPr>
      <w:r>
        <w:rPr>
          <w:rFonts w:ascii="Times New Roman" w:hAnsi="Times New Roman"/>
          <w:sz w:val="28"/>
        </w:rPr>
        <w:t>Реализация данных рекомендаций позволит повысить эффективность автоматизированных процессов МАУ «ИОЦ» г. Сургут, снизить трудозатраты сотрудников, повысить удовлетворенность пользователей и обеспечить более качественное информационно-организационное сопровождение образовательных учреждений города Сургута.</w:t>
      </w:r>
    </w:p>
    <w:p w14:paraId="55010000">
      <w:bookmarkStart w:id="10" w:name="__RefHeading___9"/>
      <w:bookmarkEnd w:id="10"/>
      <w:pPr>
        <w:keepNext w:val="1"/>
        <w:keepLines w:val="1"/>
        <w:spacing w:after="0" w:line="360" w:lineRule="auto"/>
        <w:ind w:firstLine="709" w:left="0"/>
        <w:outlineLvl w:val="0"/>
        <w:rPr>
          <w:rFonts w:ascii="Times New Roman" w:hAnsi="Times New Roman"/>
          <w:b w:val="1"/>
          <w:color w:themeColor="text1" w:val="000000"/>
          <w:sz w:val="28"/>
        </w:rPr>
      </w:pPr>
      <w:r>
        <w:rPr>
          <w:rFonts w:ascii="Times New Roman" w:hAnsi="Times New Roman"/>
          <w:b w:val="1"/>
          <w:color w:themeColor="text1" w:val="000000"/>
          <w:sz w:val="28"/>
        </w:rPr>
        <w:t>8</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r>
        <w:rPr>
          <w:rFonts w:ascii="Times New Roman" w:hAnsi="Times New Roman"/>
          <w:b w:val="1"/>
          <w:color w:themeColor="text1" w:val="000000"/>
          <w:sz w:val="28"/>
        </w:rPr>
        <w:t>Направления оптимизации автоматизации бизнес-процессов</w:t>
      </w:r>
      <w:r>
        <w:rPr>
          <w:rFonts w:ascii="Times New Roman" w:hAnsi="Times New Roman"/>
          <w:b w:val="1"/>
          <w:color w:themeColor="text1" w:val="000000"/>
          <w:sz w:val="28"/>
        </w:rPr>
        <w:t xml:space="preserve">  </w:t>
      </w:r>
      <w:r>
        <w:rPr>
          <w:rFonts w:ascii="Times New Roman" w:hAnsi="Times New Roman"/>
          <w:b w:val="1"/>
          <w:color w:themeColor="text1" w:val="000000"/>
          <w:sz w:val="28"/>
        </w:rPr>
        <w:t xml:space="preserve"> </w:t>
      </w:r>
    </w:p>
    <w:p w14:paraId="56010000">
      <w:pPr>
        <w:spacing w:after="0" w:line="360" w:lineRule="auto"/>
        <w:ind w:firstLine="709" w:left="0"/>
        <w:jc w:val="both"/>
        <w:rPr>
          <w:rFonts w:ascii="Times New Roman" w:hAnsi="Times New Roman"/>
          <w:sz w:val="28"/>
        </w:rPr>
      </w:pPr>
      <w:r>
        <w:rPr>
          <w:rFonts w:ascii="Times New Roman" w:hAnsi="Times New Roman"/>
          <w:sz w:val="28"/>
        </w:rPr>
        <w:t>Программные комплексы, используемые в МАУ «ИОЦ» г. Сургут, отвечают основным требованиям, предъявляемым к системам для управления образовательными процессами, и позволяют организовать комплексную информационную систему, соответствующую муниципальным и федеральным стандартам. Однако, проанализировав проблемы функционирования автоматизированных систем, а также разработав рекомендации по их улучшению, можно выделить пять основных направлений оптимизации автоматизации бизнес-процессов МАУ «ИОЦ» г. Сургут.</w:t>
      </w:r>
    </w:p>
    <w:p w14:paraId="5701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 Интеграция автоматизированных систем.</w:t>
      </w:r>
    </w:p>
    <w:p w14:paraId="58010000">
      <w:pPr>
        <w:spacing w:after="0" w:line="360" w:lineRule="auto"/>
        <w:ind w:firstLine="709" w:left="0"/>
        <w:jc w:val="both"/>
        <w:rPr>
          <w:rFonts w:ascii="Times New Roman" w:hAnsi="Times New Roman"/>
          <w:sz w:val="28"/>
        </w:rPr>
      </w:pPr>
      <w:r>
        <w:rPr>
          <w:rFonts w:ascii="Times New Roman" w:hAnsi="Times New Roman"/>
          <w:sz w:val="28"/>
        </w:rPr>
        <w:t>Внедрение единой точки входа для всех участников образовательного процесса с использованием единого идентификатора является одним из ключевых направлений оптимизации. Создание единого личного кабинета, объединяющего доступ ко всем автоматизированным системам (ГИС «Образование Югры», АИС «Одаренные дети», АИС «ПДО», ФГИС «Моя школа», ИКОП «</w:t>
      </w:r>
      <w:r>
        <w:rPr>
          <w:rFonts w:ascii="Times New Roman" w:hAnsi="Times New Roman"/>
          <w:sz w:val="28"/>
        </w:rPr>
        <w:t>Сферум</w:t>
      </w:r>
      <w:r>
        <w:rPr>
          <w:rFonts w:ascii="Times New Roman" w:hAnsi="Times New Roman"/>
          <w:sz w:val="28"/>
        </w:rPr>
        <w:t>»), позволит пользователям работать с системами через единый интерфейс без необходимости многократной авторизации.</w:t>
      </w:r>
    </w:p>
    <w:p w14:paraId="59010000">
      <w:pPr>
        <w:spacing w:after="0" w:line="360" w:lineRule="auto"/>
        <w:ind w:firstLine="709" w:left="0"/>
        <w:jc w:val="both"/>
        <w:rPr>
          <w:rFonts w:ascii="Times New Roman" w:hAnsi="Times New Roman"/>
          <w:sz w:val="28"/>
        </w:rPr>
      </w:pPr>
      <w:r>
        <w:rPr>
          <w:rFonts w:ascii="Times New Roman" w:hAnsi="Times New Roman"/>
          <w:sz w:val="28"/>
        </w:rPr>
        <w:t>Кроме того, реализация автоматического обмена данными между системами с использованием единых справочников (обучающихся, педагогов, образовательных учреждений) позволит исключить ручной ввод информации и минимизировать ошибки.</w:t>
      </w:r>
    </w:p>
    <w:p w14:paraId="5A01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Повышение производительности.</w:t>
      </w:r>
    </w:p>
    <w:p w14:paraId="5B010000">
      <w:pPr>
        <w:spacing w:after="0" w:line="360" w:lineRule="auto"/>
        <w:ind w:firstLine="709" w:left="0"/>
        <w:jc w:val="both"/>
        <w:rPr>
          <w:rFonts w:ascii="Times New Roman" w:hAnsi="Times New Roman"/>
          <w:sz w:val="28"/>
        </w:rPr>
      </w:pPr>
      <w:r>
        <w:rPr>
          <w:rFonts w:ascii="Times New Roman" w:hAnsi="Times New Roman"/>
          <w:sz w:val="28"/>
        </w:rPr>
        <w:t>Модернизация технической инфраструктуры является необходимым условием для обеспечения стабильной работы систем в периоды пиковых нагрузок. Данное направление включает оптимизацию серверного оборудования, увеличение пропускной способности каналов связи, а также внедрение современных технологий обработки данных. Использование облачных решений для распределения нагрузки позволит обеспечить масштабируемость системы в зависимости от текущих потребностей.</w:t>
      </w:r>
    </w:p>
    <w:p w14:paraId="5C01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Улучшение пользовательского опыта.</w:t>
      </w:r>
    </w:p>
    <w:p w14:paraId="5D010000">
      <w:pPr>
        <w:spacing w:after="0" w:line="360" w:lineRule="auto"/>
        <w:ind w:firstLine="709" w:left="0"/>
        <w:jc w:val="both"/>
        <w:rPr>
          <w:rFonts w:ascii="Times New Roman" w:hAnsi="Times New Roman"/>
          <w:sz w:val="28"/>
        </w:rPr>
      </w:pPr>
      <w:r>
        <w:rPr>
          <w:rFonts w:ascii="Times New Roman" w:hAnsi="Times New Roman"/>
          <w:sz w:val="28"/>
        </w:rPr>
        <w:t xml:space="preserve">Адаптация интерфейсов под различные категории пользователей с учетом их потребностей и уровня технической подготовки является важным направлением оптимизации. Разработка ролевых интерфейсов для педагогов, родителей, обучающихся и </w:t>
      </w:r>
      <w:r>
        <w:rPr>
          <w:rFonts w:ascii="Times New Roman" w:hAnsi="Times New Roman"/>
          <w:sz w:val="28"/>
        </w:rPr>
        <w:t>администраторов,</w:t>
      </w:r>
      <w:r>
        <w:rPr>
          <w:rFonts w:ascii="Times New Roman" w:hAnsi="Times New Roman"/>
          <w:sz w:val="28"/>
        </w:rPr>
        <w:t xml:space="preserve"> позволит каждому пользователю видеть только необходимую ему информацию и функции. Внедрение системы подсказок и обучения непосредственно в интерфейсах, а также создание справочных материалов и </w:t>
      </w:r>
      <w:r>
        <w:rPr>
          <w:rFonts w:ascii="Times New Roman" w:hAnsi="Times New Roman"/>
          <w:sz w:val="28"/>
        </w:rPr>
        <w:t>видеоуроков</w:t>
      </w:r>
      <w:r>
        <w:rPr>
          <w:rFonts w:ascii="Times New Roman" w:hAnsi="Times New Roman"/>
          <w:sz w:val="28"/>
        </w:rPr>
        <w:t xml:space="preserve"> упростит работу с системами для всех категорий пользователей.</w:t>
      </w:r>
    </w:p>
    <w:p w14:paraId="5E01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Автоматизация отчетности.</w:t>
      </w:r>
    </w:p>
    <w:p w14:paraId="5F010000">
      <w:pPr>
        <w:spacing w:after="0" w:line="360" w:lineRule="auto"/>
        <w:ind w:firstLine="709" w:left="0"/>
        <w:jc w:val="both"/>
        <w:rPr>
          <w:rFonts w:ascii="Times New Roman" w:hAnsi="Times New Roman"/>
          <w:sz w:val="28"/>
        </w:rPr>
      </w:pPr>
      <w:r>
        <w:rPr>
          <w:rFonts w:ascii="Times New Roman" w:hAnsi="Times New Roman"/>
          <w:sz w:val="28"/>
        </w:rPr>
        <w:t xml:space="preserve">Разработка инструментов для быстрого формирования аналитических отчетов по ключевым показателям деятельности является одним из наиболее востребованных направлений оптимизации. Создание шаблонов автоматической генерации сводных отчетов, внедрение механизмов автоматической выгрузки данных в требуемых форматах, а также создание </w:t>
      </w:r>
      <w:r>
        <w:rPr>
          <w:rFonts w:ascii="Times New Roman" w:hAnsi="Times New Roman"/>
          <w:sz w:val="28"/>
        </w:rPr>
        <w:t>дашбордов</w:t>
      </w:r>
      <w:r>
        <w:rPr>
          <w:rFonts w:ascii="Times New Roman" w:hAnsi="Times New Roman"/>
          <w:sz w:val="28"/>
        </w:rPr>
        <w:t xml:space="preserve"> для визуализации ключевых показателей в режиме реального времени позволит минимизировать ручную обработку данных, снизить трудозатраты сотрудников и ускорить подготовку отчетности для департамента образования Администрации города Сургута.</w:t>
      </w:r>
    </w:p>
    <w:p w14:paraId="60010000">
      <w:pPr>
        <w:spacing w:after="0" w:line="36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Развитие мобильных решений.</w:t>
      </w:r>
    </w:p>
    <w:p w14:paraId="61010000">
      <w:pPr>
        <w:spacing w:after="0" w:line="360" w:lineRule="auto"/>
        <w:ind w:firstLine="709" w:left="0"/>
        <w:jc w:val="both"/>
        <w:rPr>
          <w:rFonts w:ascii="Times New Roman" w:hAnsi="Times New Roman"/>
          <w:sz w:val="28"/>
        </w:rPr>
      </w:pPr>
      <w:r>
        <w:rPr>
          <w:rFonts w:ascii="Times New Roman" w:hAnsi="Times New Roman"/>
          <w:sz w:val="28"/>
        </w:rPr>
        <w:t>Обеспечение полноценного доступа к системам через мобильные устройства для повышения удобства использования является перспективным направлением оптимизации. Разработка мобильных приложений или адаптация веб-интерфейсов для мобильных устройств позволит пользователям работать с системами в любое время и в любом месте, что особенно актуально для родителей и педагогов. Мобильные решения также позволят оперативно получать уведомления и информацию об успеваемости детей, а также подавать заявления на получение сертификатов дополнительного образования.</w:t>
      </w:r>
    </w:p>
    <w:p w14:paraId="62010000">
      <w:pPr>
        <w:spacing w:after="0" w:line="360" w:lineRule="auto"/>
        <w:ind w:firstLine="709" w:left="0"/>
        <w:jc w:val="both"/>
        <w:rPr>
          <w:rFonts w:ascii="Times New Roman" w:hAnsi="Times New Roman"/>
          <w:sz w:val="28"/>
        </w:rPr>
      </w:pPr>
      <w:r>
        <w:rPr>
          <w:rFonts w:ascii="Times New Roman" w:hAnsi="Times New Roman"/>
          <w:sz w:val="28"/>
        </w:rPr>
        <w:t>Реализация данных направлений оптимизации позволит МАУ «ИОЦ» г. Сургут повысить эффективность автоматизации бизнес-процессов, снизить трудозатраты сотрудников, улучшить качество информационно-организационного сопровождения образовательных учреждений и обеспечить высокий уровень удовлетворенности всех участников образовательного процесса.</w:t>
      </w:r>
    </w:p>
    <w:p w14:paraId="63010000">
      <w:pPr>
        <w:spacing w:after="0" w:line="360" w:lineRule="auto"/>
        <w:ind w:firstLine="709" w:left="0"/>
        <w:jc w:val="both"/>
        <w:rPr>
          <w:rFonts w:ascii="Times New Roman" w:hAnsi="Times New Roman"/>
          <w:sz w:val="28"/>
        </w:rPr>
      </w:pPr>
    </w:p>
    <w:p w14:paraId="64010000">
      <w:pPr>
        <w:spacing w:after="0" w:line="360" w:lineRule="auto"/>
        <w:ind w:firstLine="709" w:left="0"/>
        <w:jc w:val="both"/>
        <w:rPr>
          <w:rFonts w:ascii="Times New Roman" w:hAnsi="Times New Roman"/>
          <w:sz w:val="28"/>
        </w:rPr>
      </w:pPr>
    </w:p>
    <w:p w14:paraId="65010000">
      <w:pPr>
        <w:spacing w:after="0" w:line="360" w:lineRule="auto"/>
        <w:ind w:firstLine="709" w:left="0"/>
        <w:jc w:val="both"/>
        <w:rPr>
          <w:rFonts w:ascii="Times New Roman" w:hAnsi="Times New Roman"/>
          <w:sz w:val="28"/>
        </w:rPr>
      </w:pPr>
    </w:p>
    <w:p w14:paraId="66010000">
      <w:pPr>
        <w:spacing w:after="0" w:line="360" w:lineRule="auto"/>
        <w:ind w:firstLine="709" w:left="0"/>
        <w:jc w:val="both"/>
        <w:rPr>
          <w:rFonts w:ascii="Times New Roman" w:hAnsi="Times New Roman"/>
          <w:sz w:val="28"/>
        </w:rPr>
      </w:pPr>
    </w:p>
    <w:p w14:paraId="67010000">
      <w:pPr>
        <w:spacing w:after="0" w:line="360" w:lineRule="auto"/>
        <w:ind w:firstLine="709" w:left="0"/>
        <w:jc w:val="both"/>
        <w:rPr>
          <w:rFonts w:ascii="Times New Roman" w:hAnsi="Times New Roman"/>
          <w:sz w:val="28"/>
        </w:rPr>
      </w:pPr>
    </w:p>
    <w:p w14:paraId="68010000">
      <w:pPr>
        <w:spacing w:after="0" w:line="360" w:lineRule="auto"/>
        <w:ind w:firstLine="709" w:left="0"/>
        <w:jc w:val="both"/>
        <w:rPr>
          <w:rFonts w:ascii="Times New Roman" w:hAnsi="Times New Roman"/>
          <w:sz w:val="28"/>
        </w:rPr>
      </w:pPr>
    </w:p>
    <w:p w14:paraId="69010000">
      <w:pPr>
        <w:spacing w:after="0" w:line="360" w:lineRule="auto"/>
        <w:ind w:firstLine="709" w:left="0"/>
        <w:jc w:val="both"/>
        <w:rPr>
          <w:rFonts w:ascii="Times New Roman" w:hAnsi="Times New Roman"/>
          <w:sz w:val="28"/>
        </w:rPr>
      </w:pPr>
    </w:p>
    <w:p w14:paraId="6A010000">
      <w:pPr>
        <w:spacing w:after="0" w:line="360" w:lineRule="auto"/>
        <w:ind w:firstLine="709" w:left="0"/>
        <w:jc w:val="both"/>
        <w:rPr>
          <w:rFonts w:ascii="Times New Roman" w:hAnsi="Times New Roman"/>
          <w:sz w:val="28"/>
        </w:rPr>
      </w:pPr>
    </w:p>
    <w:p w14:paraId="6B010000">
      <w:pPr>
        <w:spacing w:after="0" w:line="360" w:lineRule="auto"/>
        <w:ind w:firstLine="709" w:left="0"/>
        <w:jc w:val="both"/>
        <w:rPr>
          <w:rFonts w:ascii="Times New Roman" w:hAnsi="Times New Roman"/>
          <w:sz w:val="28"/>
        </w:rPr>
      </w:pPr>
    </w:p>
    <w:p w14:paraId="6C010000">
      <w:pPr>
        <w:spacing w:after="0" w:line="360" w:lineRule="auto"/>
        <w:ind w:firstLine="709" w:left="0"/>
        <w:jc w:val="both"/>
        <w:rPr>
          <w:rFonts w:ascii="Times New Roman" w:hAnsi="Times New Roman"/>
          <w:sz w:val="28"/>
        </w:rPr>
      </w:pPr>
    </w:p>
    <w:p w14:paraId="6D010000">
      <w:pPr>
        <w:spacing w:after="0" w:line="360" w:lineRule="auto"/>
        <w:ind w:firstLine="709" w:left="0"/>
        <w:jc w:val="both"/>
        <w:rPr>
          <w:rFonts w:ascii="Times New Roman" w:hAnsi="Times New Roman"/>
          <w:sz w:val="28"/>
        </w:rPr>
      </w:pPr>
    </w:p>
    <w:p w14:paraId="6E010000">
      <w:pPr>
        <w:spacing w:after="0" w:line="360" w:lineRule="auto"/>
        <w:ind w:firstLine="709" w:left="0"/>
        <w:jc w:val="both"/>
        <w:rPr>
          <w:rFonts w:ascii="Times New Roman" w:hAnsi="Times New Roman"/>
          <w:sz w:val="28"/>
        </w:rPr>
      </w:pPr>
    </w:p>
    <w:p w14:paraId="6F010000">
      <w:pPr>
        <w:spacing w:after="0" w:line="360" w:lineRule="auto"/>
        <w:ind w:firstLine="709" w:left="0"/>
        <w:jc w:val="both"/>
        <w:rPr>
          <w:rFonts w:ascii="Times New Roman" w:hAnsi="Times New Roman"/>
          <w:sz w:val="28"/>
        </w:rPr>
      </w:pPr>
    </w:p>
    <w:p w14:paraId="70010000">
      <w:pPr>
        <w:spacing w:after="0" w:line="360" w:lineRule="auto"/>
        <w:ind w:firstLine="709" w:left="0"/>
        <w:jc w:val="both"/>
        <w:rPr>
          <w:rFonts w:ascii="Times New Roman" w:hAnsi="Times New Roman"/>
          <w:sz w:val="28"/>
        </w:rPr>
      </w:pPr>
    </w:p>
    <w:p w14:paraId="71010000">
      <w:pPr>
        <w:spacing w:after="0" w:line="360" w:lineRule="auto"/>
        <w:ind w:firstLine="709" w:left="0"/>
        <w:jc w:val="both"/>
        <w:rPr>
          <w:rFonts w:ascii="Times New Roman" w:hAnsi="Times New Roman"/>
          <w:sz w:val="28"/>
        </w:rPr>
      </w:pPr>
    </w:p>
    <w:p w14:paraId="72010000">
      <w:pPr>
        <w:spacing w:after="0" w:line="360" w:lineRule="auto"/>
        <w:ind w:firstLine="709" w:left="0"/>
        <w:jc w:val="both"/>
        <w:rPr>
          <w:rFonts w:ascii="Times New Roman" w:hAnsi="Times New Roman"/>
          <w:sz w:val="28"/>
        </w:rPr>
      </w:pPr>
    </w:p>
    <w:p w14:paraId="73010000">
      <w:pPr>
        <w:spacing w:after="0" w:line="360" w:lineRule="auto"/>
        <w:ind w:firstLine="709" w:left="0"/>
        <w:jc w:val="both"/>
        <w:rPr>
          <w:rFonts w:ascii="Times New Roman" w:hAnsi="Times New Roman"/>
          <w:sz w:val="28"/>
        </w:rPr>
      </w:pPr>
    </w:p>
    <w:p w14:paraId="74010000">
      <w:pPr>
        <w:spacing w:after="0" w:line="360" w:lineRule="auto"/>
        <w:ind w:firstLine="709" w:left="0"/>
        <w:jc w:val="both"/>
        <w:rPr>
          <w:rFonts w:ascii="Times New Roman" w:hAnsi="Times New Roman"/>
          <w:sz w:val="28"/>
        </w:rPr>
      </w:pPr>
    </w:p>
    <w:p w14:paraId="75010000">
      <w:pPr>
        <w:spacing w:after="0" w:line="360" w:lineRule="auto"/>
        <w:ind w:firstLine="709" w:left="0"/>
        <w:jc w:val="both"/>
        <w:rPr>
          <w:rFonts w:ascii="Times New Roman" w:hAnsi="Times New Roman"/>
          <w:sz w:val="28"/>
        </w:rPr>
      </w:pPr>
    </w:p>
    <w:p w14:paraId="76010000">
      <w:pPr>
        <w:spacing w:after="0" w:line="360" w:lineRule="auto"/>
        <w:ind w:firstLine="709" w:left="0"/>
        <w:jc w:val="both"/>
        <w:rPr>
          <w:rFonts w:ascii="Times New Roman" w:hAnsi="Times New Roman"/>
          <w:sz w:val="28"/>
        </w:rPr>
      </w:pPr>
    </w:p>
    <w:p w14:paraId="77010000">
      <w:pPr>
        <w:spacing w:after="0" w:line="360" w:lineRule="auto"/>
        <w:ind w:firstLine="709" w:left="0"/>
        <w:jc w:val="both"/>
        <w:rPr>
          <w:rFonts w:ascii="Times New Roman" w:hAnsi="Times New Roman"/>
          <w:sz w:val="28"/>
        </w:rPr>
      </w:pPr>
    </w:p>
    <w:p w14:paraId="78010000">
      <w:pPr>
        <w:spacing w:after="0" w:line="360" w:lineRule="auto"/>
        <w:ind w:firstLine="709" w:left="0"/>
        <w:jc w:val="both"/>
        <w:rPr>
          <w:rFonts w:ascii="Times New Roman" w:hAnsi="Times New Roman"/>
          <w:sz w:val="28"/>
        </w:rPr>
      </w:pPr>
    </w:p>
    <w:p w14:paraId="79010000">
      <w:pPr>
        <w:spacing w:after="0" w:line="360" w:lineRule="auto"/>
        <w:ind w:firstLine="709" w:left="0"/>
        <w:jc w:val="both"/>
        <w:rPr>
          <w:rFonts w:ascii="Times New Roman" w:hAnsi="Times New Roman"/>
          <w:sz w:val="28"/>
        </w:rPr>
      </w:pPr>
    </w:p>
    <w:p w14:paraId="7A010000">
      <w:pPr>
        <w:spacing w:after="0" w:line="360" w:lineRule="auto"/>
        <w:ind w:firstLine="709" w:left="0"/>
        <w:jc w:val="both"/>
        <w:rPr>
          <w:rFonts w:ascii="Times New Roman" w:hAnsi="Times New Roman"/>
          <w:sz w:val="28"/>
        </w:rPr>
      </w:pPr>
    </w:p>
    <w:p w14:paraId="7B010000">
      <w:pPr>
        <w:spacing w:after="0" w:line="360" w:lineRule="auto"/>
        <w:ind w:firstLine="709" w:left="0"/>
        <w:jc w:val="both"/>
        <w:rPr>
          <w:rFonts w:ascii="Times New Roman" w:hAnsi="Times New Roman"/>
          <w:sz w:val="28"/>
        </w:rPr>
      </w:pPr>
    </w:p>
    <w:p w14:paraId="7C010000">
      <w:pPr>
        <w:spacing w:after="0" w:line="360" w:lineRule="auto"/>
        <w:ind w:firstLine="709" w:left="0"/>
        <w:jc w:val="both"/>
        <w:rPr>
          <w:rFonts w:ascii="Times New Roman" w:hAnsi="Times New Roman"/>
          <w:sz w:val="28"/>
        </w:rPr>
      </w:pPr>
    </w:p>
    <w:p w14:paraId="7D010000">
      <w:pPr>
        <w:spacing w:after="0" w:line="360" w:lineRule="auto"/>
        <w:ind w:firstLine="709" w:left="0"/>
        <w:jc w:val="both"/>
        <w:rPr>
          <w:rFonts w:ascii="Times New Roman" w:hAnsi="Times New Roman"/>
          <w:sz w:val="28"/>
        </w:rPr>
      </w:pPr>
    </w:p>
    <w:p w14:paraId="7E010000">
      <w:pPr>
        <w:spacing w:after="0" w:line="360" w:lineRule="auto"/>
        <w:ind w:firstLine="709" w:left="0"/>
        <w:jc w:val="both"/>
        <w:rPr>
          <w:rFonts w:ascii="Times New Roman" w:hAnsi="Times New Roman"/>
          <w:sz w:val="28"/>
        </w:rPr>
      </w:pPr>
    </w:p>
    <w:p w14:paraId="7F010000">
      <w:pPr>
        <w:spacing w:after="0" w:line="360" w:lineRule="auto"/>
        <w:ind w:firstLine="709" w:left="0"/>
        <w:jc w:val="both"/>
        <w:rPr>
          <w:rFonts w:ascii="Times New Roman" w:hAnsi="Times New Roman"/>
          <w:sz w:val="28"/>
        </w:rPr>
      </w:pPr>
    </w:p>
    <w:p w14:paraId="80010000">
      <w:pPr>
        <w:spacing w:after="0" w:line="360" w:lineRule="auto"/>
        <w:ind w:firstLine="709" w:left="0"/>
        <w:jc w:val="both"/>
        <w:rPr>
          <w:rFonts w:ascii="Times New Roman" w:hAnsi="Times New Roman"/>
          <w:sz w:val="28"/>
        </w:rPr>
      </w:pPr>
    </w:p>
    <w:p w14:paraId="81010000">
      <w:pPr>
        <w:spacing w:after="0" w:line="360" w:lineRule="auto"/>
        <w:ind w:firstLine="709" w:left="0"/>
        <w:jc w:val="both"/>
        <w:rPr>
          <w:rFonts w:ascii="Times New Roman" w:hAnsi="Times New Roman"/>
          <w:sz w:val="28"/>
        </w:rPr>
      </w:pPr>
    </w:p>
    <w:p w14:paraId="82010000">
      <w:bookmarkStart w:id="11" w:name="__RefHeading___10"/>
      <w:bookmarkEnd w:id="11"/>
      <w:pPr>
        <w:pStyle w:val="Style_5"/>
        <w:spacing w:before="0" w:line="360" w:lineRule="auto"/>
        <w:ind/>
        <w:jc w:val="center"/>
        <w:rPr>
          <w:rFonts w:ascii="Times New Roman" w:hAnsi="Times New Roman"/>
          <w:b w:val="1"/>
          <w:color w:val="000000"/>
          <w:sz w:val="28"/>
        </w:rPr>
      </w:pPr>
      <w:r>
        <w:rPr>
          <w:rFonts w:ascii="Times New Roman" w:hAnsi="Times New Roman"/>
          <w:b w:val="1"/>
          <w:color w:val="000000"/>
          <w:sz w:val="28"/>
        </w:rPr>
        <w:t>З</w:t>
      </w:r>
      <w:r>
        <w:rPr>
          <w:rFonts w:ascii="Times New Roman" w:hAnsi="Times New Roman"/>
          <w:b w:val="1"/>
          <w:color w:val="000000"/>
          <w:sz w:val="28"/>
        </w:rPr>
        <w:t>аключение</w:t>
      </w:r>
    </w:p>
    <w:p w14:paraId="83010000">
      <w:pPr>
        <w:spacing w:after="0" w:line="360" w:lineRule="auto"/>
        <w:ind w:firstLine="709" w:left="0"/>
        <w:jc w:val="both"/>
        <w:rPr>
          <w:rFonts w:ascii="Times New Roman" w:hAnsi="Times New Roman"/>
          <w:sz w:val="28"/>
        </w:rPr>
      </w:pPr>
      <w:r>
        <w:rPr>
          <w:rFonts w:ascii="Times New Roman" w:hAnsi="Times New Roman"/>
          <w:sz w:val="28"/>
        </w:rPr>
        <w:t>В ходе прохождения производственной практики в Муниципальном автономном учреждении «Информационно-организационный центр» г. Сургут была достигнута поставленная цель – проведен анализ и выполнено описание автоматизации бизнес-процессов учреждения. В рамках практики были решены все поставленные задачи.</w:t>
      </w:r>
    </w:p>
    <w:p w14:paraId="84010000">
      <w:pPr>
        <w:spacing w:after="0" w:line="360" w:lineRule="auto"/>
        <w:ind w:firstLine="709" w:left="0"/>
        <w:jc w:val="both"/>
        <w:rPr>
          <w:rFonts w:ascii="Times New Roman" w:hAnsi="Times New Roman"/>
          <w:sz w:val="28"/>
        </w:rPr>
      </w:pPr>
      <w:r>
        <w:rPr>
          <w:rFonts w:ascii="Times New Roman" w:hAnsi="Times New Roman"/>
          <w:sz w:val="28"/>
        </w:rPr>
        <w:t>Изучена организационная структура и основные направления деятельности МАУ «ИОЦ» г. Сургут. Установлено, что учреждение является ключевым звеном в системе информационно-организационного сопровождения образовательных учреждений города Сургута, обеспечивая реализацию федеральных, региональных и муниципальных проектов в сфере образования. Основными направлениями деятельности являются организация и проведение олимпиад, конкурсов, мероприятий, направленных на выявление и поддержку талантливых детей, а также деятельность по информатизации образования и внедрению новых информационных технологий.</w:t>
      </w:r>
    </w:p>
    <w:p w14:paraId="85010000">
      <w:pPr>
        <w:spacing w:after="0" w:line="360" w:lineRule="auto"/>
        <w:ind w:firstLine="709" w:left="0"/>
        <w:jc w:val="both"/>
        <w:rPr>
          <w:rFonts w:ascii="Times New Roman" w:hAnsi="Times New Roman"/>
          <w:sz w:val="28"/>
        </w:rPr>
      </w:pPr>
      <w:r>
        <w:rPr>
          <w:rFonts w:ascii="Times New Roman" w:hAnsi="Times New Roman"/>
          <w:sz w:val="28"/>
        </w:rPr>
        <w:t>Проведен анализ автоматизированных информационных систем, используемых в учреждении. Ключевыми системами являются ГИС «Образование Югры» (подсистема «Электронный журнал»), АИС «Одаренные дети» для учета достижений обучающихся, АИС «ПДО» для персонифицированного учета в дополнительном образовании, а также федеральные системы ФГИС «Моя школа» и ИКОП «</w:t>
      </w:r>
      <w:r>
        <w:rPr>
          <w:rFonts w:ascii="Times New Roman" w:hAnsi="Times New Roman"/>
          <w:sz w:val="28"/>
        </w:rPr>
        <w:t>Сферум</w:t>
      </w:r>
      <w:r>
        <w:rPr>
          <w:rFonts w:ascii="Times New Roman" w:hAnsi="Times New Roman"/>
          <w:sz w:val="28"/>
        </w:rPr>
        <w:t>». Каждая из систем решает конкретные задачи и ориентирована на определенные категории пользователей, что обеспечивает комплексный подход к автоматизации образовательных процессов на муниципальном уровне.</w:t>
      </w:r>
    </w:p>
    <w:p w14:paraId="86010000">
      <w:pPr>
        <w:spacing w:after="0" w:line="360" w:lineRule="auto"/>
        <w:ind w:firstLine="709" w:left="0"/>
        <w:jc w:val="both"/>
        <w:rPr>
          <w:rFonts w:ascii="Times New Roman" w:hAnsi="Times New Roman"/>
          <w:sz w:val="28"/>
        </w:rPr>
      </w:pPr>
      <w:r>
        <w:rPr>
          <w:rFonts w:ascii="Times New Roman" w:hAnsi="Times New Roman"/>
          <w:sz w:val="28"/>
        </w:rPr>
        <w:t>В ходе работы были выявлены проблемы функционирования автоматизированных систем, среди которых: отсутствие интеграции данных между системами, низкая скорость работы в пиковые периоды, сложность интерфейса для пользователей, проблемы с доставкой уведомлений, недостаточная автоматизация отчетности и зависимость от внешних поставщиков услуг.</w:t>
      </w:r>
    </w:p>
    <w:p w14:paraId="87010000">
      <w:pPr>
        <w:spacing w:after="0" w:line="360" w:lineRule="auto"/>
        <w:ind w:firstLine="709" w:left="0"/>
        <w:jc w:val="both"/>
        <w:rPr>
          <w:rFonts w:ascii="Times New Roman" w:hAnsi="Times New Roman"/>
          <w:sz w:val="28"/>
        </w:rPr>
      </w:pPr>
      <w:r>
        <w:rPr>
          <w:rFonts w:ascii="Times New Roman" w:hAnsi="Times New Roman"/>
          <w:sz w:val="28"/>
        </w:rPr>
        <w:t>На основе выявленных проблем разработаны рекомендации по улучшению автоматизированных процессов, включающие организацию централизованной интеграции данных, оптимизацию производительности систем, улучшение пользовательского интерфейса и обучение пользователей, настройку системы оповещений, автоматизацию формирования отчетности и развитие системы мониторинга и контроля.</w:t>
      </w:r>
    </w:p>
    <w:p w14:paraId="88010000">
      <w:pPr>
        <w:spacing w:after="0" w:line="360" w:lineRule="auto"/>
        <w:ind w:firstLine="709" w:left="0"/>
        <w:jc w:val="both"/>
        <w:rPr>
          <w:rFonts w:ascii="Times New Roman" w:hAnsi="Times New Roman"/>
          <w:sz w:val="28"/>
        </w:rPr>
      </w:pPr>
      <w:r>
        <w:rPr>
          <w:rFonts w:ascii="Times New Roman" w:hAnsi="Times New Roman"/>
          <w:sz w:val="28"/>
        </w:rPr>
        <w:t>Определены основные направления оптимизации автоматизации бизнес-процессов: интеграция автоматизированных систем, повышение производительности, улучшение пользовательского опыта, автоматизация отчетности и развитие мобильных решений.</w:t>
      </w:r>
    </w:p>
    <w:p w14:paraId="89010000">
      <w:pPr>
        <w:spacing w:after="0" w:line="360" w:lineRule="auto"/>
        <w:ind w:firstLine="709" w:left="0"/>
        <w:jc w:val="both"/>
        <w:rPr>
          <w:rFonts w:ascii="Times New Roman" w:hAnsi="Times New Roman"/>
          <w:sz w:val="28"/>
        </w:rPr>
      </w:pPr>
      <w:r>
        <w:rPr>
          <w:rFonts w:ascii="Times New Roman" w:hAnsi="Times New Roman"/>
          <w:sz w:val="28"/>
        </w:rPr>
        <w:t>Реализация предложенных рекомендаций и направлений оптимизации позволит МАУ «ИОЦ» г. Сургут повысить эффективность автоматизации бизнес-процессов, снизить трудозатраты сотрудников, улучшить качество информационно-организационного сопровождения образовательных учреждений и обеспечить высокий уровень удовлетворенности всех участников образовательного процесса.</w:t>
      </w:r>
    </w:p>
    <w:p w14:paraId="8A010000">
      <w:pPr>
        <w:spacing w:after="0" w:line="360" w:lineRule="auto"/>
        <w:ind w:firstLine="709" w:left="0"/>
        <w:jc w:val="both"/>
        <w:rPr>
          <w:rFonts w:ascii="Times New Roman" w:hAnsi="Times New Roman"/>
          <w:sz w:val="28"/>
        </w:rPr>
      </w:pPr>
      <w:r>
        <w:rPr>
          <w:rFonts w:ascii="Times New Roman" w:hAnsi="Times New Roman"/>
          <w:sz w:val="28"/>
        </w:rPr>
        <w:t>Таким образом, теоретические знания, полученные в процессе обучения, были успешно применены на практике, что позволило расширить профессиональные навыки и компетенции в области информационных технологий и управления проектами. За время прохождения практики были закреплены полученные теоретические знания, что позволило глубже ознакомиться с будущей профессией и получить практический опыт в сфере автоматизации бизнес-процессов образовательной организации.</w:t>
      </w:r>
    </w:p>
    <w:p w14:paraId="8B010000">
      <w:pPr>
        <w:spacing w:after="0" w:line="360" w:lineRule="auto"/>
        <w:ind w:firstLine="709" w:left="0"/>
        <w:jc w:val="both"/>
        <w:rPr>
          <w:rFonts w:ascii="Times New Roman" w:hAnsi="Times New Roman"/>
          <w:sz w:val="28"/>
        </w:rPr>
      </w:pPr>
    </w:p>
    <w:p w14:paraId="8C010000">
      <w:pPr>
        <w:spacing w:after="0" w:line="360" w:lineRule="auto"/>
        <w:ind w:firstLine="709" w:left="0"/>
        <w:jc w:val="both"/>
        <w:rPr>
          <w:rFonts w:ascii="Times New Roman" w:hAnsi="Times New Roman"/>
          <w:sz w:val="28"/>
        </w:rPr>
      </w:pPr>
    </w:p>
    <w:p w14:paraId="8D010000">
      <w:pPr>
        <w:spacing w:after="0" w:line="360" w:lineRule="auto"/>
        <w:ind w:firstLine="709" w:left="0"/>
        <w:jc w:val="both"/>
        <w:rPr>
          <w:rFonts w:ascii="Times New Roman" w:hAnsi="Times New Roman"/>
          <w:sz w:val="28"/>
        </w:rPr>
      </w:pPr>
    </w:p>
    <w:p w14:paraId="8E010000">
      <w:pPr>
        <w:spacing w:after="0" w:line="360" w:lineRule="auto"/>
        <w:ind w:firstLine="709" w:left="0"/>
        <w:jc w:val="both"/>
        <w:rPr>
          <w:rFonts w:ascii="Times New Roman" w:hAnsi="Times New Roman"/>
          <w:sz w:val="28"/>
        </w:rPr>
      </w:pPr>
    </w:p>
    <w:p w14:paraId="8F010000">
      <w:pPr>
        <w:spacing w:after="0" w:line="360" w:lineRule="auto"/>
        <w:ind w:firstLine="709" w:left="0"/>
        <w:jc w:val="both"/>
        <w:rPr>
          <w:rFonts w:ascii="Times New Roman" w:hAnsi="Times New Roman"/>
          <w:sz w:val="28"/>
        </w:rPr>
      </w:pPr>
    </w:p>
    <w:p w14:paraId="90010000">
      <w:pPr>
        <w:spacing w:after="0" w:line="360" w:lineRule="auto"/>
        <w:ind w:firstLine="709" w:left="0"/>
        <w:jc w:val="both"/>
        <w:rPr>
          <w:rFonts w:ascii="Times New Roman" w:hAnsi="Times New Roman"/>
          <w:sz w:val="28"/>
        </w:rPr>
      </w:pPr>
    </w:p>
    <w:p w14:paraId="91010000">
      <w:bookmarkStart w:id="12" w:name="__RefHeading___11"/>
      <w:bookmarkEnd w:id="12"/>
      <w:pPr>
        <w:pStyle w:val="Style_5"/>
        <w:spacing w:before="0" w:line="360" w:lineRule="auto"/>
        <w:ind/>
        <w:jc w:val="center"/>
        <w:rPr>
          <w:rFonts w:ascii="Times New Roman" w:hAnsi="Times New Roman"/>
          <w:b w:val="1"/>
          <w:color w:val="000000"/>
          <w:sz w:val="28"/>
        </w:rPr>
      </w:pPr>
      <w:r>
        <w:rPr>
          <w:rFonts w:ascii="Times New Roman" w:hAnsi="Times New Roman"/>
          <w:b w:val="1"/>
          <w:color w:val="000000"/>
          <w:sz w:val="28"/>
        </w:rPr>
        <w:t>Список использованных источников</w:t>
      </w:r>
    </w:p>
    <w:p w14:paraId="92010000">
      <w:pPr>
        <w:spacing w:after="0" w:line="360" w:lineRule="auto"/>
        <w:ind w:firstLine="709" w:left="0"/>
        <w:jc w:val="both"/>
        <w:rPr>
          <w:rFonts w:ascii="Times New Roman" w:hAnsi="Times New Roman"/>
          <w:sz w:val="28"/>
        </w:rPr>
      </w:pPr>
      <w:r>
        <w:rPr>
          <w:rFonts w:ascii="Times New Roman" w:hAnsi="Times New Roman"/>
          <w:sz w:val="28"/>
        </w:rPr>
        <w:t>Нормативные правовые акты:</w:t>
      </w:r>
    </w:p>
    <w:p w14:paraId="93010000">
      <w:pPr>
        <w:spacing w:after="0" w:line="36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ab/>
      </w:r>
      <w:r>
        <w:rPr>
          <w:rFonts w:ascii="Times New Roman" w:hAnsi="Times New Roman"/>
          <w:sz w:val="28"/>
        </w:rPr>
        <w:t>Федеральный закон от 29.12.2012 № 273-ФЗ «Об образовании в Российской Федерации» (с изм. и доп.).</w:t>
      </w:r>
    </w:p>
    <w:p w14:paraId="94010000">
      <w:pPr>
        <w:spacing w:after="0" w:line="36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ab/>
      </w:r>
      <w:r>
        <w:rPr>
          <w:rFonts w:ascii="Times New Roman" w:hAnsi="Times New Roman"/>
          <w:sz w:val="28"/>
        </w:rPr>
        <w:t>Федеральный закон от 03.11.2006 № 174-ФЗ «Об автономных учреждениях» (ред. от 24.06.2025, с изм. от 28.11.2025).</w:t>
      </w:r>
    </w:p>
    <w:p w14:paraId="95010000">
      <w:pPr>
        <w:spacing w:after="0" w:line="36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ab/>
      </w:r>
      <w:r>
        <w:rPr>
          <w:rFonts w:ascii="Times New Roman" w:hAnsi="Times New Roman"/>
          <w:sz w:val="28"/>
        </w:rPr>
        <w:t>Федеральный закон от 27.07.2006 № 152-ФЗ «О персональных данных» (ред. от 24.06.2025).</w:t>
      </w:r>
    </w:p>
    <w:p w14:paraId="96010000">
      <w:pPr>
        <w:spacing w:after="0" w:line="360" w:lineRule="auto"/>
        <w:ind w:firstLine="709" w:left="0"/>
        <w:jc w:val="both"/>
        <w:rPr>
          <w:rFonts w:ascii="Times New Roman" w:hAnsi="Times New Roman"/>
          <w:sz w:val="28"/>
        </w:rPr>
      </w:pPr>
      <w:r>
        <w:rPr>
          <w:rFonts w:ascii="Times New Roman" w:hAnsi="Times New Roman"/>
          <w:sz w:val="28"/>
        </w:rPr>
        <w:t>Локальные акты и документы организации:</w:t>
      </w:r>
    </w:p>
    <w:p w14:paraId="97010000">
      <w:pPr>
        <w:spacing w:after="0" w:line="36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ab/>
      </w:r>
      <w:r>
        <w:rPr>
          <w:rFonts w:ascii="Times New Roman" w:hAnsi="Times New Roman"/>
          <w:sz w:val="28"/>
        </w:rPr>
        <w:t>Устав муниципального автономного учреждения «Информационно-организационный центр» (новая редакция), утвержден распоряжением Администрации города Сургута от 07.03.2023 № 635.</w:t>
      </w:r>
    </w:p>
    <w:p w14:paraId="98010000">
      <w:pPr>
        <w:spacing w:after="0" w:line="36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ab/>
      </w:r>
      <w:r>
        <w:rPr>
          <w:rFonts w:ascii="Times New Roman" w:hAnsi="Times New Roman"/>
          <w:sz w:val="28"/>
        </w:rPr>
        <w:t>Распоряжение Администрации города Сургута от 15.06.2017 № 997 «Об изменении типа муниципального казенного учреждения «Информационно-методический центр» в целях создания муниципального автономного учреждения «Информационно-методический центр».</w:t>
      </w:r>
    </w:p>
    <w:p w14:paraId="99010000">
      <w:pPr>
        <w:spacing w:after="0" w:line="360" w:lineRule="auto"/>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ab/>
      </w:r>
      <w:r>
        <w:rPr>
          <w:rFonts w:ascii="Times New Roman" w:hAnsi="Times New Roman"/>
          <w:sz w:val="28"/>
        </w:rPr>
        <w:t>Отчет о результатах деятельности МАУ «ИОЦ» за 2023 год.</w:t>
      </w:r>
    </w:p>
    <w:p w14:paraId="9A010000">
      <w:pPr>
        <w:spacing w:after="0" w:line="360" w:lineRule="auto"/>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ab/>
      </w:r>
      <w:r>
        <w:rPr>
          <w:rFonts w:ascii="Times New Roman" w:hAnsi="Times New Roman"/>
          <w:sz w:val="28"/>
        </w:rPr>
        <w:t>Отчет о результатах деятельности МАУ «ИОЦ» за 2024 год.</w:t>
      </w:r>
    </w:p>
    <w:p w14:paraId="9B010000">
      <w:pPr>
        <w:spacing w:after="0" w:line="360" w:lineRule="auto"/>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ab/>
      </w:r>
      <w:r>
        <w:rPr>
          <w:rFonts w:ascii="Times New Roman" w:hAnsi="Times New Roman"/>
          <w:sz w:val="28"/>
        </w:rPr>
        <w:t>Паспорт приоритетного муниципального проекта «Талантливые дети Сургута», утвержден директором департамента образования Администрации города Сургута от 08.09.2022.</w:t>
      </w:r>
    </w:p>
    <w:p w14:paraId="9C010000">
      <w:pPr>
        <w:spacing w:after="0" w:line="360" w:lineRule="auto"/>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ab/>
      </w:r>
      <w:r>
        <w:rPr>
          <w:rFonts w:ascii="Times New Roman" w:hAnsi="Times New Roman"/>
          <w:sz w:val="28"/>
        </w:rPr>
        <w:t xml:space="preserve">Постановление Администрации города Сургута от 24.04.2023 № 2137 «О выявлении, поддержке и </w:t>
      </w:r>
      <w:r>
        <w:rPr>
          <w:rFonts w:ascii="Times New Roman" w:hAnsi="Times New Roman"/>
          <w:sz w:val="28"/>
        </w:rPr>
        <w:t>развитии способностей и талантов детей,</w:t>
      </w:r>
      <w:r>
        <w:rPr>
          <w:rFonts w:ascii="Times New Roman" w:hAnsi="Times New Roman"/>
          <w:sz w:val="28"/>
        </w:rPr>
        <w:t xml:space="preserve"> и молодежи в городе Сургуте».</w:t>
      </w:r>
    </w:p>
    <w:p w14:paraId="9D010000">
      <w:pPr>
        <w:spacing w:after="0" w:line="360" w:lineRule="auto"/>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ab/>
      </w:r>
      <w:r>
        <w:rPr>
          <w:rFonts w:ascii="Times New Roman" w:hAnsi="Times New Roman"/>
          <w:sz w:val="28"/>
        </w:rPr>
        <w:t>Постановление Администрации города Сургута от 08.11.2016 № 8249 «О программе персонифицированного финансирования дополнительного образования детей в городе Сургуте».</w:t>
      </w:r>
    </w:p>
    <w:p w14:paraId="9E010000">
      <w:pPr>
        <w:spacing w:after="0" w:line="360" w:lineRule="auto"/>
        <w:ind w:firstLine="709" w:left="0"/>
        <w:jc w:val="both"/>
        <w:rPr>
          <w:rFonts w:ascii="Times New Roman" w:hAnsi="Times New Roman"/>
          <w:sz w:val="28"/>
        </w:rPr>
      </w:pPr>
      <w:r>
        <w:rPr>
          <w:rFonts w:ascii="Times New Roman" w:hAnsi="Times New Roman"/>
          <w:sz w:val="28"/>
        </w:rPr>
        <w:t>Интернет-источники:</w:t>
      </w:r>
    </w:p>
    <w:p w14:paraId="9F010000">
      <w:pPr>
        <w:spacing w:after="0" w:line="360" w:lineRule="auto"/>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ab/>
      </w:r>
      <w:r>
        <w:rPr>
          <w:rFonts w:ascii="Times New Roman" w:hAnsi="Times New Roman"/>
          <w:sz w:val="28"/>
        </w:rPr>
        <w:t>Официальный портал Администрации города Сургута. – Раздел «Образование». – URL: https://admsurgut.ru.</w:t>
      </w:r>
    </w:p>
    <w:p w14:paraId="A0010000">
      <w:pPr>
        <w:spacing w:after="0" w:line="360" w:lineRule="auto"/>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ab/>
      </w:r>
      <w:r>
        <w:rPr>
          <w:rFonts w:ascii="Times New Roman" w:hAnsi="Times New Roman"/>
          <w:sz w:val="28"/>
        </w:rPr>
        <w:t>ГИС «Образование Югры». Цифровая образовательная платформа Ханты-Мансийского автономного округа – Югры. – URL: https://cop.admhmao.ru.</w:t>
      </w:r>
    </w:p>
    <w:p w14:paraId="A1010000">
      <w:pPr>
        <w:spacing w:after="0" w:line="360" w:lineRule="auto"/>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ab/>
      </w:r>
      <w:r>
        <w:rPr>
          <w:rFonts w:ascii="Times New Roman" w:hAnsi="Times New Roman"/>
          <w:sz w:val="28"/>
        </w:rPr>
        <w:t>Автоматизированная информационная система «Персонифицированное дополнительное образование» Ханты-Мансийского автономного округа – Югры. – URL: https://hmao.pfdo.ru.</w:t>
      </w:r>
    </w:p>
    <w:p w14:paraId="A2010000">
      <w:pPr>
        <w:spacing w:after="0" w:line="360" w:lineRule="auto"/>
        <w:ind w:firstLine="709" w:left="0"/>
        <w:jc w:val="both"/>
        <w:rPr>
          <w:rFonts w:ascii="Times New Roman" w:hAnsi="Times New Roman"/>
          <w:sz w:val="28"/>
        </w:rPr>
      </w:pPr>
    </w:p>
    <w:p w14:paraId="A3010000">
      <w:pPr>
        <w:spacing w:after="0" w:line="360" w:lineRule="auto"/>
        <w:ind w:firstLine="709" w:left="0"/>
        <w:jc w:val="both"/>
        <w:rPr>
          <w:rFonts w:ascii="Times New Roman" w:hAnsi="Times New Roman"/>
          <w:sz w:val="28"/>
        </w:rPr>
      </w:pPr>
    </w:p>
    <w:sectPr>
      <w:footerReference r:id="rId1" w:type="default"/>
      <w:pgSz w:h="16838" w:orient="portrait" w:w="11906"/>
      <w:pgMar w:bottom="1134" w:footer="709" w:gutter="0" w:header="709" w:left="1701" w:right="85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style>
  <w:style w:default="1" w:styleId="Style_7_ch" w:type="character">
    <w:name w:val="Normal"/>
    <w:link w:val="Style_7"/>
  </w:style>
  <w:style w:styleId="Style_8" w:type="paragraph">
    <w:name w:val="toc 2"/>
    <w:basedOn w:val="Style_7"/>
    <w:next w:val="Style_7"/>
    <w:link w:val="Style_8_ch"/>
    <w:uiPriority w:val="39"/>
    <w:pPr>
      <w:tabs>
        <w:tab w:leader="dot" w:pos="9345" w:val="right"/>
      </w:tabs>
      <w:spacing w:after="0" w:line="360" w:lineRule="auto"/>
      <w:ind w:firstLine="0" w:left="221"/>
    </w:pPr>
  </w:style>
  <w:style w:styleId="Style_8_ch" w:type="character">
    <w:name w:val="toc 2"/>
    <w:basedOn w:val="Style_7_ch"/>
    <w:link w:val="Style_8"/>
  </w:style>
  <w:style w:styleId="Style_9" w:type="paragraph">
    <w:name w:val="toc 4"/>
    <w:next w:val="Style_7"/>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7"/>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7"/>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2" w:type="paragraph">
    <w:name w:val="Strong"/>
    <w:basedOn w:val="Style_12"/>
    <w:link w:val="Style_2_ch"/>
    <w:rPr>
      <w:b w:val="1"/>
    </w:rPr>
  </w:style>
  <w:style w:styleId="Style_2_ch" w:type="character">
    <w:name w:val="Strong"/>
    <w:basedOn w:val="Style_12_ch"/>
    <w:link w:val="Style_2"/>
    <w:rPr>
      <w:b w:val="1"/>
    </w:rPr>
  </w:style>
  <w:style w:styleId="Style_1" w:type="paragraph">
    <w:name w:val="footer"/>
    <w:basedOn w:val="Style_7"/>
    <w:link w:val="Style_1_ch"/>
    <w:pPr>
      <w:tabs>
        <w:tab w:leader="none" w:pos="4677" w:val="center"/>
        <w:tab w:leader="none" w:pos="9355" w:val="right"/>
      </w:tabs>
      <w:spacing w:after="0" w:line="240" w:lineRule="auto"/>
      <w:ind/>
    </w:pPr>
  </w:style>
  <w:style w:styleId="Style_1_ch" w:type="character">
    <w:name w:val="footer"/>
    <w:basedOn w:val="Style_7_ch"/>
    <w:link w:val="Style_1"/>
  </w:style>
  <w:style w:styleId="Style_13" w:type="paragraph">
    <w:name w:val="heading 3"/>
    <w:next w:val="Style_7"/>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2" w:type="paragraph">
    <w:name w:val="Default Paragraph Font"/>
    <w:link w:val="Style_12_ch"/>
  </w:style>
  <w:style w:styleId="Style_12_ch" w:type="character">
    <w:name w:val="Default Paragraph Font"/>
    <w:link w:val="Style_12"/>
  </w:style>
  <w:style w:styleId="Style_3" w:type="paragraph">
    <w:name w:val="TOC Heading"/>
    <w:basedOn w:val="Style_5"/>
    <w:next w:val="Style_7"/>
    <w:link w:val="Style_3_ch"/>
    <w:pPr>
      <w:ind/>
      <w:outlineLvl w:val="8"/>
    </w:pPr>
  </w:style>
  <w:style w:styleId="Style_3_ch" w:type="character">
    <w:name w:val="TOC Heading"/>
    <w:basedOn w:val="Style_5_ch"/>
    <w:link w:val="Style_3"/>
  </w:style>
  <w:style w:styleId="Style_14" w:type="paragraph">
    <w:name w:val="toc 3"/>
    <w:next w:val="Style_7"/>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heading 5"/>
    <w:next w:val="Style_7"/>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List Paragraph"/>
    <w:basedOn w:val="Style_7"/>
    <w:link w:val="Style_16_ch"/>
    <w:pPr>
      <w:ind w:firstLine="0" w:left="720"/>
      <w:contextualSpacing w:val="1"/>
    </w:pPr>
  </w:style>
  <w:style w:styleId="Style_16_ch" w:type="character">
    <w:name w:val="List Paragraph"/>
    <w:basedOn w:val="Style_7_ch"/>
    <w:link w:val="Style_16"/>
  </w:style>
  <w:style w:styleId="Style_17" w:type="paragraph">
    <w:name w:val="FollowedHyperlink"/>
    <w:basedOn w:val="Style_12"/>
    <w:link w:val="Style_17_ch"/>
    <w:rPr>
      <w:color w:themeColor="followedHyperlink" w:val="954F72"/>
      <w:u w:val="single"/>
    </w:rPr>
  </w:style>
  <w:style w:styleId="Style_17_ch" w:type="character">
    <w:name w:val="FollowedHyperlink"/>
    <w:basedOn w:val="Style_12_ch"/>
    <w:link w:val="Style_17"/>
    <w:rPr>
      <w:color w:themeColor="followedHyperlink" w:val="954F72"/>
      <w:u w:val="single"/>
    </w:rPr>
  </w:style>
  <w:style w:styleId="Style_5" w:type="paragraph">
    <w:name w:val="heading 1"/>
    <w:basedOn w:val="Style_7"/>
    <w:next w:val="Style_7"/>
    <w:link w:val="Style_5_ch"/>
    <w:uiPriority w:val="9"/>
    <w:qFormat/>
    <w:pPr>
      <w:keepNext w:val="1"/>
      <w:keepLines w:val="1"/>
      <w:spacing w:after="0" w:before="240"/>
      <w:ind/>
      <w:outlineLvl w:val="0"/>
    </w:pPr>
    <w:rPr>
      <w:rFonts w:asciiTheme="majorAscii" w:hAnsiTheme="majorHAnsi"/>
      <w:color w:themeColor="accent1" w:themeShade="BF" w:val="2E75B5"/>
      <w:sz w:val="32"/>
    </w:rPr>
  </w:style>
  <w:style w:styleId="Style_5_ch" w:type="character">
    <w:name w:val="heading 1"/>
    <w:basedOn w:val="Style_7_ch"/>
    <w:link w:val="Style_5"/>
    <w:rPr>
      <w:rFonts w:asciiTheme="majorAscii" w:hAnsiTheme="majorHAnsi"/>
      <w:color w:themeColor="accent1" w:themeShade="BF" w:val="2E75B5"/>
      <w:sz w:val="32"/>
    </w:rPr>
  </w:style>
  <w:style w:styleId="Style_18" w:type="paragraph">
    <w:name w:val="Hyperlink"/>
    <w:basedOn w:val="Style_12"/>
    <w:link w:val="Style_18_ch"/>
    <w:rPr>
      <w:color w:themeColor="hyperlink" w:val="0563C1"/>
      <w:u w:val="single"/>
    </w:rPr>
  </w:style>
  <w:style w:styleId="Style_18_ch" w:type="character">
    <w:name w:val="Hyperlink"/>
    <w:basedOn w:val="Style_12_ch"/>
    <w:link w:val="Style_18"/>
    <w:rPr>
      <w:color w:themeColor="hyperlink" w:val="0563C1"/>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4" w:type="paragraph">
    <w:name w:val="toc 1"/>
    <w:basedOn w:val="Style_7"/>
    <w:next w:val="Style_7"/>
    <w:link w:val="Style_4_ch"/>
    <w:uiPriority w:val="39"/>
    <w:pPr>
      <w:spacing w:after="100"/>
      <w:ind/>
    </w:pPr>
  </w:style>
  <w:style w:styleId="Style_4_ch" w:type="character">
    <w:name w:val="toc 1"/>
    <w:basedOn w:val="Style_7_ch"/>
    <w:link w:val="Style_4"/>
  </w:style>
  <w:style w:styleId="Style_20" w:type="paragraph">
    <w:name w:val="Header and Footer"/>
    <w:link w:val="Style_20_ch"/>
    <w:pPr>
      <w:spacing w:line="240" w:lineRule="auto"/>
      <w:ind/>
      <w:jc w:val="both"/>
    </w:pPr>
    <w:rPr>
      <w:rFonts w:ascii="XO Thames" w:hAnsi="XO Thames"/>
      <w:sz w:val="20"/>
    </w:rPr>
  </w:style>
  <w:style w:styleId="Style_20_ch" w:type="character">
    <w:name w:val="Header and Footer"/>
    <w:link w:val="Style_20"/>
    <w:rPr>
      <w:rFonts w:ascii="XO Thames" w:hAnsi="XO Thames"/>
      <w:sz w:val="20"/>
    </w:rPr>
  </w:style>
  <w:style w:styleId="Style_21" w:type="paragraph">
    <w:name w:val="ds-markdown-paragraph"/>
    <w:basedOn w:val="Style_7"/>
    <w:link w:val="Style_21_ch"/>
    <w:pPr>
      <w:spacing w:afterAutospacing="on" w:beforeAutospacing="on" w:line="240" w:lineRule="auto"/>
      <w:ind/>
    </w:pPr>
    <w:rPr>
      <w:rFonts w:ascii="Times New Roman" w:hAnsi="Times New Roman"/>
      <w:sz w:val="24"/>
    </w:rPr>
  </w:style>
  <w:style w:styleId="Style_21_ch" w:type="character">
    <w:name w:val="ds-markdown-paragraph"/>
    <w:basedOn w:val="Style_7_ch"/>
    <w:link w:val="Style_21"/>
    <w:rPr>
      <w:rFonts w:ascii="Times New Roman" w:hAnsi="Times New Roman"/>
      <w:sz w:val="24"/>
    </w:rPr>
  </w:style>
  <w:style w:styleId="Style_22" w:type="paragraph">
    <w:name w:val="toc 9"/>
    <w:next w:val="Style_7"/>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7"/>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toc 5"/>
    <w:next w:val="Style_7"/>
    <w:link w:val="Style_24_ch"/>
    <w:uiPriority w:val="39"/>
    <w:pPr>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header"/>
    <w:basedOn w:val="Style_7"/>
    <w:link w:val="Style_25_ch"/>
    <w:pPr>
      <w:tabs>
        <w:tab w:leader="none" w:pos="4677" w:val="center"/>
        <w:tab w:leader="none" w:pos="9355" w:val="right"/>
      </w:tabs>
      <w:spacing w:after="0" w:line="240" w:lineRule="auto"/>
      <w:ind/>
    </w:pPr>
  </w:style>
  <w:style w:styleId="Style_25_ch" w:type="character">
    <w:name w:val="header"/>
    <w:basedOn w:val="Style_7_ch"/>
    <w:link w:val="Style_25"/>
  </w:style>
  <w:style w:styleId="Style_26" w:type="paragraph">
    <w:name w:val="Emphasis"/>
    <w:basedOn w:val="Style_12"/>
    <w:link w:val="Style_26_ch"/>
    <w:rPr>
      <w:i w:val="1"/>
    </w:rPr>
  </w:style>
  <w:style w:styleId="Style_26_ch" w:type="character">
    <w:name w:val="Emphasis"/>
    <w:basedOn w:val="Style_12_ch"/>
    <w:link w:val="Style_26"/>
    <w:rPr>
      <w:i w:val="1"/>
    </w:rPr>
  </w:style>
  <w:style w:styleId="Style_27" w:type="paragraph">
    <w:name w:val="Subtitle"/>
    <w:next w:val="Style_7"/>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7"/>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next w:val="Style_7"/>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30" w:type="paragraph">
    <w:name w:val="heading 2"/>
    <w:basedOn w:val="Style_7"/>
    <w:next w:val="Style_7"/>
    <w:link w:val="Style_30_ch"/>
    <w:uiPriority w:val="9"/>
    <w:qFormat/>
    <w:pPr>
      <w:keepNext w:val="1"/>
      <w:keepLines w:val="1"/>
      <w:spacing w:after="0" w:before="40"/>
      <w:ind/>
      <w:outlineLvl w:val="1"/>
    </w:pPr>
    <w:rPr>
      <w:rFonts w:asciiTheme="majorAscii" w:hAnsiTheme="majorHAnsi"/>
      <w:color w:themeColor="accent1" w:themeShade="BF" w:val="2E75B5"/>
      <w:sz w:val="26"/>
    </w:rPr>
  </w:style>
  <w:style w:styleId="Style_30_ch" w:type="character">
    <w:name w:val="heading 2"/>
    <w:basedOn w:val="Style_7_ch"/>
    <w:link w:val="Style_30"/>
    <w:rPr>
      <w:rFonts w:asciiTheme="majorAscii" w:hAnsiTheme="majorHAnsi"/>
      <w:color w:themeColor="accent1" w:themeShade="BF" w:val="2E75B5"/>
      <w:sz w:val="26"/>
    </w:rPr>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webSettings.xml" Type="http://schemas.openxmlformats.org/officeDocument/2006/relationships/webSettings"/>
  <Relationship Id="rId10" Target="stylesWithEffects.xml" Type="http://schemas.microsoft.com/office/2007/relationships/stylesWithEffects"/>
  <Relationship Id="rId9" Target="styles.xml" Type="http://schemas.openxmlformats.org/officeDocument/2006/relationships/styles"/>
  <Relationship Id="rId8" Target="settings.xml" Type="http://schemas.openxmlformats.org/officeDocument/2006/relationships/settings"/>
  <Relationship Id="rId7" Target="fontTable.xml" Type="http://schemas.openxmlformats.org/officeDocument/2006/relationships/fontTable"/>
  <Relationship Id="rId6" Target="media/5.png" Type="http://schemas.openxmlformats.org/officeDocument/2006/relationships/image"/>
  <Relationship Id="rId5" Target="media/4.png" Type="http://schemas.openxmlformats.org/officeDocument/2006/relationships/image"/>
  <Relationship Id="rId4" Target="media/3.png" Type="http://schemas.openxmlformats.org/officeDocument/2006/relationships/image"/>
  <Relationship Id="rId12" Target="theme/theme1.xml" Type="http://schemas.openxmlformats.org/officeDocument/2006/relationships/theme"/>
  <Relationship Id="rId3" Target="media/2.png" Type="http://schemas.openxmlformats.org/officeDocument/2006/relationships/imag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2026-09-01T10:10:35Z</dcterms:modified>
</cp:coreProperties>
</file>