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0"/>
        <w:spacing w:after="0" w:before="0" w:line="264" w:lineRule="auto"/>
        <w:ind/>
        <w:jc w:val="center"/>
        <w:rPr>
          <w:rFonts w:ascii="Times New Roman" w:hAnsi="Times New Roman"/>
          <w:b w:val="1"/>
          <w:color w:val="000000"/>
          <w:sz w:val="22"/>
        </w:rPr>
      </w:pPr>
      <w:r>
        <w:rPr>
          <w:rFonts w:ascii="Times New Roman" w:hAnsi="Times New Roman"/>
          <w:b w:val="1"/>
          <w:color w:val="000000"/>
          <w:sz w:val="22"/>
        </w:rPr>
        <w:t>Федеральное государственное бюджетное образовательное учреждение</w:t>
      </w:r>
    </w:p>
    <w:p w14:paraId="04000000">
      <w:pPr>
        <w:widowControl w:val="0"/>
        <w:spacing w:after="0" w:before="0" w:line="264" w:lineRule="auto"/>
        <w:ind/>
        <w:jc w:val="center"/>
        <w:rPr>
          <w:rFonts w:ascii="Times New Roman" w:hAnsi="Times New Roman"/>
          <w:b w:val="1"/>
          <w:color w:val="000000"/>
          <w:sz w:val="22"/>
        </w:rPr>
      </w:pPr>
      <w:r>
        <w:rPr>
          <w:rFonts w:ascii="Times New Roman" w:hAnsi="Times New Roman"/>
          <w:b w:val="1"/>
          <w:color w:val="000000"/>
          <w:sz w:val="22"/>
        </w:rPr>
        <w:t>высшего образования</w:t>
      </w:r>
    </w:p>
    <w:p w14:paraId="05000000">
      <w:pPr>
        <w:widowControl w:val="0"/>
        <w:tabs>
          <w:tab w:leader="none" w:pos="2425" w:val="left"/>
        </w:tabs>
        <w:spacing w:after="0" w:before="0" w:line="264" w:lineRule="auto"/>
        <w:ind/>
        <w:jc w:val="center"/>
        <w:rPr>
          <w:rFonts w:ascii="Times New Roman" w:hAnsi="Times New Roman"/>
          <w:b w:val="1"/>
          <w:color w:val="000000"/>
          <w:sz w:val="22"/>
        </w:rPr>
      </w:pPr>
      <w:r>
        <w:rPr>
          <w:rFonts w:ascii="Times New Roman" w:hAnsi="Times New Roman"/>
          <w:b w:val="1"/>
          <w:color w:val="000000"/>
          <w:sz w:val="22"/>
        </w:rPr>
        <w:t xml:space="preserve">РОССИЙСКАЯ АКАДЕМИЯ НАРОДНОГО ХОЗЯЙСТВА И ГОСУДАРСТВЕННОЙ СЛУЖБЫ </w:t>
      </w:r>
    </w:p>
    <w:p w14:paraId="06000000">
      <w:pPr>
        <w:widowControl w:val="0"/>
        <w:tabs>
          <w:tab w:leader="none" w:pos="2425" w:val="left"/>
        </w:tabs>
        <w:spacing w:after="0" w:before="0" w:line="264" w:lineRule="auto"/>
        <w:ind/>
        <w:jc w:val="center"/>
        <w:rPr>
          <w:rFonts w:ascii="Times New Roman" w:hAnsi="Times New Roman"/>
          <w:b w:val="1"/>
          <w:color w:val="000000"/>
          <w:sz w:val="22"/>
        </w:rPr>
      </w:pPr>
      <w:r>
        <w:rPr>
          <w:rFonts w:ascii="Times New Roman" w:hAnsi="Times New Roman"/>
          <w:b w:val="1"/>
          <w:color w:val="000000"/>
          <w:sz w:val="22"/>
        </w:rPr>
        <w:t>при ПРЕЗИДЕНТЕ РОССИЙСКОЙ ФЕДЕРАЦИИ</w:t>
      </w:r>
    </w:p>
    <w:p w14:paraId="07000000">
      <w:pPr>
        <w:widowControl w:val="0"/>
        <w:tabs>
          <w:tab w:leader="none" w:pos="2425" w:val="left"/>
        </w:tabs>
        <w:spacing w:after="0" w:before="0" w:line="264" w:lineRule="auto"/>
        <w:ind/>
        <w:jc w:val="center"/>
        <w:rPr>
          <w:rFonts w:ascii="Times New Roman" w:hAnsi="Times New Roman"/>
          <w:b w:val="1"/>
          <w:color w:val="000000"/>
        </w:rPr>
      </w:pPr>
    </w:p>
    <w:p w14:paraId="08000000">
      <w:pPr>
        <w:widowControl w:val="0"/>
        <w:spacing w:after="0" w:before="0"/>
        <w:ind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КОЛЛЕДЖ НИЖЕГОРОДСКОГО ИНСТИТУТА УПРАВЛЕНИЯ –ФИЛИАЛ РАНХиГС</w:t>
      </w:r>
    </w:p>
    <w:p w14:paraId="09000000">
      <w:pPr>
        <w:widowControl w:val="0"/>
        <w:spacing w:after="0" w:before="0" w:line="276" w:lineRule="auto"/>
        <w:ind/>
        <w:jc w:val="center"/>
        <w:rPr>
          <w:rFonts w:ascii="Times New Roman" w:hAnsi="Times New Roman"/>
          <w:b w:val="1"/>
        </w:rPr>
      </w:pPr>
    </w:p>
    <w:p w14:paraId="0A000000">
      <w:pPr>
        <w:widowControl w:val="0"/>
        <w:spacing w:after="0" w:before="0" w:line="276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ОТЧЕТ</w:t>
      </w:r>
    </w:p>
    <w:p w14:paraId="0B000000">
      <w:pPr>
        <w:widowControl w:val="0"/>
        <w:spacing w:after="0" w:before="0" w:line="276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 прохождении практической подготовки (производственной практики)</w:t>
      </w:r>
    </w:p>
    <w:p w14:paraId="0C000000">
      <w:pPr>
        <w:widowControl w:val="0"/>
        <w:spacing w:after="0" w:before="0" w:line="276" w:lineRule="auto"/>
        <w:ind/>
        <w:jc w:val="center"/>
        <w:rPr>
          <w:rFonts w:ascii="Times New Roman" w:hAnsi="Times New Roman"/>
          <w:b w:val="1"/>
        </w:rPr>
      </w:pPr>
    </w:p>
    <w:p w14:paraId="0D000000">
      <w:pPr>
        <w:widowControl w:val="0"/>
        <w:spacing w:after="200" w:before="0" w:line="276" w:lineRule="auto"/>
        <w:ind/>
        <w:jc w:val="center"/>
        <w:rPr>
          <w:rFonts w:ascii="Times New Roman" w:hAnsi="Times New Roman"/>
          <w:i w:val="1"/>
          <w:sz w:val="22"/>
          <w:u w:val="single"/>
        </w:rPr>
      </w:pPr>
      <w:r>
        <w:rPr>
          <w:rFonts w:ascii="Times New Roman" w:hAnsi="Times New Roman"/>
          <w:spacing w:val="-2"/>
        </w:rPr>
        <w:t xml:space="preserve">проф. Модуль </w:t>
      </w:r>
      <w:r>
        <w:rPr>
          <w:rFonts w:ascii="Times New Roman" w:hAnsi="Times New Roman"/>
          <w:u w:val="single"/>
        </w:rPr>
        <w:t>ПМ 01. «Документирование хозяйственных операций и ведение бухгалтерского учета активов организации»</w:t>
      </w:r>
      <w:r>
        <w:rPr>
          <w:rFonts w:ascii="Times New Roman" w:hAnsi="Times New Roman"/>
          <w:sz w:val="22"/>
          <w:u w:val="single"/>
        </w:rPr>
        <w:t xml:space="preserve"> </w:t>
      </w:r>
    </w:p>
    <w:p w14:paraId="0E000000">
      <w:pPr>
        <w:spacing w:after="0" w:before="0" w:line="276" w:lineRule="auto"/>
        <w:ind/>
        <w:jc w:val="both"/>
        <w:rPr>
          <w:rFonts w:ascii="Times New Roman" w:hAnsi="Times New Roman"/>
          <w:u w:val="single"/>
        </w:rPr>
      </w:pPr>
    </w:p>
    <w:p w14:paraId="0F000000">
      <w:pPr>
        <w:widowControl w:val="0"/>
        <w:spacing w:after="0" w:before="0" w:line="276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</w:t>
      </w:r>
      <w:r>
        <w:rPr>
          <w:rFonts w:ascii="Times New Roman" w:hAnsi="Times New Roman"/>
          <w:highlight w:val="yellow"/>
        </w:rPr>
        <w:t>ХХХХХХХ____________________</w:t>
      </w:r>
    </w:p>
    <w:p w14:paraId="10000000">
      <w:pPr>
        <w:widowControl w:val="0"/>
        <w:spacing w:after="0" w:before="0" w:line="276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(Ф.И.О. обучающегося)</w:t>
      </w:r>
    </w:p>
    <w:p w14:paraId="11000000">
      <w:pPr>
        <w:widowControl w:val="0"/>
        <w:spacing w:after="0" w:before="0" w:line="276" w:lineRule="auto"/>
        <w:ind/>
        <w:jc w:val="center"/>
        <w:rPr>
          <w:rFonts w:ascii="Times New Roman" w:hAnsi="Times New Roman"/>
          <w:i w:val="1"/>
          <w:sz w:val="20"/>
        </w:rPr>
      </w:pPr>
    </w:p>
    <w:p w14:paraId="12000000">
      <w:pPr>
        <w:widowControl w:val="0"/>
        <w:spacing w:after="0" w:before="0" w:line="480" w:lineRule="auto"/>
        <w:ind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Специальность</w:t>
      </w:r>
      <w:r>
        <w:rPr>
          <w:rFonts w:ascii="Times New Roman" w:hAnsi="Times New Roman"/>
          <w:u w:val="single"/>
        </w:rPr>
        <w:t>       </w:t>
      </w:r>
      <w:r>
        <w:rPr>
          <w:rFonts w:ascii="Times New Roman" w:hAnsi="Times New Roman"/>
          <w:u w:val="single"/>
        </w:rPr>
        <w:t>38.02.01Экономика и бухгалтерский учет (по</w:t>
      </w:r>
      <w:r>
        <w:rPr>
          <w:rFonts w:ascii="Times New Roman" w:hAnsi="Times New Roman"/>
          <w:u w:val="single"/>
        </w:rPr>
        <w:t>  </w:t>
      </w:r>
      <w:r>
        <w:rPr>
          <w:rFonts w:ascii="Times New Roman" w:hAnsi="Times New Roman"/>
          <w:u w:val="single"/>
        </w:rPr>
        <w:t>отраслям</w:t>
      </w:r>
      <w:r>
        <w:rPr>
          <w:rFonts w:ascii="Times New Roman" w:hAnsi="Times New Roman"/>
          <w:u w:val="single"/>
        </w:rPr>
        <w:t> </w:t>
      </w:r>
      <w:r>
        <w:rPr>
          <w:rFonts w:ascii="Times New Roman" w:hAnsi="Times New Roman"/>
          <w:u w:val="single"/>
        </w:rPr>
        <w:t>)</w:t>
      </w:r>
      <w:r>
        <w:rPr>
          <w:rFonts w:ascii="Times New Roman" w:hAnsi="Times New Roman"/>
          <w:u w:val="single"/>
        </w:rPr>
        <w:t>                              </w:t>
      </w:r>
    </w:p>
    <w:p w14:paraId="13000000">
      <w:pPr>
        <w:widowControl w:val="0"/>
        <w:spacing w:after="0" w:before="0" w:line="480" w:lineRule="auto"/>
        <w:ind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    2    </w:t>
      </w:r>
      <w:r>
        <w:rPr>
          <w:rFonts w:ascii="Times New Roman" w:hAnsi="Times New Roman"/>
        </w:rPr>
        <w:t xml:space="preserve"> курс обучения                                                            учебная группа № </w:t>
      </w:r>
      <w:r>
        <w:rPr>
          <w:rFonts w:ascii="Times New Roman" w:hAnsi="Times New Roman"/>
          <w:u w:val="single"/>
        </w:rPr>
        <w:t>    </w:t>
      </w:r>
      <w:r>
        <w:rPr>
          <w:rFonts w:ascii="Times New Roman" w:hAnsi="Times New Roman"/>
          <w:highlight w:val="yellow"/>
          <w:u w:val="single"/>
        </w:rPr>
        <w:t>Эб</w:t>
      </w:r>
      <w:r>
        <w:rPr>
          <w:rFonts w:ascii="Times New Roman" w:hAnsi="Times New Roman"/>
          <w:highlight w:val="yellow"/>
          <w:u w:val="single"/>
        </w:rPr>
        <w:t> -021</w:t>
      </w:r>
      <w:r>
        <w:rPr>
          <w:rFonts w:ascii="Times New Roman" w:hAnsi="Times New Roman"/>
          <w:u w:val="single"/>
        </w:rPr>
        <w:t>    </w:t>
      </w:r>
    </w:p>
    <w:p w14:paraId="14000000">
      <w:pPr>
        <w:widowControl w:val="0"/>
        <w:spacing w:after="0" w:before="0" w:line="276" w:lineRule="auto"/>
        <w:ind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</w:rPr>
        <w:t>Место прохождения практики: Администрации Канавинского района, г. Нижний Новгород, Нижегородской области</w:t>
      </w:r>
    </w:p>
    <w:p w14:paraId="15000000">
      <w:pPr>
        <w:widowControl w:val="0"/>
        <w:spacing w:after="0" w:before="0" w:line="276" w:lineRule="auto"/>
        <w:ind w:firstLine="851" w:left="0"/>
        <w:jc w:val="center"/>
        <w:rPr>
          <w:rFonts w:ascii="Times New Roman" w:hAnsi="Times New Roman"/>
        </w:rPr>
      </w:pPr>
    </w:p>
    <w:p w14:paraId="16000000">
      <w:pPr>
        <w:widowControl w:val="0"/>
        <w:spacing w:after="0" w:before="0" w:line="276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прохождения практики: с «08»</w:t>
      </w:r>
      <w:r>
        <w:rPr>
          <w:rFonts w:ascii="Times New Roman" w:hAnsi="Times New Roman"/>
          <w:u w:val="single"/>
        </w:rPr>
        <w:t>     июня    </w:t>
      </w:r>
      <w:r>
        <w:rPr>
          <w:rFonts w:ascii="Times New Roman" w:hAnsi="Times New Roman"/>
        </w:rPr>
        <w:t xml:space="preserve">2026 г. по «22» </w:t>
      </w:r>
      <w:r>
        <w:rPr>
          <w:rFonts w:ascii="Times New Roman" w:hAnsi="Times New Roman"/>
          <w:u w:val="single"/>
        </w:rPr>
        <w:t>  июня     </w:t>
      </w:r>
      <w:r>
        <w:rPr>
          <w:rFonts w:ascii="Times New Roman" w:hAnsi="Times New Roman"/>
        </w:rPr>
        <w:t xml:space="preserve">2026 г. </w:t>
      </w:r>
    </w:p>
    <w:p w14:paraId="17000000">
      <w:pPr>
        <w:widowControl w:val="0"/>
        <w:spacing w:after="0" w:before="0" w:line="276" w:lineRule="auto"/>
        <w:ind w:firstLine="851" w:left="0"/>
        <w:jc w:val="both"/>
        <w:rPr>
          <w:rFonts w:ascii="Times New Roman" w:hAnsi="Times New Roman"/>
        </w:rPr>
      </w:pPr>
    </w:p>
    <w:p w14:paraId="18000000">
      <w:pPr>
        <w:widowControl w:val="0"/>
        <w:spacing w:after="0" w:before="0" w:line="276" w:lineRule="auto"/>
        <w:ind w:firstLine="851" w:left="0"/>
        <w:jc w:val="both"/>
        <w:rPr>
          <w:rFonts w:ascii="Times New Roman" w:hAnsi="Times New Roman"/>
        </w:rPr>
      </w:pPr>
    </w:p>
    <w:p w14:paraId="19000000">
      <w:pPr>
        <w:widowControl w:val="0"/>
        <w:spacing w:after="0" w:before="0" w:line="276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Руководители практики: </w:t>
      </w:r>
    </w:p>
    <w:p w14:paraId="1A000000">
      <w:pPr>
        <w:spacing w:after="0" w:before="0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Руководитель практики от колледжа:</w:t>
      </w:r>
    </w:p>
    <w:p w14:paraId="1B000000">
      <w:pPr>
        <w:tabs>
          <w:tab w:leader="none" w:pos="9498" w:val="decimal"/>
        </w:tabs>
        <w:spacing w:after="0" w:before="0"/>
        <w:ind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      , преподаватель высшей категории                                         </w:t>
      </w:r>
    </w:p>
    <w:p w14:paraId="1C000000">
      <w:pPr>
        <w:spacing w:after="0" w:before="0"/>
        <w:ind/>
        <w:rPr>
          <w:rFonts w:ascii="Times New Roman" w:hAnsi="Times New Roman"/>
          <w:i w:val="1"/>
          <w:sz w:val="22"/>
        </w:rPr>
      </w:pPr>
      <w:r>
        <w:rPr>
          <w:rFonts w:ascii="Times New Roman" w:hAnsi="Times New Roman"/>
          <w:i w:val="1"/>
          <w:sz w:val="22"/>
        </w:rPr>
        <w:t>(Ф.И.О., должность, подпись)</w:t>
      </w:r>
    </w:p>
    <w:p w14:paraId="1D000000">
      <w:pPr>
        <w:spacing w:after="0" w:before="0"/>
        <w:ind/>
        <w:jc w:val="center"/>
        <w:rPr>
          <w:rFonts w:ascii="Times New Roman" w:hAnsi="Times New Roman"/>
          <w:i w:val="1"/>
          <w:sz w:val="22"/>
        </w:rPr>
      </w:pPr>
    </w:p>
    <w:p w14:paraId="1E000000">
      <w:pPr>
        <w:spacing w:after="0" w:before="0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Руководитель практики от организации:</w:t>
      </w:r>
    </w:p>
    <w:p w14:paraId="1F000000">
      <w:pPr>
        <w:tabs>
          <w:tab w:leader="none" w:pos="9639" w:val="decimal"/>
        </w:tabs>
        <w:spacing w:after="0" w:before="0"/>
        <w:ind/>
        <w:rPr>
          <w:rFonts w:ascii="Times New Roman" w:hAnsi="Times New Roman"/>
          <w:i w:val="1"/>
          <w:sz w:val="22"/>
        </w:rPr>
      </w:pPr>
      <w:r>
        <w:rPr>
          <w:rFonts w:ascii="Times New Roman" w:hAnsi="Times New Roman"/>
          <w:u w:val="single"/>
        </w:rPr>
        <w:tab/>
      </w:r>
    </w:p>
    <w:p w14:paraId="20000000">
      <w:pPr>
        <w:spacing w:after="0" w:before="0"/>
        <w:ind/>
        <w:jc w:val="center"/>
        <w:rPr>
          <w:rFonts w:ascii="Times New Roman" w:hAnsi="Times New Roman"/>
          <w:i w:val="1"/>
          <w:sz w:val="22"/>
        </w:rPr>
      </w:pPr>
      <w:r>
        <w:rPr>
          <w:rFonts w:ascii="Times New Roman" w:hAnsi="Times New Roman"/>
          <w:i w:val="1"/>
          <w:sz w:val="22"/>
          <w:highlight w:val="yellow"/>
        </w:rPr>
        <w:t xml:space="preserve">(Ф.И.О., должность, подпись, </w:t>
      </w:r>
      <w:r>
        <w:rPr>
          <w:rFonts w:ascii="Times New Roman" w:hAnsi="Times New Roman"/>
          <w:b w:val="1"/>
          <w:i w:val="1"/>
          <w:sz w:val="22"/>
          <w:highlight w:val="yellow"/>
        </w:rPr>
        <w:t>печа</w:t>
      </w:r>
      <w:r>
        <w:rPr>
          <w:rFonts w:ascii="Times New Roman" w:hAnsi="Times New Roman"/>
          <w:b w:val="1"/>
          <w:i w:val="1"/>
          <w:sz w:val="22"/>
        </w:rPr>
        <w:t>ть организации</w:t>
      </w:r>
      <w:r>
        <w:rPr>
          <w:rFonts w:ascii="Times New Roman" w:hAnsi="Times New Roman"/>
          <w:i w:val="1"/>
          <w:sz w:val="22"/>
        </w:rPr>
        <w:t>)</w:t>
      </w:r>
    </w:p>
    <w:p w14:paraId="21000000">
      <w:pPr>
        <w:widowControl w:val="0"/>
        <w:spacing w:after="0" w:before="0" w:line="276" w:lineRule="auto"/>
        <w:ind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М.П.</w:t>
      </w:r>
    </w:p>
    <w:p w14:paraId="22000000">
      <w:pPr>
        <w:widowControl w:val="0"/>
        <w:spacing w:after="0" w:before="0" w:line="276" w:lineRule="auto"/>
        <w:ind/>
        <w:jc w:val="both"/>
        <w:rPr>
          <w:rFonts w:ascii="Times New Roman" w:hAnsi="Times New Roman"/>
        </w:rPr>
      </w:pPr>
    </w:p>
    <w:p w14:paraId="23000000">
      <w:pPr>
        <w:widowControl w:val="0"/>
        <w:spacing w:after="0" w:before="0" w:line="276" w:lineRule="auto"/>
        <w:ind/>
        <w:jc w:val="both"/>
        <w:rPr>
          <w:rFonts w:ascii="Times New Roman" w:hAnsi="Times New Roman"/>
        </w:rPr>
      </w:pPr>
    </w:p>
    <w:p w14:paraId="24000000">
      <w:pPr>
        <w:widowControl w:val="0"/>
        <w:spacing w:after="0" w:before="0" w:line="276" w:lineRule="auto"/>
        <w:ind/>
        <w:jc w:val="both"/>
        <w:rPr>
          <w:rFonts w:ascii="Times New Roman" w:hAnsi="Times New Roman"/>
          <w:highlight w:val="yellow"/>
        </w:rPr>
      </w:pPr>
      <w:r>
        <w:rPr>
          <w:rFonts w:ascii="Times New Roman" w:hAnsi="Times New Roman"/>
        </w:rPr>
        <w:t xml:space="preserve">Отчет подготовлен               </w:t>
      </w:r>
      <w:r>
        <w:rPr>
          <w:rFonts w:ascii="Times New Roman" w:hAnsi="Times New Roman"/>
          <w:highlight w:val="yellow"/>
        </w:rPr>
        <w:t>_______________________                _____________________</w:t>
      </w:r>
    </w:p>
    <w:p w14:paraId="25000000">
      <w:pPr>
        <w:widowControl w:val="0"/>
        <w:spacing w:after="0" w:before="0" w:line="276" w:lineRule="auto"/>
        <w:ind w:firstLine="851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  <w:highlight w:val="yellow"/>
        </w:rPr>
        <w:t xml:space="preserve">                                             (подпись обучающегося)                                               (И.О. Фамилия</w:t>
      </w:r>
      <w:r>
        <w:rPr>
          <w:rFonts w:ascii="Times New Roman" w:hAnsi="Times New Roman"/>
          <w:sz w:val="20"/>
        </w:rPr>
        <w:t xml:space="preserve">)        </w:t>
      </w:r>
    </w:p>
    <w:p w14:paraId="26000000">
      <w:pPr>
        <w:widowControl w:val="0"/>
        <w:spacing w:after="0" w:before="0" w:line="276" w:lineRule="auto"/>
        <w:ind w:firstLine="851" w:left="0"/>
        <w:jc w:val="both"/>
        <w:rPr>
          <w:rFonts w:ascii="Times New Roman" w:hAnsi="Times New Roman"/>
          <w:sz w:val="20"/>
        </w:rPr>
      </w:pPr>
    </w:p>
    <w:p w14:paraId="27000000">
      <w:pPr>
        <w:widowControl w:val="0"/>
        <w:spacing w:after="0" w:before="0" w:line="276" w:lineRule="auto"/>
        <w:ind/>
        <w:jc w:val="center"/>
        <w:rPr>
          <w:rFonts w:ascii="Times New Roman" w:hAnsi="Times New Roman"/>
        </w:rPr>
      </w:pPr>
    </w:p>
    <w:p w14:paraId="28000000">
      <w:pPr>
        <w:widowControl w:val="0"/>
        <w:spacing w:after="0" w:before="0" w:line="276" w:lineRule="auto"/>
        <w:ind/>
        <w:jc w:val="center"/>
        <w:rPr>
          <w:rFonts w:ascii="Times New Roman" w:hAnsi="Times New Roman"/>
        </w:rPr>
      </w:pPr>
    </w:p>
    <w:p w14:paraId="29000000">
      <w:pPr>
        <w:widowControl w:val="0"/>
        <w:spacing w:after="0" w:before="0" w:line="276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Нижний Новгород, 2026 г.</w:t>
      </w:r>
    </w:p>
    <w:p w14:paraId="2A000000">
      <w:pPr>
        <w:spacing w:after="0" w:before="0"/>
        <w:ind/>
        <w:jc w:val="center"/>
        <w:rPr>
          <w:rFonts w:ascii="Arial" w:hAnsi="Arial"/>
          <w:sz w:val="22"/>
        </w:rPr>
      </w:pPr>
    </w:p>
    <w:p w14:paraId="2B000000">
      <w:pPr>
        <w:sectPr>
          <w:footerReference r:id="rId1" w:type="default"/>
          <w:pgSz w:h="16838" w:orient="portrait" w:w="11906"/>
          <w:pgMar w:bottom="1134" w:footer="709" w:gutter="0" w:header="709" w:left="1701" w:right="851" w:top="1134"/>
          <w:pgNumType w:start="1"/>
          <w:titlePg/>
        </w:sectPr>
      </w:pPr>
    </w:p>
    <w:p w14:paraId="2C000000">
      <w:pPr>
        <w:spacing w:after="0" w:before="0"/>
        <w:ind/>
        <w:jc w:val="center"/>
        <w:rPr>
          <w:rFonts w:ascii="Arial" w:hAnsi="Arial"/>
          <w:sz w:val="22"/>
        </w:rPr>
      </w:pPr>
    </w:p>
    <w:p w14:paraId="2D000000">
      <w:pPr>
        <w:tabs>
          <w:tab w:leader="none" w:pos="9344" w:val="right"/>
        </w:tabs>
        <w:spacing w:after="30" w:before="30" w:line="360" w:lineRule="auto"/>
        <w:ind w:hanging="238" w:left="238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Содержание</w:t>
      </w:r>
    </w:p>
    <w:p>
      <w:pPr>
        <w:pStyle w:val="Style_1"/>
        <w:tabs>
          <w:tab w:leader="dot" w:pos="9354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Введение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 w14:paraId="2F000000">
      <w:pPr>
        <w:pStyle w:val="Style_2"/>
        <w:tabs>
          <w:tab w:leader="dot" w:pos="9354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 Организационно-экономическая характеристика Администрации Канавинского района, г. Нижний Новгород, Нижегородской области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30000000">
      <w:pPr>
        <w:pStyle w:val="Style_2"/>
        <w:tabs>
          <w:tab w:leader="dot" w:pos="9354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2.</w:t>
      </w:r>
      <w:r>
        <w:tab/>
      </w:r>
      <w:r>
        <w:t>Документирование хозяйственных операций и ведение бухгалтерского учёта имущества организации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31000000">
      <w:pPr>
        <w:pStyle w:val="Style_2"/>
        <w:tabs>
          <w:tab w:leader="dot" w:pos="9354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2.1 Учет кассовых операций  и на расчетном счете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32000000">
      <w:pPr>
        <w:pStyle w:val="Style_2"/>
        <w:tabs>
          <w:tab w:leader="dot" w:pos="9354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2.2 Учет основных средств и нематериальных активов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11</w:t>
      </w:r>
      <w:r>
        <w:fldChar w:fldCharType="end"/>
      </w:r>
      <w:r>
        <w:fldChar w:fldCharType="end"/>
      </w:r>
    </w:p>
    <w:p w14:paraId="33000000">
      <w:pPr>
        <w:pStyle w:val="Style_2"/>
        <w:tabs>
          <w:tab w:leader="dot" w:pos="9354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2.3 Учет материально – производственных запасов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34000000">
      <w:pPr>
        <w:pStyle w:val="Style_2"/>
        <w:tabs>
          <w:tab w:leader="dot" w:pos="9354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2.4 Учет затрат на производство и калькулирование себестоимости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35000000">
      <w:pPr>
        <w:pStyle w:val="Style_2"/>
        <w:tabs>
          <w:tab w:leader="dot" w:pos="9354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2.5 Учет расчетов с контрагентами или оказание услуг или выполнение работ)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36000000">
      <w:pPr>
        <w:pStyle w:val="Style_2"/>
        <w:tabs>
          <w:tab w:leader="dot" w:pos="9354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2.6 Учет дебиторской и кредиторской задолженности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37000000">
      <w:pPr>
        <w:pStyle w:val="Style_1"/>
        <w:tabs>
          <w:tab w:leader="dot" w:pos="9354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Заключение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38000000">
      <w:pPr>
        <w:pStyle w:val="Style_1"/>
        <w:tabs>
          <w:tab w:leader="dot" w:pos="9354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Список источников и литературы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>
      <w:r>
        <w:fldChar w:fldCharType="end"/>
      </w:r>
    </w:p>
    <w:p w14:paraId="3A000000">
      <w:pPr>
        <w:widowControl w:val="0"/>
        <w:tabs>
          <w:tab w:leader="none" w:pos="12000" w:val="right"/>
        </w:tabs>
        <w:spacing w:after="0" w:before="60" w:line="360" w:lineRule="auto"/>
        <w:ind/>
        <w:rPr>
          <w:rFonts w:ascii="Arial" w:hAnsi="Arial"/>
          <w:b w:val="1"/>
          <w:color w:val="000000"/>
          <w:sz w:val="22"/>
        </w:rPr>
      </w:pPr>
    </w:p>
    <w:p w14:paraId="3B000000">
      <w:pPr>
        <w:spacing w:after="0" w:before="20" w:line="36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3C000000">
      <w:pPr>
        <w:spacing w:after="0" w:before="0"/>
        <w:ind/>
        <w:jc w:val="center"/>
        <w:rPr>
          <w:rFonts w:ascii="Times New Roman" w:hAnsi="Times New Roman"/>
          <w:color w:val="000000"/>
          <w:sz w:val="28"/>
        </w:rPr>
      </w:pPr>
    </w:p>
    <w:p w14:paraId="3D000000">
      <w:pPr>
        <w:spacing w:after="0" w:before="0"/>
        <w:ind/>
        <w:jc w:val="center"/>
        <w:rPr>
          <w:rFonts w:ascii="Times New Roman" w:hAnsi="Times New Roman"/>
          <w:color w:val="000000"/>
          <w:sz w:val="28"/>
        </w:rPr>
      </w:pPr>
    </w:p>
    <w:p w14:paraId="3E000000">
      <w:pPr>
        <w:spacing w:after="0" w:before="0"/>
        <w:ind/>
        <w:jc w:val="center"/>
        <w:rPr>
          <w:rFonts w:ascii="Times New Roman" w:hAnsi="Times New Roman"/>
          <w:color w:val="000000"/>
          <w:sz w:val="28"/>
        </w:rPr>
      </w:pPr>
    </w:p>
    <w:p w14:paraId="3F000000">
      <w:pPr>
        <w:spacing w:after="0" w:before="0"/>
        <w:ind/>
        <w:jc w:val="center"/>
        <w:rPr>
          <w:rFonts w:ascii="Times New Roman" w:hAnsi="Times New Roman"/>
          <w:color w:val="000000"/>
          <w:sz w:val="28"/>
        </w:rPr>
      </w:pPr>
    </w:p>
    <w:p w14:paraId="40000000">
      <w:pPr>
        <w:spacing w:after="0" w:before="0"/>
        <w:ind/>
        <w:jc w:val="center"/>
        <w:rPr>
          <w:rFonts w:ascii="Times New Roman" w:hAnsi="Times New Roman"/>
          <w:color w:val="000000"/>
          <w:sz w:val="28"/>
        </w:rPr>
      </w:pPr>
    </w:p>
    <w:p w14:paraId="41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42000000">
      <w:bookmarkStart w:id="1" w:name="__RefHeading___1"/>
      <w:bookmarkEnd w:id="1"/>
      <w:pPr>
        <w:pStyle w:val="Style_3"/>
        <w:tabs>
          <w:tab w:leader="none" w:pos="300" w:val="left"/>
        </w:tabs>
        <w:spacing w:after="0" w:before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Введение</w:t>
      </w:r>
    </w:p>
    <w:p w14:paraId="43000000">
      <w:pPr>
        <w:spacing w:after="0" w:before="0"/>
        <w:ind w:firstLine="408" w:left="0"/>
        <w:jc w:val="both"/>
        <w:rPr>
          <w:rFonts w:ascii="Times New Roman" w:hAnsi="Times New Roman"/>
        </w:rPr>
      </w:pPr>
    </w:p>
    <w:p w14:paraId="44000000">
      <w:pPr>
        <w:spacing w:after="0" w:before="0"/>
        <w:ind w:firstLine="408" w:left="0"/>
        <w:jc w:val="both"/>
        <w:rPr>
          <w:rFonts w:ascii="Times New Roman" w:hAnsi="Times New Roman"/>
        </w:rPr>
      </w:pPr>
    </w:p>
    <w:p w14:paraId="45000000">
      <w:pPr>
        <w:spacing w:after="0" w:before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Производственная практика (по профилю специальности) является важнейшей составляющей подготовки обучающихся по специальности 38.02.01 «Экономика и бухгалтерский учет (</w:t>
      </w:r>
      <w:r>
        <w:rPr>
          <w:rFonts w:ascii="Times New Roman" w:hAnsi="Times New Roman"/>
          <w:sz w:val="28"/>
        </w:rPr>
        <w:t>по отраслям)». Она представляет собой форму учебных занятий, организуемых в организациях и учреждениях различных форм собственности и организационно-правовых форм, и направлена на углубление теоретической подготовки, закрепление практических умений и формирование профессиональных компетенций.</w:t>
      </w:r>
    </w:p>
    <w:p w14:paraId="46000000">
      <w:pPr>
        <w:spacing w:after="0" w:before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Объектом исследования в рамках производственной практики выступает финансово-хозяйственная деятельность Администрации Канавинского района города Нижнего Новгорода </w:t>
      </w:r>
    </w:p>
    <w:p w14:paraId="47000000">
      <w:pPr>
        <w:spacing w:after="0" w:before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Предметом исследования является документальное оформление и ведение бухгалтерского учета имущества, обязательств и хозяйственных операций Администрации Канавинского района города Нижнего Новгорода, а именно:</w:t>
      </w:r>
    </w:p>
    <w:p w14:paraId="48000000">
      <w:pPr>
        <w:spacing w:after="0" w:before="0" w:line="360" w:lineRule="auto"/>
        <w:ind w:firstLine="0" w:left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учет кассовых операций и операций на лицевом счете;</w:t>
      </w:r>
    </w:p>
    <w:p w14:paraId="49000000">
      <w:pPr>
        <w:spacing w:after="0" w:before="0" w:line="360" w:lineRule="auto"/>
        <w:ind w:firstLine="0" w:left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учет основных средств и нематериальных активов;</w:t>
      </w:r>
    </w:p>
    <w:p w14:paraId="4A000000">
      <w:pPr>
        <w:spacing w:after="0" w:before="0" w:line="360" w:lineRule="auto"/>
        <w:ind w:firstLine="0" w:left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учет материально-производственных запасов;</w:t>
      </w:r>
    </w:p>
    <w:p w14:paraId="4B000000">
      <w:pPr>
        <w:spacing w:after="0" w:before="0" w:line="360" w:lineRule="auto"/>
        <w:ind w:firstLine="72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учет затрат на выполнение работ, оказание услуг и обеспечение текущей деятельности;</w:t>
      </w:r>
    </w:p>
    <w:p w14:paraId="4C000000">
      <w:pPr>
        <w:spacing w:after="0" w:before="0" w:line="360" w:lineRule="auto"/>
        <w:ind w:firstLine="0" w:left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учет расчетов с контрагентами;</w:t>
      </w:r>
    </w:p>
    <w:p w14:paraId="4D000000">
      <w:pPr>
        <w:spacing w:after="0" w:before="0" w:line="360" w:lineRule="auto"/>
        <w:ind w:firstLine="0" w:left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учет дебиторской и кредиторской задолженности.</w:t>
      </w:r>
    </w:p>
    <w:p w14:paraId="4E000000">
      <w:pPr>
        <w:spacing w:after="0" w:before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Целью производственной практики (по профилю специальности) является профессионально-практическая подготовка обучающихся, ориентированная на углубление теоретической подготовки и закрепление практических умений и компетенций по МДК 01.01 «Практические основы бухгалтерского учета активов организации» применительно к условиям бюджетного учета в муниципальном органе.</w:t>
      </w:r>
    </w:p>
    <w:p w14:paraId="4F000000">
      <w:pPr>
        <w:spacing w:after="0" w:before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Задачами производственной практики являются формирование общих и профессиональных компетенций:</w:t>
      </w:r>
    </w:p>
    <w:p w14:paraId="50000000">
      <w:pPr>
        <w:numPr>
          <w:ilvl w:val="0"/>
          <w:numId w:val="1"/>
        </w:numPr>
        <w:tabs>
          <w:tab w:leader="none" w:pos="360" w:val="left"/>
          <w:tab w:leader="none" w:pos="720" w:val="clear"/>
        </w:tabs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Знакомство со структурой Администрации Канавинского района города Нижнего Новгорода и особенностями ее финансово-хозяйственной деятельности.</w:t>
      </w:r>
    </w:p>
    <w:p w14:paraId="51000000">
      <w:pPr>
        <w:numPr>
          <w:ilvl w:val="0"/>
          <w:numId w:val="1"/>
        </w:numPr>
        <w:tabs>
          <w:tab w:leader="none" w:pos="360" w:val="left"/>
          <w:tab w:leader="none" w:pos="720" w:val="clear"/>
        </w:tabs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Ознакомление со структурой бухгалтерской службы учреждения и порядком ее взаимодействия с другими структурными подразделениями.</w:t>
      </w:r>
    </w:p>
    <w:p w14:paraId="52000000">
      <w:pPr>
        <w:numPr>
          <w:ilvl w:val="0"/>
          <w:numId w:val="1"/>
        </w:numPr>
        <w:tabs>
          <w:tab w:leader="none" w:pos="360" w:val="left"/>
          <w:tab w:leader="none" w:pos="720" w:val="clear"/>
        </w:tabs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Ознакомление с должностными обязанностями специалистов по отдельным участкам бухгалтерского учета.</w:t>
      </w:r>
    </w:p>
    <w:p w14:paraId="53000000">
      <w:pPr>
        <w:numPr>
          <w:ilvl w:val="0"/>
          <w:numId w:val="1"/>
        </w:numPr>
        <w:tabs>
          <w:tab w:leader="none" w:pos="360" w:val="left"/>
          <w:tab w:leader="none" w:pos="720" w:val="clear"/>
        </w:tabs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Приобретение практических навыков бухгалтерского учета хозяйственных операций по учету имущества, обязательств и расчетов учреждения.</w:t>
      </w:r>
    </w:p>
    <w:p w14:paraId="54000000">
      <w:pPr>
        <w:numPr>
          <w:ilvl w:val="0"/>
          <w:numId w:val="1"/>
        </w:numPr>
        <w:tabs>
          <w:tab w:leader="none" w:pos="360" w:val="left"/>
          <w:tab w:leader="none" w:pos="720" w:val="clear"/>
        </w:tabs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профессионального мышления, необходимого для решения практических задач в сфере бюджетного учета.</w:t>
      </w:r>
    </w:p>
    <w:p w14:paraId="55000000">
      <w:pPr>
        <w:numPr>
          <w:ilvl w:val="0"/>
          <w:numId w:val="1"/>
        </w:numPr>
        <w:tabs>
          <w:tab w:leader="none" w:pos="360" w:val="left"/>
          <w:tab w:leader="none" w:pos="720" w:val="clear"/>
        </w:tabs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Приобретение практических навыков по обработке первичных документов и отражению хозяйственных операций в учетных регистрах.</w:t>
      </w:r>
    </w:p>
    <w:p w14:paraId="56000000">
      <w:pPr>
        <w:spacing w:after="0" w:before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Производственная практика проходила в Администрации Канавинского района города Нижнего Новгорода в период </w:t>
      </w:r>
      <w:r>
        <w:rPr>
          <w:rFonts w:ascii="Times New Roman" w:hAnsi="Times New Roman"/>
          <w:sz w:val="28"/>
          <w:highlight w:val="yellow"/>
        </w:rPr>
        <w:t>с «08» июня 2026 г. по «22» июня 2026 г.</w:t>
      </w:r>
      <w:r>
        <w:rPr>
          <w:rFonts w:ascii="Times New Roman" w:hAnsi="Times New Roman"/>
          <w:sz w:val="28"/>
        </w:rPr>
        <w:t xml:space="preserve"> В ходе практики обучающийся выполнял функции помощника специалиста отдела финансово-бухгалтерского учета, что позволило непосредственно участвовать в документировании хозяйственных операций, изучении первичных документов</w:t>
      </w:r>
      <w:r>
        <w:rPr>
          <w:rFonts w:ascii="Times New Roman" w:hAnsi="Times New Roman"/>
          <w:sz w:val="28"/>
        </w:rPr>
        <w:t xml:space="preserve"> и особенностей ведения бюджетного бухгалтерского учета в муниципальном органе.</w:t>
      </w:r>
    </w:p>
    <w:p w14:paraId="57000000">
      <w:pPr>
        <w:spacing w:after="0" w:before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.</w:t>
      </w:r>
    </w:p>
    <w:p w14:paraId="58000000">
      <w:pPr>
        <w:spacing w:after="0" w:before="0" w:line="360" w:lineRule="auto"/>
        <w:ind w:firstLine="409" w:left="0"/>
        <w:jc w:val="both"/>
        <w:rPr>
          <w:rFonts w:ascii="Times New Roman" w:hAnsi="Times New Roman"/>
          <w:color w:val="000000"/>
          <w:sz w:val="28"/>
        </w:rPr>
      </w:pPr>
    </w:p>
    <w:p w14:paraId="59000000">
      <w:pPr>
        <w:spacing w:after="0" w:before="0" w:line="360" w:lineRule="auto"/>
        <w:ind w:firstLine="409" w:left="0"/>
        <w:jc w:val="both"/>
        <w:rPr>
          <w:rFonts w:ascii="Times New Roman" w:hAnsi="Times New Roman"/>
          <w:color w:val="000000"/>
          <w:sz w:val="28"/>
        </w:rPr>
      </w:pPr>
    </w:p>
    <w:p w14:paraId="5A000000">
      <w:pPr>
        <w:spacing w:after="0" w:before="0" w:line="360" w:lineRule="auto"/>
        <w:ind/>
        <w:jc w:val="both"/>
        <w:rPr>
          <w:rFonts w:ascii="Times New Roman" w:hAnsi="Times New Roman"/>
          <w:sz w:val="28"/>
        </w:rPr>
      </w:pPr>
      <w:bookmarkStart w:id="2" w:name="_30j0zll"/>
      <w:bookmarkEnd w:id="2"/>
      <w:bookmarkStart w:id="3" w:name="_w0pf65re2ewj"/>
      <w:bookmarkEnd w:id="3"/>
    </w:p>
    <w:p w14:paraId="5B000000">
      <w:pPr>
        <w:spacing w:after="0" w:before="0" w:line="360" w:lineRule="auto"/>
        <w:ind/>
        <w:jc w:val="both"/>
        <w:rPr>
          <w:rFonts w:ascii="Times New Roman" w:hAnsi="Times New Roman"/>
          <w:sz w:val="28"/>
        </w:rPr>
      </w:pPr>
    </w:p>
    <w:p w14:paraId="5C000000">
      <w:pPr>
        <w:spacing w:after="0" w:before="0" w:line="360" w:lineRule="auto"/>
        <w:ind/>
        <w:jc w:val="both"/>
        <w:rPr>
          <w:rFonts w:ascii="Times New Roman" w:hAnsi="Times New Roman"/>
          <w:color w:val="000000"/>
          <w:sz w:val="28"/>
        </w:rPr>
      </w:pPr>
      <w:bookmarkStart w:id="4" w:name="_tyjcwt"/>
      <w:bookmarkEnd w:id="4"/>
    </w:p>
    <w:p w14:paraId="5D000000">
      <w:pPr>
        <w:sectPr>
          <w:footerReference r:id="rId1" w:type="default"/>
          <w:pgSz w:h="16838" w:orient="portrait" w:w="11906"/>
          <w:pgMar w:bottom="1134" w:footer="709" w:gutter="0" w:header="709" w:left="1701" w:right="851" w:top="1134"/>
        </w:sectPr>
      </w:pPr>
    </w:p>
    <w:p w14:paraId="5E000000">
      <w:bookmarkStart w:id="5" w:name="__RefHeading___2"/>
      <w:bookmarkEnd w:id="5"/>
      <w:pPr>
        <w:pStyle w:val="Style_4"/>
        <w:spacing w:after="280" w:before="28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 Организационн</w:t>
      </w:r>
      <w:r>
        <w:rPr>
          <w:rFonts w:ascii="Times New Roman" w:hAnsi="Times New Roman"/>
          <w:sz w:val="28"/>
        </w:rPr>
        <w:t xml:space="preserve">о-экономическая характеристика </w:t>
      </w:r>
      <w:r>
        <w:rPr>
          <w:rFonts w:ascii="Times New Roman" w:hAnsi="Times New Roman"/>
          <w:sz w:val="28"/>
        </w:rPr>
        <w:t>Администраци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Канавинского района, г. Нижний Новгород, Нижегородской области</w:t>
      </w:r>
    </w:p>
    <w:p w14:paraId="5F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bookmarkStart w:id="6" w:name="_1t3h5sf"/>
      <w:bookmarkEnd w:id="6"/>
      <w:r>
        <w:rPr>
          <w:rFonts w:ascii="Times New Roman" w:hAnsi="Times New Roman"/>
          <w:sz w:val="28"/>
        </w:rPr>
        <w:t>Органы управления Канавинского района города Нижнего Новгорода (в дальнейшем – Администрация) являются исполнительной и управленческой структурой указанной административно-территориальной единицы (в дальнейшем – район), наделенные полномочиями для регулирования вопросов, имеющих локальное значение. Администрация также выполняет определённые функции государственной власти, которые были делегированы органам местного самоуправления в рамках действующего федерального законодательства и законодательства Нижегородской области, в состав которой входит город Нижний Новгород.</w:t>
      </w:r>
    </w:p>
    <w:p w14:paraId="60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Полное наименование Администрации: Администрация Канавинского района города Нижнего Новгорода.</w:t>
      </w:r>
    </w:p>
    <w:p w14:paraId="61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Административный орган действует в рамках полномочий, предоставленных Конституцией Российской Федерации, федеральными законодательными актами, законами Нижегородской области и другими нормативно-правовыми документами соответствующего уровня. Деятельность также регламентируется Уставом города Нижнего Новгорода, муниципальными нормативными актами, принятыми представительными органами, а также Положением об Администрации Канавинского района.</w:t>
      </w:r>
    </w:p>
    <w:p w14:paraId="62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Административный орган имеет статус юридического лица и является муниципальным казенным учреждением, учрежденным с целью осуществления функций управления. Такая организация обязана пройти государственную регистрацию как юридическое лицо.</w:t>
      </w:r>
    </w:p>
    <w:p w14:paraId="63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Администрация обладает полномочиями действовать от лица города Нижнего Новгорода в пределах компетенции района, а также от своего имени, в том числе осуществлять приобретение и реализацию прав и обязательств как имущественного, так и неимущественного характера. Данная инстанция уполномочена быть как истцом, так и ответчиком в процессе </w:t>
      </w:r>
      <w:r>
        <w:rPr>
          <w:rFonts w:ascii="Times New Roman" w:hAnsi="Times New Roman"/>
          <w:sz w:val="28"/>
        </w:rPr>
        <w:t>судопроизводства. Кроме того, она вправе заключать сделки гражданско-правового типа в пределах полномочий, определённых действующими законодательными актами, Уставом города Нижнего Новгорода и Положением об Администрации.</w:t>
      </w:r>
    </w:p>
    <w:p w14:paraId="64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обладает отдельным бюджетным финансированием, собственной печатью, штемпелями и формулярами, необходимыми для выполнения ее функций, и выступает распорядителем бюджетных средств в пределах предоставленных полномочий.</w:t>
      </w:r>
    </w:p>
    <w:p w14:paraId="65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Финансирование деятельности Администрации производится за счет средств бюджета города Нижнего Новгорода в соответствии с утвержденной бюджетной росписью. Все операции с использованием бюджетных средств осуществляются через лицевые счета, открытые в установленном порядке в органах Федерального казначейства, в соответствии с положениями Бюджетного кодекса Российской Федерации от 31 июля 1998 г. № 145-ФЗ (в актуальной редакции).</w:t>
      </w:r>
    </w:p>
    <w:p w14:paraId="66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Административный орган обеспечивается имуществом, находящимся в муниципальной собственности города Нижнего Новгорода и переданным ему для реализации возложенных функций в рамках оперативного управления. Ответственность за действия должностных лиц Администрации, а также самой организации перед гражданами, государством, а также физическими и юридическими лицами регламентируется соответствующими федеральными законодательными актами.</w:t>
      </w:r>
    </w:p>
    <w:p w14:paraId="67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Организационную структуру Администрации утверждает глава города Нижнего Новгорода либо иные уполномоченные органы на основе предложений главы администрации района (в дальнейшем – глава администрации). В её состав входят: глава администрации, его заместители, а также отраслевые (функциональные) и территориальные подразделения. К должностным лицам Администрации относятся: глава администрации и иные должностные лица, включая заместителей главы и руководителей структурных подразделений. Глава администрации самостоятельно </w:t>
      </w:r>
      <w:r>
        <w:rPr>
          <w:rFonts w:ascii="Times New Roman" w:hAnsi="Times New Roman"/>
          <w:sz w:val="28"/>
        </w:rPr>
        <w:t>определяет численность работников и утверждает штатное расписание Администрации в пределах установленной структуры.</w:t>
      </w:r>
    </w:p>
    <w:p w14:paraId="68000000">
      <w:pPr>
        <w:pStyle w:val="Style_5"/>
        <w:ind w:firstLine="709" w:left="0"/>
        <w:jc w:val="both"/>
      </w:pPr>
      <w:r>
        <w:t>Проведенный анализ позволил нам сделать вывод о том, что Администрация осуществляет свою деятельность на основании линейно-функциональной организационной структуры, которая ориентирована на оперативность принятия управленческих решений и эффективное распределение полномочий, что характерно для территориальных органов управления в составе городского округа.</w:t>
      </w:r>
    </w:p>
    <w:p w14:paraId="69000000">
      <w:pPr>
        <w:pStyle w:val="Style_5"/>
        <w:ind w:firstLine="709" w:left="0"/>
        <w:jc w:val="both"/>
      </w:pPr>
      <w:r>
        <w:t>Глава Администрации назначается в установленном порядке и осуществляет свою деятельность на основании заключенного контракта на замещение должности муниципальной службы. Срок полномочий главы администрации определяется нормативными актами города Нижнего Новгорода.</w:t>
      </w:r>
    </w:p>
    <w:p w14:paraId="6A000000">
      <w:pPr>
        <w:pStyle w:val="Style_5"/>
        <w:ind w:firstLine="709" w:left="0"/>
        <w:jc w:val="both"/>
      </w:pPr>
      <w:r>
        <w:t>Заключение контракта с главой Администрации осуществляется главой города Нижнего Новгорода либо иным уполномоченным должностным лицом. Глава Администрации осуществляет руководство деятельностью Администрации на принципах единоначалия. В пределах своих полномочий он обладает правом приобретать и осуществлять имущественные и иные права и обязанности, а также представлять интересы Администрации в суде без доверенности.</w:t>
      </w:r>
    </w:p>
    <w:p w14:paraId="6B000000">
      <w:pPr>
        <w:pStyle w:val="Style_5"/>
        <w:ind w:firstLine="709" w:left="0"/>
        <w:jc w:val="both"/>
      </w:pPr>
      <w:r>
        <w:t>Глава администрации действует в рамках положений Устава города Нижнего Новгорода. Он подотчетен органам местного самоуправления города, регулярно представляет отчеты о результатах своей деятельности и деятельности Администрации, включая исполнение вопросов местного значения на территории района. Также он обеспечивает выполнение задач по реализации отдельных государственных полномочий, переданных органам местного самоуправления в соответствии с федеральным законодательством и законодательством Нижегородской области.</w:t>
      </w:r>
    </w:p>
    <w:p w14:paraId="6C000000">
      <w:pPr>
        <w:pStyle w:val="Style_5"/>
        <w:ind w:firstLine="709" w:left="0"/>
        <w:jc w:val="both"/>
      </w:pPr>
      <w:r>
        <w:t>.</w:t>
      </w:r>
    </w:p>
    <w:p w14:paraId="6D000000">
      <w:pPr>
        <w:pStyle w:val="Style_5"/>
        <w:ind w:firstLine="709" w:left="0"/>
        <w:jc w:val="both"/>
      </w:pPr>
    </w:p>
    <w:p w14:paraId="6E000000">
      <w:bookmarkStart w:id="7" w:name="__RefHeading___3"/>
      <w:bookmarkEnd w:id="7"/>
      <w:pPr>
        <w:pStyle w:val="Style_4"/>
        <w:spacing w:after="280" w:before="28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Документирование хозяйственных операций и ведение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бухгалтерского учёта имущества организации</w:t>
      </w:r>
      <w:r>
        <w:rPr>
          <w:rFonts w:ascii="Times New Roman" w:hAnsi="Times New Roman"/>
          <w:sz w:val="28"/>
        </w:rPr>
        <w:t xml:space="preserve"> </w:t>
      </w:r>
    </w:p>
    <w:p w14:paraId="6F000000">
      <w:bookmarkStart w:id="8" w:name="__RefHeading___4"/>
      <w:bookmarkEnd w:id="8"/>
      <w:pPr>
        <w:pStyle w:val="Style_4"/>
        <w:spacing w:after="280" w:before="28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 </w:t>
      </w:r>
      <w:r>
        <w:rPr>
          <w:rFonts w:ascii="Times New Roman" w:hAnsi="Times New Roman"/>
          <w:sz w:val="28"/>
        </w:rPr>
        <w:t>Учет кассовых операций  и на расчетном счете</w:t>
      </w:r>
    </w:p>
    <w:p w14:paraId="70000000"/>
    <w:p w14:paraId="71000000">
      <w:pPr>
        <w:pStyle w:val="Style_5"/>
        <w:ind w:firstLine="709" w:left="0"/>
        <w:jc w:val="both"/>
      </w:pPr>
      <w:r>
        <w:t>Учет кассовых операций и операций на расчетном счете в бюджетном учреждении или органе местного самоуправления представляет собой один из ключевых участков бухгалтерского учета, поскольку именно через него обеспечивается движение денежных средств, контроль их сохранности и соблюдение финансовой дисциплины. Для Администрации Канавинского района города Нижнего Новгорода данный участок учета имеет практическое значение, так как финансово-бухгалтерские функции в ее структуре закреплены за профильными подразделениями, а расчеты осуществляются в рамках казначейского обслуживания.</w:t>
      </w:r>
    </w:p>
    <w:p w14:paraId="72000000">
      <w:pPr>
        <w:pStyle w:val="Style_5"/>
        <w:ind w:firstLine="709" w:left="0"/>
        <w:jc w:val="both"/>
      </w:pPr>
      <w:r>
        <w:t>В бюджетном учете кассовые операции регулируются Единым планом счетов, утвержденным приказом Минфина России № 157н, порядком ведения кассовых операций Банка России № 3210-У, а также правилами оформления первичных документов по учету наличных денежных средств. Для учета наличных денежных средств в кассе применяется счет 0 201 34 000 «Касса», а для учета денежных средств учреждения на лицевых счетах в органах казначейства используется счет 0 201 11 000. Следовательно, в бюджетной сфере вместо обычного для коммерческих организаций расчетного счета в банке на практике чаще используется лицевой счет, открытый в органе Федерального казначейства, через который проходит основная часть расчетов.</w:t>
      </w:r>
    </w:p>
    <w:p w14:paraId="73000000">
      <w:pPr>
        <w:pStyle w:val="Style_5"/>
        <w:ind w:firstLine="709" w:left="0"/>
        <w:jc w:val="both"/>
      </w:pPr>
      <w:r>
        <w:t xml:space="preserve">Кассовые операции в администрации оформляются первичными документами установленной формы. Поступление наличных денежных средств оформляется приходным кассовым ордером по форме 0310001 и, при необходимости, квитанцией по форме 0504510, а выдача денежных средств — расходным кассовым ордером по форме 0310002 либо ведомостью на выдачу денег из кассы подотчетным лицам по форме 0504501. Все кассовые операции </w:t>
      </w:r>
      <w:r>
        <w:t>подлежат обязательному отражению в кассовой книге по форме 0504514 и журнале операций по счету «Касса» по форме 0504071.</w:t>
      </w:r>
    </w:p>
    <w:p w14:paraId="74000000">
      <w:pPr>
        <w:pStyle w:val="Style_5"/>
        <w:ind w:firstLine="709" w:left="0"/>
        <w:jc w:val="both"/>
      </w:pPr>
      <w:r>
        <w:t>В процессе прохождения практики при изучении данного участка учета необходимо обратить внимание не только на сами бухгалтерские записи, но и на правильность оформления первичных документов. Документы проверяются по форме, содержанию, наличию обязательных реквизитов, подписей должностных лиц и арифметической точности показателей, что соответствует общим требованиям к обработке первичной учетной документации.</w:t>
      </w:r>
    </w:p>
    <w:p w14:paraId="75000000">
      <w:pPr>
        <w:pStyle w:val="Style_5"/>
        <w:ind w:firstLine="709" w:left="0"/>
        <w:jc w:val="both"/>
      </w:pPr>
      <w:r>
        <w:t>Таблица 1 – Операции по учету денежных средств</w:t>
      </w:r>
    </w:p>
    <w:tbl>
      <w:tblPr>
        <w:tblStyle w:val="Style_6"/>
        <w:tblLayout w:type="fixed"/>
      </w:tblPr>
      <w:tblGrid>
        <w:gridCol w:w="1814"/>
        <w:gridCol w:w="3479"/>
        <w:gridCol w:w="1935"/>
        <w:gridCol w:w="1808"/>
      </w:tblGrid>
      <w:tr>
        <w:tc>
          <w:tcPr>
            <w:tcW w:type="dxa" w:w="1814"/>
          </w:tcPr>
          <w:p w14:paraId="76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Операция</w:t>
            </w:r>
          </w:p>
        </w:tc>
        <w:tc>
          <w:tcPr>
            <w:tcW w:type="dxa" w:w="3479"/>
          </w:tcPr>
          <w:p w14:paraId="77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Первичный документ</w:t>
            </w:r>
          </w:p>
        </w:tc>
        <w:tc>
          <w:tcPr>
            <w:tcW w:type="dxa" w:w="1935"/>
          </w:tcPr>
          <w:p w14:paraId="78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Регистр учета</w:t>
            </w:r>
          </w:p>
        </w:tc>
        <w:tc>
          <w:tcPr>
            <w:tcW w:type="dxa" w:w="1808"/>
          </w:tcPr>
          <w:p w14:paraId="79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Применяемый счет</w:t>
            </w:r>
          </w:p>
        </w:tc>
      </w:tr>
      <w:tr>
        <w:tc>
          <w:tcPr>
            <w:tcW w:type="dxa" w:w="1814"/>
          </w:tcPr>
          <w:p w14:paraId="7A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Поступление наличных в кассу</w:t>
            </w:r>
          </w:p>
        </w:tc>
        <w:tc>
          <w:tcPr>
            <w:tcW w:type="dxa" w:w="3479"/>
          </w:tcPr>
          <w:p w14:paraId="7B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Приходный кассовый ордер ф. 0310001, квитанция ф. 0504510 </w:t>
            </w:r>
          </w:p>
        </w:tc>
        <w:tc>
          <w:tcPr>
            <w:tcW w:type="dxa" w:w="1935"/>
          </w:tcPr>
          <w:p w14:paraId="7C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Кассовая книга ф. 0504514 </w:t>
            </w:r>
          </w:p>
        </w:tc>
        <w:tc>
          <w:tcPr>
            <w:tcW w:type="dxa" w:w="1808"/>
          </w:tcPr>
          <w:p w14:paraId="7D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0 201 34 000 </w:t>
            </w:r>
          </w:p>
        </w:tc>
      </w:tr>
      <w:tr>
        <w:tc>
          <w:tcPr>
            <w:tcW w:type="dxa" w:w="1814"/>
          </w:tcPr>
          <w:p w14:paraId="7E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Выдача наличных из кассы</w:t>
            </w:r>
          </w:p>
        </w:tc>
        <w:tc>
          <w:tcPr>
            <w:tcW w:type="dxa" w:w="3479"/>
          </w:tcPr>
          <w:p w14:paraId="7F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Расходный кассовый ордер ф. 0310002, ведомость ф. 0504501 </w:t>
            </w:r>
          </w:p>
        </w:tc>
        <w:tc>
          <w:tcPr>
            <w:tcW w:type="dxa" w:w="1935"/>
          </w:tcPr>
          <w:p w14:paraId="80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Кассовая книга ф. 0504514 </w:t>
            </w:r>
          </w:p>
        </w:tc>
        <w:tc>
          <w:tcPr>
            <w:tcW w:type="dxa" w:w="1808"/>
          </w:tcPr>
          <w:p w14:paraId="81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0 201 34 000 </w:t>
            </w:r>
          </w:p>
        </w:tc>
      </w:tr>
      <w:tr>
        <w:tc>
          <w:tcPr>
            <w:tcW w:type="dxa" w:w="1814"/>
          </w:tcPr>
          <w:p w14:paraId="82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Сдача наличных на лицевой счет</w:t>
            </w:r>
          </w:p>
        </w:tc>
        <w:tc>
          <w:tcPr>
            <w:tcW w:type="dxa" w:w="3479"/>
          </w:tcPr>
          <w:p w14:paraId="83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Заявка на кассовый расход ф. 0531801, заявка на получение наличных денежных средств ф. 0531802 либо документы банка/казначейства </w:t>
            </w:r>
          </w:p>
        </w:tc>
        <w:tc>
          <w:tcPr>
            <w:tcW w:type="dxa" w:w="1935"/>
          </w:tcPr>
          <w:p w14:paraId="84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Журнал операций, выписка по лицевому счету </w:t>
            </w:r>
          </w:p>
        </w:tc>
        <w:tc>
          <w:tcPr>
            <w:tcW w:type="dxa" w:w="1808"/>
          </w:tcPr>
          <w:p w14:paraId="85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0 210 03 000, 0 201 11 000 </w:t>
            </w:r>
          </w:p>
        </w:tc>
      </w:tr>
      <w:tr>
        <w:tc>
          <w:tcPr>
            <w:tcW w:type="dxa" w:w="1814"/>
          </w:tcPr>
          <w:p w14:paraId="86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Поступление средств на лицевой счет</w:t>
            </w:r>
          </w:p>
        </w:tc>
        <w:tc>
          <w:tcPr>
            <w:tcW w:type="dxa" w:w="3479"/>
          </w:tcPr>
          <w:p w14:paraId="87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Выписка по лицевому счету, платежные документы </w:t>
            </w:r>
          </w:p>
        </w:tc>
        <w:tc>
          <w:tcPr>
            <w:tcW w:type="dxa" w:w="1935"/>
          </w:tcPr>
          <w:p w14:paraId="88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Журнал операций по безналичным средствам</w:t>
            </w:r>
          </w:p>
        </w:tc>
        <w:tc>
          <w:tcPr>
            <w:tcW w:type="dxa" w:w="1808"/>
          </w:tcPr>
          <w:p w14:paraId="89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0 201 11 000 </w:t>
            </w:r>
          </w:p>
        </w:tc>
      </w:tr>
    </w:tbl>
    <w:p w14:paraId="8A000000">
      <w:pPr>
        <w:spacing w:after="0" w:before="0" w:line="360" w:lineRule="auto"/>
        <w:ind w:firstLine="720" w:left="0"/>
        <w:jc w:val="both"/>
        <w:rPr>
          <w:b w:val="1"/>
        </w:rPr>
      </w:pPr>
    </w:p>
    <w:p w14:paraId="8B000000">
      <w:pPr>
        <w:pStyle w:val="Style_5"/>
        <w:ind w:firstLine="709" w:left="0"/>
        <w:jc w:val="both"/>
      </w:pPr>
      <w:r>
        <w:t>В бюджетном учете поступление наличных денежных средств в кассу отражается по дебету счета 0 201 34 510 «Поступления средств в кассу учреждения» и кредиту соответствующего счета расчетов или доходов в зависимости от экономического содержания операции. Например, если подотчетное лицо возвращает в кассу неиспользованный остаток аванса, то по смыслу операции одновременно уменьшается задолженность подотчетного лица перед учреждением.</w:t>
      </w:r>
    </w:p>
    <w:p w14:paraId="8C000000">
      <w:pPr>
        <w:pStyle w:val="Style_5"/>
        <w:ind w:firstLine="709" w:left="0"/>
        <w:jc w:val="both"/>
      </w:pPr>
      <w:r>
        <w:t xml:space="preserve">Практический пример можно представить следующим образом: сотруднику администрации ранее были выданы денежные средства под отчет </w:t>
      </w:r>
      <w:r>
        <w:t>на хозяйственные нужды в сумме 5 000 руб., из которых фактически использовано 4 200 руб., а остаток 800 руб. возвращен в кассу. Возврат остатка оформляется приходным кассовым ордером, после чего сумма отражается по дебету счета 0 201 34 510 и кредиту счета учета расчетов с подотчетным лицом.</w:t>
      </w:r>
    </w:p>
    <w:p w14:paraId="8D000000">
      <w:pPr>
        <w:pStyle w:val="Style_5"/>
        <w:ind w:firstLine="709" w:left="0"/>
        <w:jc w:val="both"/>
      </w:pPr>
      <w:r>
        <w:t>Таблица 2 – Пример учета операций по возврату денежных средств в кассу</w:t>
      </w:r>
    </w:p>
    <w:tbl>
      <w:tblPr>
        <w:tblStyle w:val="Style_6"/>
        <w:tblLayout w:type="fixed"/>
      </w:tblPr>
      <w:tblGrid>
        <w:gridCol w:w="4586"/>
        <w:gridCol w:w="1525"/>
        <w:gridCol w:w="1545"/>
        <w:gridCol w:w="1380"/>
      </w:tblGrid>
      <w:tr>
        <w:tc>
          <w:tcPr>
            <w:tcW w:type="dxa" w:w="4586"/>
          </w:tcPr>
          <w:p w14:paraId="8E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525"/>
          </w:tcPr>
          <w:p w14:paraId="8F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Дебет</w:t>
            </w:r>
          </w:p>
        </w:tc>
        <w:tc>
          <w:tcPr>
            <w:tcW w:type="dxa" w:w="1545"/>
          </w:tcPr>
          <w:p w14:paraId="90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</w:t>
            </w:r>
          </w:p>
        </w:tc>
        <w:tc>
          <w:tcPr>
            <w:tcW w:type="dxa" w:w="1380"/>
          </w:tcPr>
          <w:p w14:paraId="91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Сумма, руб.</w:t>
            </w:r>
          </w:p>
        </w:tc>
      </w:tr>
      <w:tr>
        <w:tc>
          <w:tcPr>
            <w:tcW w:type="dxa" w:w="4586"/>
          </w:tcPr>
          <w:p w14:paraId="92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Возвращен в кассу остаток подотчетной суммы</w:t>
            </w:r>
          </w:p>
        </w:tc>
        <w:tc>
          <w:tcPr>
            <w:tcW w:type="dxa" w:w="1525"/>
          </w:tcPr>
          <w:p w14:paraId="93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0 201 34 510 </w:t>
            </w:r>
          </w:p>
        </w:tc>
        <w:tc>
          <w:tcPr>
            <w:tcW w:type="dxa" w:w="1545"/>
          </w:tcPr>
          <w:p w14:paraId="94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0 208 ХХ 660 </w:t>
            </w:r>
          </w:p>
        </w:tc>
        <w:tc>
          <w:tcPr>
            <w:tcW w:type="dxa" w:w="1380"/>
          </w:tcPr>
          <w:p w14:paraId="95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</w:t>
            </w:r>
          </w:p>
        </w:tc>
      </w:tr>
      <w:tr>
        <w:tc>
          <w:tcPr>
            <w:tcW w:type="dxa" w:w="4586"/>
          </w:tcPr>
          <w:p w14:paraId="96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Выданы денежные средства под отчет</w:t>
            </w:r>
          </w:p>
        </w:tc>
        <w:tc>
          <w:tcPr>
            <w:tcW w:type="dxa" w:w="1525"/>
          </w:tcPr>
          <w:p w14:paraId="97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0 208 ХХ 560 </w:t>
            </w:r>
          </w:p>
        </w:tc>
        <w:tc>
          <w:tcPr>
            <w:tcW w:type="dxa" w:w="1545"/>
          </w:tcPr>
          <w:p w14:paraId="98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0 201 34 610 </w:t>
            </w:r>
          </w:p>
        </w:tc>
        <w:tc>
          <w:tcPr>
            <w:tcW w:type="dxa" w:w="1380"/>
          </w:tcPr>
          <w:p w14:paraId="99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5 000</w:t>
            </w:r>
          </w:p>
        </w:tc>
      </w:tr>
    </w:tbl>
    <w:p w14:paraId="9A000000">
      <w:pPr>
        <w:spacing w:after="0" w:before="0" w:line="360" w:lineRule="auto"/>
        <w:ind w:firstLine="720" w:left="0"/>
        <w:jc w:val="both"/>
      </w:pPr>
    </w:p>
    <w:p w14:paraId="9B000000">
      <w:pPr>
        <w:pStyle w:val="Style_5"/>
        <w:ind w:firstLine="709" w:left="0"/>
        <w:jc w:val="both"/>
      </w:pPr>
      <w:r>
        <w:t>Для муниципального органа более корректно говорить не о классическом расчетном счете коммерческой организации, а о лицевом счете в органе Федерального казначейства, поскольку именно через него осуществляется движение бюджетных средств. Однако в учебной и отчетной практике раздел часто называется «учет операций на расчетном счете», поэтому его содержание раскрывается через учет денежных средств на лицевых счетах учреждения.</w:t>
      </w:r>
    </w:p>
    <w:p w14:paraId="9C000000">
      <w:pPr>
        <w:pStyle w:val="Style_5"/>
        <w:ind w:firstLine="709" w:left="0"/>
        <w:jc w:val="both"/>
      </w:pPr>
      <w:r>
        <w:t>Для учета таких операций используется счет 0 201 11 000 «Денежные средства учреждения на лицевых счетах в органе казначейства». Основанием для отражения операций служат выписки по лицевому счету и прилагаемые к ним платежные документы, подтверждающие поступление или списание средств.</w:t>
      </w:r>
    </w:p>
    <w:p w14:paraId="9D000000">
      <w:pPr>
        <w:pStyle w:val="Style_5"/>
        <w:ind w:firstLine="709" w:left="0"/>
        <w:jc w:val="both"/>
      </w:pPr>
      <w:r>
        <w:t xml:space="preserve">Таблица 3 - </w:t>
      </w:r>
      <w:r>
        <w:t>Пример учета операций по</w:t>
      </w:r>
      <w:r>
        <w:t xml:space="preserve"> сдаче денежных средств</w:t>
      </w:r>
    </w:p>
    <w:tbl>
      <w:tblPr>
        <w:tblStyle w:val="Style_6"/>
        <w:tblLayout w:type="fixed"/>
      </w:tblPr>
      <w:tblGrid>
        <w:gridCol w:w="5291"/>
        <w:gridCol w:w="1223"/>
        <w:gridCol w:w="1284"/>
        <w:gridCol w:w="1238"/>
      </w:tblGrid>
      <w:tr>
        <w:tc>
          <w:tcPr>
            <w:tcW w:type="dxa" w:w="5291"/>
          </w:tcPr>
          <w:p w14:paraId="9E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223"/>
          </w:tcPr>
          <w:p w14:paraId="9F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Дебет</w:t>
            </w:r>
          </w:p>
        </w:tc>
        <w:tc>
          <w:tcPr>
            <w:tcW w:type="dxa" w:w="1284"/>
          </w:tcPr>
          <w:p w14:paraId="A0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</w:t>
            </w:r>
          </w:p>
        </w:tc>
        <w:tc>
          <w:tcPr>
            <w:tcW w:type="dxa" w:w="1238"/>
          </w:tcPr>
          <w:p w14:paraId="A1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Сумма, руб.</w:t>
            </w:r>
          </w:p>
        </w:tc>
      </w:tr>
      <w:tr>
        <w:tc>
          <w:tcPr>
            <w:tcW w:type="dxa" w:w="5291"/>
          </w:tcPr>
          <w:p w14:paraId="A2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Сданы наличные денежные средства из кассы для зачисления на лицевой счет</w:t>
            </w:r>
          </w:p>
        </w:tc>
        <w:tc>
          <w:tcPr>
            <w:tcW w:type="dxa" w:w="1223"/>
          </w:tcPr>
          <w:p w14:paraId="A3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0 210 03 560 </w:t>
            </w:r>
          </w:p>
        </w:tc>
        <w:tc>
          <w:tcPr>
            <w:tcW w:type="dxa" w:w="1284"/>
          </w:tcPr>
          <w:p w14:paraId="A4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0 201 34 610 </w:t>
            </w:r>
          </w:p>
        </w:tc>
        <w:tc>
          <w:tcPr>
            <w:tcW w:type="dxa" w:w="1238"/>
          </w:tcPr>
          <w:p w14:paraId="A5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</w:t>
            </w:r>
          </w:p>
        </w:tc>
      </w:tr>
      <w:tr>
        <w:tc>
          <w:tcPr>
            <w:tcW w:type="dxa" w:w="5291"/>
          </w:tcPr>
          <w:p w14:paraId="A6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Денежные средства зачислены на лицевой счет</w:t>
            </w:r>
          </w:p>
        </w:tc>
        <w:tc>
          <w:tcPr>
            <w:tcW w:type="dxa" w:w="1223"/>
          </w:tcPr>
          <w:p w14:paraId="A7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0 201 11 510 </w:t>
            </w:r>
          </w:p>
        </w:tc>
        <w:tc>
          <w:tcPr>
            <w:tcW w:type="dxa" w:w="1284"/>
          </w:tcPr>
          <w:p w14:paraId="A8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0 210 03 660 </w:t>
            </w:r>
          </w:p>
        </w:tc>
        <w:tc>
          <w:tcPr>
            <w:tcW w:type="dxa" w:w="1238"/>
          </w:tcPr>
          <w:p w14:paraId="A9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3 000</w:t>
            </w:r>
          </w:p>
        </w:tc>
      </w:tr>
    </w:tbl>
    <w:p w14:paraId="AA000000">
      <w:pPr>
        <w:pStyle w:val="Style_5"/>
        <w:ind w:firstLine="709" w:left="0"/>
        <w:jc w:val="both"/>
      </w:pPr>
    </w:p>
    <w:p w14:paraId="AB000000">
      <w:pPr>
        <w:pStyle w:val="Style_5"/>
        <w:ind w:firstLine="709" w:left="0"/>
        <w:jc w:val="both"/>
      </w:pPr>
      <w:r>
        <w:t>Такой порядок особенно важен в бюджетном учете, поскольку движение наличных средств и их последующее отражение на лицевом счете не всегда происходят в один операционный день. Именно поэтому используется промежуточный счет 0 210 03 000, позволяющий корректно отразить расчеты с финансовым органом по наличным денежным средствам.</w:t>
      </w:r>
    </w:p>
    <w:p w14:paraId="AC000000">
      <w:pPr>
        <w:pStyle w:val="Style_5"/>
        <w:ind w:firstLine="709" w:left="0"/>
        <w:jc w:val="both"/>
      </w:pPr>
      <w:r>
        <w:t>Еще один практический пример связан с оплатой обязательств учреждения поставщику по безналичному расчету. Если администрацией приняты и подтверждены документы на оплату канцелярских товаров на сумму 12 000 руб., после санкционирования расходов и проведения платежа сумма списывается с лицевого счета учреждения и отражается по кредиту счета 0 201 11 610 в корреспонденции со счетом расчетов с поставщиком.</w:t>
      </w:r>
    </w:p>
    <w:p w14:paraId="AD000000">
      <w:pPr>
        <w:pStyle w:val="Style_5"/>
        <w:ind w:firstLine="709" w:left="0"/>
        <w:jc w:val="both"/>
      </w:pPr>
    </w:p>
    <w:p w14:paraId="AE000000">
      <w:pPr>
        <w:pStyle w:val="Style_5"/>
        <w:ind w:firstLine="709" w:left="0"/>
        <w:jc w:val="both"/>
      </w:pPr>
      <w:r>
        <w:t xml:space="preserve">Таблица 4 - </w:t>
      </w:r>
      <w:r>
        <w:t>Пример учета операций по</w:t>
      </w:r>
      <w:r>
        <w:t xml:space="preserve"> оплате поставщику</w:t>
      </w:r>
    </w:p>
    <w:tbl>
      <w:tblPr>
        <w:tblStyle w:val="Style_6"/>
        <w:tblLayout w:type="fixed"/>
      </w:tblPr>
      <w:tblGrid>
        <w:gridCol w:w="5031"/>
        <w:gridCol w:w="1347"/>
        <w:gridCol w:w="1358"/>
        <w:gridCol w:w="1300"/>
      </w:tblGrid>
      <w:tr>
        <w:tc>
          <w:tcPr>
            <w:tcW w:type="dxa" w:w="5031"/>
          </w:tcPr>
          <w:p w14:paraId="AF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347"/>
          </w:tcPr>
          <w:p w14:paraId="B0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Дебет</w:t>
            </w:r>
          </w:p>
        </w:tc>
        <w:tc>
          <w:tcPr>
            <w:tcW w:type="dxa" w:w="1358"/>
          </w:tcPr>
          <w:p w14:paraId="B1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</w:t>
            </w:r>
          </w:p>
        </w:tc>
        <w:tc>
          <w:tcPr>
            <w:tcW w:type="dxa" w:w="1300"/>
          </w:tcPr>
          <w:p w14:paraId="B2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Сумма, руб.</w:t>
            </w:r>
          </w:p>
        </w:tc>
      </w:tr>
      <w:tr>
        <w:tc>
          <w:tcPr>
            <w:tcW w:type="dxa" w:w="5031"/>
          </w:tcPr>
          <w:p w14:paraId="B3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Оплачены поставщику канцелярские товары с лицевого счета</w:t>
            </w:r>
          </w:p>
        </w:tc>
        <w:tc>
          <w:tcPr>
            <w:tcW w:type="dxa" w:w="1347"/>
          </w:tcPr>
          <w:p w14:paraId="B4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ХХ 830</w:t>
            </w:r>
          </w:p>
        </w:tc>
        <w:tc>
          <w:tcPr>
            <w:tcW w:type="dxa" w:w="1358"/>
          </w:tcPr>
          <w:p w14:paraId="B5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0 201 11 610 </w:t>
            </w:r>
          </w:p>
        </w:tc>
        <w:tc>
          <w:tcPr>
            <w:tcW w:type="dxa" w:w="1300"/>
          </w:tcPr>
          <w:p w14:paraId="B6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12 000</w:t>
            </w:r>
          </w:p>
        </w:tc>
      </w:tr>
    </w:tbl>
    <w:p w14:paraId="B7000000">
      <w:pPr>
        <w:spacing w:after="0" w:before="0" w:line="360" w:lineRule="auto"/>
        <w:ind w:firstLine="720" w:left="0"/>
        <w:jc w:val="both"/>
        <w:rPr>
          <w:b w:val="1"/>
        </w:rPr>
      </w:pPr>
    </w:p>
    <w:p w14:paraId="B8000000">
      <w:pPr>
        <w:pStyle w:val="Style_5"/>
        <w:ind w:firstLine="709" w:left="0"/>
        <w:jc w:val="both"/>
      </w:pPr>
      <w:r>
        <w:t xml:space="preserve">Таким образом, учет кассовых операций и операций на расчетном счете в бюджетном учете основывается на применении специальных счетов, унифицированных форм первичных документов и казначейского порядка обслуживания. </w:t>
      </w:r>
    </w:p>
    <w:p w14:paraId="B9000000">
      <w:bookmarkStart w:id="9" w:name="__RefHeading___5"/>
      <w:bookmarkEnd w:id="9"/>
      <w:pPr>
        <w:pStyle w:val="Style_4"/>
        <w:spacing w:after="280" w:before="28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 </w:t>
      </w:r>
      <w:r>
        <w:rPr>
          <w:rFonts w:ascii="Times New Roman" w:hAnsi="Times New Roman"/>
          <w:sz w:val="28"/>
        </w:rPr>
        <w:t>Учет основных средств и нематериальных активов</w:t>
      </w:r>
    </w:p>
    <w:p w14:paraId="BA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Бухгалтерский учет указанных объектов в Администрации ведется в соответствии с Единым планом счетов и Инструкцией № 157н, а также с применением федеральных стандартов бухгалтерского учета государственного сектора, в том числе стандарта «Основные средства». Для учета основных средств применяются счета </w:t>
      </w:r>
      <w:r>
        <w:rPr>
          <w:rFonts w:ascii="Times New Roman" w:hAnsi="Times New Roman"/>
          <w:sz w:val="28"/>
        </w:rPr>
        <w:t>счета</w:t>
      </w:r>
      <w:r>
        <w:rPr>
          <w:rFonts w:ascii="Times New Roman" w:hAnsi="Times New Roman"/>
          <w:sz w:val="28"/>
        </w:rPr>
        <w:t xml:space="preserve"> 0 101 00 000, а для учета нематериальных активов счет 0 102 00 000 «Нематериальные активы». Если Администрация Канавинского района города Нижнего Новгорода использует программные продукты по лицензионному договору </w:t>
      </w:r>
      <w:r>
        <w:rPr>
          <w:rFonts w:ascii="Times New Roman" w:hAnsi="Times New Roman"/>
          <w:sz w:val="28"/>
        </w:rPr>
        <w:t>без приобретения исключительного права, такие объекты могут учитываться как права пользования нематериальными активами на счете 0 111 60 000.</w:t>
      </w:r>
    </w:p>
    <w:p w14:paraId="BB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практической деятельности Администрации к объектам основных средств чаще всего относятся компьютеры, принтеры, многофункциональные устройства, серверное оборудование, офисная мебель, сейфы, кондиционеры и иные материальные объекты, необходимые для работы структурных подразделений администрации. Учет таких объектов ведется по соответствующим аналитическим счетам счета 0 101 00 000, например по счетам учета движимого или недвижимого имущества в зависимости от характера объекта.</w:t>
      </w:r>
    </w:p>
    <w:p w14:paraId="BC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Поступление основного средства в Администрацию первоначально отражается как вложение в нефинансовые активы на счете 0 106 00 000, а после ввода объекта в эксплуатацию — как принятие к учету на счете 0 101 00 000. Основанием для отражения операций являются первичные документы: договор, накладная, универсальный передаточный документ, акт приема-передачи объекта и решение комиссии по поступлению и выбытию активов.</w:t>
      </w:r>
    </w:p>
    <w:p w14:paraId="BD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5 – Этапы учета</w:t>
      </w:r>
    </w:p>
    <w:tbl>
      <w:tblPr>
        <w:tblStyle w:val="Style_6"/>
        <w:tblLayout w:type="fixed"/>
      </w:tblPr>
      <w:tblGrid>
        <w:gridCol w:w="3699"/>
        <w:gridCol w:w="4093"/>
        <w:gridCol w:w="1559"/>
      </w:tblGrid>
      <w:tr>
        <w:tc>
          <w:tcPr>
            <w:tcW w:type="dxa" w:w="3699"/>
          </w:tcPr>
          <w:p w14:paraId="BE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Этап учета </w:t>
            </w:r>
          </w:p>
        </w:tc>
        <w:tc>
          <w:tcPr>
            <w:tcW w:type="dxa" w:w="4093"/>
          </w:tcPr>
          <w:p w14:paraId="BF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559"/>
          </w:tcPr>
          <w:p w14:paraId="C0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 счет</w:t>
            </w:r>
          </w:p>
        </w:tc>
      </w:tr>
      <w:tr>
        <w:tc>
          <w:tcPr>
            <w:tcW w:type="dxa" w:w="3699"/>
          </w:tcPr>
          <w:p w14:paraId="C1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объекта</w:t>
            </w:r>
          </w:p>
        </w:tc>
        <w:tc>
          <w:tcPr>
            <w:tcW w:type="dxa" w:w="4093"/>
          </w:tcPr>
          <w:p w14:paraId="C2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фактических вложений в объект</w:t>
            </w:r>
          </w:p>
        </w:tc>
        <w:tc>
          <w:tcPr>
            <w:tcW w:type="dxa" w:w="1559"/>
          </w:tcPr>
          <w:p w14:paraId="C3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0 106 00 000 </w:t>
            </w:r>
          </w:p>
        </w:tc>
      </w:tr>
      <w:tr>
        <w:tc>
          <w:tcPr>
            <w:tcW w:type="dxa" w:w="3699"/>
          </w:tcPr>
          <w:p w14:paraId="C4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 в эксплуатацию</w:t>
            </w:r>
          </w:p>
        </w:tc>
        <w:tc>
          <w:tcPr>
            <w:tcW w:type="dxa" w:w="4093"/>
          </w:tcPr>
          <w:p w14:paraId="C5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Принятие объекта к бухгалтерскому учету как основного средства</w:t>
            </w:r>
          </w:p>
        </w:tc>
        <w:tc>
          <w:tcPr>
            <w:tcW w:type="dxa" w:w="1559"/>
          </w:tcPr>
          <w:p w14:paraId="C6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0 101 00 000 </w:t>
            </w:r>
          </w:p>
        </w:tc>
      </w:tr>
      <w:tr>
        <w:tc>
          <w:tcPr>
            <w:tcW w:type="dxa" w:w="3699"/>
          </w:tcPr>
          <w:p w14:paraId="C7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Начисление амортизации</w:t>
            </w:r>
          </w:p>
        </w:tc>
        <w:tc>
          <w:tcPr>
            <w:tcW w:type="dxa" w:w="4093"/>
          </w:tcPr>
          <w:p w14:paraId="C8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Перенос стоимости объекта на расходы текущих периодов</w:t>
            </w:r>
          </w:p>
        </w:tc>
        <w:tc>
          <w:tcPr>
            <w:tcW w:type="dxa" w:w="1559"/>
          </w:tcPr>
          <w:p w14:paraId="C9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0 104 00 000 </w:t>
            </w:r>
          </w:p>
        </w:tc>
      </w:tr>
      <w:tr>
        <w:tc>
          <w:tcPr>
            <w:tcW w:type="dxa" w:w="3699"/>
          </w:tcPr>
          <w:p w14:paraId="CA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Выбытие</w:t>
            </w:r>
          </w:p>
        </w:tc>
        <w:tc>
          <w:tcPr>
            <w:tcW w:type="dxa" w:w="4093"/>
          </w:tcPr>
          <w:p w14:paraId="CB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Списание объекта с баланса при непригодности, передаче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выбытии</w:t>
            </w:r>
          </w:p>
        </w:tc>
        <w:tc>
          <w:tcPr>
            <w:tcW w:type="dxa" w:w="1559"/>
          </w:tcPr>
          <w:p w14:paraId="CC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0 101 00 000, 0 104 00 000 </w:t>
            </w:r>
          </w:p>
        </w:tc>
      </w:tr>
    </w:tbl>
    <w:p w14:paraId="CD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CE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Практический пример можно рассмотреть на приобретении компьютера для отдела финансово-бухгалтерского учета Администрации.</w:t>
      </w:r>
      <w:r>
        <w:rPr>
          <w:rFonts w:ascii="Times New Roman" w:hAnsi="Times New Roman"/>
          <w:sz w:val="28"/>
        </w:rPr>
        <w:t xml:space="preserve"> А</w:t>
      </w:r>
      <w:r>
        <w:rPr>
          <w:rFonts w:ascii="Times New Roman" w:hAnsi="Times New Roman"/>
          <w:sz w:val="28"/>
        </w:rPr>
        <w:t xml:space="preserve">дминистрация приобрела компьютер стоимостью 78 000 руб. для организации работы по обработке бухгалтерских документов и формированию отчетности. Первоначально сумма отражается как вложение в нефинансовые активы, а </w:t>
      </w:r>
      <w:r>
        <w:rPr>
          <w:rFonts w:ascii="Times New Roman" w:hAnsi="Times New Roman"/>
          <w:sz w:val="28"/>
        </w:rPr>
        <w:t>после оформления акта ввода в эксплуатацию объект принимается к учету в составе основных средств.</w:t>
      </w:r>
    </w:p>
    <w:p w14:paraId="CF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6 - </w:t>
      </w:r>
      <w:r>
        <w:rPr>
          <w:rFonts w:ascii="Times New Roman" w:hAnsi="Times New Roman"/>
          <w:sz w:val="28"/>
        </w:rPr>
        <w:t>Пример учета операций по</w:t>
      </w:r>
      <w:r>
        <w:rPr>
          <w:rFonts w:ascii="Times New Roman" w:hAnsi="Times New Roman"/>
          <w:sz w:val="28"/>
        </w:rPr>
        <w:t xml:space="preserve"> приобретению ОС</w:t>
      </w:r>
    </w:p>
    <w:tbl>
      <w:tblPr>
        <w:tblStyle w:val="Style_6"/>
        <w:tblLayout w:type="fixed"/>
      </w:tblPr>
      <w:tblGrid>
        <w:gridCol w:w="5698"/>
        <w:gridCol w:w="1055"/>
        <w:gridCol w:w="1144"/>
        <w:gridCol w:w="1139"/>
      </w:tblGrid>
      <w:tr>
        <w:tc>
          <w:tcPr>
            <w:tcW w:type="dxa" w:w="5698"/>
          </w:tcPr>
          <w:p w14:paraId="D0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055"/>
          </w:tcPr>
          <w:p w14:paraId="D1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Дебет</w:t>
            </w:r>
          </w:p>
        </w:tc>
        <w:tc>
          <w:tcPr>
            <w:tcW w:type="dxa" w:w="1144"/>
          </w:tcPr>
          <w:p w14:paraId="D2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</w:t>
            </w:r>
          </w:p>
        </w:tc>
        <w:tc>
          <w:tcPr>
            <w:tcW w:type="dxa" w:w="1139"/>
          </w:tcPr>
          <w:p w14:paraId="D3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Сумма, руб.</w:t>
            </w:r>
          </w:p>
        </w:tc>
      </w:tr>
      <w:tr>
        <w:tc>
          <w:tcPr>
            <w:tcW w:type="dxa" w:w="5698"/>
          </w:tcPr>
          <w:p w14:paraId="D4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Отражены вложения в приобретение компьютера для Администрации Канавинского района города Нижнего Новгорода</w:t>
            </w:r>
          </w:p>
        </w:tc>
        <w:tc>
          <w:tcPr>
            <w:tcW w:type="dxa" w:w="1055"/>
          </w:tcPr>
          <w:p w14:paraId="D5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0 106 31 310</w:t>
            </w:r>
          </w:p>
        </w:tc>
        <w:tc>
          <w:tcPr>
            <w:tcW w:type="dxa" w:w="1144"/>
          </w:tcPr>
          <w:p w14:paraId="D6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0 302 31 730</w:t>
            </w:r>
          </w:p>
        </w:tc>
        <w:tc>
          <w:tcPr>
            <w:tcW w:type="dxa" w:w="1139"/>
          </w:tcPr>
          <w:p w14:paraId="D7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78 000</w:t>
            </w:r>
          </w:p>
        </w:tc>
      </w:tr>
      <w:tr>
        <w:tc>
          <w:tcPr>
            <w:tcW w:type="dxa" w:w="5698"/>
          </w:tcPr>
          <w:p w14:paraId="D8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Компьютер введен в эксплуатацию в Администрации Канавинского района города Нижнего Новгорода</w:t>
            </w:r>
          </w:p>
        </w:tc>
        <w:tc>
          <w:tcPr>
            <w:tcW w:type="dxa" w:w="1055"/>
          </w:tcPr>
          <w:p w14:paraId="D9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0 101 34 310</w:t>
            </w:r>
          </w:p>
        </w:tc>
        <w:tc>
          <w:tcPr>
            <w:tcW w:type="dxa" w:w="1144"/>
          </w:tcPr>
          <w:p w14:paraId="DA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0 106 31 310</w:t>
            </w:r>
          </w:p>
        </w:tc>
        <w:tc>
          <w:tcPr>
            <w:tcW w:type="dxa" w:w="1139"/>
          </w:tcPr>
          <w:p w14:paraId="DB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78 000</w:t>
            </w:r>
          </w:p>
        </w:tc>
      </w:tr>
    </w:tbl>
    <w:p w14:paraId="DC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DD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 Администрации по основным средствам начисляется в порядке, предусмотренном стандартом «Основные средства» и Инструкцией № 157н. Если стоимость объекта превышает 100 000 руб., амортизация начисляется ежемесячно по рассчитанным нормам, а по объектам стоимостью от 10 000 до 100 000 руб. включительно в государственном секторе часто применяется начисление амортизации в размере 100% при вводе в эксплуатацию в соответствии с учетной политикой учреждения. По объектам стоимостью до 10 000 руб. амортизация не начисляется, а сами объекты могут учитываться на забалансовом счете 21 после передачи в эксплуатацию.</w:t>
      </w:r>
    </w:p>
    <w:p w14:paraId="DE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</w:t>
      </w:r>
      <w:r>
        <w:rPr>
          <w:rFonts w:ascii="Times New Roman" w:hAnsi="Times New Roman"/>
          <w:sz w:val="28"/>
        </w:rPr>
        <w:t>, если принтер стоимостью 18 000 руб. передается в эксплуатацию в один из отделов Администрации Канавинского района города Нижнего Новгорода, в учете может быть отражено начисление амортизации в размере 100% стоимости в момент ввода объекта в эксплуатацию согласно установленному порядку.</w:t>
      </w:r>
    </w:p>
    <w:p w14:paraId="DF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Выбытие основного средства в Администрации Канавинского района города Нижнего Новгорода осуществляется в случаях физического износа, морального устаревания, невозможности дальнейшего использования, передачи другому учреждению или списания по результатам инвентаризации. Основанием для списания служат решение комиссии, акт о списании объекта, заключение о техническом состоянии имущества и иные подтверждающие документы.</w:t>
      </w:r>
    </w:p>
    <w:p w14:paraId="E0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 Администрация Канавинского района города Нижнего Новгорода приобретает исключительное право на программный продукт, такой объект может быть признан нематериальным активом и отражен на счете 0 102 00 000 после формирования первоначальной стоимости через счет 0 106 00 000. Если же администрация получает неисключительное право пользования программой на определенный срок, объект учитывается как право пользования нематериальным активом на счете 0 111 60 000.</w:t>
      </w:r>
    </w:p>
    <w:p w14:paraId="E1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Практический пример для Администрации Канавинского района города Нижнего Новгорода можно привести на приобретении лицензии на специализированную бухгалтерскую программу, используемую отделом финансово-бухгалтерского учета для ведения бюджетного учета и составления отчетности. Если по условиям договора администрации передается исключительное право на использование программного продукта, затраты сначала отражаются как вложения, а затем переносятся </w:t>
      </w:r>
      <w:r>
        <w:rPr>
          <w:rFonts w:ascii="Times New Roman" w:hAnsi="Times New Roman"/>
          <w:sz w:val="28"/>
        </w:rPr>
        <w:t>на счет</w:t>
      </w:r>
      <w:r>
        <w:rPr>
          <w:rFonts w:ascii="Times New Roman" w:hAnsi="Times New Roman"/>
          <w:sz w:val="28"/>
        </w:rPr>
        <w:t xml:space="preserve"> учета нематериальных активов.</w:t>
      </w:r>
    </w:p>
    <w:p w14:paraId="E2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7 - </w:t>
      </w:r>
      <w:r>
        <w:rPr>
          <w:rFonts w:ascii="Times New Roman" w:hAnsi="Times New Roman"/>
          <w:sz w:val="28"/>
        </w:rPr>
        <w:t>Пример учета операций по</w:t>
      </w:r>
      <w:r>
        <w:rPr>
          <w:rFonts w:ascii="Times New Roman" w:hAnsi="Times New Roman"/>
          <w:sz w:val="28"/>
        </w:rPr>
        <w:t xml:space="preserve"> приобретению НМА</w:t>
      </w:r>
    </w:p>
    <w:tbl>
      <w:tblPr>
        <w:tblStyle w:val="Style_6"/>
        <w:tblLayout w:type="fixed"/>
      </w:tblPr>
      <w:tblGrid>
        <w:gridCol w:w="5780"/>
        <w:gridCol w:w="1015"/>
        <w:gridCol w:w="1122"/>
        <w:gridCol w:w="1434"/>
      </w:tblGrid>
      <w:tr>
        <w:tc>
          <w:tcPr>
            <w:tcW w:type="dxa" w:w="5780"/>
          </w:tcPr>
          <w:p w14:paraId="E3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015"/>
          </w:tcPr>
          <w:p w14:paraId="E4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Дебет</w:t>
            </w:r>
          </w:p>
        </w:tc>
        <w:tc>
          <w:tcPr>
            <w:tcW w:type="dxa" w:w="1122"/>
          </w:tcPr>
          <w:p w14:paraId="E5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</w:t>
            </w:r>
          </w:p>
        </w:tc>
        <w:tc>
          <w:tcPr>
            <w:tcW w:type="dxa" w:w="1434"/>
          </w:tcPr>
          <w:p w14:paraId="E6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Сумма, руб.</w:t>
            </w:r>
          </w:p>
        </w:tc>
      </w:tr>
      <w:tr>
        <w:tc>
          <w:tcPr>
            <w:tcW w:type="dxa" w:w="5780"/>
          </w:tcPr>
          <w:p w14:paraId="E7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Отражены вложения в приобретение программного обеспечения для Администрации Канавинского района города Нижнего Новгорода</w:t>
            </w:r>
          </w:p>
        </w:tc>
        <w:tc>
          <w:tcPr>
            <w:tcW w:type="dxa" w:w="1015"/>
          </w:tcPr>
          <w:p w14:paraId="E8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0 106 0I 320</w:t>
            </w:r>
          </w:p>
        </w:tc>
        <w:tc>
          <w:tcPr>
            <w:tcW w:type="dxa" w:w="1122"/>
          </w:tcPr>
          <w:p w14:paraId="E9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0 302 26 730</w:t>
            </w:r>
          </w:p>
        </w:tc>
        <w:tc>
          <w:tcPr>
            <w:tcW w:type="dxa" w:w="1434"/>
          </w:tcPr>
          <w:p w14:paraId="EA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95 000</w:t>
            </w:r>
          </w:p>
        </w:tc>
      </w:tr>
      <w:tr>
        <w:tc>
          <w:tcPr>
            <w:tcW w:type="dxa" w:w="5780"/>
          </w:tcPr>
          <w:p w14:paraId="EB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Программа принята к учету как нематериальный актив</w:t>
            </w:r>
          </w:p>
        </w:tc>
        <w:tc>
          <w:tcPr>
            <w:tcW w:type="dxa" w:w="1015"/>
          </w:tcPr>
          <w:p w14:paraId="EC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0 102 0I 320</w:t>
            </w:r>
          </w:p>
        </w:tc>
        <w:tc>
          <w:tcPr>
            <w:tcW w:type="dxa" w:w="1122"/>
          </w:tcPr>
          <w:p w14:paraId="ED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0 106 0I 320</w:t>
            </w:r>
          </w:p>
        </w:tc>
        <w:tc>
          <w:tcPr>
            <w:tcW w:type="dxa" w:w="1434"/>
          </w:tcPr>
          <w:p w14:paraId="EE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95 000</w:t>
            </w:r>
          </w:p>
        </w:tc>
      </w:tr>
    </w:tbl>
    <w:p w14:paraId="EF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F0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Нематериальные активы в Администрации Канавинского района города Нижнего Новгорода подлежат аналитическому учету по каждому объекту отдельно с указанием его наименования, срока полезного использования, документа-основания, стоимости и ответственного подразделения. Это особенно важно в условиях цифровизации бухгалтерского учета, поскольку значительная часть используемых активов связана именно с электронными системами, базами данных и программными решениями.</w:t>
      </w:r>
    </w:p>
    <w:p w14:paraId="F1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учет основных средств и нематериальных активов в Администрации Канавинского района города Нижнего </w:t>
      </w:r>
      <w:r>
        <w:rPr>
          <w:rFonts w:ascii="Times New Roman" w:hAnsi="Times New Roman"/>
          <w:sz w:val="28"/>
        </w:rPr>
        <w:t>Новгорода основывается на требованиях бюджетного законодательства, Единого плана счетов и федеральных стандартов учета государственного сектора. Практика показывает, что правильная организация данного участка учета предполагает документальное подтверждение всех операций, применение счетов 0 101 00 000, 0 102 00 000, 0 104 00 000, 0 106 00 000 и 0 111 60 000, а также постоянный контроль за сохранностью, движением и использованием имущества администрации</w:t>
      </w:r>
    </w:p>
    <w:p w14:paraId="F2000000">
      <w:bookmarkStart w:id="10" w:name="__RefHeading___6"/>
      <w:bookmarkEnd w:id="10"/>
      <w:pPr>
        <w:pStyle w:val="Style_4"/>
        <w:spacing w:after="280" w:before="28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2.3 </w:t>
      </w:r>
      <w:r>
        <w:rPr>
          <w:rFonts w:ascii="Times New Roman" w:hAnsi="Times New Roman"/>
          <w:sz w:val="28"/>
        </w:rPr>
        <w:t>Учет материально – производственных запасов</w:t>
      </w:r>
    </w:p>
    <w:p w14:paraId="F3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Учет материально-производственных запасов в Администрации Канавинского района города Нижнего Новгорода является важным направлением бюджетного бухгалтерского учета, поскольку именно материальные запасы обеспечивают текущее функционирование структурных подразделений администрации и организацию ее повседневной деятельности. В практике Администрации Канавинского района города Нижнего Новгорода к таким запасам могут относиться канцелярские товары, бумага, картриджи, хозяйственные материалы, моющие средства, запасные части, бланочная продукция, а также иные материальные ценности, используемые в процессе работы администрации.</w:t>
      </w:r>
    </w:p>
    <w:p w14:paraId="F4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 Администрации Канавинского района города Нижнего Новгорода материальные запасы могут классифицироваться по видам в зависимости от их назначения и характера использования. Наиболее распространенными являются канцелярские принадлежности, бумага для офисной техники, картриджи и расходные материалы, хозяйственный инвентарь, хозяйственные материалы, запасные части для обслуживания техники, а также мягкий инвентарь и иные материальные ценности, если они используются в деятельности администрации.</w:t>
      </w:r>
    </w:p>
    <w:p w14:paraId="F5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Поступление материальных запасов в Администрацию Канавинского района города Нижнего Новгорода оформляется на основании первичных документов: договора, счета, товарной накладной, универсального </w:t>
      </w:r>
      <w:r>
        <w:rPr>
          <w:rFonts w:ascii="Times New Roman" w:hAnsi="Times New Roman"/>
          <w:sz w:val="28"/>
        </w:rPr>
        <w:t>передаточного документа, акта приема материалов и иных документов, подтверждающих факт поступления ценностей. Все хозяйственные операции по приобретению запасов должны быть своевременно отражены в бухгалтерском учете на дату признания обязательств на основании надлежащим образом оформленных первичных документов.</w:t>
      </w:r>
    </w:p>
    <w:p w14:paraId="F6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Материальные запасы принимаются к учету по первоначальной стоимости, которая включает фактические затраты на их приобретение. </w:t>
      </w:r>
    </w:p>
    <w:p w14:paraId="F7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Практический пример можно привести на приобретении канцелярских товаров для нужд Администрации Канавинского района города Нижнего Новгорода. Предположим, для обеспечения работы нескольких отделов администрации были приобретены бумага, папки и ручки на сумму 15 000 руб. После поступления документов и приемки материалов бухгалтерия отражает их поступление на счете 0 105 36 000 как прочие материальные запасы.</w:t>
      </w:r>
    </w:p>
    <w:p w14:paraId="F800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8 – Операции по принятию к учету запасов</w:t>
      </w:r>
    </w:p>
    <w:tbl>
      <w:tblPr>
        <w:tblStyle w:val="Style_6"/>
        <w:tblLayout w:type="fixed"/>
      </w:tblPr>
      <w:tblGrid>
        <w:gridCol w:w="5603"/>
        <w:gridCol w:w="1098"/>
        <w:gridCol w:w="1181"/>
        <w:gridCol w:w="1611"/>
      </w:tblGrid>
      <w:tr>
        <w:tc>
          <w:tcPr>
            <w:tcW w:type="dxa" w:w="5603"/>
          </w:tcPr>
          <w:p w14:paraId="F9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098"/>
          </w:tcPr>
          <w:p w14:paraId="FA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Дебет</w:t>
            </w:r>
          </w:p>
        </w:tc>
        <w:tc>
          <w:tcPr>
            <w:tcW w:type="dxa" w:w="1181"/>
          </w:tcPr>
          <w:p w14:paraId="FB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</w:t>
            </w:r>
          </w:p>
        </w:tc>
        <w:tc>
          <w:tcPr>
            <w:tcW w:type="dxa" w:w="1611"/>
          </w:tcPr>
          <w:p w14:paraId="FC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Сумма, руб.</w:t>
            </w:r>
          </w:p>
        </w:tc>
      </w:tr>
      <w:tr>
        <w:tc>
          <w:tcPr>
            <w:tcW w:type="dxa" w:w="5603"/>
          </w:tcPr>
          <w:p w14:paraId="FD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Приняты к учету канцелярские товары для Администрации Канавинского района города Нижнего Новгорода</w:t>
            </w:r>
          </w:p>
        </w:tc>
        <w:tc>
          <w:tcPr>
            <w:tcW w:type="dxa" w:w="1098"/>
          </w:tcPr>
          <w:p w14:paraId="FE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0 105 36 346 </w:t>
            </w:r>
          </w:p>
        </w:tc>
        <w:tc>
          <w:tcPr>
            <w:tcW w:type="dxa" w:w="1181"/>
          </w:tcPr>
          <w:p w14:paraId="FF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34 73Х</w:t>
            </w:r>
          </w:p>
        </w:tc>
        <w:tc>
          <w:tcPr>
            <w:tcW w:type="dxa" w:w="1611"/>
          </w:tcPr>
          <w:p w14:paraId="0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15 000</w:t>
            </w:r>
          </w:p>
        </w:tc>
      </w:tr>
    </w:tbl>
    <w:p w14:paraId="01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2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Списание материальных запасов в Администрации Канавинского района города Нижнего Новгорода производится по мере их фактического использования на основании требований-накладных, ведомостей выдачи материалов, актов на списание и иных первичных документов. Выбытие может происходить при передаче запасов в эксплуатацию, при использовании в текущей деятельности, при порче, недостаче либо по иным основаниям, подтвержденным документально.</w:t>
      </w:r>
    </w:p>
    <w:p w14:paraId="03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Практический пример: часть ранее приобретенных канцелярских товаров на сумму 8 000 руб. была передана в отдел организационной работы Администрации Канавинского района города Нижнего Новгорода для текущего использования. На основании требования-накладной и документа на </w:t>
      </w:r>
      <w:r>
        <w:rPr>
          <w:rFonts w:ascii="Times New Roman" w:hAnsi="Times New Roman"/>
          <w:sz w:val="28"/>
        </w:rPr>
        <w:t>выдачу материалов бухгалтерия отражает списание этих ценностей с учета материальных запасов на расходы текущего финансового года.</w:t>
      </w:r>
    </w:p>
    <w:p w14:paraId="04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 xml:space="preserve"> – Операции по </w:t>
      </w:r>
      <w:r>
        <w:rPr>
          <w:rFonts w:ascii="Times New Roman" w:hAnsi="Times New Roman"/>
          <w:sz w:val="28"/>
        </w:rPr>
        <w:t>списанию</w:t>
      </w:r>
      <w:r>
        <w:rPr>
          <w:rFonts w:ascii="Times New Roman" w:hAnsi="Times New Roman"/>
          <w:sz w:val="28"/>
        </w:rPr>
        <w:t xml:space="preserve"> запасов</w:t>
      </w:r>
    </w:p>
    <w:tbl>
      <w:tblPr>
        <w:tblStyle w:val="Style_6"/>
        <w:tblLayout w:type="fixed"/>
      </w:tblPr>
      <w:tblGrid>
        <w:gridCol w:w="5630"/>
        <w:gridCol w:w="1082"/>
        <w:gridCol w:w="1165"/>
        <w:gridCol w:w="1474"/>
      </w:tblGrid>
      <w:tr>
        <w:tc>
          <w:tcPr>
            <w:tcW w:type="dxa" w:w="5630"/>
          </w:tcPr>
          <w:p w14:paraId="0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082"/>
          </w:tcPr>
          <w:p w14:paraId="0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Дебет</w:t>
            </w:r>
          </w:p>
        </w:tc>
        <w:tc>
          <w:tcPr>
            <w:tcW w:type="dxa" w:w="1165"/>
          </w:tcPr>
          <w:p w14:paraId="0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</w:t>
            </w:r>
          </w:p>
        </w:tc>
        <w:tc>
          <w:tcPr>
            <w:tcW w:type="dxa" w:w="1474"/>
          </w:tcPr>
          <w:p w14:paraId="0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Сумма, руб.</w:t>
            </w:r>
          </w:p>
        </w:tc>
      </w:tr>
      <w:tr>
        <w:tc>
          <w:tcPr>
            <w:tcW w:type="dxa" w:w="5630"/>
          </w:tcPr>
          <w:p w14:paraId="0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Списаны канцелярские товары на нужды Администрации Канавинского района города Нижнего Новгорода</w:t>
            </w:r>
          </w:p>
        </w:tc>
        <w:tc>
          <w:tcPr>
            <w:tcW w:type="dxa" w:w="1082"/>
          </w:tcPr>
          <w:p w14:paraId="0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0 401 20 272</w:t>
            </w:r>
          </w:p>
        </w:tc>
        <w:tc>
          <w:tcPr>
            <w:tcW w:type="dxa" w:w="1165"/>
          </w:tcPr>
          <w:p w14:paraId="0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0 105 36 446</w:t>
            </w:r>
          </w:p>
        </w:tc>
        <w:tc>
          <w:tcPr>
            <w:tcW w:type="dxa" w:w="1474"/>
          </w:tcPr>
          <w:p w14:paraId="0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8 000</w:t>
            </w:r>
          </w:p>
        </w:tc>
      </w:tr>
    </w:tbl>
    <w:p w14:paraId="0D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E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Кроме того, в Администрации Канавинского района города Нижнего Новгорода материальные запасы подлежат обязательной инвентаризации, в ходе которой проверяется их фактическое наличие, состояние, пригодность к использованию и соответствие данным бухгалтерского учета. Результаты инвентаризации позволяют своевременно выявлять недостачи, излишки, устаревшие или испорченные материалы и обеспечивают достоверность отчетности.</w:t>
      </w:r>
    </w:p>
    <w:p w14:paraId="0F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учет материально-производственных запасов в Администрации Канавинского района города Нижнего Новгорода представляет собой системный участок бюджетного бухгалтерского учета, основанный на применении счета 0 105 00 000, первичных документов и правил оценки запасов по первоначальной стоимости. Правильная организация данного учета позволяет Администрации Канавинского района города Нижнего Новгорода обеспечить сохранность материальных ценностей, рациональное использование бюджетных средств и достоверное отражение хозяйственных операций в регистрах бухгалтерского учета.</w:t>
      </w:r>
    </w:p>
    <w:p w14:paraId="10010000">
      <w:bookmarkStart w:id="11" w:name="__RefHeading___7"/>
      <w:bookmarkEnd w:id="11"/>
      <w:pPr>
        <w:pStyle w:val="Style_4"/>
        <w:spacing w:after="280" w:before="28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2.4 </w:t>
      </w:r>
      <w:r>
        <w:rPr>
          <w:rFonts w:ascii="Times New Roman" w:hAnsi="Times New Roman"/>
          <w:sz w:val="28"/>
        </w:rPr>
        <w:t>Учет затрат на производство и калькулирование себестоимости</w:t>
      </w:r>
    </w:p>
    <w:p w14:paraId="11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 Администрации Канавинского района города Нижнего Новгорода учет затрат и калькулирование себестоимости рассматривается применительно не к выпуску продукции, а к выполнению работ, оказанию муниципальных услуг и обеспечению текущей деятельности структурных подразделений. В бюджетном учете для отражения таких затрат используется </w:t>
      </w:r>
      <w:r>
        <w:rPr>
          <w:rFonts w:ascii="Times New Roman" w:hAnsi="Times New Roman"/>
          <w:sz w:val="28"/>
        </w:rPr>
        <w:t>счет 0 109 00 000 «Затраты на изготовление готовой продукции, выполнение работ, услуг».</w:t>
      </w:r>
    </w:p>
    <w:p w14:paraId="12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Прямые затраты непосредственно связаны с выполнением конкретной работы или услуги, накладные расходы распределяются между несколькими видами деятельности, а общехозяйственные обеспечивают функционирование администрации в целом.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практике Администрации к затратам могут относиться расходы на канцелярские материалы, услуги связи, обслуживание техники, оплату труда работников, участвующих в выполнении отдельных функций, а также иные расходы, необходимые для реализации полномочий администрации. </w:t>
      </w:r>
    </w:p>
    <w:p w14:paraId="13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Практический пример можно привести на организации мероприятия, проводимого Администрацией. Если для его проведения были использованы канцелярские товары на сумму 4 000 руб. и услуги связи на сумму 2 500 руб., данные расходы включаются в состав затрат по соответствующему направлению деятельности.</w:t>
      </w:r>
    </w:p>
    <w:p w14:paraId="14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Таблица </w:t>
      </w:r>
      <w:r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 xml:space="preserve"> – Операции по </w:t>
      </w:r>
      <w:r>
        <w:rPr>
          <w:rFonts w:ascii="Times New Roman" w:hAnsi="Times New Roman"/>
          <w:sz w:val="28"/>
        </w:rPr>
        <w:t>отражению затрат</w:t>
      </w:r>
    </w:p>
    <w:tbl>
      <w:tblPr>
        <w:tblStyle w:val="Style_6"/>
        <w:tblLayout w:type="fixed"/>
      </w:tblPr>
      <w:tblGrid>
        <w:gridCol w:w="5665"/>
        <w:gridCol w:w="1060"/>
        <w:gridCol w:w="1168"/>
        <w:gridCol w:w="1143"/>
      </w:tblGrid>
      <w:tr>
        <w:tc>
          <w:tcPr>
            <w:tcW w:type="dxa" w:w="5665"/>
          </w:tcPr>
          <w:p w14:paraId="1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060"/>
          </w:tcPr>
          <w:p w14:paraId="1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Дебет</w:t>
            </w:r>
          </w:p>
        </w:tc>
        <w:tc>
          <w:tcPr>
            <w:tcW w:type="dxa" w:w="1168"/>
          </w:tcPr>
          <w:p w14:paraId="1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</w:t>
            </w:r>
          </w:p>
        </w:tc>
        <w:tc>
          <w:tcPr>
            <w:tcW w:type="dxa" w:w="1143"/>
          </w:tcPr>
          <w:p w14:paraId="1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Сумма, руб.</w:t>
            </w:r>
          </w:p>
        </w:tc>
      </w:tr>
      <w:tr>
        <w:tc>
          <w:tcPr>
            <w:tcW w:type="dxa" w:w="5665"/>
          </w:tcPr>
          <w:p w14:paraId="1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Списаны материалы на проведение мероприятия в Администрации Канавинского района города Нижнего Новгорода</w:t>
            </w:r>
          </w:p>
        </w:tc>
        <w:tc>
          <w:tcPr>
            <w:tcW w:type="dxa" w:w="1060"/>
          </w:tcPr>
          <w:p w14:paraId="1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0 109 60 272</w:t>
            </w:r>
          </w:p>
        </w:tc>
        <w:tc>
          <w:tcPr>
            <w:tcW w:type="dxa" w:w="1168"/>
          </w:tcPr>
          <w:p w14:paraId="1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0 105 36 446</w:t>
            </w:r>
          </w:p>
        </w:tc>
        <w:tc>
          <w:tcPr>
            <w:tcW w:type="dxa" w:w="1143"/>
          </w:tcPr>
          <w:p w14:paraId="1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4 000</w:t>
            </w:r>
          </w:p>
        </w:tc>
      </w:tr>
      <w:tr>
        <w:tc>
          <w:tcPr>
            <w:tcW w:type="dxa" w:w="5665"/>
          </w:tcPr>
          <w:p w14:paraId="1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Отражены услуги связи, относимые на затраты</w:t>
            </w:r>
          </w:p>
        </w:tc>
        <w:tc>
          <w:tcPr>
            <w:tcW w:type="dxa" w:w="1060"/>
          </w:tcPr>
          <w:p w14:paraId="1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0 109 60 226</w:t>
            </w:r>
          </w:p>
        </w:tc>
        <w:tc>
          <w:tcPr>
            <w:tcW w:type="dxa" w:w="1168"/>
          </w:tcPr>
          <w:p w14:paraId="1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26 73Х</w:t>
            </w:r>
          </w:p>
        </w:tc>
        <w:tc>
          <w:tcPr>
            <w:tcW w:type="dxa" w:w="1143"/>
          </w:tcPr>
          <w:p w14:paraId="2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2 500</w:t>
            </w:r>
          </w:p>
        </w:tc>
      </w:tr>
    </w:tbl>
    <w:p w14:paraId="21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2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в Администрации учет затрат и калькулирование себестоимости направлены на правильное отражение расходов, связанных с выполнением работ и реализацией функций муниципального управления. Применение счета 0 109 00 000 позволяет систематизировать затраты, контролировать их состав и обеспечивать достоверность бюджетного учета и отчетности.</w:t>
      </w:r>
    </w:p>
    <w:p w14:paraId="23010000">
      <w:bookmarkStart w:id="12" w:name="__RefHeading___8"/>
      <w:bookmarkEnd w:id="12"/>
      <w:pPr>
        <w:pStyle w:val="Style_4"/>
        <w:spacing w:after="280" w:before="28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2.5 Учет </w:t>
      </w:r>
      <w:r>
        <w:rPr>
          <w:rFonts w:ascii="Times New Roman" w:hAnsi="Times New Roman"/>
          <w:sz w:val="28"/>
        </w:rPr>
        <w:t>расчетов с контрагентами или оказание услуг или выполнение работ)</w:t>
      </w:r>
    </w:p>
    <w:p w14:paraId="24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бюджетном учете расчеты по принятым обязательствам перед контрагентами отражаются на счете 0 302 00 000 «Расчеты по принятым обязательствам». Данный счет применяется для учета задолженности учреждения перед юридическими лицами, индивидуальными предпринимателями и иными исполнителями за поставленные материальные ценности, оказанные услуги, выполненные работы и иные обязательства, вытекающие из заключенных договоров и соглашений. Если Администрация перечисляет контрагенту аванс, для отражения такой операции используется счет 0 206 00 000 «Расчеты по выданным авансам».</w:t>
      </w:r>
    </w:p>
    <w:p w14:paraId="25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 Администрации характерными являются расчеты с контрагентами за услуги связи, коммунальные услуги, услуги по содержанию имущества, техническому обслуживанию оборудования, сопровождению программных продуктов, поставке канцелярских товаров, а также выполнению отдельных работ для нужд администрации. Основанием для принятия обязательств к учету выступают муниципальные контракты, договоры, акты выполненных работ, акты оказанных услуг, товарные накладные, счета и иные первичные документы, подтверждающие факт исполнения обязательств со стороны контрагента.</w:t>
      </w:r>
    </w:p>
    <w:p w14:paraId="26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Практический пример можно привести на оплате услуг связи в Администрации.</w:t>
      </w:r>
      <w:r>
        <w:rPr>
          <w:rFonts w:ascii="Times New Roman" w:hAnsi="Times New Roman"/>
          <w:sz w:val="28"/>
        </w:rPr>
        <w:t xml:space="preserve"> О</w:t>
      </w:r>
      <w:r>
        <w:rPr>
          <w:rFonts w:ascii="Times New Roman" w:hAnsi="Times New Roman"/>
          <w:sz w:val="28"/>
        </w:rPr>
        <w:t xml:space="preserve">ператор связи оказал администрации услуги на сумму 6 500 руб., что подтверждено актом оказанных услуг и </w:t>
      </w:r>
      <w:r>
        <w:rPr>
          <w:rFonts w:ascii="Times New Roman" w:hAnsi="Times New Roman"/>
          <w:sz w:val="28"/>
        </w:rPr>
        <w:t>счетом на оплату</w:t>
      </w:r>
      <w:r>
        <w:rPr>
          <w:rFonts w:ascii="Times New Roman" w:hAnsi="Times New Roman"/>
          <w:sz w:val="28"/>
        </w:rPr>
        <w:t>. После принятия документов бухгалтерия администрации отражает задолженность перед исполнителем услуг, а затем — перечисление денежных средств с лицевого счета.</w:t>
      </w:r>
    </w:p>
    <w:p w14:paraId="27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8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9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A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B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</w:t>
      </w:r>
      <w:r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 – Операции по</w:t>
      </w:r>
      <w:r>
        <w:rPr>
          <w:rFonts w:ascii="Times New Roman" w:hAnsi="Times New Roman"/>
          <w:sz w:val="28"/>
        </w:rPr>
        <w:t xml:space="preserve"> оплате услуг</w:t>
      </w:r>
    </w:p>
    <w:tbl>
      <w:tblPr>
        <w:tblStyle w:val="Style_6"/>
        <w:tblLayout w:type="fixed"/>
      </w:tblPr>
      <w:tblGrid>
        <w:gridCol w:w="5592"/>
        <w:gridCol w:w="1101"/>
        <w:gridCol w:w="1185"/>
        <w:gridCol w:w="1158"/>
      </w:tblGrid>
      <w:tr>
        <w:tc>
          <w:tcPr>
            <w:tcW w:type="dxa" w:w="5592"/>
          </w:tcPr>
          <w:p w14:paraId="2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101"/>
          </w:tcPr>
          <w:p w14:paraId="2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Дебет</w:t>
            </w:r>
          </w:p>
        </w:tc>
        <w:tc>
          <w:tcPr>
            <w:tcW w:type="dxa" w:w="1185"/>
          </w:tcPr>
          <w:p w14:paraId="2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</w:t>
            </w:r>
          </w:p>
        </w:tc>
        <w:tc>
          <w:tcPr>
            <w:tcW w:type="dxa" w:w="1158"/>
          </w:tcPr>
          <w:p w14:paraId="2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Сумма, руб.</w:t>
            </w:r>
          </w:p>
        </w:tc>
      </w:tr>
      <w:tr>
        <w:tc>
          <w:tcPr>
            <w:tcW w:type="dxa" w:w="5592"/>
          </w:tcPr>
          <w:p w14:paraId="3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Приняты к учету услуги связи для Администрации Канавинского района города Нижнего Новгорода</w:t>
            </w:r>
          </w:p>
        </w:tc>
        <w:tc>
          <w:tcPr>
            <w:tcW w:type="dxa" w:w="1101"/>
          </w:tcPr>
          <w:p w14:paraId="3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0 401 20 221</w:t>
            </w:r>
          </w:p>
        </w:tc>
        <w:tc>
          <w:tcPr>
            <w:tcW w:type="dxa" w:w="1185"/>
          </w:tcPr>
          <w:p w14:paraId="3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21 73Х</w:t>
            </w:r>
          </w:p>
        </w:tc>
        <w:tc>
          <w:tcPr>
            <w:tcW w:type="dxa" w:w="1158"/>
          </w:tcPr>
          <w:p w14:paraId="3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6 500</w:t>
            </w:r>
          </w:p>
        </w:tc>
      </w:tr>
      <w:tr>
        <w:tc>
          <w:tcPr>
            <w:tcW w:type="dxa" w:w="5592"/>
          </w:tcPr>
          <w:p w14:paraId="3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Оплачены услуги связи с лицевого счета Администрации Канавинского района города Нижнего Новгорода</w:t>
            </w:r>
          </w:p>
        </w:tc>
        <w:tc>
          <w:tcPr>
            <w:tcW w:type="dxa" w:w="1101"/>
          </w:tcPr>
          <w:p w14:paraId="3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21 83Х</w:t>
            </w:r>
          </w:p>
        </w:tc>
        <w:tc>
          <w:tcPr>
            <w:tcW w:type="dxa" w:w="1185"/>
          </w:tcPr>
          <w:p w14:paraId="3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0 201 11 610</w:t>
            </w:r>
          </w:p>
        </w:tc>
        <w:tc>
          <w:tcPr>
            <w:tcW w:type="dxa" w:w="1158"/>
          </w:tcPr>
          <w:p w14:paraId="3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6 500</w:t>
            </w:r>
          </w:p>
        </w:tc>
      </w:tr>
    </w:tbl>
    <w:p w14:paraId="38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39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Администрация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условиям договора перечисляет аванс контрагенту, такая операция не отражается сразу по счету 0 302 00 000, а учитывается на счете 0 206 00 000 как выданный аванс. После того как контрагент фактически оказал услуги или выполнил работы, сумма аванса засчитывается в счет исполнения обязательства, а расчеты переводятся на соответствующий аналитический счет счета 0 302 00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000.</w:t>
      </w:r>
    </w:p>
    <w:p w14:paraId="3A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</w:t>
      </w: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 – Операции по</w:t>
      </w:r>
      <w:r>
        <w:rPr>
          <w:rFonts w:ascii="Times New Roman" w:hAnsi="Times New Roman"/>
          <w:sz w:val="28"/>
        </w:rPr>
        <w:t xml:space="preserve"> перечислению аванса</w:t>
      </w:r>
    </w:p>
    <w:tbl>
      <w:tblPr>
        <w:tblStyle w:val="Style_6"/>
        <w:tblLayout w:type="fixed"/>
      </w:tblPr>
      <w:tblGrid>
        <w:gridCol w:w="5502"/>
        <w:gridCol w:w="1142"/>
        <w:gridCol w:w="1222"/>
        <w:gridCol w:w="1485"/>
      </w:tblGrid>
      <w:tr>
        <w:tc>
          <w:tcPr>
            <w:tcW w:type="dxa" w:w="5502"/>
          </w:tcPr>
          <w:p w14:paraId="3B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142"/>
          </w:tcPr>
          <w:p w14:paraId="3C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Дебет</w:t>
            </w:r>
          </w:p>
        </w:tc>
        <w:tc>
          <w:tcPr>
            <w:tcW w:type="dxa" w:w="1222"/>
          </w:tcPr>
          <w:p w14:paraId="3D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</w:t>
            </w:r>
          </w:p>
        </w:tc>
        <w:tc>
          <w:tcPr>
            <w:tcW w:type="dxa" w:w="1485"/>
          </w:tcPr>
          <w:p w14:paraId="3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Сумма, руб.</w:t>
            </w:r>
          </w:p>
        </w:tc>
      </w:tr>
      <w:tr>
        <w:tc>
          <w:tcPr>
            <w:tcW w:type="dxa" w:w="5502"/>
          </w:tcPr>
          <w:p w14:paraId="3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Перечислен аванс контрагенту Администрацией Канавинского района города Нижнего Новгорода</w:t>
            </w:r>
          </w:p>
        </w:tc>
        <w:tc>
          <w:tcPr>
            <w:tcW w:type="dxa" w:w="1142"/>
          </w:tcPr>
          <w:p w14:paraId="4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0 206 2Х 56Х</w:t>
            </w:r>
          </w:p>
        </w:tc>
        <w:tc>
          <w:tcPr>
            <w:tcW w:type="dxa" w:w="1222"/>
          </w:tcPr>
          <w:p w14:paraId="4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0 201 11 610</w:t>
            </w:r>
          </w:p>
        </w:tc>
        <w:tc>
          <w:tcPr>
            <w:tcW w:type="dxa" w:w="1485"/>
          </w:tcPr>
          <w:p w14:paraId="4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</w:tr>
      <w:tr>
        <w:tc>
          <w:tcPr>
            <w:tcW w:type="dxa" w:w="5502"/>
          </w:tcPr>
          <w:p w14:paraId="4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Приняты к учету оказанные услуги или выполненные работы</w:t>
            </w:r>
          </w:p>
        </w:tc>
        <w:tc>
          <w:tcPr>
            <w:tcW w:type="dxa" w:w="1142"/>
          </w:tcPr>
          <w:p w14:paraId="4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0 401 20 2ХХ</w:t>
            </w:r>
          </w:p>
        </w:tc>
        <w:tc>
          <w:tcPr>
            <w:tcW w:type="dxa" w:w="1222"/>
          </w:tcPr>
          <w:p w14:paraId="4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2Х 73Х</w:t>
            </w:r>
          </w:p>
        </w:tc>
        <w:tc>
          <w:tcPr>
            <w:tcW w:type="dxa" w:w="1485"/>
          </w:tcPr>
          <w:p w14:paraId="4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</w:tr>
      <w:tr>
        <w:tc>
          <w:tcPr>
            <w:tcW w:type="dxa" w:w="5502"/>
          </w:tcPr>
          <w:p w14:paraId="4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Зачтен ранее выданный аванс</w:t>
            </w:r>
          </w:p>
        </w:tc>
        <w:tc>
          <w:tcPr>
            <w:tcW w:type="dxa" w:w="1142"/>
          </w:tcPr>
          <w:p w14:paraId="4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2Х 83Х</w:t>
            </w:r>
          </w:p>
        </w:tc>
        <w:tc>
          <w:tcPr>
            <w:tcW w:type="dxa" w:w="1222"/>
          </w:tcPr>
          <w:p w14:paraId="4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0 206 2Х 66Х</w:t>
            </w:r>
          </w:p>
        </w:tc>
        <w:tc>
          <w:tcPr>
            <w:tcW w:type="dxa" w:w="1485"/>
          </w:tcPr>
          <w:p w14:paraId="4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10 000</w:t>
            </w:r>
          </w:p>
        </w:tc>
      </w:tr>
    </w:tbl>
    <w:p w14:paraId="4B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4C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практике в Администрации особое значение имеет аналитический учет расчетов с контрагентами, который ведется по каждому договору, обязательству, поставщику или исполнителю отдельно. Это необходимо для контроля сроков оплаты, проверки исполнения контрактов, своевременного закрытия задолженности и недопущения просроченных обязательств.</w:t>
      </w:r>
    </w:p>
    <w:p w14:paraId="4D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учет расчетов с контрагентами за оказание услуг и выполнение работ в Администрации осуществляется на основе первичных документов, муниципальных контрактов и правил бюджетного учета с применением счетов 0 302 00 000, 0 206 00 000 и 0 201 11 000. </w:t>
      </w:r>
    </w:p>
    <w:p w14:paraId="4E010000">
      <w:bookmarkStart w:id="13" w:name="__RefHeading___9"/>
      <w:bookmarkEnd w:id="13"/>
      <w:pPr>
        <w:pStyle w:val="Style_4"/>
        <w:spacing w:after="280" w:before="28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2.6 </w:t>
      </w:r>
      <w:r>
        <w:rPr>
          <w:rFonts w:ascii="Times New Roman" w:hAnsi="Times New Roman"/>
          <w:sz w:val="28"/>
        </w:rPr>
        <w:t>Учет дебиторской и кредиторской задолженности</w:t>
      </w:r>
    </w:p>
    <w:p w14:paraId="4F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бюджетном учете дебиторская задолженность отражается, в частности, по счетам 0 205 00 000, 0 206 00 000, 0 208 00 000, 0 209 00 000 и 0 303 00 000, тогда как кредиторская задолженность учитывается по счетам 0 302 00 000, 0 303 00 000, а также по ряду иных расчетных счетов в зависимости от характера обязательства. </w:t>
      </w:r>
    </w:p>
    <w:p w14:paraId="50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Дебиторская задолженность в Администрации возникает в случаях выдачи авансов поставщикам, выдачи денежных средств под отчет, переплаты в бюджет, а также в иных ситуациях, когда денежные средства или иные активы подлежат возврату администрации. Кредиторская задолженность, напротив, отражает обязательства администрации перед поставщиками, подрядчиками, бюджетом, сотрудниками и другими лицами по уже принятым, но еще не исполненным обязательствам.</w:t>
      </w:r>
    </w:p>
    <w:p w14:paraId="51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13 – Счета учета дебиторской и кредиторской задолженности</w:t>
      </w:r>
    </w:p>
    <w:tbl>
      <w:tblPr>
        <w:tblStyle w:val="Style_6"/>
        <w:tblLayout w:type="fixed"/>
      </w:tblPr>
      <w:tblGrid>
        <w:gridCol w:w="2196"/>
        <w:gridCol w:w="3890"/>
        <w:gridCol w:w="2950"/>
      </w:tblGrid>
      <w:tr>
        <w:tc>
          <w:tcPr>
            <w:tcW w:type="dxa" w:w="2196"/>
          </w:tcPr>
          <w:p w14:paraId="5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Вид задолженности </w:t>
            </w:r>
          </w:p>
        </w:tc>
        <w:tc>
          <w:tcPr>
            <w:tcW w:type="dxa" w:w="3890"/>
          </w:tcPr>
          <w:p w14:paraId="5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</w:t>
            </w:r>
          </w:p>
        </w:tc>
        <w:tc>
          <w:tcPr>
            <w:tcW w:type="dxa" w:w="2950"/>
          </w:tcPr>
          <w:p w14:paraId="5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счета</w:t>
            </w:r>
          </w:p>
        </w:tc>
      </w:tr>
      <w:tr>
        <w:tc>
          <w:tcPr>
            <w:tcW w:type="dxa" w:w="2196"/>
          </w:tcPr>
          <w:p w14:paraId="5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Дебиторская задолженность</w:t>
            </w:r>
          </w:p>
        </w:tc>
        <w:tc>
          <w:tcPr>
            <w:tcW w:type="dxa" w:w="3890"/>
          </w:tcPr>
          <w:p w14:paraId="5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Выданные авансы, подотчетные суммы, переплаты, задолженность по доходам</w:t>
            </w:r>
          </w:p>
        </w:tc>
        <w:tc>
          <w:tcPr>
            <w:tcW w:type="dxa" w:w="2950"/>
          </w:tcPr>
          <w:p w14:paraId="5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0 205 00 000, 0 206 00 000, 0 208 00 000, 0 209 00 000, 0 303 00 000 </w:t>
            </w:r>
          </w:p>
        </w:tc>
      </w:tr>
      <w:tr>
        <w:tc>
          <w:tcPr>
            <w:tcW w:type="dxa" w:w="2196"/>
          </w:tcPr>
          <w:p w14:paraId="5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Кредиторская задолженность</w:t>
            </w:r>
          </w:p>
        </w:tc>
        <w:tc>
          <w:tcPr>
            <w:tcW w:type="dxa" w:w="3890"/>
          </w:tcPr>
          <w:p w14:paraId="5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Обязательства перед поставщиками, подрядчиками, бюджетом и иными кредиторами</w:t>
            </w:r>
          </w:p>
        </w:tc>
        <w:tc>
          <w:tcPr>
            <w:tcW w:type="dxa" w:w="2950"/>
          </w:tcPr>
          <w:p w14:paraId="5A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0 302 00 000, 0 303 00 000 </w:t>
            </w:r>
          </w:p>
        </w:tc>
      </w:tr>
    </w:tbl>
    <w:p w14:paraId="5B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5C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Практический пример дебиторской задолженности можно рассмотреть на ситуации, когда Администрация перечисляет поставщику аванс по договору на оказание услуг сопровождения программного обеспечения в сумме 12 000 руб. До момента фактического оказания услуг данная сумма учитывается как дебиторская задолженность по счету 0 206 00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000.</w:t>
      </w:r>
    </w:p>
    <w:p w14:paraId="5D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14 – Операции по перечислению аванса поставщику</w:t>
      </w:r>
    </w:p>
    <w:tbl>
      <w:tblPr>
        <w:tblStyle w:val="Style_6"/>
        <w:tblLayout w:type="fixed"/>
      </w:tblPr>
      <w:tblGrid>
        <w:gridCol w:w="5459"/>
        <w:gridCol w:w="1164"/>
        <w:gridCol w:w="1245"/>
        <w:gridCol w:w="1625"/>
      </w:tblGrid>
      <w:tr>
        <w:tc>
          <w:tcPr>
            <w:tcW w:type="dxa" w:w="5459"/>
          </w:tcPr>
          <w:p w14:paraId="5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164"/>
          </w:tcPr>
          <w:p w14:paraId="5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Дебет</w:t>
            </w:r>
          </w:p>
        </w:tc>
        <w:tc>
          <w:tcPr>
            <w:tcW w:type="dxa" w:w="1245"/>
          </w:tcPr>
          <w:p w14:paraId="6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</w:t>
            </w:r>
          </w:p>
        </w:tc>
        <w:tc>
          <w:tcPr>
            <w:tcW w:type="dxa" w:w="1625"/>
          </w:tcPr>
          <w:p w14:paraId="6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Сумма, руб.</w:t>
            </w:r>
          </w:p>
        </w:tc>
      </w:tr>
      <w:tr>
        <w:tc>
          <w:tcPr>
            <w:tcW w:type="dxa" w:w="5459"/>
          </w:tcPr>
          <w:p w14:paraId="6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Перечислен аванс поставщику Администрацией Канавинского района города Нижнего Новгорода</w:t>
            </w:r>
          </w:p>
        </w:tc>
        <w:tc>
          <w:tcPr>
            <w:tcW w:type="dxa" w:w="1164"/>
          </w:tcPr>
          <w:p w14:paraId="6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0 206 2Х 56Х </w:t>
            </w:r>
          </w:p>
        </w:tc>
        <w:tc>
          <w:tcPr>
            <w:tcW w:type="dxa" w:w="1245"/>
          </w:tcPr>
          <w:p w14:paraId="6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0 201 11 610</w:t>
            </w:r>
          </w:p>
        </w:tc>
        <w:tc>
          <w:tcPr>
            <w:tcW w:type="dxa" w:w="1625"/>
          </w:tcPr>
          <w:p w14:paraId="6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12 000</w:t>
            </w:r>
          </w:p>
        </w:tc>
      </w:tr>
      <w:tr>
        <w:tc>
          <w:tcPr>
            <w:tcW w:type="dxa" w:w="5459"/>
          </w:tcPr>
          <w:p w14:paraId="6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Услуги оказаны, аванс зачтен</w:t>
            </w:r>
          </w:p>
        </w:tc>
        <w:tc>
          <w:tcPr>
            <w:tcW w:type="dxa" w:w="1164"/>
          </w:tcPr>
          <w:p w14:paraId="6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2Х 83Х </w:t>
            </w:r>
          </w:p>
        </w:tc>
        <w:tc>
          <w:tcPr>
            <w:tcW w:type="dxa" w:w="1245"/>
          </w:tcPr>
          <w:p w14:paraId="6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0 206 2Х 66Х </w:t>
            </w:r>
          </w:p>
        </w:tc>
        <w:tc>
          <w:tcPr>
            <w:tcW w:type="dxa" w:w="1625"/>
          </w:tcPr>
          <w:p w14:paraId="6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12 000</w:t>
            </w:r>
          </w:p>
        </w:tc>
      </w:tr>
    </w:tbl>
    <w:p w14:paraId="6A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6B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Кредиторская задолженность в Администрации возникает, когда администрация принимает к учету оказанные услуги, выполненные работы или поставленные материальные ценности, но оплата контрагенту на отчетную дату еще не произведена. Наиболее часто такая задолженность отражается по счету 0 302 00 000 «Расчеты по принятым обязательствам».</w:t>
      </w:r>
    </w:p>
    <w:p w14:paraId="6C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Практический пример кредиторской задолженности можно привести по расчетам за услуги связи. Если Администрация получила и приняла к учету услуги связи на сумму 5 400 руб., но оплата еще не произведена, у администрации возникает кредиторская задолженность перед поставщиком услуг.</w:t>
      </w:r>
    </w:p>
    <w:p w14:paraId="6D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– Операции по учету кредиторской задолженности</w:t>
      </w:r>
    </w:p>
    <w:tbl>
      <w:tblPr>
        <w:tblStyle w:val="Style_6"/>
        <w:tblLayout w:type="fixed"/>
      </w:tblPr>
      <w:tblGrid>
        <w:gridCol w:w="5488"/>
        <w:gridCol w:w="1148"/>
        <w:gridCol w:w="1228"/>
        <w:gridCol w:w="1487"/>
      </w:tblGrid>
      <w:tr>
        <w:tc>
          <w:tcPr>
            <w:tcW w:type="dxa" w:w="5488"/>
          </w:tcPr>
          <w:p w14:paraId="6E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операции</w:t>
            </w:r>
          </w:p>
        </w:tc>
        <w:tc>
          <w:tcPr>
            <w:tcW w:type="dxa" w:w="1148"/>
          </w:tcPr>
          <w:p w14:paraId="6F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Дебет</w:t>
            </w:r>
          </w:p>
        </w:tc>
        <w:tc>
          <w:tcPr>
            <w:tcW w:type="dxa" w:w="1228"/>
          </w:tcPr>
          <w:p w14:paraId="70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Кредит</w:t>
            </w:r>
          </w:p>
        </w:tc>
        <w:tc>
          <w:tcPr>
            <w:tcW w:type="dxa" w:w="1487"/>
          </w:tcPr>
          <w:p w14:paraId="71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Сумма, руб.</w:t>
            </w:r>
          </w:p>
        </w:tc>
      </w:tr>
      <w:tr>
        <w:tc>
          <w:tcPr>
            <w:tcW w:type="dxa" w:w="5488"/>
          </w:tcPr>
          <w:p w14:paraId="7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Приняты к учету услуги связи в Администрации Канавинского района города Нижнего Новгорода</w:t>
            </w:r>
          </w:p>
        </w:tc>
        <w:tc>
          <w:tcPr>
            <w:tcW w:type="dxa" w:w="1148"/>
          </w:tcPr>
          <w:p w14:paraId="7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0 401 20 221</w:t>
            </w:r>
          </w:p>
        </w:tc>
        <w:tc>
          <w:tcPr>
            <w:tcW w:type="dxa" w:w="1228"/>
          </w:tcPr>
          <w:p w14:paraId="74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21 73Х </w:t>
            </w:r>
          </w:p>
        </w:tc>
        <w:tc>
          <w:tcPr>
            <w:tcW w:type="dxa" w:w="1487"/>
          </w:tcPr>
          <w:p w14:paraId="75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5 400</w:t>
            </w:r>
          </w:p>
        </w:tc>
      </w:tr>
      <w:tr>
        <w:tc>
          <w:tcPr>
            <w:tcW w:type="dxa" w:w="5488"/>
          </w:tcPr>
          <w:p w14:paraId="76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Погашена кредиторская задолженность перед поставщиком</w:t>
            </w:r>
          </w:p>
        </w:tc>
        <w:tc>
          <w:tcPr>
            <w:tcW w:type="dxa" w:w="1148"/>
          </w:tcPr>
          <w:p w14:paraId="77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0 302 21 83Х </w:t>
            </w:r>
          </w:p>
        </w:tc>
        <w:tc>
          <w:tcPr>
            <w:tcW w:type="dxa" w:w="1228"/>
          </w:tcPr>
          <w:p w14:paraId="78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0 201 11 610</w:t>
            </w:r>
          </w:p>
        </w:tc>
        <w:tc>
          <w:tcPr>
            <w:tcW w:type="dxa" w:w="1487"/>
          </w:tcPr>
          <w:p w14:paraId="79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5 400</w:t>
            </w:r>
          </w:p>
        </w:tc>
      </w:tr>
    </w:tbl>
    <w:p w14:paraId="7A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7B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учет дебиторской и кредиторской задолженности в Администрации направлен на систематизацию расчетов, контроль за исполнением обязательств и обеспечение достоверности бюджетной отчетности. Правильная организация этого участка учета предполагает применение счетов 0 205 00 000, 0 206 00 000, 0 208 00 000, 0 209 00 000, 0 302 00 000 и 0 303 00 000, а также регулярную инвентаризацию расчетов и анализ состояния задолженности.</w:t>
      </w:r>
    </w:p>
    <w:p w14:paraId="7C01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7D010000">
      <w:bookmarkStart w:id="14" w:name="__RefHeading___10"/>
      <w:bookmarkEnd w:id="14"/>
      <w:pPr>
        <w:pStyle w:val="Style_3"/>
        <w:spacing w:after="60" w:before="24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</w:t>
      </w:r>
    </w:p>
    <w:p w14:paraId="7E010000">
      <w:pPr>
        <w:keepNext w:val="1"/>
        <w:spacing w:after="60" w:before="240"/>
        <w:ind/>
        <w:jc w:val="center"/>
        <w:rPr>
          <w:rFonts w:ascii="Times New Roman" w:hAnsi="Times New Roman"/>
          <w:sz w:val="28"/>
        </w:rPr>
      </w:pPr>
    </w:p>
    <w:p w14:paraId="7F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Производственная практика по специальности «38.02.01 Экономика и бухгалтерский учет (по отраслям)» проходила в Администрации Канавинского района города Нижнего Новгорода с 8 июня по 22 июня 2026 года. </w:t>
      </w:r>
    </w:p>
    <w:p w14:paraId="80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практики я ознакомилась со структурой Администрации Канавинского района города Нижнего Новгорода, ее основными функциями и особенностями финансово-хозяйственной деятельности, а также с правовыми основаниями деятельности администрации. </w:t>
      </w:r>
    </w:p>
    <w:p w14:paraId="81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ыли изучены основные положения учетной политики Администрации Канавинского района города Нижнего Новгорода, регламентирующие порядок ведения бухгалтерского учета в муниципальном органе, применение Единого плана счетов и Инструкции по бюджетному учету, правила учета основных средств, нематериальных активов, материальных запасов, затрат, расчетов с контрагентами, а также дебиторской и кредиторской задолженности. </w:t>
      </w:r>
    </w:p>
    <w:p w14:paraId="82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процессе работы были приобретены практические навыки по оформлению первичных документов и их обработке в системе бюджетного учета: заявок и расчетных документов на кассовые и банковские операции, приходных и расходных кассовых ордеров, кассовой книги, авансовых отчетов, документов по учету основных средств и материальных запасов, а также документов по учету расчетов с поставщиками и подотчетными лицами. Я ознакомилась с порядком учета кассовых операций и операций по лицевым счетам, с особенностями отражения операций по счетам 0 201, 0 105, 0 101, 0 109, 0 302, 0 206, 0 208, 0 205, 0 303 и другим счетам бюджетного учета, применяемым в Администрации Канавинского района города Нижнего Новгорода.</w:t>
      </w:r>
    </w:p>
    <w:p w14:paraId="83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прохождения практики можно сделать вывод, что Администрация Канавинского района города Нижнего Новгорода ведет </w:t>
      </w:r>
      <w:r>
        <w:rPr>
          <w:rFonts w:ascii="Times New Roman" w:hAnsi="Times New Roman"/>
          <w:sz w:val="28"/>
        </w:rPr>
        <w:t xml:space="preserve">бухгалтерский учет в соответствии с действующим законодательством Российской Федерации и нормативными актами, регулирующими бюджетный учет в учреждениях государственного сектора. </w:t>
      </w:r>
    </w:p>
    <w:p w14:paraId="84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Учетная политика администрации соответствует требованиям нормативных документов, документооборот организован рационально, а первичные документы по основным участкам учета оформляются своевременно и правильно, что способствует формированию достоверной бухгалтерской (бюджетной) отчетности.</w:t>
      </w:r>
    </w:p>
    <w:p w14:paraId="85010000">
      <w:pPr>
        <w:spacing w:after="0" w:before="0" w:line="36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Таким образом, основная цель и задачи написания данной работы успешно реализованы</w:t>
      </w:r>
    </w:p>
    <w:p w14:paraId="86010000">
      <w:p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87010000">
      <w:pPr>
        <w:keepNext w:val="1"/>
        <w:spacing w:after="60" w:before="240"/>
        <w:ind/>
        <w:jc w:val="center"/>
        <w:rPr>
          <w:rFonts w:ascii="Times New Roman" w:hAnsi="Times New Roman"/>
          <w:b w:val="1"/>
          <w:sz w:val="32"/>
        </w:rPr>
      </w:pPr>
      <w:r>
        <w:br w:type="page"/>
      </w:r>
    </w:p>
    <w:p w14:paraId="88010000">
      <w:bookmarkStart w:id="15" w:name="__RefHeading___11"/>
      <w:bookmarkEnd w:id="15"/>
      <w:pPr>
        <w:pStyle w:val="Style_3"/>
        <w:spacing w:after="60" w:before="24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источников и литературы</w:t>
      </w:r>
    </w:p>
    <w:p w14:paraId="89010000">
      <w:pPr>
        <w:keepNext w:val="1"/>
        <w:spacing w:after="60" w:before="240"/>
        <w:ind/>
        <w:jc w:val="center"/>
        <w:rPr>
          <w:rFonts w:ascii="Times New Roman" w:hAnsi="Times New Roman"/>
          <w:b w:val="1"/>
          <w:sz w:val="32"/>
        </w:rPr>
      </w:pPr>
    </w:p>
    <w:p w14:paraId="8A010000">
      <w:pPr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Конституция Российской Федерации. Принята на всенародном голосовании 12.12.93 (в ред. от 21.07.2014 № 11-ФКЗ)) // Собрание законодательства РФ. – 2014. – № 31. – ст. 4398.</w:t>
      </w:r>
    </w:p>
    <w:p w14:paraId="8B010000">
      <w:pPr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Налоговый кодекс Российской Федерации (часть первая), от</w:t>
      </w:r>
      <w:r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>31.07. 1998 г. №146-ФЗ. - Текст: электронный // КонсультантПлюс. 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URL: http://www.consultant.ru (дата обращения: 26.03.2024).</w:t>
      </w:r>
    </w:p>
    <w:p w14:paraId="8C010000">
      <w:pPr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Налоговый кодекс Российской Федерации (часть вторая), от 05.08.2000г №117-ФЗ. - Текст: электронный // КонсультантПлюс. 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URL: http://www.consultant.ru (дата обращения: 26.03.2024).</w:t>
      </w:r>
    </w:p>
    <w:p w14:paraId="8D010000">
      <w:pPr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Голубева О. Л., Теория бухгалтерского учета. — М.: Юрайт, 2023. — 290 c. 1С: Бухгалтерия. — М.: Юрайт, 2023.</w:t>
      </w:r>
    </w:p>
    <w:p w14:paraId="8E010000">
      <w:pPr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Конфиденциальное делопроизводство и защищенный электронный документооборот: учебник / Н.Н. Куняев, А.С. Дёмушкин. - 2-е изд., </w:t>
      </w:r>
      <w:r>
        <w:rPr>
          <w:rFonts w:ascii="Times New Roman" w:hAnsi="Times New Roman"/>
          <w:sz w:val="28"/>
        </w:rPr>
        <w:t>перераб</w:t>
      </w:r>
      <w:r>
        <w:rPr>
          <w:rFonts w:ascii="Times New Roman" w:hAnsi="Times New Roman"/>
          <w:sz w:val="28"/>
        </w:rPr>
        <w:t>. и доп. - М.: Логос, 2020. -500 с.</w:t>
      </w:r>
    </w:p>
    <w:p w14:paraId="8F010000">
      <w:pPr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Крахин</w:t>
      </w:r>
      <w:r>
        <w:rPr>
          <w:rFonts w:ascii="Times New Roman" w:hAnsi="Times New Roman"/>
          <w:sz w:val="28"/>
        </w:rPr>
        <w:t xml:space="preserve"> А.В. Информационные технологии и системы в управленческой деятельности: учебно-практ. пособие. - М.: ФЛИНТА, 2020. - 256 с.</w:t>
      </w:r>
    </w:p>
    <w:p w14:paraId="90010000">
      <w:pPr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Можаева </w:t>
      </w:r>
      <w:r>
        <w:rPr>
          <w:rFonts w:ascii="Times New Roman" w:hAnsi="Times New Roman"/>
          <w:sz w:val="28"/>
        </w:rPr>
        <w:t>И.П.</w:t>
      </w:r>
      <w:r>
        <w:rPr>
          <w:rFonts w:ascii="Times New Roman" w:hAnsi="Times New Roman"/>
          <w:sz w:val="28"/>
        </w:rPr>
        <w:t xml:space="preserve"> Оптимизация документооборота при подготовке, принятии и реализации управленческих решений в системе МВД России // Вестник Казанского юридического института МВД России. - 2021. - Т. 12. - № 4 (46). - С. 635-643.</w:t>
      </w:r>
    </w:p>
    <w:p w14:paraId="91010000">
      <w:pPr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Молчанов Сергей Бухгалтерский учет за 14 дней. Экспресс-курс. Новое, 14-е изд. — СПБ.: Питер, 2024. — 368 с.: ил. — (Серия «Бухгалтеру и аудитору»).</w:t>
      </w:r>
    </w:p>
    <w:p w14:paraId="92010000">
      <w:pPr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Пащенко Т. В. Бухгалтерский финансовый учет и отчетность. — М.: Юрайт, 2023. — 216 c.</w:t>
      </w:r>
    </w:p>
    <w:p w14:paraId="93010000">
      <w:pPr>
        <w:numPr>
          <w:ilvl w:val="0"/>
          <w:numId w:val="2"/>
        </w:numPr>
        <w:spacing w:after="0" w:before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Штефан М. А., Замотаева О. А., Максимова Н. В. Бухгалтерская (финансовая) отчетность организации. — М.: Юрайт, 2023. — 347 c.</w:t>
      </w: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tabs>
        <w:tab w:leader="none" w:pos="4677" w:val="center"/>
        <w:tab w:leader="none" w:pos="9355" w:val="right"/>
      </w:tabs>
      <w:spacing w:after="0" w:before="0"/>
      <w:ind/>
      <w:jc w:val="center"/>
      <w:rPr>
        <w:rFonts w:ascii="Times New Roman" w:hAnsi="Times New Roman"/>
        <w:color w:val="000000"/>
      </w:rPr>
    </w:pPr>
  </w:p>
  <w:p w14:paraId="02000000">
    <w:pPr>
      <w:tabs>
        <w:tab w:leader="none" w:pos="4677" w:val="center"/>
        <w:tab w:leader="none" w:pos="9355" w:val="right"/>
      </w:tabs>
      <w:spacing w:after="0" w:before="0"/>
      <w:ind/>
      <w:rPr>
        <w:rFonts w:ascii="Times New Roman" w:hAnsi="Times New Roman"/>
        <w:color w:val="000000"/>
      </w:rPr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ahoma" w:hAnsi="Tahoma"/>
        <w:color w:val="000000"/>
        <w:spacing w:val="0"/>
        <w:sz w:val="24"/>
      </w:rPr>
    </w:rPrDefault>
    <w:pPrDefault>
      <w:pPr>
        <w:spacing w:after="100" w:before="10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2" w:type="paragraph">
    <w:name w:val="toc 2"/>
    <w:basedOn w:val="Style_7"/>
    <w:next w:val="Style_7"/>
    <w:link w:val="Style_2_ch"/>
    <w:uiPriority w:val="39"/>
    <w:pPr>
      <w:ind w:firstLine="0" w:left="240"/>
    </w:pPr>
  </w:style>
  <w:style w:styleId="Style_2_ch" w:type="character">
    <w:name w:val="toc 2"/>
    <w:basedOn w:val="Style_7_ch"/>
    <w:link w:val="Style_2"/>
  </w:style>
  <w:style w:styleId="Style_8" w:type="paragraph">
    <w:name w:val="toc 4"/>
    <w:next w:val="Style_7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7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7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ing 3"/>
    <w:basedOn w:val="Style_7"/>
    <w:next w:val="Style_7"/>
    <w:link w:val="Style_12_ch"/>
    <w:uiPriority w:val="9"/>
    <w:qFormat/>
    <w:pPr>
      <w:keepNext w:val="1"/>
      <w:keepLines w:val="1"/>
      <w:spacing w:after="80" w:before="280"/>
      <w:ind/>
      <w:outlineLvl w:val="2"/>
    </w:pPr>
    <w:rPr>
      <w:b w:val="1"/>
      <w:sz w:val="28"/>
    </w:rPr>
  </w:style>
  <w:style w:styleId="Style_12_ch" w:type="character">
    <w:name w:val="heading 3"/>
    <w:basedOn w:val="Style_7_ch"/>
    <w:link w:val="Style_12"/>
    <w:rPr>
      <w:b w:val="1"/>
      <w:sz w:val="28"/>
    </w:rPr>
  </w:style>
  <w:style w:styleId="Style_13" w:type="paragraph">
    <w:name w:val="toc 3"/>
    <w:next w:val="Style_7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Strong"/>
    <w:basedOn w:val="Style_11"/>
    <w:link w:val="Style_14_ch"/>
    <w:rPr>
      <w:b w:val="1"/>
    </w:rPr>
  </w:style>
  <w:style w:styleId="Style_14_ch" w:type="character">
    <w:name w:val="Strong"/>
    <w:basedOn w:val="Style_11_ch"/>
    <w:link w:val="Style_14"/>
    <w:rPr>
      <w:b w:val="1"/>
    </w:rPr>
  </w:style>
  <w:style w:styleId="Style_15" w:type="paragraph">
    <w:name w:val="heading 5"/>
    <w:basedOn w:val="Style_7"/>
    <w:next w:val="Style_7"/>
    <w:link w:val="Style_15_ch"/>
    <w:uiPriority w:val="9"/>
    <w:qFormat/>
    <w:pPr>
      <w:keepNext w:val="1"/>
      <w:keepLines w:val="1"/>
      <w:spacing w:after="40" w:before="220"/>
      <w:ind/>
      <w:outlineLvl w:val="4"/>
    </w:pPr>
    <w:rPr>
      <w:b w:val="1"/>
      <w:sz w:val="22"/>
    </w:rPr>
  </w:style>
  <w:style w:styleId="Style_15_ch" w:type="character">
    <w:name w:val="heading 5"/>
    <w:basedOn w:val="Style_7_ch"/>
    <w:link w:val="Style_15"/>
    <w:rPr>
      <w:b w:val="1"/>
      <w:sz w:val="22"/>
    </w:rPr>
  </w:style>
  <w:style w:styleId="Style_3" w:type="paragraph">
    <w:name w:val="heading 1"/>
    <w:basedOn w:val="Style_7"/>
    <w:next w:val="Style_7"/>
    <w:link w:val="Style_3_ch"/>
    <w:uiPriority w:val="9"/>
    <w:qFormat/>
    <w:pPr>
      <w:keepNext w:val="1"/>
      <w:keepLines w:val="1"/>
      <w:spacing w:after="120" w:before="480"/>
      <w:ind/>
      <w:outlineLvl w:val="0"/>
    </w:pPr>
    <w:rPr>
      <w:b w:val="1"/>
      <w:sz w:val="48"/>
    </w:rPr>
  </w:style>
  <w:style w:styleId="Style_3_ch" w:type="character">
    <w:name w:val="heading 1"/>
    <w:basedOn w:val="Style_7_ch"/>
    <w:link w:val="Style_3"/>
    <w:rPr>
      <w:b w:val="1"/>
      <w:sz w:val="48"/>
    </w:rPr>
  </w:style>
  <w:style w:styleId="Style_16" w:type="paragraph">
    <w:name w:val="Hyperlink"/>
    <w:basedOn w:val="Style_11"/>
    <w:link w:val="Style_16_ch"/>
    <w:rPr>
      <w:color w:themeColor="hyperlink" w:val="0000FF"/>
      <w:u w:val="single"/>
    </w:rPr>
  </w:style>
  <w:style w:styleId="Style_16_ch" w:type="character">
    <w:name w:val="Hyperlink"/>
    <w:basedOn w:val="Style_11_ch"/>
    <w:link w:val="Style_16"/>
    <w:rPr>
      <w:color w:themeColor="hyperlink"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" w:type="paragraph">
    <w:name w:val="toc 1"/>
    <w:basedOn w:val="Style_7"/>
    <w:next w:val="Style_7"/>
    <w:link w:val="Style_1_ch"/>
    <w:uiPriority w:val="39"/>
  </w:style>
  <w:style w:styleId="Style_1_ch" w:type="character">
    <w:name w:val="toc 1"/>
    <w:basedOn w:val="Style_7_ch"/>
    <w:link w:val="Style_1"/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5" w:type="paragraph">
    <w:name w:val="No Spacing"/>
    <w:basedOn w:val="Style_7"/>
    <w:link w:val="Style_5_ch"/>
    <w:pPr>
      <w:spacing w:after="0" w:before="0" w:line="360" w:lineRule="auto"/>
      <w:ind/>
    </w:pPr>
    <w:rPr>
      <w:rFonts w:ascii="Times New Roman" w:hAnsi="Times New Roman"/>
      <w:sz w:val="28"/>
    </w:rPr>
  </w:style>
  <w:style w:styleId="Style_5_ch" w:type="character">
    <w:name w:val="No Spacing"/>
    <w:basedOn w:val="Style_7_ch"/>
    <w:link w:val="Style_5"/>
    <w:rPr>
      <w:rFonts w:ascii="Times New Roman" w:hAnsi="Times New Roman"/>
      <w:sz w:val="28"/>
    </w:rPr>
  </w:style>
  <w:style w:styleId="Style_19" w:type="paragraph">
    <w:name w:val="toc 9"/>
    <w:next w:val="Style_7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7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7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basedOn w:val="Style_7"/>
    <w:next w:val="Style_7"/>
    <w:link w:val="Style_22_ch"/>
    <w:uiPriority w:val="11"/>
    <w:qFormat/>
    <w:pPr>
      <w:keepNext w:val="1"/>
      <w:keepLines w:val="1"/>
      <w:spacing w:after="80" w:before="360"/>
      <w:ind/>
    </w:pPr>
    <w:rPr>
      <w:rFonts w:ascii="Georgia" w:hAnsi="Georgia"/>
      <w:i w:val="1"/>
      <w:color w:val="666666"/>
      <w:sz w:val="48"/>
    </w:rPr>
  </w:style>
  <w:style w:styleId="Style_22_ch" w:type="character">
    <w:name w:val="Subtitle"/>
    <w:basedOn w:val="Style_7_ch"/>
    <w:link w:val="Style_22"/>
    <w:rPr>
      <w:rFonts w:ascii="Georgia" w:hAnsi="Georgia"/>
      <w:i w:val="1"/>
      <w:color w:val="666666"/>
      <w:sz w:val="48"/>
    </w:rPr>
  </w:style>
  <w:style w:styleId="Style_23" w:type="paragraph">
    <w:name w:val="Title"/>
    <w:basedOn w:val="Style_7"/>
    <w:next w:val="Style_7"/>
    <w:link w:val="Style_23_ch"/>
    <w:uiPriority w:val="10"/>
    <w:qFormat/>
    <w:pPr>
      <w:keepNext w:val="1"/>
      <w:keepLines w:val="1"/>
      <w:spacing w:after="120" w:before="480"/>
      <w:ind/>
    </w:pPr>
    <w:rPr>
      <w:b w:val="1"/>
      <w:sz w:val="72"/>
    </w:rPr>
  </w:style>
  <w:style w:styleId="Style_23_ch" w:type="character">
    <w:name w:val="Title"/>
    <w:basedOn w:val="Style_7_ch"/>
    <w:link w:val="Style_23"/>
    <w:rPr>
      <w:b w:val="1"/>
      <w:sz w:val="72"/>
    </w:rPr>
  </w:style>
  <w:style w:styleId="Style_24" w:type="paragraph">
    <w:name w:val="heading 4"/>
    <w:basedOn w:val="Style_7"/>
    <w:next w:val="Style_7"/>
    <w:link w:val="Style_24_ch"/>
    <w:uiPriority w:val="9"/>
    <w:qFormat/>
    <w:pPr>
      <w:keepNext w:val="1"/>
      <w:keepLines w:val="1"/>
      <w:spacing w:after="40" w:before="240"/>
      <w:ind/>
      <w:outlineLvl w:val="3"/>
    </w:pPr>
    <w:rPr>
      <w:b w:val="1"/>
    </w:rPr>
  </w:style>
  <w:style w:styleId="Style_24_ch" w:type="character">
    <w:name w:val="heading 4"/>
    <w:basedOn w:val="Style_7_ch"/>
    <w:link w:val="Style_24"/>
    <w:rPr>
      <w:b w:val="1"/>
    </w:rPr>
  </w:style>
  <w:style w:styleId="Style_25" w:type="paragraph">
    <w:name w:val="TOC Heading"/>
    <w:basedOn w:val="Style_3"/>
    <w:next w:val="Style_7"/>
    <w:link w:val="Style_25_ch"/>
    <w:pPr>
      <w:spacing w:after="0" w:before="240" w:line="264" w:lineRule="auto"/>
      <w:ind/>
      <w:outlineLvl w:val="8"/>
    </w:pPr>
    <w:rPr>
      <w:rFonts w:asciiTheme="majorAscii" w:hAnsiTheme="majorHAnsi"/>
      <w:b w:val="0"/>
      <w:color w:themeColor="accent1" w:themeShade="BF" w:val="376092"/>
      <w:sz w:val="32"/>
    </w:rPr>
  </w:style>
  <w:style w:styleId="Style_25_ch" w:type="character">
    <w:name w:val="TOC Heading"/>
    <w:basedOn w:val="Style_3_ch"/>
    <w:link w:val="Style_25"/>
    <w:rPr>
      <w:rFonts w:asciiTheme="majorAscii" w:hAnsiTheme="majorHAnsi"/>
      <w:b w:val="0"/>
      <w:color w:themeColor="accent1" w:themeShade="BF" w:val="376092"/>
      <w:sz w:val="32"/>
    </w:rPr>
  </w:style>
  <w:style w:styleId="Style_4" w:type="paragraph">
    <w:name w:val="heading 2"/>
    <w:basedOn w:val="Style_7"/>
    <w:next w:val="Style_7"/>
    <w:link w:val="Style_4_ch"/>
    <w:uiPriority w:val="9"/>
    <w:qFormat/>
    <w:pPr>
      <w:keepNext w:val="1"/>
      <w:keepLines w:val="1"/>
      <w:spacing w:after="80" w:before="360"/>
      <w:ind/>
      <w:outlineLvl w:val="1"/>
    </w:pPr>
    <w:rPr>
      <w:b w:val="1"/>
      <w:sz w:val="36"/>
    </w:rPr>
  </w:style>
  <w:style w:styleId="Style_4_ch" w:type="character">
    <w:name w:val="heading 2"/>
    <w:basedOn w:val="Style_7_ch"/>
    <w:link w:val="Style_4"/>
    <w:rPr>
      <w:b w:val="1"/>
      <w:sz w:val="36"/>
    </w:rPr>
  </w:style>
  <w:style w:styleId="Style_26" w:type="paragraph">
    <w:name w:val="heading 6"/>
    <w:basedOn w:val="Style_7"/>
    <w:next w:val="Style_7"/>
    <w:link w:val="Style_26_ch"/>
    <w:uiPriority w:val="9"/>
    <w:qFormat/>
    <w:pPr>
      <w:keepNext w:val="1"/>
      <w:keepLines w:val="1"/>
      <w:spacing w:after="40" w:before="200"/>
      <w:ind/>
      <w:outlineLvl w:val="5"/>
    </w:pPr>
    <w:rPr>
      <w:b w:val="1"/>
      <w:sz w:val="20"/>
    </w:rPr>
  </w:style>
  <w:style w:styleId="Style_26_ch" w:type="character">
    <w:name w:val="heading 6"/>
    <w:basedOn w:val="Style_7_ch"/>
    <w:link w:val="Style_26"/>
    <w:rPr>
      <w:b w:val="1"/>
      <w:sz w:val="20"/>
    </w:rPr>
  </w:style>
  <w:style w:styleId="Style_27" w:type="table">
    <w:basedOn w:val="Style_28"/>
    <w:semiHidden w:val="1"/>
    <w:unhideWhenUsed w:val="1"/>
    <w:pPr>
      <w:spacing w:after="0"/>
      <w:ind/>
    </w:pPr>
    <w:rPr>
      <w:rFonts w:ascii="Constantia" w:hAnsi="Constantia"/>
    </w:rPr>
    <w:tblPr>
      <w:tblCellMar>
        <w:left w:type="dxa" w:w="115"/>
        <w:right w:type="dxa" w:w="115"/>
      </w:tblCellMar>
    </w:tblPr>
  </w:style>
  <w:style w:styleId="Style_29" w:type="table">
    <w:basedOn w:val="Style_28"/>
    <w:semiHidden w:val="1"/>
    <w:unhideWhenUsed w:val="1"/>
    <w:tblPr>
      <w:tblCellMar>
        <w:left w:type="dxa" w:w="108"/>
        <w:right w:type="dxa" w:w="108"/>
      </w:tblCellMar>
    </w:tblPr>
  </w:style>
  <w:style w:styleId="Style_30" w:type="table">
    <w:basedOn w:val="Style_28"/>
    <w:semiHidden w:val="1"/>
    <w:unhideWhenUsed w:val="1"/>
    <w:pPr>
      <w:spacing w:after="0"/>
      <w:ind/>
    </w:pPr>
    <w:rPr>
      <w:rFonts w:ascii="Constantia" w:hAnsi="Constantia"/>
    </w:rPr>
    <w:tblPr>
      <w:tblCellMar>
        <w:left w:type="dxa" w:w="115"/>
        <w:right w:type="dxa" w:w="115"/>
      </w:tblCellMar>
    </w:tblPr>
  </w:style>
  <w:style w:styleId="Style_31" w:type="table">
    <w:basedOn w:val="Style_28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  <w:style w:styleId="Style_32" w:type="table">
    <w:basedOn w:val="Style_28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  <w:style w:styleId="Style_28" w:type="table">
    <w:name w:val="Table Normal"/>
    <w:tblPr>
      <w:tblCellMar>
        <w:top w:type="dxa" w:w="0"/>
        <w:left w:type="dxa" w:w="0"/>
        <w:bottom w:type="dxa" w:w="0"/>
        <w:right w:type="dxa" w:w="0"/>
      </w:tblCellMar>
    </w:tblPr>
  </w:style>
  <w:style w:styleId="Style_33" w:type="table">
    <w:basedOn w:val="Style_28"/>
    <w:semiHidden w:val="1"/>
    <w:unhideWhenUsed w:val="1"/>
    <w:pPr>
      <w:spacing w:after="0"/>
      <w:ind/>
    </w:pPr>
    <w:rPr>
      <w:rFonts w:ascii="Constantia" w:hAnsi="Constantia"/>
    </w:rPr>
    <w:tblPr>
      <w:tblCellMar>
        <w:left w:type="dxa" w:w="115"/>
        <w:right w:type="dxa" w:w="115"/>
      </w:tblCellMar>
    </w:tblPr>
  </w:style>
  <w:style w:styleId="Style_6" w:type="table">
    <w:name w:val="Table Grid"/>
    <w:basedOn w:val="Style_34"/>
    <w:pPr>
      <w:spacing w:after="0" w:before="0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5" w:type="table">
    <w:basedOn w:val="Style_28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  <w:style w:styleId="Style_36" w:type="table">
    <w:basedOn w:val="Style_28"/>
    <w:semiHidden w:val="1"/>
    <w:unhideWhenUsed w:val="1"/>
    <w:pPr>
      <w:spacing w:after="0"/>
      <w:ind/>
    </w:pPr>
    <w:rPr>
      <w:rFonts w:ascii="Constantia" w:hAnsi="Constantia"/>
    </w:rPr>
    <w:tblPr>
      <w:tblCellMar>
        <w:left w:type="dxa" w:w="115"/>
        <w:right w:type="dxa" w:w="115"/>
      </w:tblCellMar>
    </w:tblPr>
  </w:style>
  <w:style w:styleId="Style_37" w:type="table">
    <w:basedOn w:val="Style_28"/>
    <w:semiHidden w:val="1"/>
    <w:unhideWhenUsed w:val="1"/>
    <w:tblPr>
      <w:tblCellMar>
        <w:top w:type="dxa" w:w="100"/>
        <w:left w:type="dxa" w:w="100"/>
        <w:bottom w:type="dxa" w:w="100"/>
        <w:right w:type="dxa" w:w="100"/>
      </w:tblCellMar>
    </w:tblPr>
  </w:style>
  <w:style w:styleId="Style_38" w:type="table">
    <w:basedOn w:val="Style_28"/>
    <w:semiHidden w:val="1"/>
    <w:unhideWhenUsed w:val="1"/>
    <w:tblPr>
      <w:tblCellMar>
        <w:left w:type="dxa" w:w="108"/>
        <w:right w:type="dxa" w:w="108"/>
      </w:tblCellMar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2026-09-01T10:10:08Z</dcterms:modified>
</cp:coreProperties>
</file>