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3739A" w14:textId="77777777" w:rsidR="007A4494" w:rsidRDefault="007A4494" w:rsidP="007A4494">
      <w:pPr>
        <w:ind w:right="282"/>
        <w:contextualSpacing/>
        <w:rPr>
          <w:b/>
          <w:sz w:val="24"/>
          <w:szCs w:val="24"/>
        </w:rPr>
      </w:pPr>
      <w:r w:rsidRPr="00410F80">
        <w:rPr>
          <w:b/>
          <w:noProof/>
          <w:lang w:eastAsia="ru-RU"/>
        </w:rPr>
        <w:drawing>
          <wp:inline distT="0" distB="0" distL="0" distR="0" wp14:anchorId="23CA1C41" wp14:editId="1BAABB5D">
            <wp:extent cx="2658110" cy="359410"/>
            <wp:effectExtent l="0" t="0" r="889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8110" cy="359410"/>
                    </a:xfrm>
                    <a:prstGeom prst="rect">
                      <a:avLst/>
                    </a:prstGeom>
                    <a:noFill/>
                  </pic:spPr>
                </pic:pic>
              </a:graphicData>
            </a:graphic>
          </wp:inline>
        </w:drawing>
      </w:r>
    </w:p>
    <w:p w14:paraId="5746D022" w14:textId="77777777" w:rsidR="007A4494" w:rsidRDefault="007A4494" w:rsidP="007A4494">
      <w:pPr>
        <w:ind w:right="282"/>
        <w:contextualSpacing/>
        <w:rPr>
          <w:b/>
          <w:sz w:val="24"/>
          <w:szCs w:val="24"/>
        </w:rPr>
      </w:pPr>
    </w:p>
    <w:p w14:paraId="52AB857D" w14:textId="77777777" w:rsidR="007A4494" w:rsidRDefault="007A4494" w:rsidP="007A4494">
      <w:pPr>
        <w:ind w:right="282"/>
        <w:contextualSpacing/>
        <w:rPr>
          <w:b/>
          <w:sz w:val="24"/>
          <w:szCs w:val="24"/>
        </w:rPr>
      </w:pPr>
    </w:p>
    <w:p w14:paraId="192CDDC9" w14:textId="77777777" w:rsidR="007A4494" w:rsidRDefault="007A4494" w:rsidP="007A4494">
      <w:pPr>
        <w:ind w:right="282"/>
        <w:contextualSpacing/>
        <w:rPr>
          <w:b/>
          <w:sz w:val="24"/>
          <w:szCs w:val="24"/>
        </w:rPr>
      </w:pPr>
    </w:p>
    <w:p w14:paraId="69452589" w14:textId="77777777" w:rsidR="007A4494" w:rsidRDefault="007A4494" w:rsidP="007A4494">
      <w:pPr>
        <w:ind w:right="282"/>
        <w:contextualSpacing/>
        <w:rPr>
          <w:b/>
          <w:sz w:val="24"/>
          <w:szCs w:val="24"/>
        </w:rPr>
      </w:pPr>
    </w:p>
    <w:p w14:paraId="1CBDD77B" w14:textId="77777777" w:rsidR="00DF395E" w:rsidRPr="009E05BA" w:rsidRDefault="00DF395E" w:rsidP="00DF395E">
      <w:pPr>
        <w:ind w:right="282"/>
        <w:contextualSpacing/>
        <w:jc w:val="center"/>
        <w:rPr>
          <w:b/>
          <w:sz w:val="24"/>
          <w:szCs w:val="24"/>
        </w:rPr>
      </w:pPr>
      <w:r w:rsidRPr="009E05BA">
        <w:rPr>
          <w:b/>
          <w:sz w:val="24"/>
          <w:szCs w:val="24"/>
        </w:rPr>
        <w:t>ЧАСТНОЕ УЧРЕЖДЕНИЕ ВЫСШЕГО ОБРАЗОВАНИЯ</w:t>
      </w:r>
    </w:p>
    <w:p w14:paraId="3A0053F0" w14:textId="77777777" w:rsidR="00DF395E" w:rsidRPr="009E05BA" w:rsidRDefault="00DF395E" w:rsidP="00DF395E">
      <w:pPr>
        <w:ind w:right="282"/>
        <w:jc w:val="center"/>
        <w:rPr>
          <w:rFonts w:eastAsia="Calibri"/>
          <w:b/>
          <w:caps/>
          <w:sz w:val="24"/>
          <w:szCs w:val="24"/>
        </w:rPr>
      </w:pPr>
      <w:r w:rsidRPr="009E05BA">
        <w:rPr>
          <w:b/>
          <w:sz w:val="24"/>
          <w:szCs w:val="24"/>
        </w:rPr>
        <w:t>«МОСКОВСКАЯ АКАДЕМИЯ ПРЕДПРИНИМАТЕЛЬСТВА»</w:t>
      </w:r>
    </w:p>
    <w:p w14:paraId="39A0F841" w14:textId="77777777" w:rsidR="00DF395E" w:rsidRPr="009E05BA" w:rsidRDefault="00DF395E" w:rsidP="00DF395E">
      <w:pPr>
        <w:ind w:left="-142" w:right="282"/>
        <w:jc w:val="center"/>
        <w:rPr>
          <w:b/>
          <w:bCs/>
          <w:sz w:val="24"/>
          <w:szCs w:val="24"/>
        </w:rPr>
      </w:pPr>
    </w:p>
    <w:p w14:paraId="6F6095D3" w14:textId="77777777" w:rsidR="00DF395E" w:rsidRPr="009E05BA" w:rsidRDefault="00DF395E" w:rsidP="00DF395E">
      <w:pPr>
        <w:ind w:right="282"/>
        <w:jc w:val="center"/>
        <w:rPr>
          <w:b/>
          <w:sz w:val="24"/>
          <w:szCs w:val="24"/>
        </w:rPr>
      </w:pPr>
      <w:r w:rsidRPr="009E05BA">
        <w:rPr>
          <w:b/>
          <w:sz w:val="24"/>
          <w:szCs w:val="24"/>
        </w:rPr>
        <w:t xml:space="preserve">Факультет </w:t>
      </w:r>
      <w:r w:rsidR="008312D6">
        <w:rPr>
          <w:b/>
          <w:sz w:val="24"/>
          <w:szCs w:val="24"/>
        </w:rPr>
        <w:t>Э</w:t>
      </w:r>
      <w:r w:rsidRPr="009E05BA">
        <w:rPr>
          <w:b/>
          <w:sz w:val="24"/>
          <w:szCs w:val="24"/>
        </w:rPr>
        <w:t>кономики, управления и права</w:t>
      </w:r>
    </w:p>
    <w:p w14:paraId="6760B30A" w14:textId="77777777" w:rsidR="00DF395E" w:rsidRPr="009E05BA" w:rsidRDefault="00DF395E" w:rsidP="00DF395E">
      <w:pPr>
        <w:ind w:right="282"/>
        <w:jc w:val="center"/>
        <w:rPr>
          <w:sz w:val="24"/>
          <w:szCs w:val="24"/>
          <w:vertAlign w:val="superscript"/>
        </w:rPr>
      </w:pPr>
      <w:r w:rsidRPr="009E05BA">
        <w:rPr>
          <w:sz w:val="24"/>
          <w:szCs w:val="24"/>
          <w:vertAlign w:val="superscript"/>
        </w:rPr>
        <w:t>(наименование факультета)</w:t>
      </w:r>
    </w:p>
    <w:p w14:paraId="03C17C59" w14:textId="77777777" w:rsidR="00DF395E" w:rsidRPr="002507ED" w:rsidRDefault="00DF395E" w:rsidP="00DF395E">
      <w:pPr>
        <w:adjustRightInd w:val="0"/>
        <w:jc w:val="center"/>
        <w:rPr>
          <w:sz w:val="24"/>
          <w:szCs w:val="24"/>
          <w:lang w:eastAsia="ru-RU"/>
        </w:rPr>
      </w:pPr>
    </w:p>
    <w:p w14:paraId="30CC2385" w14:textId="77777777" w:rsidR="00DF395E" w:rsidRPr="00633176" w:rsidRDefault="00DF395E" w:rsidP="00DF395E">
      <w:pPr>
        <w:adjustRightInd w:val="0"/>
        <w:rPr>
          <w:sz w:val="24"/>
          <w:szCs w:val="24"/>
          <w:lang w:eastAsia="ru-RU"/>
        </w:rPr>
      </w:pPr>
      <w:r w:rsidRPr="0082751A">
        <w:rPr>
          <w:b/>
          <w:sz w:val="24"/>
          <w:szCs w:val="24"/>
          <w:lang w:eastAsia="ru-RU"/>
        </w:rPr>
        <w:t>Направление</w:t>
      </w:r>
      <w:r w:rsidRPr="00D1326D">
        <w:rPr>
          <w:b/>
          <w:sz w:val="24"/>
          <w:szCs w:val="24"/>
          <w:lang w:eastAsia="ru-RU"/>
        </w:rPr>
        <w:t xml:space="preserve"> </w:t>
      </w:r>
      <w:r w:rsidRPr="0082751A">
        <w:rPr>
          <w:b/>
          <w:sz w:val="24"/>
          <w:szCs w:val="24"/>
          <w:lang w:eastAsia="ru-RU"/>
        </w:rPr>
        <w:t>подготовки /специальность:</w:t>
      </w:r>
      <w:r w:rsidRPr="002507ED">
        <w:rPr>
          <w:sz w:val="24"/>
          <w:szCs w:val="24"/>
          <w:lang w:eastAsia="ru-RU"/>
        </w:rPr>
        <w:t xml:space="preserve"> </w:t>
      </w:r>
      <w:r w:rsidRPr="00395F2F">
        <w:rPr>
          <w:b/>
          <w:sz w:val="24"/>
          <w:szCs w:val="24"/>
          <w:lang w:eastAsia="ru-RU"/>
        </w:rPr>
        <w:t>40.03.01 Юриспруденция</w:t>
      </w:r>
      <w:r w:rsidRPr="00633176">
        <w:rPr>
          <w:color w:val="FFFFFF"/>
          <w:sz w:val="24"/>
          <w:szCs w:val="24"/>
          <w:lang w:eastAsia="ru-RU"/>
        </w:rPr>
        <w:t>.</w:t>
      </w:r>
    </w:p>
    <w:p w14:paraId="227B8035" w14:textId="77777777" w:rsidR="00DF395E" w:rsidRPr="00633176" w:rsidRDefault="00DF395E" w:rsidP="00DF395E">
      <w:pPr>
        <w:adjustRightInd w:val="0"/>
        <w:rPr>
          <w:sz w:val="24"/>
          <w:szCs w:val="24"/>
          <w:lang w:eastAsia="ru-RU"/>
        </w:rPr>
      </w:pPr>
      <w:r w:rsidRPr="00633176">
        <w:rPr>
          <w:b/>
          <w:sz w:val="24"/>
          <w:szCs w:val="24"/>
          <w:lang w:eastAsia="ru-RU"/>
        </w:rPr>
        <w:t>Профиль/специализация:</w:t>
      </w:r>
      <w:r w:rsidR="006969E5" w:rsidRPr="006969E5">
        <w:t xml:space="preserve"> </w:t>
      </w:r>
      <w:r w:rsidR="002F67D3">
        <w:rPr>
          <w:b/>
          <w:sz w:val="24"/>
          <w:szCs w:val="24"/>
          <w:lang w:eastAsia="ru-RU"/>
        </w:rPr>
        <w:t>У</w:t>
      </w:r>
      <w:r w:rsidR="002F67D3" w:rsidRPr="002F67D3">
        <w:rPr>
          <w:b/>
          <w:sz w:val="24"/>
          <w:szCs w:val="24"/>
          <w:lang w:eastAsia="ru-RU"/>
        </w:rPr>
        <w:t>головно</w:t>
      </w:r>
      <w:r w:rsidR="006969E5" w:rsidRPr="006969E5">
        <w:rPr>
          <w:b/>
          <w:sz w:val="24"/>
          <w:szCs w:val="24"/>
          <w:lang w:eastAsia="ru-RU"/>
        </w:rPr>
        <w:t>-правовой</w:t>
      </w:r>
      <w:r w:rsidR="006969E5">
        <w:rPr>
          <w:sz w:val="24"/>
          <w:szCs w:val="24"/>
          <w:lang w:eastAsia="ru-RU"/>
        </w:rPr>
        <w:t xml:space="preserve"> </w:t>
      </w:r>
    </w:p>
    <w:p w14:paraId="76F23164" w14:textId="77777777" w:rsidR="00DF395E" w:rsidRPr="002507ED" w:rsidRDefault="00DF395E" w:rsidP="00DF395E">
      <w:pPr>
        <w:adjustRightInd w:val="0"/>
        <w:rPr>
          <w:sz w:val="24"/>
          <w:szCs w:val="24"/>
          <w:u w:val="single"/>
          <w:lang w:eastAsia="ru-RU"/>
        </w:rPr>
      </w:pPr>
      <w:r w:rsidRPr="0082751A">
        <w:rPr>
          <w:b/>
          <w:sz w:val="24"/>
          <w:szCs w:val="24"/>
          <w:lang w:eastAsia="ru-RU"/>
        </w:rPr>
        <w:t>Форма обучения</w:t>
      </w:r>
      <w:r w:rsidRPr="00633176">
        <w:rPr>
          <w:b/>
          <w:sz w:val="24"/>
          <w:szCs w:val="24"/>
          <w:lang w:eastAsia="ru-RU"/>
        </w:rPr>
        <w:t>:</w:t>
      </w:r>
      <w:r w:rsidR="006969E5">
        <w:rPr>
          <w:sz w:val="24"/>
          <w:szCs w:val="24"/>
          <w:lang w:eastAsia="ru-RU"/>
        </w:rPr>
        <w:t xml:space="preserve"> __________________________________________</w:t>
      </w:r>
    </w:p>
    <w:p w14:paraId="445DB5C0" w14:textId="77777777" w:rsidR="00DF395E" w:rsidRDefault="00DF395E" w:rsidP="00DF395E">
      <w:pPr>
        <w:adjustRightInd w:val="0"/>
        <w:jc w:val="center"/>
        <w:rPr>
          <w:b/>
          <w:sz w:val="28"/>
          <w:szCs w:val="28"/>
          <w:lang w:eastAsia="ru-RU"/>
        </w:rPr>
      </w:pPr>
    </w:p>
    <w:p w14:paraId="5A125A4B" w14:textId="77777777" w:rsidR="00DF395E" w:rsidRPr="002507ED" w:rsidRDefault="00DF395E" w:rsidP="00DF395E">
      <w:pPr>
        <w:adjustRightInd w:val="0"/>
        <w:jc w:val="center"/>
        <w:rPr>
          <w:b/>
          <w:sz w:val="28"/>
          <w:szCs w:val="28"/>
          <w:lang w:eastAsia="ru-RU"/>
        </w:rPr>
      </w:pPr>
    </w:p>
    <w:p w14:paraId="0D1EDD65" w14:textId="77777777" w:rsidR="00DF395E" w:rsidRPr="009E05BA" w:rsidRDefault="00DF395E" w:rsidP="00DF395E">
      <w:pPr>
        <w:ind w:right="282"/>
        <w:jc w:val="center"/>
        <w:rPr>
          <w:b/>
          <w:caps/>
          <w:sz w:val="24"/>
          <w:szCs w:val="24"/>
        </w:rPr>
      </w:pPr>
      <w:r w:rsidRPr="009E05BA">
        <w:rPr>
          <w:b/>
          <w:caps/>
          <w:sz w:val="24"/>
          <w:szCs w:val="24"/>
        </w:rPr>
        <w:t xml:space="preserve">Отчет </w:t>
      </w:r>
    </w:p>
    <w:p w14:paraId="74201F9D" w14:textId="77777777" w:rsidR="00DF395E" w:rsidRPr="009E05BA" w:rsidRDefault="00DF395E" w:rsidP="00DF395E">
      <w:pPr>
        <w:ind w:right="282"/>
        <w:jc w:val="center"/>
        <w:rPr>
          <w:b/>
          <w:sz w:val="24"/>
          <w:szCs w:val="24"/>
        </w:rPr>
      </w:pPr>
    </w:p>
    <w:p w14:paraId="0F69C585" w14:textId="77777777" w:rsidR="00DF395E" w:rsidRPr="009E05BA" w:rsidRDefault="00DF395E" w:rsidP="00DF395E">
      <w:pPr>
        <w:ind w:right="282"/>
        <w:jc w:val="center"/>
        <w:rPr>
          <w:b/>
          <w:sz w:val="24"/>
          <w:szCs w:val="24"/>
        </w:rPr>
      </w:pPr>
      <w:r w:rsidRPr="009E05BA">
        <w:rPr>
          <w:b/>
          <w:sz w:val="24"/>
          <w:szCs w:val="24"/>
        </w:rPr>
        <w:t>По производственной практике</w:t>
      </w:r>
    </w:p>
    <w:p w14:paraId="67CB3FFA" w14:textId="77777777" w:rsidR="00DF395E" w:rsidRPr="009E05BA" w:rsidRDefault="00DF395E" w:rsidP="00DF395E">
      <w:pPr>
        <w:ind w:right="282"/>
        <w:jc w:val="center"/>
        <w:rPr>
          <w:sz w:val="24"/>
          <w:szCs w:val="24"/>
          <w:vertAlign w:val="superscript"/>
        </w:rPr>
      </w:pPr>
      <w:r w:rsidRPr="009E05BA">
        <w:rPr>
          <w:sz w:val="24"/>
          <w:szCs w:val="24"/>
          <w:vertAlign w:val="superscript"/>
        </w:rPr>
        <w:t xml:space="preserve">(вид практики) </w:t>
      </w:r>
    </w:p>
    <w:p w14:paraId="7B6250A7" w14:textId="77777777" w:rsidR="00DF395E" w:rsidRPr="009E05BA" w:rsidRDefault="00200C00" w:rsidP="00DF395E">
      <w:pPr>
        <w:ind w:right="282"/>
        <w:jc w:val="center"/>
        <w:rPr>
          <w:b/>
          <w:sz w:val="24"/>
          <w:szCs w:val="24"/>
        </w:rPr>
      </w:pPr>
      <w:r>
        <w:rPr>
          <w:b/>
          <w:sz w:val="24"/>
          <w:szCs w:val="24"/>
        </w:rPr>
        <w:t>правоприменительная</w:t>
      </w:r>
    </w:p>
    <w:p w14:paraId="05BD1A05" w14:textId="77777777" w:rsidR="00DF395E" w:rsidRPr="009E05BA" w:rsidRDefault="00DF395E" w:rsidP="00DF395E">
      <w:pPr>
        <w:ind w:right="282"/>
        <w:jc w:val="center"/>
        <w:rPr>
          <w:sz w:val="24"/>
          <w:szCs w:val="24"/>
          <w:vertAlign w:val="superscript"/>
        </w:rPr>
      </w:pPr>
      <w:r w:rsidRPr="009E05BA">
        <w:rPr>
          <w:sz w:val="24"/>
          <w:szCs w:val="24"/>
          <w:vertAlign w:val="superscript"/>
        </w:rPr>
        <w:t xml:space="preserve">(тип практики) </w:t>
      </w:r>
    </w:p>
    <w:p w14:paraId="429BF554" w14:textId="77777777" w:rsidR="00DF395E" w:rsidRPr="009E05BA" w:rsidRDefault="00DF395E" w:rsidP="00DF395E">
      <w:pPr>
        <w:ind w:right="282"/>
        <w:jc w:val="center"/>
        <w:rPr>
          <w:b/>
          <w:sz w:val="24"/>
          <w:szCs w:val="24"/>
        </w:rPr>
      </w:pPr>
      <w:r w:rsidRPr="009E05BA">
        <w:rPr>
          <w:b/>
          <w:sz w:val="24"/>
          <w:szCs w:val="24"/>
        </w:rPr>
        <w:t>___________________________________________________</w:t>
      </w:r>
    </w:p>
    <w:p w14:paraId="741F643D" w14:textId="77777777" w:rsidR="00DF395E" w:rsidRPr="009E05BA" w:rsidRDefault="00DF395E" w:rsidP="00DF395E">
      <w:pPr>
        <w:ind w:right="282"/>
        <w:jc w:val="center"/>
        <w:rPr>
          <w:sz w:val="24"/>
          <w:szCs w:val="24"/>
          <w:vertAlign w:val="superscript"/>
        </w:rPr>
      </w:pPr>
      <w:r w:rsidRPr="009E05BA">
        <w:rPr>
          <w:sz w:val="24"/>
          <w:szCs w:val="24"/>
          <w:vertAlign w:val="superscript"/>
        </w:rPr>
        <w:t xml:space="preserve">(семестр) </w:t>
      </w:r>
    </w:p>
    <w:p w14:paraId="7355785C" w14:textId="77777777" w:rsidR="00DF395E" w:rsidRDefault="00DF395E" w:rsidP="00DF395E">
      <w:pPr>
        <w:adjustRightInd w:val="0"/>
        <w:jc w:val="center"/>
        <w:rPr>
          <w:sz w:val="20"/>
          <w:szCs w:val="20"/>
          <w:lang w:eastAsia="ru-RU"/>
        </w:rPr>
      </w:pPr>
    </w:p>
    <w:p w14:paraId="30F75988" w14:textId="77777777" w:rsidR="00DF395E" w:rsidRDefault="00DF395E" w:rsidP="00DF395E">
      <w:pPr>
        <w:adjustRightInd w:val="0"/>
        <w:jc w:val="center"/>
        <w:rPr>
          <w:sz w:val="20"/>
          <w:szCs w:val="20"/>
          <w:lang w:eastAsia="ru-RU"/>
        </w:rPr>
      </w:pPr>
    </w:p>
    <w:p w14:paraId="1C3296D7" w14:textId="77777777" w:rsidR="00DF395E" w:rsidRDefault="00DF395E" w:rsidP="00DF395E">
      <w:pPr>
        <w:adjustRightInd w:val="0"/>
        <w:jc w:val="center"/>
        <w:rPr>
          <w:sz w:val="20"/>
          <w:szCs w:val="20"/>
          <w:lang w:eastAsia="ru-RU"/>
        </w:rPr>
      </w:pPr>
    </w:p>
    <w:p w14:paraId="5BD1872D" w14:textId="77777777" w:rsidR="00DF395E" w:rsidRPr="002507ED" w:rsidRDefault="00DF395E" w:rsidP="00DF395E">
      <w:pPr>
        <w:adjustRightInd w:val="0"/>
        <w:jc w:val="center"/>
        <w:rPr>
          <w:sz w:val="20"/>
          <w:szCs w:val="20"/>
          <w:lang w:eastAsia="ru-RU"/>
        </w:rPr>
      </w:pPr>
    </w:p>
    <w:tbl>
      <w:tblPr>
        <w:tblW w:w="5000" w:type="pct"/>
        <w:tblLook w:val="0000" w:firstRow="0" w:lastRow="0" w:firstColumn="0" w:lastColumn="0" w:noHBand="0" w:noVBand="0"/>
      </w:tblPr>
      <w:tblGrid>
        <w:gridCol w:w="3649"/>
        <w:gridCol w:w="3162"/>
        <w:gridCol w:w="799"/>
        <w:gridCol w:w="1745"/>
      </w:tblGrid>
      <w:tr w:rsidR="00DF395E" w:rsidRPr="009E05BA" w14:paraId="34F77546" w14:textId="77777777" w:rsidTr="00B715F8">
        <w:trPr>
          <w:trHeight w:val="629"/>
        </w:trPr>
        <w:tc>
          <w:tcPr>
            <w:tcW w:w="1601" w:type="pct"/>
            <w:tcBorders>
              <w:left w:val="nil"/>
              <w:bottom w:val="nil"/>
              <w:right w:val="nil"/>
            </w:tcBorders>
            <w:noWrap/>
            <w:vAlign w:val="bottom"/>
          </w:tcPr>
          <w:p w14:paraId="103BB7B8" w14:textId="77777777" w:rsidR="00DF395E" w:rsidRPr="009E05BA" w:rsidRDefault="00DF395E" w:rsidP="00B715F8">
            <w:pPr>
              <w:tabs>
                <w:tab w:val="left" w:pos="0"/>
              </w:tabs>
              <w:ind w:right="282"/>
              <w:rPr>
                <w:b/>
                <w:sz w:val="24"/>
                <w:szCs w:val="24"/>
              </w:rPr>
            </w:pPr>
          </w:p>
          <w:p w14:paraId="5E03D6AC" w14:textId="77777777" w:rsidR="00DF395E" w:rsidRPr="009E05BA" w:rsidRDefault="00DF395E" w:rsidP="00B715F8">
            <w:pPr>
              <w:tabs>
                <w:tab w:val="left" w:pos="0"/>
              </w:tabs>
              <w:ind w:right="282"/>
              <w:rPr>
                <w:b/>
                <w:sz w:val="24"/>
                <w:szCs w:val="24"/>
              </w:rPr>
            </w:pPr>
          </w:p>
          <w:p w14:paraId="544F739A" w14:textId="77777777" w:rsidR="00DF395E" w:rsidRPr="009E05BA" w:rsidRDefault="00DF395E" w:rsidP="00B715F8">
            <w:pPr>
              <w:tabs>
                <w:tab w:val="left" w:pos="0"/>
              </w:tabs>
              <w:ind w:right="282"/>
              <w:rPr>
                <w:b/>
                <w:sz w:val="24"/>
                <w:szCs w:val="24"/>
              </w:rPr>
            </w:pPr>
          </w:p>
          <w:p w14:paraId="0712C319" w14:textId="77777777" w:rsidR="00DF395E" w:rsidRPr="009E05BA" w:rsidRDefault="00DF395E" w:rsidP="00B715F8">
            <w:pPr>
              <w:tabs>
                <w:tab w:val="left" w:pos="0"/>
              </w:tabs>
              <w:ind w:right="282"/>
              <w:rPr>
                <w:b/>
                <w:sz w:val="24"/>
                <w:szCs w:val="24"/>
              </w:rPr>
            </w:pPr>
            <w:r w:rsidRPr="009E05BA">
              <w:rPr>
                <w:b/>
                <w:sz w:val="24"/>
                <w:szCs w:val="24"/>
              </w:rPr>
              <w:t>Обучающийся</w:t>
            </w:r>
          </w:p>
        </w:tc>
        <w:tc>
          <w:tcPr>
            <w:tcW w:w="1954" w:type="pct"/>
            <w:tcBorders>
              <w:left w:val="nil"/>
              <w:bottom w:val="single" w:sz="4" w:space="0" w:color="auto"/>
              <w:right w:val="nil"/>
            </w:tcBorders>
            <w:noWrap/>
            <w:vAlign w:val="bottom"/>
          </w:tcPr>
          <w:p w14:paraId="75D35BFD" w14:textId="77777777" w:rsidR="00DF395E" w:rsidRPr="009E05BA" w:rsidRDefault="00DF395E" w:rsidP="00B715F8">
            <w:pPr>
              <w:ind w:right="282"/>
              <w:rPr>
                <w:iCs/>
                <w:color w:val="000080"/>
                <w:sz w:val="24"/>
                <w:szCs w:val="24"/>
              </w:rPr>
            </w:pPr>
            <w:r w:rsidRPr="009E05BA">
              <w:rPr>
                <w:iCs/>
                <w:color w:val="000080"/>
                <w:sz w:val="24"/>
                <w:szCs w:val="24"/>
              </w:rPr>
              <w:t> </w:t>
            </w:r>
          </w:p>
        </w:tc>
        <w:tc>
          <w:tcPr>
            <w:tcW w:w="249" w:type="pct"/>
            <w:tcBorders>
              <w:left w:val="nil"/>
              <w:bottom w:val="nil"/>
              <w:right w:val="nil"/>
            </w:tcBorders>
            <w:noWrap/>
            <w:vAlign w:val="bottom"/>
          </w:tcPr>
          <w:p w14:paraId="487CE4CF" w14:textId="77777777" w:rsidR="00DF395E" w:rsidRPr="009E05BA" w:rsidRDefault="00DF395E" w:rsidP="00B715F8">
            <w:pPr>
              <w:ind w:right="282" w:firstLineChars="100" w:firstLine="240"/>
              <w:rPr>
                <w:iCs/>
                <w:color w:val="000080"/>
                <w:sz w:val="24"/>
                <w:szCs w:val="24"/>
              </w:rPr>
            </w:pPr>
            <w:r w:rsidRPr="009E05BA">
              <w:rPr>
                <w:iCs/>
                <w:color w:val="000080"/>
                <w:sz w:val="24"/>
                <w:szCs w:val="24"/>
              </w:rPr>
              <w:t> </w:t>
            </w:r>
          </w:p>
        </w:tc>
        <w:tc>
          <w:tcPr>
            <w:tcW w:w="1196" w:type="pct"/>
            <w:tcBorders>
              <w:left w:val="nil"/>
              <w:bottom w:val="single" w:sz="4" w:space="0" w:color="auto"/>
              <w:right w:val="nil"/>
            </w:tcBorders>
            <w:noWrap/>
            <w:vAlign w:val="bottom"/>
          </w:tcPr>
          <w:p w14:paraId="7A62A240" w14:textId="77777777" w:rsidR="00DF395E" w:rsidRPr="009E05BA" w:rsidRDefault="00DF395E" w:rsidP="00B715F8">
            <w:pPr>
              <w:ind w:right="282"/>
              <w:jc w:val="center"/>
              <w:rPr>
                <w:iCs/>
                <w:color w:val="000080"/>
                <w:sz w:val="24"/>
                <w:szCs w:val="24"/>
              </w:rPr>
            </w:pPr>
            <w:r w:rsidRPr="009E05BA">
              <w:rPr>
                <w:iCs/>
                <w:color w:val="000080"/>
                <w:sz w:val="24"/>
                <w:szCs w:val="24"/>
              </w:rPr>
              <w:t> </w:t>
            </w:r>
          </w:p>
        </w:tc>
      </w:tr>
      <w:tr w:rsidR="00DF395E" w:rsidRPr="009E05BA" w14:paraId="283D103C" w14:textId="77777777" w:rsidTr="00B715F8">
        <w:trPr>
          <w:trHeight w:val="195"/>
        </w:trPr>
        <w:tc>
          <w:tcPr>
            <w:tcW w:w="1601" w:type="pct"/>
            <w:tcBorders>
              <w:top w:val="nil"/>
              <w:left w:val="nil"/>
              <w:bottom w:val="nil"/>
              <w:right w:val="nil"/>
            </w:tcBorders>
            <w:noWrap/>
            <w:vAlign w:val="bottom"/>
          </w:tcPr>
          <w:p w14:paraId="145ADA5F" w14:textId="77777777" w:rsidR="00DF395E" w:rsidRPr="009E05BA" w:rsidRDefault="00DF395E" w:rsidP="00B715F8">
            <w:pPr>
              <w:ind w:right="282"/>
              <w:jc w:val="right"/>
              <w:rPr>
                <w:b/>
                <w:sz w:val="24"/>
                <w:szCs w:val="24"/>
              </w:rPr>
            </w:pPr>
          </w:p>
        </w:tc>
        <w:tc>
          <w:tcPr>
            <w:tcW w:w="1954" w:type="pct"/>
            <w:tcBorders>
              <w:top w:val="single" w:sz="4" w:space="0" w:color="auto"/>
              <w:left w:val="nil"/>
              <w:bottom w:val="nil"/>
              <w:right w:val="nil"/>
            </w:tcBorders>
            <w:noWrap/>
          </w:tcPr>
          <w:p w14:paraId="7C781D1D" w14:textId="77777777" w:rsidR="00DF395E" w:rsidRPr="009E05BA" w:rsidRDefault="00DF395E" w:rsidP="00B715F8">
            <w:pPr>
              <w:ind w:right="282"/>
              <w:jc w:val="center"/>
              <w:rPr>
                <w:iCs/>
                <w:sz w:val="24"/>
                <w:szCs w:val="24"/>
              </w:rPr>
            </w:pPr>
            <w:r w:rsidRPr="009E05BA">
              <w:rPr>
                <w:iCs/>
                <w:sz w:val="24"/>
                <w:szCs w:val="24"/>
              </w:rPr>
              <w:t>(ФИО)</w:t>
            </w:r>
          </w:p>
        </w:tc>
        <w:tc>
          <w:tcPr>
            <w:tcW w:w="249" w:type="pct"/>
            <w:tcBorders>
              <w:top w:val="nil"/>
              <w:left w:val="nil"/>
              <w:bottom w:val="nil"/>
              <w:right w:val="nil"/>
            </w:tcBorders>
            <w:noWrap/>
          </w:tcPr>
          <w:p w14:paraId="2701E0FD" w14:textId="77777777" w:rsidR="00DF395E" w:rsidRPr="009E05BA" w:rsidRDefault="00DF395E" w:rsidP="00B715F8">
            <w:pPr>
              <w:ind w:right="282"/>
              <w:jc w:val="center"/>
              <w:rPr>
                <w:iCs/>
                <w:sz w:val="24"/>
                <w:szCs w:val="24"/>
              </w:rPr>
            </w:pPr>
          </w:p>
        </w:tc>
        <w:tc>
          <w:tcPr>
            <w:tcW w:w="1196" w:type="pct"/>
            <w:tcBorders>
              <w:top w:val="single" w:sz="4" w:space="0" w:color="auto"/>
              <w:left w:val="nil"/>
              <w:bottom w:val="nil"/>
              <w:right w:val="nil"/>
            </w:tcBorders>
            <w:noWrap/>
            <w:vAlign w:val="bottom"/>
          </w:tcPr>
          <w:p w14:paraId="0E2122B4" w14:textId="77777777" w:rsidR="00DF395E" w:rsidRPr="009E05BA" w:rsidRDefault="00DF395E" w:rsidP="00B715F8">
            <w:pPr>
              <w:ind w:right="282"/>
              <w:jc w:val="center"/>
              <w:rPr>
                <w:iCs/>
                <w:sz w:val="24"/>
                <w:szCs w:val="24"/>
              </w:rPr>
            </w:pPr>
            <w:r w:rsidRPr="009E05BA">
              <w:rPr>
                <w:iCs/>
                <w:sz w:val="24"/>
                <w:szCs w:val="24"/>
              </w:rPr>
              <w:t>(подпись)</w:t>
            </w:r>
          </w:p>
        </w:tc>
      </w:tr>
      <w:tr w:rsidR="00DF395E" w:rsidRPr="009E05BA" w14:paraId="41D4E73C" w14:textId="77777777" w:rsidTr="00B715F8">
        <w:trPr>
          <w:trHeight w:val="765"/>
        </w:trPr>
        <w:tc>
          <w:tcPr>
            <w:tcW w:w="1601" w:type="pct"/>
            <w:tcBorders>
              <w:top w:val="nil"/>
              <w:left w:val="nil"/>
              <w:bottom w:val="nil"/>
              <w:right w:val="nil"/>
            </w:tcBorders>
            <w:noWrap/>
            <w:vAlign w:val="bottom"/>
          </w:tcPr>
          <w:p w14:paraId="49A49427" w14:textId="77777777" w:rsidR="00DF395E" w:rsidRPr="009E05BA" w:rsidRDefault="00DF395E" w:rsidP="00B715F8">
            <w:pPr>
              <w:ind w:right="282"/>
              <w:rPr>
                <w:b/>
                <w:sz w:val="24"/>
                <w:szCs w:val="24"/>
              </w:rPr>
            </w:pPr>
            <w:r w:rsidRPr="009E05BA">
              <w:rPr>
                <w:b/>
                <w:sz w:val="24"/>
                <w:szCs w:val="24"/>
              </w:rPr>
              <w:t xml:space="preserve">Руководитель практики </w:t>
            </w:r>
          </w:p>
          <w:p w14:paraId="49D48B83" w14:textId="77777777" w:rsidR="00DF395E" w:rsidRPr="009E05BA" w:rsidRDefault="00DF395E" w:rsidP="00B715F8">
            <w:pPr>
              <w:ind w:right="282"/>
              <w:rPr>
                <w:b/>
                <w:sz w:val="24"/>
                <w:szCs w:val="24"/>
              </w:rPr>
            </w:pPr>
            <w:r w:rsidRPr="009E05BA">
              <w:rPr>
                <w:b/>
                <w:sz w:val="24"/>
                <w:szCs w:val="24"/>
              </w:rPr>
              <w:t>от Академии</w:t>
            </w:r>
          </w:p>
        </w:tc>
        <w:tc>
          <w:tcPr>
            <w:tcW w:w="1954" w:type="pct"/>
            <w:tcBorders>
              <w:top w:val="nil"/>
              <w:left w:val="nil"/>
              <w:bottom w:val="single" w:sz="4" w:space="0" w:color="auto"/>
              <w:right w:val="nil"/>
            </w:tcBorders>
            <w:noWrap/>
            <w:vAlign w:val="bottom"/>
          </w:tcPr>
          <w:p w14:paraId="79F8F747" w14:textId="77777777" w:rsidR="00DF395E" w:rsidRPr="009E05BA" w:rsidRDefault="00DF395E" w:rsidP="00B715F8">
            <w:pPr>
              <w:ind w:right="282" w:firstLineChars="100" w:firstLine="240"/>
              <w:jc w:val="center"/>
              <w:rPr>
                <w:iCs/>
                <w:color w:val="000080"/>
                <w:sz w:val="24"/>
                <w:szCs w:val="24"/>
              </w:rPr>
            </w:pPr>
          </w:p>
        </w:tc>
        <w:tc>
          <w:tcPr>
            <w:tcW w:w="249" w:type="pct"/>
            <w:tcBorders>
              <w:top w:val="nil"/>
              <w:left w:val="nil"/>
              <w:bottom w:val="nil"/>
              <w:right w:val="nil"/>
            </w:tcBorders>
            <w:noWrap/>
            <w:vAlign w:val="bottom"/>
          </w:tcPr>
          <w:p w14:paraId="5F336510" w14:textId="77777777" w:rsidR="00DF395E" w:rsidRPr="009E05BA" w:rsidRDefault="00DF395E" w:rsidP="00B715F8">
            <w:pPr>
              <w:ind w:right="282" w:firstLineChars="100" w:firstLine="240"/>
              <w:rPr>
                <w:iCs/>
                <w:color w:val="000080"/>
                <w:sz w:val="24"/>
                <w:szCs w:val="24"/>
              </w:rPr>
            </w:pPr>
          </w:p>
        </w:tc>
        <w:tc>
          <w:tcPr>
            <w:tcW w:w="1196" w:type="pct"/>
            <w:tcBorders>
              <w:top w:val="nil"/>
              <w:left w:val="nil"/>
              <w:bottom w:val="single" w:sz="4" w:space="0" w:color="auto"/>
              <w:right w:val="nil"/>
            </w:tcBorders>
            <w:noWrap/>
            <w:vAlign w:val="bottom"/>
          </w:tcPr>
          <w:p w14:paraId="51B903D5" w14:textId="77777777" w:rsidR="00DF395E" w:rsidRPr="009E05BA" w:rsidRDefault="00DF395E" w:rsidP="00B715F8">
            <w:pPr>
              <w:ind w:right="282"/>
              <w:jc w:val="center"/>
              <w:rPr>
                <w:iCs/>
                <w:color w:val="000080"/>
                <w:sz w:val="24"/>
                <w:szCs w:val="24"/>
              </w:rPr>
            </w:pPr>
            <w:r w:rsidRPr="009E05BA">
              <w:rPr>
                <w:iCs/>
                <w:color w:val="000080"/>
                <w:sz w:val="24"/>
                <w:szCs w:val="24"/>
              </w:rPr>
              <w:t> </w:t>
            </w:r>
          </w:p>
        </w:tc>
      </w:tr>
      <w:tr w:rsidR="00DF395E" w:rsidRPr="009E05BA" w14:paraId="42922029" w14:textId="77777777" w:rsidTr="00B715F8">
        <w:trPr>
          <w:trHeight w:val="210"/>
        </w:trPr>
        <w:tc>
          <w:tcPr>
            <w:tcW w:w="1601" w:type="pct"/>
            <w:tcBorders>
              <w:top w:val="nil"/>
              <w:left w:val="nil"/>
              <w:bottom w:val="nil"/>
              <w:right w:val="nil"/>
            </w:tcBorders>
            <w:noWrap/>
            <w:vAlign w:val="bottom"/>
          </w:tcPr>
          <w:p w14:paraId="1FB7AF02" w14:textId="77777777" w:rsidR="00DF395E" w:rsidRPr="009E05BA" w:rsidRDefault="00DF395E" w:rsidP="00B715F8">
            <w:pPr>
              <w:ind w:right="282"/>
              <w:jc w:val="right"/>
              <w:rPr>
                <w:sz w:val="24"/>
                <w:szCs w:val="24"/>
              </w:rPr>
            </w:pPr>
          </w:p>
        </w:tc>
        <w:tc>
          <w:tcPr>
            <w:tcW w:w="1954" w:type="pct"/>
            <w:tcBorders>
              <w:top w:val="single" w:sz="4" w:space="0" w:color="auto"/>
              <w:left w:val="nil"/>
              <w:bottom w:val="nil"/>
              <w:right w:val="nil"/>
            </w:tcBorders>
            <w:noWrap/>
          </w:tcPr>
          <w:p w14:paraId="64C19AC5" w14:textId="77777777" w:rsidR="00DF395E" w:rsidRPr="009E05BA" w:rsidRDefault="00DF395E" w:rsidP="00B715F8">
            <w:pPr>
              <w:ind w:right="282"/>
              <w:jc w:val="center"/>
              <w:rPr>
                <w:iCs/>
                <w:sz w:val="24"/>
                <w:szCs w:val="24"/>
              </w:rPr>
            </w:pPr>
            <w:r w:rsidRPr="009E05BA">
              <w:rPr>
                <w:iCs/>
                <w:sz w:val="24"/>
                <w:szCs w:val="24"/>
              </w:rPr>
              <w:t>(ФИО)</w:t>
            </w:r>
          </w:p>
        </w:tc>
        <w:tc>
          <w:tcPr>
            <w:tcW w:w="249" w:type="pct"/>
            <w:tcBorders>
              <w:top w:val="nil"/>
              <w:left w:val="nil"/>
              <w:bottom w:val="nil"/>
              <w:right w:val="nil"/>
            </w:tcBorders>
            <w:noWrap/>
          </w:tcPr>
          <w:p w14:paraId="725B567F" w14:textId="77777777" w:rsidR="00DF395E" w:rsidRPr="009E05BA" w:rsidRDefault="00DF395E" w:rsidP="00B715F8">
            <w:pPr>
              <w:ind w:right="282"/>
              <w:jc w:val="center"/>
              <w:rPr>
                <w:iCs/>
                <w:sz w:val="24"/>
                <w:szCs w:val="24"/>
              </w:rPr>
            </w:pPr>
          </w:p>
        </w:tc>
        <w:tc>
          <w:tcPr>
            <w:tcW w:w="1196" w:type="pct"/>
            <w:tcBorders>
              <w:top w:val="single" w:sz="4" w:space="0" w:color="auto"/>
              <w:left w:val="nil"/>
              <w:bottom w:val="nil"/>
              <w:right w:val="nil"/>
            </w:tcBorders>
            <w:noWrap/>
            <w:vAlign w:val="bottom"/>
          </w:tcPr>
          <w:p w14:paraId="35124BA9" w14:textId="77777777" w:rsidR="00DF395E" w:rsidRPr="009E05BA" w:rsidRDefault="00DF395E" w:rsidP="00B715F8">
            <w:pPr>
              <w:ind w:right="282"/>
              <w:jc w:val="center"/>
              <w:rPr>
                <w:iCs/>
                <w:sz w:val="24"/>
                <w:szCs w:val="24"/>
              </w:rPr>
            </w:pPr>
            <w:r w:rsidRPr="009E05BA">
              <w:rPr>
                <w:iCs/>
                <w:sz w:val="24"/>
                <w:szCs w:val="24"/>
              </w:rPr>
              <w:t>(подпись)</w:t>
            </w:r>
          </w:p>
          <w:p w14:paraId="19ED603F" w14:textId="77777777" w:rsidR="00DF395E" w:rsidRPr="009E05BA" w:rsidRDefault="00DF395E" w:rsidP="00B715F8">
            <w:pPr>
              <w:ind w:right="282"/>
              <w:jc w:val="center"/>
              <w:rPr>
                <w:iCs/>
                <w:sz w:val="24"/>
                <w:szCs w:val="24"/>
              </w:rPr>
            </w:pPr>
          </w:p>
        </w:tc>
      </w:tr>
      <w:tr w:rsidR="00DF395E" w:rsidRPr="009E05BA" w14:paraId="0F0A3E60" w14:textId="77777777" w:rsidTr="00B715F8">
        <w:trPr>
          <w:trHeight w:val="629"/>
        </w:trPr>
        <w:tc>
          <w:tcPr>
            <w:tcW w:w="1601" w:type="pct"/>
            <w:tcBorders>
              <w:left w:val="nil"/>
              <w:bottom w:val="nil"/>
              <w:right w:val="nil"/>
            </w:tcBorders>
            <w:noWrap/>
            <w:vAlign w:val="bottom"/>
          </w:tcPr>
          <w:p w14:paraId="7AE8A579" w14:textId="77777777" w:rsidR="00DF395E" w:rsidRPr="009E05BA" w:rsidRDefault="00DF395E" w:rsidP="00B715F8">
            <w:pPr>
              <w:tabs>
                <w:tab w:val="left" w:pos="0"/>
              </w:tabs>
              <w:ind w:right="282"/>
              <w:rPr>
                <w:b/>
                <w:sz w:val="24"/>
                <w:szCs w:val="24"/>
              </w:rPr>
            </w:pPr>
            <w:r w:rsidRPr="009E05BA">
              <w:rPr>
                <w:b/>
                <w:sz w:val="24"/>
                <w:szCs w:val="24"/>
              </w:rPr>
              <w:t xml:space="preserve">Ответственное лицо </w:t>
            </w:r>
          </w:p>
          <w:p w14:paraId="4A211854" w14:textId="77777777" w:rsidR="00DF395E" w:rsidRPr="009E05BA" w:rsidRDefault="00DF395E" w:rsidP="00B715F8">
            <w:pPr>
              <w:tabs>
                <w:tab w:val="left" w:pos="0"/>
              </w:tabs>
              <w:ind w:right="282"/>
              <w:rPr>
                <w:b/>
                <w:sz w:val="24"/>
                <w:szCs w:val="24"/>
              </w:rPr>
            </w:pPr>
            <w:r w:rsidRPr="009E05BA">
              <w:rPr>
                <w:b/>
                <w:sz w:val="24"/>
                <w:szCs w:val="24"/>
              </w:rPr>
              <w:t>от Профильной организации</w:t>
            </w:r>
          </w:p>
        </w:tc>
        <w:tc>
          <w:tcPr>
            <w:tcW w:w="1954" w:type="pct"/>
            <w:tcBorders>
              <w:left w:val="nil"/>
              <w:bottom w:val="single" w:sz="4" w:space="0" w:color="auto"/>
              <w:right w:val="nil"/>
            </w:tcBorders>
            <w:noWrap/>
            <w:vAlign w:val="bottom"/>
          </w:tcPr>
          <w:p w14:paraId="72AF34A4" w14:textId="77777777" w:rsidR="00DF395E" w:rsidRPr="009E05BA" w:rsidRDefault="00DF395E" w:rsidP="00B715F8">
            <w:pPr>
              <w:ind w:right="282"/>
              <w:rPr>
                <w:iCs/>
                <w:color w:val="000080"/>
                <w:sz w:val="24"/>
                <w:szCs w:val="24"/>
              </w:rPr>
            </w:pPr>
            <w:r w:rsidRPr="009E05BA">
              <w:rPr>
                <w:iCs/>
                <w:color w:val="000080"/>
                <w:sz w:val="24"/>
                <w:szCs w:val="24"/>
              </w:rPr>
              <w:t> </w:t>
            </w:r>
          </w:p>
        </w:tc>
        <w:tc>
          <w:tcPr>
            <w:tcW w:w="249" w:type="pct"/>
            <w:tcBorders>
              <w:left w:val="nil"/>
              <w:bottom w:val="nil"/>
              <w:right w:val="nil"/>
            </w:tcBorders>
            <w:noWrap/>
            <w:vAlign w:val="bottom"/>
          </w:tcPr>
          <w:p w14:paraId="46836785" w14:textId="77777777" w:rsidR="00DF395E" w:rsidRPr="009E05BA" w:rsidRDefault="00DF395E" w:rsidP="00B715F8">
            <w:pPr>
              <w:ind w:right="282" w:firstLineChars="100" w:firstLine="240"/>
              <w:rPr>
                <w:iCs/>
                <w:color w:val="000080"/>
                <w:sz w:val="24"/>
                <w:szCs w:val="24"/>
              </w:rPr>
            </w:pPr>
            <w:r w:rsidRPr="009E05BA">
              <w:rPr>
                <w:iCs/>
                <w:color w:val="000080"/>
                <w:sz w:val="24"/>
                <w:szCs w:val="24"/>
              </w:rPr>
              <w:t> </w:t>
            </w:r>
          </w:p>
        </w:tc>
        <w:tc>
          <w:tcPr>
            <w:tcW w:w="1196" w:type="pct"/>
            <w:tcBorders>
              <w:left w:val="nil"/>
              <w:bottom w:val="single" w:sz="4" w:space="0" w:color="auto"/>
              <w:right w:val="nil"/>
            </w:tcBorders>
            <w:noWrap/>
            <w:vAlign w:val="bottom"/>
          </w:tcPr>
          <w:p w14:paraId="3A27418B" w14:textId="77777777" w:rsidR="00DF395E" w:rsidRPr="009E05BA" w:rsidRDefault="00DF395E" w:rsidP="00B715F8">
            <w:pPr>
              <w:ind w:right="282"/>
              <w:jc w:val="center"/>
              <w:rPr>
                <w:iCs/>
                <w:color w:val="000080"/>
                <w:sz w:val="24"/>
                <w:szCs w:val="24"/>
              </w:rPr>
            </w:pPr>
            <w:r w:rsidRPr="009E05BA">
              <w:rPr>
                <w:iCs/>
                <w:color w:val="000080"/>
                <w:sz w:val="24"/>
                <w:szCs w:val="24"/>
              </w:rPr>
              <w:t> </w:t>
            </w:r>
          </w:p>
        </w:tc>
      </w:tr>
      <w:tr w:rsidR="00DF395E" w:rsidRPr="009E05BA" w14:paraId="768FA4CE" w14:textId="77777777" w:rsidTr="00B715F8">
        <w:trPr>
          <w:trHeight w:val="195"/>
        </w:trPr>
        <w:tc>
          <w:tcPr>
            <w:tcW w:w="1601" w:type="pct"/>
            <w:tcBorders>
              <w:top w:val="nil"/>
              <w:left w:val="nil"/>
              <w:bottom w:val="nil"/>
              <w:right w:val="nil"/>
            </w:tcBorders>
            <w:noWrap/>
            <w:vAlign w:val="bottom"/>
          </w:tcPr>
          <w:p w14:paraId="1707AA4A" w14:textId="77777777" w:rsidR="00DF395E" w:rsidRPr="009E05BA" w:rsidRDefault="00DF395E" w:rsidP="00B715F8">
            <w:pPr>
              <w:ind w:right="282"/>
              <w:rPr>
                <w:sz w:val="24"/>
                <w:szCs w:val="24"/>
              </w:rPr>
            </w:pPr>
            <w:r w:rsidRPr="009E05BA">
              <w:rPr>
                <w:sz w:val="24"/>
                <w:szCs w:val="24"/>
              </w:rPr>
              <w:t>М.П. (при наличии)</w:t>
            </w:r>
          </w:p>
        </w:tc>
        <w:tc>
          <w:tcPr>
            <w:tcW w:w="1954" w:type="pct"/>
            <w:tcBorders>
              <w:top w:val="single" w:sz="4" w:space="0" w:color="auto"/>
              <w:left w:val="nil"/>
              <w:bottom w:val="nil"/>
              <w:right w:val="nil"/>
            </w:tcBorders>
            <w:noWrap/>
          </w:tcPr>
          <w:p w14:paraId="1C1CA251" w14:textId="77777777" w:rsidR="00DF395E" w:rsidRPr="009E05BA" w:rsidRDefault="00DF395E" w:rsidP="00B715F8">
            <w:pPr>
              <w:ind w:right="282"/>
              <w:jc w:val="center"/>
              <w:rPr>
                <w:iCs/>
                <w:sz w:val="24"/>
                <w:szCs w:val="24"/>
              </w:rPr>
            </w:pPr>
            <w:r w:rsidRPr="009E05BA">
              <w:rPr>
                <w:iCs/>
                <w:sz w:val="24"/>
                <w:szCs w:val="24"/>
              </w:rPr>
              <w:t>(ФИО)</w:t>
            </w:r>
          </w:p>
        </w:tc>
        <w:tc>
          <w:tcPr>
            <w:tcW w:w="249" w:type="pct"/>
            <w:tcBorders>
              <w:top w:val="nil"/>
              <w:left w:val="nil"/>
              <w:bottom w:val="nil"/>
              <w:right w:val="nil"/>
            </w:tcBorders>
            <w:noWrap/>
          </w:tcPr>
          <w:p w14:paraId="118BB134" w14:textId="77777777" w:rsidR="00DF395E" w:rsidRPr="009E05BA" w:rsidRDefault="00DF395E" w:rsidP="00B715F8">
            <w:pPr>
              <w:ind w:right="282"/>
              <w:jc w:val="center"/>
              <w:rPr>
                <w:iCs/>
                <w:sz w:val="24"/>
                <w:szCs w:val="24"/>
              </w:rPr>
            </w:pPr>
          </w:p>
        </w:tc>
        <w:tc>
          <w:tcPr>
            <w:tcW w:w="1196" w:type="pct"/>
            <w:tcBorders>
              <w:top w:val="single" w:sz="4" w:space="0" w:color="auto"/>
              <w:left w:val="nil"/>
              <w:bottom w:val="nil"/>
              <w:right w:val="nil"/>
            </w:tcBorders>
            <w:noWrap/>
            <w:vAlign w:val="bottom"/>
          </w:tcPr>
          <w:p w14:paraId="3719DF13" w14:textId="77777777" w:rsidR="00DF395E" w:rsidRPr="009E05BA" w:rsidRDefault="00DF395E" w:rsidP="00B715F8">
            <w:pPr>
              <w:ind w:right="282"/>
              <w:jc w:val="center"/>
              <w:rPr>
                <w:iCs/>
                <w:sz w:val="24"/>
                <w:szCs w:val="24"/>
              </w:rPr>
            </w:pPr>
            <w:r w:rsidRPr="009E05BA">
              <w:rPr>
                <w:iCs/>
                <w:sz w:val="24"/>
                <w:szCs w:val="24"/>
              </w:rPr>
              <w:t>(подпись)</w:t>
            </w:r>
          </w:p>
        </w:tc>
      </w:tr>
    </w:tbl>
    <w:p w14:paraId="7FB268EB" w14:textId="77777777" w:rsidR="00DF395E" w:rsidRPr="009E05BA" w:rsidRDefault="00DF395E" w:rsidP="00DF395E">
      <w:pPr>
        <w:ind w:right="282"/>
        <w:jc w:val="center"/>
        <w:rPr>
          <w:b/>
          <w:sz w:val="24"/>
          <w:szCs w:val="24"/>
        </w:rPr>
      </w:pPr>
    </w:p>
    <w:p w14:paraId="7A7009C3" w14:textId="77777777" w:rsidR="00DF395E" w:rsidRDefault="00DF395E" w:rsidP="00DF395E">
      <w:pPr>
        <w:ind w:right="282"/>
        <w:jc w:val="center"/>
        <w:rPr>
          <w:b/>
          <w:sz w:val="24"/>
          <w:szCs w:val="24"/>
        </w:rPr>
      </w:pPr>
    </w:p>
    <w:p w14:paraId="37336A90" w14:textId="77777777" w:rsidR="00DF395E" w:rsidRDefault="00DF395E" w:rsidP="00DF395E">
      <w:pPr>
        <w:ind w:right="282"/>
        <w:jc w:val="center"/>
        <w:rPr>
          <w:b/>
          <w:sz w:val="24"/>
          <w:szCs w:val="24"/>
        </w:rPr>
      </w:pPr>
    </w:p>
    <w:p w14:paraId="4A8BDF5E" w14:textId="77777777" w:rsidR="00DF395E" w:rsidRDefault="00DF395E" w:rsidP="00DF395E">
      <w:pPr>
        <w:ind w:right="282"/>
        <w:jc w:val="center"/>
        <w:rPr>
          <w:b/>
          <w:sz w:val="24"/>
          <w:szCs w:val="24"/>
        </w:rPr>
      </w:pPr>
    </w:p>
    <w:p w14:paraId="7304F6CE" w14:textId="77777777" w:rsidR="00DF395E" w:rsidRDefault="00DF395E" w:rsidP="00DF395E">
      <w:pPr>
        <w:ind w:right="282"/>
        <w:jc w:val="center"/>
        <w:rPr>
          <w:b/>
          <w:sz w:val="24"/>
          <w:szCs w:val="24"/>
        </w:rPr>
      </w:pPr>
    </w:p>
    <w:p w14:paraId="207D3EFD" w14:textId="77777777" w:rsidR="00DF395E" w:rsidRDefault="00DF395E" w:rsidP="00DF395E">
      <w:pPr>
        <w:ind w:right="282"/>
        <w:jc w:val="center"/>
        <w:rPr>
          <w:b/>
          <w:sz w:val="24"/>
          <w:szCs w:val="24"/>
        </w:rPr>
      </w:pPr>
    </w:p>
    <w:p w14:paraId="7FE63703" w14:textId="77777777" w:rsidR="00DF395E" w:rsidRDefault="00DF395E" w:rsidP="00DF395E">
      <w:pPr>
        <w:ind w:right="282"/>
        <w:jc w:val="center"/>
        <w:rPr>
          <w:b/>
          <w:sz w:val="24"/>
          <w:szCs w:val="24"/>
        </w:rPr>
      </w:pPr>
    </w:p>
    <w:p w14:paraId="3DD97CC1" w14:textId="77777777" w:rsidR="00DF395E" w:rsidRDefault="00DF395E" w:rsidP="00DF395E">
      <w:pPr>
        <w:ind w:right="282"/>
        <w:jc w:val="center"/>
        <w:rPr>
          <w:b/>
          <w:sz w:val="24"/>
          <w:szCs w:val="24"/>
        </w:rPr>
      </w:pPr>
    </w:p>
    <w:p w14:paraId="5B93CBF5" w14:textId="77777777" w:rsidR="00DF395E" w:rsidRDefault="00DF395E" w:rsidP="00DF395E">
      <w:pPr>
        <w:ind w:right="282"/>
        <w:jc w:val="center"/>
        <w:rPr>
          <w:b/>
          <w:sz w:val="24"/>
          <w:szCs w:val="24"/>
        </w:rPr>
      </w:pPr>
    </w:p>
    <w:p w14:paraId="500459A8" w14:textId="77777777" w:rsidR="006F4FD3" w:rsidRPr="006F4FD3" w:rsidRDefault="00DF395E" w:rsidP="006F4FD3">
      <w:pPr>
        <w:ind w:right="282"/>
        <w:jc w:val="center"/>
        <w:rPr>
          <w:b/>
          <w:sz w:val="24"/>
          <w:szCs w:val="24"/>
        </w:rPr>
      </w:pPr>
      <w:r w:rsidRPr="009E05BA">
        <w:rPr>
          <w:b/>
          <w:sz w:val="24"/>
          <w:szCs w:val="24"/>
        </w:rPr>
        <w:t>Москва 20</w:t>
      </w:r>
      <w:r w:rsidR="00953A91">
        <w:rPr>
          <w:b/>
          <w:sz w:val="24"/>
          <w:szCs w:val="24"/>
        </w:rPr>
        <w:t>2</w:t>
      </w:r>
      <w:r w:rsidRPr="009E05BA">
        <w:rPr>
          <w:b/>
          <w:sz w:val="24"/>
          <w:szCs w:val="24"/>
          <w:u w:val="single"/>
        </w:rPr>
        <w:t xml:space="preserve">     </w:t>
      </w:r>
      <w:r w:rsidRPr="009E05BA">
        <w:rPr>
          <w:b/>
          <w:sz w:val="24"/>
          <w:szCs w:val="24"/>
        </w:rPr>
        <w:t>г.</w:t>
      </w:r>
    </w:p>
    <w:p w14:paraId="51F07233" w14:textId="77777777" w:rsidR="00DF395E" w:rsidRPr="00FD7542" w:rsidRDefault="00DF395E" w:rsidP="00DF395E">
      <w:pPr>
        <w:pStyle w:val="a3"/>
        <w:shd w:val="clear" w:color="auto" w:fill="FFFFFF"/>
        <w:tabs>
          <w:tab w:val="left" w:pos="-7797"/>
        </w:tabs>
        <w:adjustRightInd w:val="0"/>
        <w:ind w:left="390"/>
        <w:jc w:val="center"/>
        <w:rPr>
          <w:b/>
          <w:color w:val="000000"/>
          <w:spacing w:val="-1"/>
          <w:sz w:val="24"/>
          <w:szCs w:val="24"/>
          <w:lang w:eastAsia="ru-RU"/>
        </w:rPr>
      </w:pPr>
      <w:r w:rsidRPr="00FD7542">
        <w:rPr>
          <w:b/>
          <w:sz w:val="24"/>
          <w:szCs w:val="24"/>
          <w:lang w:eastAsia="ru-RU"/>
        </w:rPr>
        <w:lastRenderedPageBreak/>
        <w:t xml:space="preserve">Практические кейсы-задачи, необходимые для оценки знаний, умений, навыков и (или) опыта деятельности по итогам </w:t>
      </w:r>
      <w:r w:rsidRPr="00FD7542">
        <w:rPr>
          <w:b/>
          <w:color w:val="000000"/>
          <w:spacing w:val="-1"/>
          <w:sz w:val="24"/>
          <w:szCs w:val="24"/>
          <w:lang w:eastAsia="ru-RU"/>
        </w:rPr>
        <w:t>практики</w:t>
      </w:r>
      <w:r>
        <w:rPr>
          <w:b/>
          <w:color w:val="000000"/>
          <w:spacing w:val="-1"/>
          <w:sz w:val="24"/>
          <w:szCs w:val="24"/>
          <w:lang w:eastAsia="ru-RU"/>
        </w:rPr>
        <w:t xml:space="preserve"> </w:t>
      </w:r>
    </w:p>
    <w:p w14:paraId="1059E526" w14:textId="77777777" w:rsidR="00DF395E" w:rsidRDefault="00DF395E" w:rsidP="00DF395E">
      <w:pPr>
        <w:shd w:val="clear" w:color="auto" w:fill="FFFFFF"/>
        <w:tabs>
          <w:tab w:val="left" w:pos="-7797"/>
        </w:tabs>
        <w:adjustRightInd w:val="0"/>
        <w:rPr>
          <w:b/>
          <w:color w:val="000000"/>
          <w:spacing w:val="-1"/>
          <w:sz w:val="24"/>
          <w:szCs w:val="24"/>
          <w:lang w:eastAsia="ru-RU"/>
        </w:rPr>
      </w:pPr>
    </w:p>
    <w:p w14:paraId="2AC72987" w14:textId="77777777" w:rsidR="00A258EB" w:rsidRPr="00A258EB" w:rsidRDefault="00A258EB" w:rsidP="00A258EB">
      <w:pPr>
        <w:adjustRightInd w:val="0"/>
        <w:jc w:val="both"/>
        <w:rPr>
          <w:b/>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789"/>
      </w:tblGrid>
      <w:tr w:rsidR="00A258EB" w:rsidRPr="00A258EB" w14:paraId="0077D26C" w14:textId="77777777">
        <w:trPr>
          <w:tblHeade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3590E1D5" w14:textId="77777777" w:rsidR="00A258EB" w:rsidRPr="00A258EB" w:rsidRDefault="00A258EB" w:rsidP="00A258EB">
            <w:pPr>
              <w:adjustRightInd w:val="0"/>
              <w:jc w:val="both"/>
              <w:rPr>
                <w:bCs/>
                <w:sz w:val="24"/>
                <w:szCs w:val="24"/>
                <w:lang w:eastAsia="ru-RU"/>
              </w:rPr>
            </w:pPr>
            <w:r w:rsidRPr="00A258EB">
              <w:rPr>
                <w:bCs/>
                <w:sz w:val="24"/>
                <w:szCs w:val="24"/>
                <w:lang w:eastAsia="ru-RU"/>
              </w:rPr>
              <w:t>№ п/п</w:t>
            </w:r>
          </w:p>
        </w:tc>
        <w:tc>
          <w:tcPr>
            <w:tcW w:w="8789" w:type="dxa"/>
            <w:tcBorders>
              <w:top w:val="single" w:sz="4" w:space="0" w:color="auto"/>
              <w:left w:val="single" w:sz="4" w:space="0" w:color="auto"/>
              <w:bottom w:val="single" w:sz="4" w:space="0" w:color="auto"/>
              <w:right w:val="single" w:sz="4" w:space="0" w:color="auto"/>
            </w:tcBorders>
            <w:vAlign w:val="center"/>
            <w:hideMark/>
          </w:tcPr>
          <w:p w14:paraId="12346E4A"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Подробные ответы обучающегося на практические кейсы-задачи</w:t>
            </w:r>
          </w:p>
        </w:tc>
      </w:tr>
      <w:tr w:rsidR="00A258EB" w:rsidRPr="00A258EB" w14:paraId="133D0CB9" w14:textId="77777777">
        <w:trPr>
          <w:trHeight w:val="702"/>
          <w:jc w:val="center"/>
        </w:trPr>
        <w:tc>
          <w:tcPr>
            <w:tcW w:w="1271" w:type="dxa"/>
            <w:tcBorders>
              <w:top w:val="single" w:sz="4" w:space="0" w:color="auto"/>
              <w:left w:val="single" w:sz="4" w:space="0" w:color="auto"/>
              <w:bottom w:val="single" w:sz="4" w:space="0" w:color="auto"/>
              <w:right w:val="single" w:sz="4" w:space="0" w:color="auto"/>
            </w:tcBorders>
            <w:hideMark/>
          </w:tcPr>
          <w:p w14:paraId="0FD01BEE" w14:textId="77777777" w:rsidR="00A258EB" w:rsidRPr="00A258EB" w:rsidRDefault="00A258EB" w:rsidP="00A258EB">
            <w:pPr>
              <w:adjustRightInd w:val="0"/>
              <w:jc w:val="both"/>
              <w:rPr>
                <w:bCs/>
                <w:sz w:val="24"/>
                <w:szCs w:val="24"/>
                <w:lang w:eastAsia="ru-RU"/>
              </w:rPr>
            </w:pPr>
            <w:r w:rsidRPr="00A258EB">
              <w:rPr>
                <w:bCs/>
                <w:sz w:val="24"/>
                <w:szCs w:val="24"/>
                <w:lang w:eastAsia="ru-RU"/>
              </w:rPr>
              <w:t>Кейс-задача № 1</w:t>
            </w:r>
          </w:p>
        </w:tc>
        <w:tc>
          <w:tcPr>
            <w:tcW w:w="8789" w:type="dxa"/>
            <w:tcBorders>
              <w:top w:val="single" w:sz="4" w:space="0" w:color="auto"/>
              <w:left w:val="single" w:sz="4" w:space="0" w:color="auto"/>
              <w:bottom w:val="single" w:sz="4" w:space="0" w:color="auto"/>
              <w:right w:val="single" w:sz="4" w:space="0" w:color="auto"/>
            </w:tcBorders>
            <w:hideMark/>
          </w:tcPr>
          <w:p w14:paraId="3DCC30C2"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В соответствии с фабулой задания, мною проведен анализ судебной практики, касающейся споров, возникающих из договоров комиссии, в частности, применительно к ситуации непредставления комиссионером отчетов о реализации товара и уклонения от сверки расчетов.</w:t>
            </w:r>
          </w:p>
          <w:p w14:paraId="5D7769C4"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Исходя из сложившейся практики делового оборота, акт сверки составляется по результатам совместного сравнения сторонами расчетов по исполнению договорных обязательств. </w:t>
            </w:r>
          </w:p>
          <w:p w14:paraId="492159E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Такой акт рассматривается в качестве документа, подтверждающего признание контрагентом долга, лишь в том случае, если его уполномоченные лица подписали этот документ. Именно таким образом оценивает акты сверки судебная </w:t>
            </w:r>
            <w:proofErr w:type="gramStart"/>
            <w:r w:rsidRPr="00A258EB">
              <w:rPr>
                <w:bCs/>
                <w:sz w:val="24"/>
                <w:szCs w:val="24"/>
                <w:lang w:eastAsia="ru-RU"/>
              </w:rPr>
              <w:t>практика  (</w:t>
            </w:r>
            <w:proofErr w:type="gramEnd"/>
            <w:r w:rsidRPr="00A258EB">
              <w:rPr>
                <w:bCs/>
                <w:sz w:val="24"/>
                <w:szCs w:val="24"/>
                <w:lang w:eastAsia="ru-RU"/>
              </w:rPr>
              <w:t xml:space="preserve">например, постановления Федерального арбитражного суда Северо-Западного округа от 17.09.09 № А21-9657/2022, от 21.08.09 № А26-1/2022). </w:t>
            </w:r>
          </w:p>
          <w:p w14:paraId="1F8384C8"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В сложившейся ситуации мы рекомендуем обратиться за взысканием долга с контрагента непосредственно в суд и уже там доказывать наличие обязательств перед вашей организацией. При этом размер </w:t>
            </w:r>
            <w:proofErr w:type="spellStart"/>
            <w:r w:rsidRPr="00A258EB">
              <w:rPr>
                <w:bCs/>
                <w:sz w:val="24"/>
                <w:szCs w:val="24"/>
                <w:lang w:eastAsia="ru-RU"/>
              </w:rPr>
              <w:t>долгадолжен</w:t>
            </w:r>
            <w:proofErr w:type="spellEnd"/>
            <w:r w:rsidRPr="00A258EB">
              <w:rPr>
                <w:bCs/>
                <w:sz w:val="24"/>
                <w:szCs w:val="24"/>
                <w:lang w:eastAsia="ru-RU"/>
              </w:rPr>
              <w:t xml:space="preserve"> подтвердить истец, представив суду документы об исполнении вами обязательств по договору и принятие исполнения должником. Срок давности обращения в суд – три года с момента возникновения обязанности заказчика оплатить исполненное вами по договору. Пропуск данного срока может лишить вас возможности взыскания долга в судебном порядке.</w:t>
            </w:r>
          </w:p>
          <w:p w14:paraId="1389C287" w14:textId="77777777" w:rsidR="00A258EB" w:rsidRPr="00A258EB" w:rsidRDefault="00A258EB" w:rsidP="00A258EB">
            <w:pPr>
              <w:adjustRightInd w:val="0"/>
              <w:ind w:firstLine="709"/>
              <w:jc w:val="both"/>
              <w:rPr>
                <w:bCs/>
                <w:sz w:val="24"/>
                <w:szCs w:val="24"/>
                <w:lang w:eastAsia="ru-RU"/>
              </w:rPr>
            </w:pPr>
            <w:r w:rsidRPr="00A258EB">
              <w:rPr>
                <w:bCs/>
                <w:iCs/>
                <w:sz w:val="24"/>
                <w:szCs w:val="24"/>
                <w:lang w:eastAsia="ru-RU"/>
              </w:rPr>
              <w:t>При отказе комиссионера предоставить комитенту данные о сделках, заключенных во исполнение комиссионного поручения по продаже товаров, комитент вправе требовать возмещения ему полной рыночной стоимости всех переданных комиссионеру товаров без уплаты комиссионного вознаграждения.</w:t>
            </w:r>
          </w:p>
          <w:p w14:paraId="26F86EAA"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Закрытое акционерное общество обратилось в арбитражный суд с иском к обществу с ограниченной ответственностью о взыскании стоимости переданного на реализацию товара.</w:t>
            </w:r>
          </w:p>
          <w:p w14:paraId="23BA3D63"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Между сторонами заключен договор комиссии, по которому комиссионер (ответчик по делу) обязался совершить от своего имени за счет комитента (истца) сделки по реализации имущества, принадлежащего последнему. По истечении одного месяца после заключения договора комиссии комиссионер представил комитенту отчет, в котором указывалось, что товар продан, приводилась цена продажи за единицу товара, общая сумма выручки и сумма удержанного комиссионером вознаграждения. Комитент представил возражения по отчету, потребовав приложить к нему документы, подтверждающие факты заключения и исполнения сделок, свидетельствующие об их условиях. Комиссионер отказался представить указанные сведения и документы, полагая, что в результате получения сведений о его контрагентах комитент получит доступ к его конфиденциальной информации. Кроме того, в статье 999 ГК РФ нет требований о представлении наряду с отчетом документов, подтверждающих включенные в отчет данные.</w:t>
            </w:r>
          </w:p>
          <w:p w14:paraId="3AD1B95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Поскольку ответчик не представил доказательств исполнения им договора комиссии и отчет комиссионера таким доказательством суд не признал, заявленный иск удовлетворен в полном объеме. Ответчик не представил доказательств наличия у него нереализованных остатков товара истца, поэтому при данных обстоятельствах комиссионный товар признан утраченным и на основании пункта 1 статьи 998 ГК РФ с ответчика взыскана полная рыночная стоимость всех находившихся у него товаров.</w:t>
            </w:r>
            <w:hyperlink r:id="rId6" w:history="1">
              <w:r w:rsidRPr="00A258EB">
                <w:rPr>
                  <w:rStyle w:val="a5"/>
                  <w:bCs/>
                  <w:sz w:val="24"/>
                  <w:szCs w:val="24"/>
                  <w:lang w:eastAsia="ru-RU"/>
                </w:rPr>
                <w:t xml:space="preserve"> (Постановление ФАС Северо-Кавказского округа от </w:t>
              </w:r>
              <w:r w:rsidRPr="00A258EB">
                <w:rPr>
                  <w:rStyle w:val="a5"/>
                  <w:bCs/>
                  <w:sz w:val="24"/>
                  <w:szCs w:val="24"/>
                  <w:lang w:eastAsia="ru-RU"/>
                </w:rPr>
                <w:lastRenderedPageBreak/>
                <w:t>16.12.2021 по делу N А53-4181/2021).</w:t>
              </w:r>
            </w:hyperlink>
          </w:p>
          <w:p w14:paraId="1ABFDED4"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Анализ судебной практики показывает, что суды при рассмотрении подобных споров руководствуются положениями статей 999, 1001, 1003, 1004 Гражданского кодекса Российской Федерации (ГК РФ), регулирующих отношения комиссии. Ключевым обстоятельством является обязанность комиссионера представлять комитенту отчет о выполнении поручения (ст. 999 ГК РФ) и передавать все полученное по сделке (ст. 1001 ГК РФ).</w:t>
            </w:r>
          </w:p>
          <w:p w14:paraId="4DD42289"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При удовлетворении исковых требований суды учитывают:</w:t>
            </w:r>
          </w:p>
          <w:p w14:paraId="5E3DD27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Факт заключения договора комиссии и его действительность.</w:t>
            </w:r>
          </w:p>
          <w:p w14:paraId="04BFD9E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Наличие доказательств передачи товара комиссионеру (товарные накладные, акты приема-передачи).</w:t>
            </w:r>
          </w:p>
          <w:p w14:paraId="4F172F03"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Неоднократность непредставления отчетов комиссионером, что свидетельствует о существенном нарушении условий договора.</w:t>
            </w:r>
          </w:p>
          <w:p w14:paraId="4773537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Отсутствие доказательств своевременного и полного перечисления комитенту денежных средств от реализации товара.</w:t>
            </w:r>
          </w:p>
          <w:p w14:paraId="2E56D49A"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В случае удовлетворения иска в части, суды могут уменьшить размер взыскиваемой суммы, если комиссионер представит доказательства несения расходов, связанных с исполнением поручения, которые подлежат возмещению (ст. 1001 ГК РФ), либо если комитентом не доказан размер причиненных убытков.</w:t>
            </w:r>
          </w:p>
          <w:p w14:paraId="5426EAE4"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Пробелы в нормативном регулировании в данной ситуации отсутствуют. Однако, сложность может возникнуть при доказывании размера убытков, причиненных непредставлением отчетов, особенно если договор комиссии не содержит четкого порядка определения стоимости реализованного товара.</w:t>
            </w:r>
          </w:p>
          <w:p w14:paraId="740E099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При подготовке судебных документов необходимо акцентировать внимание на факте существенного нарушения комиссионером условий договора (непредставление отчетов, уклонение от сверки расчетов) и обосновать размер убытков, причиненных ненадлежащим исполнением обязательств.</w:t>
            </w:r>
          </w:p>
          <w:p w14:paraId="5992BABF"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Таким образом, анализ судебной практики по спорам, вытекающим из договоров комиссии, однозначно указывает на важность надлежащего исполнения комиссионером своих обязательств, особенно в части предоставления отчетов и проведения сверки расчетов. Несоблюдение этих требований влечет за собой серьезные риски, вплоть до взыскания полной рыночной стоимости переданного на реализацию товара.</w:t>
            </w:r>
          </w:p>
          <w:p w14:paraId="6D1329F2"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В заключение, следует подчеркнуть, что эффективная защита интересов комитента в подобных спорах требует тщательной подготовки и представления убедительных доказательств. Необходимо акцентировать внимание суда на систематическом характере нарушений со стороны комиссионера, а также на наличии причинно-следственной связи между этими нарушениями и понесенными убытками. В свою очередь, комиссионерам стоит помнить, что прозрачность и своевременное предоставление отчетности – это не только юридическая обязанность, но и залог долгосрочных и взаимовыгодных отношений с комитентом.</w:t>
            </w:r>
          </w:p>
        </w:tc>
      </w:tr>
      <w:tr w:rsidR="00A258EB" w:rsidRPr="00A258EB" w14:paraId="51CD761A" w14:textId="77777777" w:rsidTr="00A258EB">
        <w:trPr>
          <w:trHeight w:val="847"/>
          <w:jc w:val="center"/>
        </w:trPr>
        <w:tc>
          <w:tcPr>
            <w:tcW w:w="1271" w:type="dxa"/>
            <w:tcBorders>
              <w:top w:val="single" w:sz="4" w:space="0" w:color="auto"/>
              <w:left w:val="single" w:sz="4" w:space="0" w:color="auto"/>
              <w:bottom w:val="single" w:sz="4" w:space="0" w:color="auto"/>
              <w:right w:val="single" w:sz="4" w:space="0" w:color="auto"/>
            </w:tcBorders>
            <w:hideMark/>
          </w:tcPr>
          <w:p w14:paraId="281DC696" w14:textId="77777777" w:rsidR="00A258EB" w:rsidRPr="00A258EB" w:rsidRDefault="00A258EB" w:rsidP="00A258EB">
            <w:pPr>
              <w:adjustRightInd w:val="0"/>
              <w:jc w:val="both"/>
              <w:rPr>
                <w:bCs/>
                <w:sz w:val="24"/>
                <w:szCs w:val="24"/>
                <w:lang w:eastAsia="ru-RU"/>
              </w:rPr>
            </w:pPr>
            <w:r w:rsidRPr="00A258EB">
              <w:rPr>
                <w:bCs/>
                <w:sz w:val="24"/>
                <w:szCs w:val="24"/>
                <w:lang w:eastAsia="ru-RU"/>
              </w:rPr>
              <w:lastRenderedPageBreak/>
              <w:t>Кейс-задача № 2</w:t>
            </w:r>
          </w:p>
        </w:tc>
        <w:tc>
          <w:tcPr>
            <w:tcW w:w="8789" w:type="dxa"/>
            <w:tcBorders>
              <w:top w:val="single" w:sz="4" w:space="0" w:color="auto"/>
              <w:left w:val="single" w:sz="4" w:space="0" w:color="auto"/>
              <w:bottom w:val="single" w:sz="4" w:space="0" w:color="auto"/>
              <w:right w:val="single" w:sz="4" w:space="0" w:color="auto"/>
            </w:tcBorders>
            <w:hideMark/>
          </w:tcPr>
          <w:p w14:paraId="195836DF"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Основанием для рассмотрения дела в суде является уклонение компании от подписания актов сверки взаиморасчетов, если претензии истца подтверждены соответствующими документами. </w:t>
            </w:r>
          </w:p>
          <w:p w14:paraId="683DBC5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Должник часто уклоняется от подписания акта, а соответствующих полномочий для того, чтобы принудить его, у истца нет, так как участие в сверке является правом фирмы, а не ее обязанностью. Добиться признания задолженности по такому акту можно лишь через арбитражный суд. </w:t>
            </w:r>
          </w:p>
          <w:p w14:paraId="236F1958"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Подобные дела, имеющие документальное подтверждение имущественных обязательств ответчика, рассматриваются в порядке упрощенного производства (ст. 226 - 229 АПК РФ).</w:t>
            </w:r>
          </w:p>
          <w:p w14:paraId="782C003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lastRenderedPageBreak/>
              <w:t>Судебная практика по данным делам однозначна. Обязательства из договоров, контрактов должны быть исполнены надлежащим образом, не допускается односторонний отказ. Если заказчик все правильно оформил начисление неустойки или штрафных санкций, то расторгая договор суд еще применит установленные меры ответственности.</w:t>
            </w:r>
          </w:p>
          <w:p w14:paraId="4B11F1A3"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Суд должен будет дать правовую оценку условиям контракта, в какой части исполнены обязательства, в какой нет, насколько правильно начисление штрафных санкций.</w:t>
            </w:r>
          </w:p>
          <w:p w14:paraId="0A6FCD2A"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Прогноз решения суда для заказчика благоприятный, для исполнителя напротив неблагоприятный.</w:t>
            </w:r>
          </w:p>
          <w:p w14:paraId="7E1E7AA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Исполнитель может получить какие-то денежные средства, связанные с фактическими понесенными расходами. </w:t>
            </w:r>
          </w:p>
          <w:p w14:paraId="725453E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Истцу для получения оптимального результата нужно правильно рассчитать неустойку, штраф, подготовить исковое заявление, соблюдая все необходимые процессуальные требования. Также нужно грамотно представителю действовать в суде.</w:t>
            </w:r>
          </w:p>
          <w:p w14:paraId="28247D4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Истцу достаточно выдать доверенность на ведение дела в суде за подписью руководителя организации, ст.185 ГК РФ. Для начисления неустойки </w:t>
            </w:r>
            <w:proofErr w:type="gramStart"/>
            <w:r w:rsidRPr="00A258EB">
              <w:rPr>
                <w:bCs/>
                <w:sz w:val="24"/>
                <w:szCs w:val="24"/>
                <w:lang w:eastAsia="ru-RU"/>
              </w:rPr>
              <w:t>( штрафа</w:t>
            </w:r>
            <w:proofErr w:type="gramEnd"/>
            <w:r w:rsidRPr="00A258EB">
              <w:rPr>
                <w:bCs/>
                <w:sz w:val="24"/>
                <w:szCs w:val="24"/>
                <w:lang w:eastAsia="ru-RU"/>
              </w:rPr>
              <w:t>) по конкурентной закупке целесообразно издать приказ.</w:t>
            </w:r>
          </w:p>
          <w:p w14:paraId="1AE78A21"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Исковое заявление о взыскании денежных средств по договору в связи с неоказанием услуг по договору об оказании юридических услуг составляется на основании положений закупки, условий контракта, претензии.</w:t>
            </w:r>
          </w:p>
          <w:p w14:paraId="3FAACC5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Таким образом, уклонение компании от подписания акта сверки взаиморасчетов не является непреодолимым препятствием для взыскания задолженности, при условии наличия достаточных документальных подтверждений требований истца. Арбитражный суд, рассматривая дело в порядке упрощенного производства, даст правовую оценку обязательствам сторон и начислениям штрафных санкций.</w:t>
            </w:r>
          </w:p>
          <w:p w14:paraId="166DC980"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Перспективы заказчика в подобных спорах выглядят оптимистично, особенно при условии грамотного оформления документов и расчета неустойки. Исполнителю же следует готовиться к неблагоприятному исходу, за исключением случаев, когда имеются основания для компенсации фактически понесенных расходов.</w:t>
            </w:r>
          </w:p>
          <w:p w14:paraId="05C4B54E" w14:textId="77777777" w:rsidR="00A258EB" w:rsidRDefault="00A258EB" w:rsidP="00A258EB">
            <w:pPr>
              <w:adjustRightInd w:val="0"/>
              <w:ind w:firstLine="709"/>
              <w:jc w:val="both"/>
              <w:rPr>
                <w:bCs/>
                <w:sz w:val="24"/>
                <w:szCs w:val="24"/>
                <w:lang w:eastAsia="ru-RU"/>
              </w:rPr>
            </w:pPr>
            <w:r w:rsidRPr="00A258EB">
              <w:rPr>
                <w:bCs/>
                <w:sz w:val="24"/>
                <w:szCs w:val="24"/>
                <w:lang w:eastAsia="ru-RU"/>
              </w:rPr>
              <w:t>Для достижения положительного результата истцу необходимо тщательно подготовить исковое заявление, соблюдая все процессуальные нормы, а также обеспечить квалифицированное представительство в суде. Доверенность, выданная руководителем организации, является достаточным основанием для представления интересов компании. В случаях начисления неустойки по конкурентной закупке, целесообразно издать соответствующий приказ. Исковое заявление должно основываться на положениях закупки, условиях контракта и содержании претензии, четко и аргументированно излагая позицию истца.</w:t>
            </w:r>
          </w:p>
          <w:p w14:paraId="661C3BC7" w14:textId="77777777" w:rsidR="00EC2391" w:rsidRPr="00EC2391" w:rsidRDefault="00EC2391" w:rsidP="00EC2391">
            <w:pPr>
              <w:adjustRightInd w:val="0"/>
              <w:ind w:firstLine="709"/>
              <w:jc w:val="both"/>
              <w:rPr>
                <w:bCs/>
                <w:sz w:val="24"/>
                <w:szCs w:val="24"/>
                <w:lang w:eastAsia="ru-RU"/>
              </w:rPr>
            </w:pPr>
            <w:r w:rsidRPr="00EC2391">
              <w:rPr>
                <w:bCs/>
                <w:sz w:val="24"/>
                <w:szCs w:val="24"/>
                <w:lang w:eastAsia="ru-RU"/>
              </w:rPr>
              <w:t>Таким образом, несмотря на кажущуюся сложность ситуации, связанную с уклонением должника от подписания акта сверки, действующее законодательство и арбитражная практика предоставляют истцу действенные инструменты для защиты своих прав. Ключевым фактором успеха становится тщательная подготовка доказательной базы и грамотное ведение дела в суде.</w:t>
            </w:r>
          </w:p>
          <w:p w14:paraId="642E2791" w14:textId="77777777" w:rsidR="00EC2391" w:rsidRPr="00EC2391" w:rsidRDefault="00EC2391" w:rsidP="00EC2391">
            <w:pPr>
              <w:adjustRightInd w:val="0"/>
              <w:ind w:firstLine="709"/>
              <w:jc w:val="both"/>
              <w:rPr>
                <w:bCs/>
                <w:sz w:val="24"/>
                <w:szCs w:val="24"/>
                <w:lang w:eastAsia="ru-RU"/>
              </w:rPr>
            </w:pPr>
            <w:r w:rsidRPr="00EC2391">
              <w:rPr>
                <w:bCs/>
                <w:sz w:val="24"/>
                <w:szCs w:val="24"/>
                <w:lang w:eastAsia="ru-RU"/>
              </w:rPr>
              <w:t>Перспективы заказчика в подобных спорах действительно выглядят оптимистично. При условии надлежащего оформления всех документов, корректного расчета неустойки и штрафных санкций, а также грамотного представления своих интересов, суд, скорее всего, встанет на сторону добросовестной стороны.</w:t>
            </w:r>
          </w:p>
          <w:p w14:paraId="59B0E38E" w14:textId="77777777" w:rsidR="00EC2391" w:rsidRPr="00EC2391" w:rsidRDefault="00EC2391" w:rsidP="00EC2391">
            <w:pPr>
              <w:adjustRightInd w:val="0"/>
              <w:ind w:firstLine="709"/>
              <w:jc w:val="both"/>
              <w:rPr>
                <w:bCs/>
                <w:sz w:val="24"/>
                <w:szCs w:val="24"/>
                <w:lang w:eastAsia="ru-RU"/>
              </w:rPr>
            </w:pPr>
            <w:r w:rsidRPr="00EC2391">
              <w:rPr>
                <w:bCs/>
                <w:sz w:val="24"/>
                <w:szCs w:val="24"/>
                <w:lang w:eastAsia="ru-RU"/>
              </w:rPr>
              <w:lastRenderedPageBreak/>
              <w:t>Для исполнителя же, напротив, подобные ситуации несут существенные риски. Однако, даже в случае неблагоприятного решения суда, возможность взыскания фактически понесенных расходов может стать некоторой компенсацией.</w:t>
            </w:r>
          </w:p>
          <w:p w14:paraId="0CD7E734" w14:textId="7A9F73D4" w:rsidR="00EC2391" w:rsidRPr="00A258EB" w:rsidRDefault="00EC2391" w:rsidP="00EC2391">
            <w:pPr>
              <w:adjustRightInd w:val="0"/>
              <w:ind w:firstLine="709"/>
              <w:jc w:val="both"/>
              <w:rPr>
                <w:bCs/>
                <w:sz w:val="24"/>
                <w:szCs w:val="24"/>
                <w:lang w:eastAsia="ru-RU"/>
              </w:rPr>
            </w:pPr>
            <w:r w:rsidRPr="00EC2391">
              <w:rPr>
                <w:bCs/>
                <w:sz w:val="24"/>
                <w:szCs w:val="24"/>
                <w:lang w:eastAsia="ru-RU"/>
              </w:rPr>
              <w:t>В заключение, подводя итог, можно с уверенностью сказать: уклонение от подписания акта сверки взаиморасчетов не является непреодолимым препятствием для взыскания задолженности. Это лишь вызов, требующий от истца профессионального подхода, внимательности к деталям и готовности отстаивать свои права в арбитражном суде, где, как показывает практика, справедливость чаще всего торжествует.</w:t>
            </w:r>
          </w:p>
        </w:tc>
      </w:tr>
      <w:tr w:rsidR="00A258EB" w:rsidRPr="00A258EB" w14:paraId="25BB5ECF" w14:textId="77777777">
        <w:trPr>
          <w:trHeight w:val="1552"/>
          <w:jc w:val="center"/>
        </w:trPr>
        <w:tc>
          <w:tcPr>
            <w:tcW w:w="1271" w:type="dxa"/>
            <w:tcBorders>
              <w:top w:val="single" w:sz="4" w:space="0" w:color="auto"/>
              <w:left w:val="single" w:sz="4" w:space="0" w:color="auto"/>
              <w:bottom w:val="single" w:sz="4" w:space="0" w:color="auto"/>
              <w:right w:val="single" w:sz="4" w:space="0" w:color="auto"/>
            </w:tcBorders>
            <w:hideMark/>
          </w:tcPr>
          <w:p w14:paraId="5238B6D6" w14:textId="77777777" w:rsidR="00A258EB" w:rsidRPr="00A258EB" w:rsidRDefault="00A258EB" w:rsidP="00A258EB">
            <w:pPr>
              <w:adjustRightInd w:val="0"/>
              <w:jc w:val="both"/>
              <w:rPr>
                <w:bCs/>
                <w:sz w:val="24"/>
                <w:szCs w:val="24"/>
                <w:lang w:eastAsia="ru-RU"/>
              </w:rPr>
            </w:pPr>
            <w:r w:rsidRPr="00A258EB">
              <w:rPr>
                <w:bCs/>
                <w:sz w:val="24"/>
                <w:szCs w:val="24"/>
                <w:lang w:eastAsia="ru-RU"/>
              </w:rPr>
              <w:lastRenderedPageBreak/>
              <w:t>Кейс-задача № 3</w:t>
            </w:r>
          </w:p>
        </w:tc>
        <w:tc>
          <w:tcPr>
            <w:tcW w:w="8789" w:type="dxa"/>
            <w:tcBorders>
              <w:top w:val="single" w:sz="4" w:space="0" w:color="auto"/>
              <w:left w:val="single" w:sz="4" w:space="0" w:color="auto"/>
              <w:bottom w:val="single" w:sz="4" w:space="0" w:color="auto"/>
              <w:right w:val="single" w:sz="4" w:space="0" w:color="auto"/>
            </w:tcBorders>
          </w:tcPr>
          <w:p w14:paraId="64CAFF17"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Кому:</w:t>
            </w:r>
          </w:p>
          <w:p w14:paraId="5AA8FCE8"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ООО “Перфект-торг”</w:t>
            </w:r>
          </w:p>
          <w:p w14:paraId="1FFB2B2C"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 xml:space="preserve">Адрес: 119860, г. Москва, ул. Пушкина, д.12. </w:t>
            </w:r>
          </w:p>
          <w:p w14:paraId="01B3F721"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ИНН 7722854600, ОГРН 5147746075600.</w:t>
            </w:r>
          </w:p>
          <w:p w14:paraId="701C4CAE"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От кого:</w:t>
            </w:r>
          </w:p>
          <w:p w14:paraId="08B6A90D"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ИП Косоротов Игорь Евгеньевич</w:t>
            </w:r>
          </w:p>
          <w:p w14:paraId="62800940"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Зарегистрированный по адресу: 123456,</w:t>
            </w:r>
          </w:p>
          <w:p w14:paraId="64EFB88F"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 xml:space="preserve"> Московская область, г. Королев, ул. </w:t>
            </w:r>
            <w:proofErr w:type="spellStart"/>
            <w:r w:rsidRPr="00A258EB">
              <w:rPr>
                <w:bCs/>
                <w:sz w:val="24"/>
                <w:szCs w:val="24"/>
                <w:lang w:eastAsia="ru-RU"/>
              </w:rPr>
              <w:t>Мишуткина</w:t>
            </w:r>
            <w:proofErr w:type="spellEnd"/>
            <w:r w:rsidRPr="00A258EB">
              <w:rPr>
                <w:bCs/>
                <w:sz w:val="24"/>
                <w:szCs w:val="24"/>
                <w:lang w:eastAsia="ru-RU"/>
              </w:rPr>
              <w:t xml:space="preserve">, д. 15, </w:t>
            </w:r>
          </w:p>
          <w:p w14:paraId="5B883DC2"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кв. 35. ИНН: 504309411100, ОГРНИП: 309504325700000.</w:t>
            </w:r>
          </w:p>
          <w:p w14:paraId="14B62654" w14:textId="77777777" w:rsidR="00A258EB" w:rsidRPr="00A258EB" w:rsidRDefault="00A258EB" w:rsidP="00A258EB">
            <w:pPr>
              <w:adjustRightInd w:val="0"/>
              <w:ind w:firstLine="709"/>
              <w:jc w:val="both"/>
              <w:rPr>
                <w:bCs/>
                <w:sz w:val="24"/>
                <w:szCs w:val="24"/>
                <w:lang w:eastAsia="ru-RU"/>
              </w:rPr>
            </w:pPr>
          </w:p>
          <w:p w14:paraId="2AE918BE" w14:textId="4C295493" w:rsidR="00A258EB" w:rsidRPr="00A258EB" w:rsidRDefault="00A258EB" w:rsidP="00A258EB">
            <w:pPr>
              <w:adjustRightInd w:val="0"/>
              <w:ind w:firstLine="709"/>
              <w:jc w:val="center"/>
              <w:rPr>
                <w:bCs/>
                <w:sz w:val="24"/>
                <w:szCs w:val="24"/>
                <w:lang w:eastAsia="ru-RU"/>
              </w:rPr>
            </w:pPr>
            <w:r w:rsidRPr="00A258EB">
              <w:rPr>
                <w:bCs/>
                <w:sz w:val="24"/>
                <w:szCs w:val="24"/>
                <w:lang w:eastAsia="ru-RU"/>
              </w:rPr>
              <w:t>ПРЕТЕНЗИЯ</w:t>
            </w:r>
          </w:p>
          <w:p w14:paraId="4B66FBA7" w14:textId="77777777" w:rsidR="00A258EB" w:rsidRPr="00A258EB" w:rsidRDefault="00A258EB" w:rsidP="00A258EB">
            <w:pPr>
              <w:adjustRightInd w:val="0"/>
              <w:ind w:firstLine="709"/>
              <w:jc w:val="center"/>
              <w:rPr>
                <w:bCs/>
                <w:sz w:val="24"/>
                <w:szCs w:val="24"/>
                <w:lang w:eastAsia="ru-RU"/>
              </w:rPr>
            </w:pPr>
            <w:r w:rsidRPr="00A258EB">
              <w:rPr>
                <w:bCs/>
                <w:sz w:val="24"/>
                <w:szCs w:val="24"/>
                <w:lang w:eastAsia="ru-RU"/>
              </w:rPr>
              <w:t>о возмещении материального ущерба, причиненного ввиду существенного нарушения условий договора</w:t>
            </w:r>
          </w:p>
          <w:p w14:paraId="48D10C36" w14:textId="77777777" w:rsidR="00A258EB" w:rsidRPr="00A258EB" w:rsidRDefault="00A258EB" w:rsidP="00A258EB">
            <w:pPr>
              <w:adjustRightInd w:val="0"/>
              <w:ind w:firstLine="709"/>
              <w:jc w:val="both"/>
              <w:rPr>
                <w:bCs/>
                <w:sz w:val="24"/>
                <w:szCs w:val="24"/>
                <w:lang w:eastAsia="ru-RU"/>
              </w:rPr>
            </w:pPr>
          </w:p>
          <w:p w14:paraId="16CE459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30.05.2019 между ИП Косоротов И.Е. (далее по тексту “Комитент”) и ООО “Перфект-торг” (далее по тексту “Комиссионер”) был заключен договор </w:t>
            </w:r>
            <w:proofErr w:type="gramStart"/>
            <w:r w:rsidRPr="00A258EB">
              <w:rPr>
                <w:bCs/>
                <w:sz w:val="24"/>
                <w:szCs w:val="24"/>
                <w:lang w:eastAsia="ru-RU"/>
              </w:rPr>
              <w:t>комиссии (далее по тексту “Договор”)</w:t>
            </w:r>
            <w:proofErr w:type="gramEnd"/>
            <w:r w:rsidRPr="00A258EB">
              <w:rPr>
                <w:bCs/>
                <w:sz w:val="24"/>
                <w:szCs w:val="24"/>
                <w:lang w:eastAsia="ru-RU"/>
              </w:rPr>
              <w:t xml:space="preserve"> по которому Комиссионер обязуется по поручению Комитента за вознаграждение от своего имени, но за счет Комитента совершать сделки по реализации ювелирных изделий из драгоценных металлов и/или драгоценных камней (далее по тексту “Товар”). </w:t>
            </w:r>
          </w:p>
          <w:p w14:paraId="025080C2"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Согласно п. 21 Договора комиссии №111 от </w:t>
            </w:r>
            <w:proofErr w:type="gramStart"/>
            <w:r w:rsidRPr="00A258EB">
              <w:rPr>
                <w:bCs/>
                <w:sz w:val="24"/>
                <w:szCs w:val="24"/>
                <w:lang w:eastAsia="ru-RU"/>
              </w:rPr>
              <w:t>30.05.2019  Комитент</w:t>
            </w:r>
            <w:proofErr w:type="gramEnd"/>
            <w:r w:rsidRPr="00A258EB">
              <w:rPr>
                <w:bCs/>
                <w:sz w:val="24"/>
                <w:szCs w:val="24"/>
                <w:lang w:eastAsia="ru-RU"/>
              </w:rPr>
              <w:t xml:space="preserve"> произвел отгрузку товара, а Комиссионер принял товар, что зафиксировано в товарной накладной № ОТЭ_083/17 от 30 мая 2019 года на сумму 1 191 495 рублей. </w:t>
            </w:r>
          </w:p>
          <w:p w14:paraId="6568503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В соответствии со ст. 990 ГК РФ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 Товар был реализован Вами </w:t>
            </w:r>
            <w:proofErr w:type="gramStart"/>
            <w:r w:rsidRPr="00A258EB">
              <w:rPr>
                <w:bCs/>
                <w:sz w:val="24"/>
                <w:szCs w:val="24"/>
                <w:lang w:eastAsia="ru-RU"/>
              </w:rPr>
              <w:t>по цене</w:t>
            </w:r>
            <w:proofErr w:type="gramEnd"/>
            <w:r w:rsidRPr="00A258EB">
              <w:rPr>
                <w:bCs/>
                <w:sz w:val="24"/>
                <w:szCs w:val="24"/>
                <w:lang w:eastAsia="ru-RU"/>
              </w:rPr>
              <w:t xml:space="preserve"> указанной в дополнительном соглашении.</w:t>
            </w:r>
          </w:p>
          <w:p w14:paraId="6DDA4198"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На основании пункта 11 Договора комиссии №111 от 30.05.2019 стороны ежемесячно, не позднее 10-го числа каждого месяца должны производить сверку взаиморасчетов по состоянию на последнее число предыдущего месяца. </w:t>
            </w:r>
          </w:p>
          <w:p w14:paraId="69135F79"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Однако Вы не предоставили ни одного отчета для проведения сверки расчетов. Не предоставление ежемесячного отчета для предоставления взаимных сверок расчетов является существенным нарушением договора.</w:t>
            </w:r>
          </w:p>
          <w:p w14:paraId="27429D85"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Расходные кассовые ордеры, предоставленные мне в качестве подтверждения принятия мной денежной суммы в размере 3000 рублей, являются подтверждением того факта, что товар Вами реализован и денежные средства за него Вами получены. Таким образом Ваша задолженность составляет 1191495 рублей, которую Вы удерживаете необоснованно и вопреки действующему </w:t>
            </w:r>
            <w:proofErr w:type="gramStart"/>
            <w:r w:rsidRPr="00A258EB">
              <w:rPr>
                <w:bCs/>
                <w:sz w:val="24"/>
                <w:szCs w:val="24"/>
                <w:lang w:eastAsia="ru-RU"/>
              </w:rPr>
              <w:t>законодательству в частности</w:t>
            </w:r>
            <w:proofErr w:type="gramEnd"/>
            <w:r w:rsidRPr="00A258EB">
              <w:rPr>
                <w:bCs/>
                <w:sz w:val="24"/>
                <w:szCs w:val="24"/>
                <w:lang w:eastAsia="ru-RU"/>
              </w:rPr>
              <w:t xml:space="preserve">, в нарушении ст. 999 ГК РФ, которая гласит, что по исполнении поручения комиссионер обязан представить комитенту отчет и передать ему все полученное по договору комиссии! </w:t>
            </w:r>
          </w:p>
          <w:p w14:paraId="41A1B4C2"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lastRenderedPageBreak/>
              <w:t>Обязанность по передаче отчета и всего полученного по договору комиссии возлагается на Вашу организацию независимо от включения данной обязанности в Договор. Сведения отчета об исполнении поручения должны содержать необходимую информацию о совершенных комиссионером сделках и их условиях, а также затратах на исполнение комиссионного поручения.</w:t>
            </w:r>
          </w:p>
          <w:p w14:paraId="73A04E3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 </w:t>
            </w:r>
            <w:proofErr w:type="gramStart"/>
            <w:r w:rsidRPr="00A258EB">
              <w:rPr>
                <w:bCs/>
                <w:sz w:val="24"/>
                <w:szCs w:val="24"/>
                <w:lang w:eastAsia="ru-RU"/>
              </w:rPr>
              <w:t>Помимо этого</w:t>
            </w:r>
            <w:proofErr w:type="gramEnd"/>
            <w:r w:rsidRPr="00A258EB">
              <w:rPr>
                <w:bCs/>
                <w:sz w:val="24"/>
                <w:szCs w:val="24"/>
                <w:lang w:eastAsia="ru-RU"/>
              </w:rPr>
              <w:t xml:space="preserve"> отчет об исполнении поручения должен содержать в себе необходимые документы, в частности, подтверждающими получение денежной суммы за проданный товар, а также иные расходы, понесенные комиссионером в результате реализации товара. Непредставление отчета рассматривается как ненадлежащее исполнение договора комиссии, даже если предусмотренная договором комиссии сделка была совершена и исполнена должным образом. Согласно п. 14 Информационного письма Президиума Высшего Арбитражного Суда РФ №85 от 17 ноября 2004 г. при отказе комиссионера предоставить комитенту данные о сделках, заключенных во исполнение комиссионного поручения по продаже товаров, комитент вправе требовать возмещения ему полной рыночной стоимости всех переданных комиссионеру товаров без уплаты комиссионного вознаграждения.</w:t>
            </w:r>
          </w:p>
          <w:p w14:paraId="67E588B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Кроме того, на основании ст. 395 ГК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Проценты за пользование чужими средствами взимаются по день уплаты суммы этих средств кредитору. Таким образом сумма процентов за неправомерное пользование чужими денежными средствами на сегодняшний день </w:t>
            </w:r>
            <w:proofErr w:type="gramStart"/>
            <w:r w:rsidRPr="00A258EB">
              <w:rPr>
                <w:bCs/>
                <w:sz w:val="24"/>
                <w:szCs w:val="24"/>
                <w:lang w:eastAsia="ru-RU"/>
              </w:rPr>
              <w:t>составляет  рублей</w:t>
            </w:r>
            <w:proofErr w:type="gramEnd"/>
            <w:r w:rsidRPr="00A258EB">
              <w:rPr>
                <w:bCs/>
                <w:sz w:val="24"/>
                <w:szCs w:val="24"/>
                <w:lang w:eastAsia="ru-RU"/>
              </w:rPr>
              <w:t>.</w:t>
            </w:r>
          </w:p>
          <w:p w14:paraId="6BBAD4A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Считаю возмутительным и для себя не понятным, как компания такого уровня как Ваша, очень известная на рынке предоставления услуг такого рода, позволяет себе допускать нарушения императивных норм законодательства при осуществлении деятельности. Надеюсь, что это не норма, которой придерживается Ваша организация при осуществлении деятельности, а исключение.</w:t>
            </w:r>
          </w:p>
          <w:p w14:paraId="797E0F3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На основании вышеизложенного, а так же руководствуясь </w:t>
            </w:r>
            <w:proofErr w:type="spellStart"/>
            <w:r w:rsidRPr="00A258EB">
              <w:rPr>
                <w:bCs/>
                <w:sz w:val="24"/>
                <w:szCs w:val="24"/>
                <w:lang w:eastAsia="ru-RU"/>
              </w:rPr>
              <w:t>ст.ст</w:t>
            </w:r>
            <w:proofErr w:type="spellEnd"/>
            <w:r w:rsidRPr="00A258EB">
              <w:rPr>
                <w:bCs/>
                <w:sz w:val="24"/>
                <w:szCs w:val="24"/>
                <w:lang w:eastAsia="ru-RU"/>
              </w:rPr>
              <w:t>. 395, 990, 991, 998, 999 ГК РФ, а так же п. 14 Информационного письма от 17 ноября 2004 года № 85 Президиума Высшего Арбитражного Суда РФ прошу: возместить мне полную рыночную стоимость переданного Вашей организации товара без уплаты комиссионного вознаграждения, с соответствующим перерасчетом в части переданных мне денежных средств, а именно 1207969,9 рублей, а так же возместить мне денежную сумму в размере 16 019,90  рублей, причитающуюся мне в качестве процентов за пользование чужими денежными средствами.</w:t>
            </w:r>
          </w:p>
          <w:p w14:paraId="741BBD6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В случае если мое законное требование не будет исполнено, я буду вынужден направить в контролирующие органы (Роспотребнадзор, Прокуратура города Москвы и др.) соответствующие жалобы на действия Вашей организации. Кроме того, в связи с тем, что отчет об исполнении поручения мне не предоставлен, денежная сумма не выплачена в полном объеме, в соответствии с п. 1 ст. 998 ГК РФ, я буду вынужден обратиться в суд с иском о взыскании стоимости переданного Вам на реализацию товара, процентов за пользование чужими денежными средствами, а также возложении на Вас всех судебных издержек.</w:t>
            </w:r>
          </w:p>
          <w:p w14:paraId="673EDAD5"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Надеюсь на понимание необходимости досудебного решения вышеуказанной проблемы, и в случае удовлетворения вышеуказанных требований, со своей стороны гарантирую отказ от направления в государственные контролирующие органы соответствующих жалоб на действия Вашей организации.</w:t>
            </w:r>
          </w:p>
          <w:p w14:paraId="715E0E4B"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Приложение:</w:t>
            </w:r>
          </w:p>
          <w:p w14:paraId="4057492F"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1) Договор комиссии № __________ с приложениями;</w:t>
            </w:r>
          </w:p>
          <w:p w14:paraId="6F9F6650"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lastRenderedPageBreak/>
              <w:t>2) Дополнительное соглашение к Договору № __________;</w:t>
            </w:r>
          </w:p>
          <w:p w14:paraId="51250DE3"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3) Расходный кассовый ордер № ___ от ___________;</w:t>
            </w:r>
          </w:p>
          <w:p w14:paraId="15929D00"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4) Расходный кассовый ордер № ___ от ___________;</w:t>
            </w:r>
          </w:p>
          <w:p w14:paraId="349DD32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Генеральный директор   </w:t>
            </w:r>
          </w:p>
        </w:tc>
      </w:tr>
      <w:tr w:rsidR="00A258EB" w:rsidRPr="00A258EB" w14:paraId="30CFA563" w14:textId="77777777">
        <w:trPr>
          <w:trHeight w:val="1552"/>
          <w:jc w:val="center"/>
        </w:trPr>
        <w:tc>
          <w:tcPr>
            <w:tcW w:w="1271" w:type="dxa"/>
            <w:tcBorders>
              <w:top w:val="single" w:sz="4" w:space="0" w:color="auto"/>
              <w:left w:val="single" w:sz="4" w:space="0" w:color="auto"/>
              <w:bottom w:val="single" w:sz="4" w:space="0" w:color="auto"/>
              <w:right w:val="single" w:sz="4" w:space="0" w:color="auto"/>
            </w:tcBorders>
            <w:hideMark/>
          </w:tcPr>
          <w:p w14:paraId="2030EF89" w14:textId="77777777" w:rsidR="00A258EB" w:rsidRPr="00A258EB" w:rsidRDefault="00A258EB" w:rsidP="00A258EB">
            <w:pPr>
              <w:adjustRightInd w:val="0"/>
              <w:jc w:val="both"/>
              <w:rPr>
                <w:bCs/>
                <w:sz w:val="24"/>
                <w:szCs w:val="24"/>
                <w:lang w:eastAsia="ru-RU"/>
              </w:rPr>
            </w:pPr>
            <w:r w:rsidRPr="00A258EB">
              <w:rPr>
                <w:bCs/>
                <w:sz w:val="24"/>
                <w:szCs w:val="24"/>
                <w:lang w:eastAsia="ru-RU"/>
              </w:rPr>
              <w:lastRenderedPageBreak/>
              <w:t>Кейс-задача № 4</w:t>
            </w:r>
          </w:p>
        </w:tc>
        <w:tc>
          <w:tcPr>
            <w:tcW w:w="8789" w:type="dxa"/>
            <w:tcBorders>
              <w:top w:val="single" w:sz="4" w:space="0" w:color="auto"/>
              <w:left w:val="single" w:sz="4" w:space="0" w:color="auto"/>
              <w:bottom w:val="single" w:sz="4" w:space="0" w:color="auto"/>
              <w:right w:val="single" w:sz="4" w:space="0" w:color="auto"/>
            </w:tcBorders>
          </w:tcPr>
          <w:p w14:paraId="1062276D"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В Арбитражный суд г. Москвы.</w:t>
            </w:r>
          </w:p>
          <w:p w14:paraId="208F2D1B"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107053 Москва, пр. Академика Сахарова, д. 18</w:t>
            </w:r>
          </w:p>
          <w:p w14:paraId="2FC23A9A"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Истец: ИП Косоротов Игорь Евгеньевич</w:t>
            </w:r>
          </w:p>
          <w:p w14:paraId="494EFEF6"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Зарегистрированный по адресу: 123456,</w:t>
            </w:r>
          </w:p>
          <w:p w14:paraId="7697F51C"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 xml:space="preserve"> Московская область, г. Королев, ул. </w:t>
            </w:r>
            <w:proofErr w:type="spellStart"/>
            <w:r w:rsidRPr="00A258EB">
              <w:rPr>
                <w:bCs/>
                <w:sz w:val="24"/>
                <w:szCs w:val="24"/>
                <w:lang w:eastAsia="ru-RU"/>
              </w:rPr>
              <w:t>Мишуткина</w:t>
            </w:r>
            <w:proofErr w:type="spellEnd"/>
            <w:r w:rsidRPr="00A258EB">
              <w:rPr>
                <w:bCs/>
                <w:sz w:val="24"/>
                <w:szCs w:val="24"/>
                <w:lang w:eastAsia="ru-RU"/>
              </w:rPr>
              <w:t xml:space="preserve">, д. 15, </w:t>
            </w:r>
          </w:p>
          <w:p w14:paraId="3EA339E5"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кв. 35. ИНН: 504309411100, ОГРНИП: 309504325700000.</w:t>
            </w:r>
          </w:p>
          <w:p w14:paraId="16F0D073"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Тел.: +7 (988) 333-33-26</w:t>
            </w:r>
          </w:p>
          <w:p w14:paraId="2F797F7B"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Ответчик: ООО “Перфект-торг”</w:t>
            </w:r>
          </w:p>
          <w:p w14:paraId="631C51E5"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 xml:space="preserve">Адрес: 119860, г. Москва, ул. Пушкина, д.12. </w:t>
            </w:r>
          </w:p>
          <w:p w14:paraId="507EB195"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ИНН 7722854600, ОГРН 5147746075600.</w:t>
            </w:r>
          </w:p>
          <w:p w14:paraId="276F707B"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Цена иска: 1207969,9 рублей</w:t>
            </w:r>
          </w:p>
          <w:p w14:paraId="793ADFDE"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Государственная пошлина: 25 080 рублей</w:t>
            </w:r>
          </w:p>
          <w:p w14:paraId="62AB48E6" w14:textId="77777777" w:rsidR="00A258EB" w:rsidRPr="00A258EB" w:rsidRDefault="00A258EB" w:rsidP="00A258EB">
            <w:pPr>
              <w:adjustRightInd w:val="0"/>
              <w:ind w:firstLine="709"/>
              <w:jc w:val="right"/>
              <w:rPr>
                <w:bCs/>
                <w:sz w:val="24"/>
                <w:szCs w:val="24"/>
                <w:lang w:eastAsia="ru-RU"/>
              </w:rPr>
            </w:pPr>
            <w:r w:rsidRPr="00A258EB">
              <w:rPr>
                <w:bCs/>
                <w:sz w:val="24"/>
                <w:szCs w:val="24"/>
                <w:lang w:eastAsia="ru-RU"/>
              </w:rPr>
              <w:t>иск предъявляется в Арбитражный суд г. Москвы в соответствии со ст. 35 АПК РФ по месту нахождения ответчика</w:t>
            </w:r>
          </w:p>
          <w:p w14:paraId="60188621" w14:textId="77777777" w:rsidR="00A258EB" w:rsidRPr="00A258EB" w:rsidRDefault="00A258EB" w:rsidP="00A258EB">
            <w:pPr>
              <w:adjustRightInd w:val="0"/>
              <w:ind w:firstLine="709"/>
              <w:jc w:val="both"/>
              <w:rPr>
                <w:bCs/>
                <w:sz w:val="24"/>
                <w:szCs w:val="24"/>
                <w:lang w:eastAsia="ru-RU"/>
              </w:rPr>
            </w:pPr>
          </w:p>
          <w:p w14:paraId="27DE9361" w14:textId="77777777" w:rsidR="00A258EB" w:rsidRPr="00A258EB" w:rsidRDefault="00A258EB" w:rsidP="00A258EB">
            <w:pPr>
              <w:adjustRightInd w:val="0"/>
              <w:ind w:firstLine="709"/>
              <w:jc w:val="center"/>
              <w:rPr>
                <w:bCs/>
                <w:sz w:val="24"/>
                <w:szCs w:val="24"/>
                <w:lang w:eastAsia="ru-RU"/>
              </w:rPr>
            </w:pPr>
            <w:r w:rsidRPr="00A258EB">
              <w:rPr>
                <w:bCs/>
                <w:sz w:val="24"/>
                <w:szCs w:val="24"/>
                <w:lang w:eastAsia="ru-RU"/>
              </w:rPr>
              <w:t>ИСКОВОЕ ЗАЯВЛЕНИЕ</w:t>
            </w:r>
          </w:p>
          <w:p w14:paraId="20C8BF97" w14:textId="77777777" w:rsidR="00A258EB" w:rsidRPr="00A258EB" w:rsidRDefault="00A258EB" w:rsidP="00A258EB">
            <w:pPr>
              <w:adjustRightInd w:val="0"/>
              <w:ind w:firstLine="709"/>
              <w:jc w:val="center"/>
              <w:rPr>
                <w:bCs/>
                <w:sz w:val="24"/>
                <w:szCs w:val="24"/>
                <w:lang w:eastAsia="ru-RU"/>
              </w:rPr>
            </w:pPr>
            <w:r w:rsidRPr="00A258EB">
              <w:rPr>
                <w:bCs/>
                <w:sz w:val="24"/>
                <w:szCs w:val="24"/>
                <w:lang w:eastAsia="ru-RU"/>
              </w:rPr>
              <w:t>О ВЗЫСКАНИИ ЗАДОЛЖЕННОСТИ И ШТРАФНЫХ САНКЦИЙ</w:t>
            </w:r>
          </w:p>
          <w:p w14:paraId="506AC50B"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30.05.2019 между ИП Косоротов И.Е. (далее по тексту “Комитент”) и ООО “Перфект-торг” (далее по тексту “Комиссионер”) был заключен договор </w:t>
            </w:r>
            <w:proofErr w:type="gramStart"/>
            <w:r w:rsidRPr="00A258EB">
              <w:rPr>
                <w:bCs/>
                <w:sz w:val="24"/>
                <w:szCs w:val="24"/>
                <w:lang w:eastAsia="ru-RU"/>
              </w:rPr>
              <w:t>комиссии (далее по тексту “Договор”)</w:t>
            </w:r>
            <w:proofErr w:type="gramEnd"/>
            <w:r w:rsidRPr="00A258EB">
              <w:rPr>
                <w:bCs/>
                <w:sz w:val="24"/>
                <w:szCs w:val="24"/>
                <w:lang w:eastAsia="ru-RU"/>
              </w:rPr>
              <w:t xml:space="preserve"> по которому Комиссионер обязуется по поручению Комитента за вознаграждение от своего имени, но за счет Комитента совершать сделки по реализации ювелирных изделий из драгоценных металлов и/или драгоценных камней (далее по тексту “Товар”). </w:t>
            </w:r>
          </w:p>
          <w:p w14:paraId="2B1611E3"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Согласно п. 21 Договора комиссии №111 от </w:t>
            </w:r>
            <w:proofErr w:type="gramStart"/>
            <w:r w:rsidRPr="00A258EB">
              <w:rPr>
                <w:bCs/>
                <w:sz w:val="24"/>
                <w:szCs w:val="24"/>
                <w:lang w:eastAsia="ru-RU"/>
              </w:rPr>
              <w:t>30.05.2019  Комитент</w:t>
            </w:r>
            <w:proofErr w:type="gramEnd"/>
            <w:r w:rsidRPr="00A258EB">
              <w:rPr>
                <w:bCs/>
                <w:sz w:val="24"/>
                <w:szCs w:val="24"/>
                <w:lang w:eastAsia="ru-RU"/>
              </w:rPr>
              <w:t xml:space="preserve"> произвел отгрузку товара, а Комиссионер принял товар, что зафиксировано в товарной накладной № ОТЭ_083/17 от 30 мая 2019 года на сумму 1 191 495 рублей. </w:t>
            </w:r>
          </w:p>
          <w:p w14:paraId="08B8F19B"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В соответствии со ст. 990 ГК РФ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 Товар был реализован Вами </w:t>
            </w:r>
            <w:proofErr w:type="gramStart"/>
            <w:r w:rsidRPr="00A258EB">
              <w:rPr>
                <w:bCs/>
                <w:sz w:val="24"/>
                <w:szCs w:val="24"/>
                <w:lang w:eastAsia="ru-RU"/>
              </w:rPr>
              <w:t>по цене</w:t>
            </w:r>
            <w:proofErr w:type="gramEnd"/>
            <w:r w:rsidRPr="00A258EB">
              <w:rPr>
                <w:bCs/>
                <w:sz w:val="24"/>
                <w:szCs w:val="24"/>
                <w:lang w:eastAsia="ru-RU"/>
              </w:rPr>
              <w:t xml:space="preserve"> указанной в дополнительном соглашении.</w:t>
            </w:r>
          </w:p>
          <w:p w14:paraId="3A198D5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На основании пункта 11 Договора комиссии №111 от 30.05.2019 стороны ежемесячно, не позднее 10-го числа каждого месяца должны производить сверку взаиморасчетов по состоянию на последнее число предыдущего месяца. </w:t>
            </w:r>
          </w:p>
          <w:p w14:paraId="0151229F"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Однако Комиссионер не предоставил ни одного отчета для проведения сверки расчетов. Не предоставление ежемесячного отчета для предоставления взаимных сверок расчетов является существенным нарушением договора.</w:t>
            </w:r>
          </w:p>
          <w:p w14:paraId="20A9EE94"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Расходные кассовые ордеры, предоставленные мне в качестве подтверждения принятия мной денежной суммы в размере 3000 рублей, являются подтверждением того факта, что товар реализован и денежные средства за него получены. </w:t>
            </w:r>
          </w:p>
          <w:p w14:paraId="32325BD0" w14:textId="77777777" w:rsidR="00A258EB" w:rsidRPr="00A258EB" w:rsidRDefault="00A258EB" w:rsidP="00A258EB">
            <w:pPr>
              <w:adjustRightInd w:val="0"/>
              <w:ind w:firstLine="709"/>
              <w:jc w:val="both"/>
              <w:rPr>
                <w:bCs/>
                <w:sz w:val="24"/>
                <w:szCs w:val="24"/>
                <w:lang w:eastAsia="ru-RU"/>
              </w:rPr>
            </w:pPr>
            <w:proofErr w:type="gramStart"/>
            <w:r w:rsidRPr="00A258EB">
              <w:rPr>
                <w:bCs/>
                <w:sz w:val="24"/>
                <w:szCs w:val="24"/>
                <w:lang w:eastAsia="ru-RU"/>
              </w:rPr>
              <w:t>Помимо этого</w:t>
            </w:r>
            <w:proofErr w:type="gramEnd"/>
            <w:r w:rsidRPr="00A258EB">
              <w:rPr>
                <w:bCs/>
                <w:sz w:val="24"/>
                <w:szCs w:val="24"/>
                <w:lang w:eastAsia="ru-RU"/>
              </w:rPr>
              <w:t xml:space="preserve"> отчет об исполнении поручения должен содержать в себе необходимые документы, в частности, подтверждающими получение денежной суммы за проданный товар, а также иные расходы, понесенные комиссионером в результате реализации товара. Непредставление отчета рассматривается как ненадлежащее исполнение договора комиссии, даже если предусмотренная </w:t>
            </w:r>
            <w:r w:rsidRPr="00A258EB">
              <w:rPr>
                <w:bCs/>
                <w:sz w:val="24"/>
                <w:szCs w:val="24"/>
                <w:lang w:eastAsia="ru-RU"/>
              </w:rPr>
              <w:lastRenderedPageBreak/>
              <w:t>договором комиссии сделка была совершена и исполнена должным образом. Согласно п. 14 Информационного письма Президиума Высшего Арбитражного Суда РФ №85 от 17 ноября 2004 г. при отказе комиссионера предоставить комитенту данные о сделках, заключенных во исполнение комиссионного поручения по продаже товаров, комитент вправе требовать возмещения ему полной рыночной стоимости всех переданных комиссионеру товаров без уплаты комиссионного вознаграждения.</w:t>
            </w:r>
          </w:p>
          <w:p w14:paraId="50F91ACF"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Кроме того, на основании ст. 395 ГК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Проценты за пользование чужими средствами взимаются по день уплаты суммы этих средств кредитору. Таким образом сумма процентов за неправомерное пользование чужими денежными средствами на сегодняшний день составляет 16 019,90 рублей.</w:t>
            </w:r>
          </w:p>
          <w:p w14:paraId="7F864A07"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ИП Косоротов Игорь Евгеньевич был заключён Договор № ЮУ-8-11-19 от 27.08.19, предметом которого являются </w:t>
            </w:r>
            <w:r w:rsidRPr="00A258EB">
              <w:rPr>
                <w:bCs/>
                <w:sz w:val="24"/>
                <w:szCs w:val="24"/>
                <w:u w:val="single"/>
                <w:lang w:eastAsia="ru-RU"/>
              </w:rPr>
              <w:t>оказание юридических услуг</w:t>
            </w:r>
            <w:r w:rsidRPr="00A258EB">
              <w:rPr>
                <w:bCs/>
                <w:sz w:val="24"/>
                <w:szCs w:val="24"/>
                <w:lang w:eastAsia="ru-RU"/>
              </w:rPr>
              <w:t>, связанных с подготовкой и ведением судебного процесса по взысканию сумм задолженности, неустойки и иных причитающихся истцу платежей через представителя. Договором предусмотрены следующие виды услуг: консультационные услуги, претензионная работа, подготовка искового заявления, сбор документов, прилагаемых к исковому заявлению, подача их в суд, иная правовая и техническая работа, связанная с подготовкой документов, участие Исполнителя и его специалистов в судебном процессе в качестве представителя Заказчика. Общая стоимость оказываемых услуг составила 80 000 ₽, в чем имеются документы, подтверждающие оплату услуг представителя.</w:t>
            </w:r>
          </w:p>
          <w:p w14:paraId="5DD2FA5C"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Данные расходы, заявленные в указанном размере, соответствуют представлениям о разумности в рамках, установленных ст. ст. 106, 110 АПК РФ, а также соответствуют рыночным ценам на услуги профессиональных квалифицированных специалистов, установленным в г. Москве и Московской области.</w:t>
            </w:r>
          </w:p>
          <w:p w14:paraId="01DB732B"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На основании вышеизложенного, руководствуясь ст. 4, правилами гл. 13 АПК РФ,</w:t>
            </w:r>
          </w:p>
          <w:p w14:paraId="5ADDE0A2" w14:textId="77777777" w:rsidR="00A258EB" w:rsidRPr="00A258EB" w:rsidRDefault="00A258EB" w:rsidP="00A258EB">
            <w:pPr>
              <w:adjustRightInd w:val="0"/>
              <w:ind w:firstLine="709"/>
              <w:jc w:val="center"/>
              <w:rPr>
                <w:bCs/>
                <w:sz w:val="24"/>
                <w:szCs w:val="24"/>
                <w:lang w:eastAsia="ru-RU"/>
              </w:rPr>
            </w:pPr>
            <w:r w:rsidRPr="00A258EB">
              <w:rPr>
                <w:bCs/>
                <w:sz w:val="24"/>
                <w:szCs w:val="24"/>
                <w:lang w:eastAsia="ru-RU"/>
              </w:rPr>
              <w:t>ПРОСИМ СУД:</w:t>
            </w:r>
          </w:p>
          <w:p w14:paraId="0CFF808C" w14:textId="77777777" w:rsidR="00A258EB" w:rsidRPr="00A258EB" w:rsidRDefault="00A258EB" w:rsidP="00A258EB">
            <w:pPr>
              <w:numPr>
                <w:ilvl w:val="1"/>
                <w:numId w:val="1"/>
              </w:numPr>
              <w:adjustRightInd w:val="0"/>
              <w:ind w:left="0" w:firstLine="709"/>
              <w:jc w:val="both"/>
              <w:rPr>
                <w:bCs/>
                <w:sz w:val="24"/>
                <w:szCs w:val="24"/>
                <w:lang w:eastAsia="ru-RU"/>
              </w:rPr>
            </w:pPr>
            <w:r w:rsidRPr="00A258EB">
              <w:rPr>
                <w:bCs/>
                <w:sz w:val="24"/>
                <w:szCs w:val="24"/>
                <w:lang w:eastAsia="ru-RU"/>
              </w:rPr>
              <w:t xml:space="preserve">Взыскать в пользу истца с ответчика причитающиеся истцу денежные средства – задолженность по договору комиссии №111 от </w:t>
            </w:r>
            <w:proofErr w:type="gramStart"/>
            <w:r w:rsidRPr="00A258EB">
              <w:rPr>
                <w:bCs/>
                <w:sz w:val="24"/>
                <w:szCs w:val="24"/>
                <w:lang w:eastAsia="ru-RU"/>
              </w:rPr>
              <w:t>30.05.2019  1</w:t>
            </w:r>
            <w:proofErr w:type="gramEnd"/>
            <w:r w:rsidRPr="00A258EB">
              <w:rPr>
                <w:bCs/>
                <w:sz w:val="24"/>
                <w:szCs w:val="24"/>
                <w:lang w:eastAsia="ru-RU"/>
              </w:rPr>
              <w:t xml:space="preserve"> 191 495 ₽;</w:t>
            </w:r>
          </w:p>
          <w:p w14:paraId="40F32F3C" w14:textId="77777777" w:rsidR="00A258EB" w:rsidRPr="00A258EB" w:rsidRDefault="00A258EB" w:rsidP="00A258EB">
            <w:pPr>
              <w:numPr>
                <w:ilvl w:val="1"/>
                <w:numId w:val="1"/>
              </w:numPr>
              <w:adjustRightInd w:val="0"/>
              <w:ind w:left="0" w:firstLine="709"/>
              <w:jc w:val="both"/>
              <w:rPr>
                <w:bCs/>
                <w:sz w:val="24"/>
                <w:szCs w:val="24"/>
                <w:lang w:eastAsia="ru-RU"/>
              </w:rPr>
            </w:pPr>
            <w:r w:rsidRPr="00A258EB">
              <w:rPr>
                <w:bCs/>
                <w:sz w:val="24"/>
                <w:szCs w:val="24"/>
                <w:lang w:eastAsia="ru-RU"/>
              </w:rPr>
              <w:t xml:space="preserve">Взыскать в пользу истца с ответчика причитающиеся истцу денежные </w:t>
            </w:r>
            <w:proofErr w:type="gramStart"/>
            <w:r w:rsidRPr="00A258EB">
              <w:rPr>
                <w:bCs/>
                <w:sz w:val="24"/>
                <w:szCs w:val="24"/>
                <w:lang w:eastAsia="ru-RU"/>
              </w:rPr>
              <w:t>средства  за</w:t>
            </w:r>
            <w:proofErr w:type="gramEnd"/>
            <w:r w:rsidRPr="00A258EB">
              <w:rPr>
                <w:bCs/>
                <w:sz w:val="24"/>
                <w:szCs w:val="24"/>
                <w:lang w:eastAsia="ru-RU"/>
              </w:rPr>
              <w:t xml:space="preserve"> пользования чужими денежными средствами в размере 16 019,</w:t>
            </w:r>
            <w:proofErr w:type="gramStart"/>
            <w:r w:rsidRPr="00A258EB">
              <w:rPr>
                <w:bCs/>
                <w:sz w:val="24"/>
                <w:szCs w:val="24"/>
                <w:lang w:eastAsia="ru-RU"/>
              </w:rPr>
              <w:t>90  ₽</w:t>
            </w:r>
            <w:proofErr w:type="gramEnd"/>
            <w:r w:rsidRPr="00A258EB">
              <w:rPr>
                <w:bCs/>
                <w:sz w:val="24"/>
                <w:szCs w:val="24"/>
                <w:lang w:eastAsia="ru-RU"/>
              </w:rPr>
              <w:t>;</w:t>
            </w:r>
          </w:p>
          <w:p w14:paraId="4C67E95D" w14:textId="77777777" w:rsidR="00A258EB" w:rsidRPr="00A258EB" w:rsidRDefault="00A258EB" w:rsidP="00A258EB">
            <w:pPr>
              <w:numPr>
                <w:ilvl w:val="1"/>
                <w:numId w:val="1"/>
              </w:numPr>
              <w:adjustRightInd w:val="0"/>
              <w:ind w:left="0" w:firstLine="709"/>
              <w:jc w:val="both"/>
              <w:rPr>
                <w:bCs/>
                <w:sz w:val="24"/>
                <w:szCs w:val="24"/>
                <w:lang w:eastAsia="ru-RU"/>
              </w:rPr>
            </w:pPr>
            <w:r w:rsidRPr="00A258EB">
              <w:rPr>
                <w:bCs/>
                <w:sz w:val="24"/>
                <w:szCs w:val="24"/>
                <w:lang w:eastAsia="ru-RU"/>
              </w:rPr>
              <w:t>Взыскать в пользу истца с ответчика судебные расходы на оплату услуг представителя – 80 000 ₽;</w:t>
            </w:r>
          </w:p>
          <w:p w14:paraId="49706316" w14:textId="77777777" w:rsidR="00A258EB" w:rsidRPr="00A258EB" w:rsidRDefault="00A258EB" w:rsidP="00A258EB">
            <w:pPr>
              <w:numPr>
                <w:ilvl w:val="1"/>
                <w:numId w:val="1"/>
              </w:numPr>
              <w:adjustRightInd w:val="0"/>
              <w:ind w:left="0" w:firstLine="709"/>
              <w:jc w:val="both"/>
              <w:rPr>
                <w:bCs/>
                <w:sz w:val="24"/>
                <w:szCs w:val="24"/>
                <w:lang w:eastAsia="ru-RU"/>
              </w:rPr>
            </w:pPr>
            <w:r w:rsidRPr="00A258EB">
              <w:rPr>
                <w:bCs/>
                <w:sz w:val="24"/>
                <w:szCs w:val="24"/>
                <w:lang w:eastAsia="ru-RU"/>
              </w:rPr>
              <w:t>Взыскать в пользу истца с ответчика судебные расходы на оплату государственной пошлины за рассмотрение дела.</w:t>
            </w:r>
          </w:p>
          <w:p w14:paraId="779615B6" w14:textId="77777777" w:rsidR="00A258EB" w:rsidRPr="00A258EB" w:rsidRDefault="00A258EB" w:rsidP="00A258EB">
            <w:pPr>
              <w:adjustRightInd w:val="0"/>
              <w:ind w:firstLine="709"/>
              <w:jc w:val="both"/>
              <w:rPr>
                <w:bCs/>
                <w:sz w:val="24"/>
                <w:szCs w:val="24"/>
                <w:lang w:eastAsia="ru-RU"/>
              </w:rPr>
            </w:pPr>
          </w:p>
          <w:p w14:paraId="53CBD55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Приложение:</w:t>
            </w:r>
          </w:p>
          <w:p w14:paraId="4DC42593"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Платёжное поручение об оплате государственной пошлины за рассмотрение дела;</w:t>
            </w:r>
          </w:p>
          <w:p w14:paraId="78E2505D"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Квитанции об отправке искового заявления в адрес ответчика;</w:t>
            </w:r>
          </w:p>
          <w:p w14:paraId="1D32096E"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 xml:space="preserve">Копия договора комиссии №111 от </w:t>
            </w:r>
            <w:proofErr w:type="gramStart"/>
            <w:r w:rsidRPr="00A258EB">
              <w:rPr>
                <w:bCs/>
                <w:sz w:val="24"/>
                <w:szCs w:val="24"/>
                <w:lang w:eastAsia="ru-RU"/>
              </w:rPr>
              <w:t>30.05.2019  с</w:t>
            </w:r>
            <w:proofErr w:type="gramEnd"/>
            <w:r w:rsidRPr="00A258EB">
              <w:rPr>
                <w:bCs/>
                <w:sz w:val="24"/>
                <w:szCs w:val="24"/>
                <w:lang w:eastAsia="ru-RU"/>
              </w:rPr>
              <w:t xml:space="preserve"> приложениями;</w:t>
            </w:r>
          </w:p>
          <w:p w14:paraId="23A08E5D"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Акта сдачи-приемки от 26.05.19;</w:t>
            </w:r>
          </w:p>
          <w:p w14:paraId="6182519C"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 xml:space="preserve">Копия Претензии исх. № 4 от 02.08.19, </w:t>
            </w:r>
            <w:proofErr w:type="spellStart"/>
            <w:r w:rsidRPr="00A258EB">
              <w:rPr>
                <w:bCs/>
                <w:sz w:val="24"/>
                <w:szCs w:val="24"/>
                <w:lang w:eastAsia="ru-RU"/>
              </w:rPr>
              <w:t>вх</w:t>
            </w:r>
            <w:proofErr w:type="spellEnd"/>
            <w:r w:rsidRPr="00A258EB">
              <w:rPr>
                <w:bCs/>
                <w:sz w:val="24"/>
                <w:szCs w:val="24"/>
                <w:lang w:eastAsia="ru-RU"/>
              </w:rPr>
              <w:t>. № 80 от 10.08.19;</w:t>
            </w:r>
          </w:p>
          <w:p w14:paraId="5F81C6FB"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Договора № ЮУ-8-11-19 от 27.11.19 с приложениями;</w:t>
            </w:r>
          </w:p>
          <w:p w14:paraId="10BB67F3"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Доверенности представителя;</w:t>
            </w:r>
          </w:p>
          <w:p w14:paraId="008F83D0"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lastRenderedPageBreak/>
              <w:t>Копия Диплома представителя истца о высшем юридическом образовании;</w:t>
            </w:r>
          </w:p>
          <w:p w14:paraId="1CC06E53"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Свидетельства о постановке на учёт в налоговом органе;</w:t>
            </w:r>
          </w:p>
          <w:p w14:paraId="1D551CA1"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Свидетельства о регистрации в качестве индивидуального предпринимателя</w:t>
            </w:r>
          </w:p>
          <w:p w14:paraId="65380D7D"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Выписка ЕГРИП на ИП</w:t>
            </w:r>
          </w:p>
          <w:p w14:paraId="326A510F"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Свидетельства о постановке на учёт в налоговом органе ООО «»;</w:t>
            </w:r>
          </w:p>
          <w:p w14:paraId="33B48A1C"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Копия Свидетельства о регистрации в качестве юридического лица ООО «»;</w:t>
            </w:r>
          </w:p>
          <w:p w14:paraId="30232FF6" w14:textId="77777777" w:rsidR="00A258EB" w:rsidRPr="00A258EB" w:rsidRDefault="00A258EB" w:rsidP="00A258EB">
            <w:pPr>
              <w:numPr>
                <w:ilvl w:val="0"/>
                <w:numId w:val="2"/>
              </w:numPr>
              <w:adjustRightInd w:val="0"/>
              <w:ind w:left="0" w:firstLine="709"/>
              <w:jc w:val="both"/>
              <w:rPr>
                <w:bCs/>
                <w:sz w:val="24"/>
                <w:szCs w:val="24"/>
                <w:lang w:eastAsia="ru-RU"/>
              </w:rPr>
            </w:pPr>
            <w:r w:rsidRPr="00A258EB">
              <w:rPr>
                <w:bCs/>
                <w:sz w:val="24"/>
                <w:szCs w:val="24"/>
                <w:lang w:eastAsia="ru-RU"/>
              </w:rPr>
              <w:t>Выписка ЕГРЮЛ на ООО;</w:t>
            </w:r>
          </w:p>
          <w:p w14:paraId="50F3B766"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 xml:space="preserve">Представитель                                                            Барышников И.С. </w:t>
            </w:r>
          </w:p>
        </w:tc>
      </w:tr>
      <w:tr w:rsidR="00A258EB" w:rsidRPr="00A258EB" w14:paraId="27248D5A" w14:textId="77777777">
        <w:trPr>
          <w:trHeight w:val="276"/>
          <w:jc w:val="center"/>
        </w:trPr>
        <w:tc>
          <w:tcPr>
            <w:tcW w:w="1271" w:type="dxa"/>
            <w:tcBorders>
              <w:top w:val="single" w:sz="4" w:space="0" w:color="auto"/>
              <w:left w:val="single" w:sz="4" w:space="0" w:color="auto"/>
              <w:bottom w:val="single" w:sz="4" w:space="0" w:color="auto"/>
              <w:right w:val="single" w:sz="4" w:space="0" w:color="auto"/>
            </w:tcBorders>
            <w:hideMark/>
          </w:tcPr>
          <w:p w14:paraId="29089EEF" w14:textId="77777777" w:rsidR="00A258EB" w:rsidRPr="00A258EB" w:rsidRDefault="00A258EB" w:rsidP="00EC2391">
            <w:pPr>
              <w:adjustRightInd w:val="0"/>
              <w:jc w:val="both"/>
              <w:rPr>
                <w:bCs/>
                <w:sz w:val="24"/>
                <w:szCs w:val="24"/>
                <w:lang w:eastAsia="ru-RU"/>
              </w:rPr>
            </w:pPr>
            <w:r w:rsidRPr="00A258EB">
              <w:rPr>
                <w:bCs/>
                <w:sz w:val="24"/>
                <w:szCs w:val="24"/>
                <w:lang w:eastAsia="ru-RU"/>
              </w:rPr>
              <w:lastRenderedPageBreak/>
              <w:t>Кейс-задача № 5</w:t>
            </w:r>
          </w:p>
        </w:tc>
        <w:tc>
          <w:tcPr>
            <w:tcW w:w="8789" w:type="dxa"/>
            <w:tcBorders>
              <w:top w:val="single" w:sz="4" w:space="0" w:color="auto"/>
              <w:left w:val="single" w:sz="4" w:space="0" w:color="auto"/>
              <w:bottom w:val="single" w:sz="4" w:space="0" w:color="auto"/>
              <w:right w:val="single" w:sz="4" w:space="0" w:color="auto"/>
            </w:tcBorders>
          </w:tcPr>
          <w:p w14:paraId="4AC5F3BE" w14:textId="77777777" w:rsidR="00A258EB" w:rsidRPr="00A258EB" w:rsidRDefault="00A258EB" w:rsidP="00A258EB">
            <w:pPr>
              <w:adjustRightInd w:val="0"/>
              <w:ind w:firstLine="709"/>
              <w:jc w:val="both"/>
              <w:rPr>
                <w:bCs/>
                <w:sz w:val="24"/>
                <w:szCs w:val="24"/>
                <w:lang w:eastAsia="ru-RU"/>
              </w:rPr>
            </w:pPr>
          </w:p>
        </w:tc>
      </w:tr>
    </w:tbl>
    <w:p w14:paraId="404F7A8E" w14:textId="77777777" w:rsidR="00A258EB" w:rsidRPr="00A258EB" w:rsidRDefault="00A258EB" w:rsidP="00A258EB">
      <w:pPr>
        <w:adjustRightInd w:val="0"/>
        <w:ind w:firstLine="709"/>
        <w:jc w:val="both"/>
        <w:rPr>
          <w:bCs/>
          <w:sz w:val="24"/>
          <w:szCs w:val="24"/>
          <w:lang w:eastAsia="ru-RU"/>
        </w:rPr>
      </w:pPr>
    </w:p>
    <w:p w14:paraId="441D70A7" w14:textId="77777777" w:rsidR="00A258EB" w:rsidRPr="00A258EB" w:rsidRDefault="00A258EB" w:rsidP="00A258EB">
      <w:pPr>
        <w:adjustRightInd w:val="0"/>
        <w:ind w:firstLine="709"/>
        <w:jc w:val="both"/>
        <w:rPr>
          <w:bCs/>
          <w:sz w:val="24"/>
          <w:szCs w:val="24"/>
          <w:lang w:eastAsia="ru-RU"/>
        </w:rPr>
      </w:pPr>
    </w:p>
    <w:tbl>
      <w:tblPr>
        <w:tblW w:w="0" w:type="auto"/>
        <w:jc w:val="center"/>
        <w:tblLook w:val="04A0" w:firstRow="1" w:lastRow="0" w:firstColumn="1" w:lastColumn="0" w:noHBand="0" w:noVBand="1"/>
      </w:tblPr>
      <w:tblGrid>
        <w:gridCol w:w="3592"/>
        <w:gridCol w:w="5668"/>
      </w:tblGrid>
      <w:tr w:rsidR="00A258EB" w:rsidRPr="00A258EB" w14:paraId="7CB14508" w14:textId="77777777">
        <w:trPr>
          <w:trHeight w:val="519"/>
          <w:jc w:val="center"/>
        </w:trPr>
        <w:tc>
          <w:tcPr>
            <w:tcW w:w="3592" w:type="dxa"/>
            <w:hideMark/>
          </w:tcPr>
          <w:p w14:paraId="3877930E"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Дата: _________</w:t>
            </w:r>
          </w:p>
        </w:tc>
        <w:tc>
          <w:tcPr>
            <w:tcW w:w="5668" w:type="dxa"/>
            <w:hideMark/>
          </w:tcPr>
          <w:p w14:paraId="5E515880" w14:textId="77777777" w:rsidR="00A258EB" w:rsidRPr="00A258EB" w:rsidRDefault="00A258EB" w:rsidP="00A258EB">
            <w:pPr>
              <w:adjustRightInd w:val="0"/>
              <w:ind w:firstLine="709"/>
              <w:jc w:val="both"/>
              <w:rPr>
                <w:bCs/>
                <w:sz w:val="24"/>
                <w:szCs w:val="24"/>
                <w:lang w:eastAsia="ru-RU"/>
              </w:rPr>
            </w:pPr>
            <w:r w:rsidRPr="00A258EB">
              <w:rPr>
                <w:bCs/>
                <w:sz w:val="24"/>
                <w:szCs w:val="24"/>
                <w:lang w:eastAsia="ru-RU"/>
              </w:rPr>
              <w:t>_________                   ______</w:t>
            </w:r>
            <w:r w:rsidRPr="00A258EB">
              <w:rPr>
                <w:bCs/>
                <w:sz w:val="24"/>
                <w:szCs w:val="24"/>
                <w:lang w:val="en-US" w:eastAsia="ru-RU"/>
              </w:rPr>
              <w:t>_____</w:t>
            </w:r>
            <w:r w:rsidRPr="00A258EB">
              <w:rPr>
                <w:bCs/>
                <w:sz w:val="24"/>
                <w:szCs w:val="24"/>
                <w:lang w:eastAsia="ru-RU"/>
              </w:rPr>
              <w:t>________</w:t>
            </w:r>
          </w:p>
          <w:p w14:paraId="71BD0D39" w14:textId="77777777" w:rsidR="00A258EB" w:rsidRPr="00A258EB" w:rsidRDefault="00A258EB" w:rsidP="00A258EB">
            <w:pPr>
              <w:adjustRightInd w:val="0"/>
              <w:ind w:firstLine="709"/>
              <w:jc w:val="both"/>
              <w:rPr>
                <w:bCs/>
                <w:sz w:val="24"/>
                <w:szCs w:val="24"/>
                <w:vertAlign w:val="superscript"/>
                <w:lang w:eastAsia="ru-RU"/>
              </w:rPr>
            </w:pPr>
            <w:r w:rsidRPr="00A258EB">
              <w:rPr>
                <w:bCs/>
                <w:sz w:val="24"/>
                <w:szCs w:val="24"/>
                <w:lang w:eastAsia="ru-RU"/>
              </w:rPr>
              <w:t xml:space="preserve">   </w:t>
            </w:r>
            <w:r w:rsidRPr="00A258EB">
              <w:rPr>
                <w:bCs/>
                <w:sz w:val="24"/>
                <w:szCs w:val="24"/>
                <w:lang w:val="en-US" w:eastAsia="ru-RU"/>
              </w:rPr>
              <w:t xml:space="preserve">   </w:t>
            </w:r>
            <w:r w:rsidRPr="00A258EB">
              <w:rPr>
                <w:bCs/>
                <w:sz w:val="24"/>
                <w:szCs w:val="24"/>
                <w:vertAlign w:val="superscript"/>
                <w:lang w:eastAsia="ru-RU"/>
              </w:rPr>
              <w:t>(</w:t>
            </w:r>
            <w:proofErr w:type="gramStart"/>
            <w:r w:rsidRPr="00A258EB">
              <w:rPr>
                <w:bCs/>
                <w:sz w:val="24"/>
                <w:szCs w:val="24"/>
                <w:vertAlign w:val="superscript"/>
                <w:lang w:eastAsia="ru-RU"/>
              </w:rPr>
              <w:t xml:space="preserve">подпись)   </w:t>
            </w:r>
            <w:proofErr w:type="gramEnd"/>
            <w:r w:rsidRPr="00A258EB">
              <w:rPr>
                <w:bCs/>
                <w:sz w:val="24"/>
                <w:szCs w:val="24"/>
                <w:vertAlign w:val="superscript"/>
                <w:lang w:eastAsia="ru-RU"/>
              </w:rPr>
              <w:t xml:space="preserve">                           </w:t>
            </w:r>
            <w:r w:rsidRPr="00A258EB">
              <w:rPr>
                <w:bCs/>
                <w:sz w:val="24"/>
                <w:szCs w:val="24"/>
                <w:vertAlign w:val="superscript"/>
                <w:lang w:val="en-US" w:eastAsia="ru-RU"/>
              </w:rPr>
              <w:t xml:space="preserve">            </w:t>
            </w:r>
            <w:r w:rsidRPr="00A258EB">
              <w:rPr>
                <w:bCs/>
                <w:sz w:val="24"/>
                <w:szCs w:val="24"/>
                <w:vertAlign w:val="superscript"/>
                <w:lang w:eastAsia="ru-RU"/>
              </w:rPr>
              <w:t xml:space="preserve">      </w:t>
            </w:r>
            <w:r w:rsidRPr="00A258EB">
              <w:rPr>
                <w:bCs/>
                <w:sz w:val="24"/>
                <w:szCs w:val="24"/>
                <w:vertAlign w:val="superscript"/>
                <w:lang w:val="en-US" w:eastAsia="ru-RU"/>
              </w:rPr>
              <w:t xml:space="preserve">       </w:t>
            </w:r>
            <w:proofErr w:type="gramStart"/>
            <w:r w:rsidRPr="00A258EB">
              <w:rPr>
                <w:bCs/>
                <w:sz w:val="24"/>
                <w:szCs w:val="24"/>
                <w:vertAlign w:val="superscript"/>
                <w:lang w:eastAsia="ru-RU"/>
              </w:rPr>
              <w:t xml:space="preserve">   (</w:t>
            </w:r>
            <w:proofErr w:type="gramEnd"/>
            <w:r w:rsidRPr="00A258EB">
              <w:rPr>
                <w:bCs/>
                <w:sz w:val="24"/>
                <w:szCs w:val="24"/>
                <w:vertAlign w:val="superscript"/>
                <w:lang w:eastAsia="ru-RU"/>
              </w:rPr>
              <w:t>ФИО обучающегося)</w:t>
            </w:r>
          </w:p>
        </w:tc>
      </w:tr>
    </w:tbl>
    <w:p w14:paraId="71F56933" w14:textId="77777777" w:rsidR="00DF395E" w:rsidRDefault="00DF395E" w:rsidP="00DF395E">
      <w:pPr>
        <w:adjustRightInd w:val="0"/>
        <w:jc w:val="both"/>
        <w:rPr>
          <w:sz w:val="24"/>
          <w:szCs w:val="24"/>
          <w:lang w:eastAsia="ru-RU"/>
        </w:rPr>
      </w:pPr>
    </w:p>
    <w:p w14:paraId="6ED1AB28" w14:textId="77777777" w:rsidR="00DF395E" w:rsidRDefault="00DF395E" w:rsidP="00DF395E">
      <w:pPr>
        <w:adjustRightInd w:val="0"/>
        <w:jc w:val="both"/>
        <w:rPr>
          <w:sz w:val="24"/>
          <w:szCs w:val="24"/>
          <w:lang w:eastAsia="ru-RU"/>
        </w:rPr>
      </w:pPr>
    </w:p>
    <w:p w14:paraId="7CA01171" w14:textId="77777777" w:rsidR="00732275" w:rsidRDefault="00732275"/>
    <w:sectPr w:rsidR="007322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0D85"/>
    <w:multiLevelType w:val="hybridMultilevel"/>
    <w:tmpl w:val="B81A6540"/>
    <w:lvl w:ilvl="0" w:tplc="FFFFFFFF">
      <w:start w:val="1"/>
      <w:numFmt w:val="decimal"/>
      <w:lvlText w:val="%1."/>
      <w:lvlJc w:val="left"/>
      <w:pPr>
        <w:ind w:left="720" w:hanging="360"/>
      </w:pPr>
    </w:lvl>
    <w:lvl w:ilvl="1" w:tplc="31121002">
      <w:start w:val="1"/>
      <w:numFmt w:val="lowerLetter"/>
      <w:lvlText w:val="%2."/>
      <w:lvlJc w:val="left"/>
      <w:pPr>
        <w:ind w:left="1440" w:hanging="360"/>
      </w:pPr>
    </w:lvl>
    <w:lvl w:ilvl="2" w:tplc="8390A8A8">
      <w:start w:val="1"/>
      <w:numFmt w:val="lowerRoman"/>
      <w:lvlText w:val="%3."/>
      <w:lvlJc w:val="right"/>
      <w:pPr>
        <w:ind w:left="2160" w:hanging="180"/>
      </w:pPr>
    </w:lvl>
    <w:lvl w:ilvl="3" w:tplc="AE5CA888">
      <w:start w:val="1"/>
      <w:numFmt w:val="decimal"/>
      <w:lvlText w:val="%4."/>
      <w:lvlJc w:val="left"/>
      <w:pPr>
        <w:ind w:left="2880" w:hanging="360"/>
      </w:pPr>
    </w:lvl>
    <w:lvl w:ilvl="4" w:tplc="FC668970">
      <w:start w:val="1"/>
      <w:numFmt w:val="lowerLetter"/>
      <w:lvlText w:val="%5."/>
      <w:lvlJc w:val="left"/>
      <w:pPr>
        <w:ind w:left="3600" w:hanging="360"/>
      </w:pPr>
    </w:lvl>
    <w:lvl w:ilvl="5" w:tplc="02247966">
      <w:start w:val="1"/>
      <w:numFmt w:val="lowerRoman"/>
      <w:lvlText w:val="%6."/>
      <w:lvlJc w:val="right"/>
      <w:pPr>
        <w:ind w:left="4320" w:hanging="180"/>
      </w:pPr>
    </w:lvl>
    <w:lvl w:ilvl="6" w:tplc="DDFA3A6E">
      <w:start w:val="1"/>
      <w:numFmt w:val="decimal"/>
      <w:lvlText w:val="%7."/>
      <w:lvlJc w:val="left"/>
      <w:pPr>
        <w:ind w:left="5040" w:hanging="360"/>
      </w:pPr>
    </w:lvl>
    <w:lvl w:ilvl="7" w:tplc="118A4098">
      <w:start w:val="1"/>
      <w:numFmt w:val="lowerLetter"/>
      <w:lvlText w:val="%8."/>
      <w:lvlJc w:val="left"/>
      <w:pPr>
        <w:ind w:left="5760" w:hanging="360"/>
      </w:pPr>
    </w:lvl>
    <w:lvl w:ilvl="8" w:tplc="58508328">
      <w:start w:val="1"/>
      <w:numFmt w:val="lowerRoman"/>
      <w:lvlText w:val="%9."/>
      <w:lvlJc w:val="right"/>
      <w:pPr>
        <w:ind w:left="6480" w:hanging="180"/>
      </w:pPr>
    </w:lvl>
  </w:abstractNum>
  <w:abstractNum w:abstractNumId="1" w15:restartNumberingAfterBreak="0">
    <w:nsid w:val="6BD35563"/>
    <w:multiLevelType w:val="hybridMultilevel"/>
    <w:tmpl w:val="6F266E0E"/>
    <w:lvl w:ilvl="0" w:tplc="D4705CD0">
      <w:start w:val="1"/>
      <w:numFmt w:val="decimal"/>
      <w:lvlText w:val="%1."/>
      <w:lvlJc w:val="left"/>
      <w:pPr>
        <w:ind w:left="720" w:hanging="360"/>
      </w:pPr>
    </w:lvl>
    <w:lvl w:ilvl="1" w:tplc="0419000F">
      <w:start w:val="1"/>
      <w:numFmt w:val="decimal"/>
      <w:lvlText w:val="%2."/>
      <w:lvlJc w:val="left"/>
      <w:pPr>
        <w:ind w:left="1440" w:hanging="360"/>
      </w:pPr>
    </w:lvl>
    <w:lvl w:ilvl="2" w:tplc="80D4C8AC">
      <w:numFmt w:val="decimal"/>
      <w:lvlText w:val=""/>
      <w:lvlJc w:val="left"/>
      <w:pPr>
        <w:ind w:left="2160" w:hanging="360"/>
      </w:pPr>
      <w:rPr>
        <w:rFonts w:ascii="Wingdings" w:hAnsi="Wingdings" w:hint="default"/>
      </w:rPr>
    </w:lvl>
    <w:lvl w:ilvl="3" w:tplc="2166A090">
      <w:numFmt w:val="decimal"/>
      <w:lvlText w:val=""/>
      <w:lvlJc w:val="left"/>
      <w:pPr>
        <w:ind w:left="2880" w:hanging="360"/>
      </w:pPr>
      <w:rPr>
        <w:rFonts w:ascii="Symbol" w:hAnsi="Symbol" w:hint="default"/>
      </w:rPr>
    </w:lvl>
    <w:lvl w:ilvl="4" w:tplc="3A66E1BA">
      <w:numFmt w:val="decimal"/>
      <w:lvlText w:val="♦"/>
      <w:lvlJc w:val="left"/>
      <w:pPr>
        <w:ind w:left="3600" w:hanging="360"/>
      </w:pPr>
      <w:rPr>
        <w:rFonts w:ascii="Courier New" w:hAnsi="Courier New" w:cs="Times New Roman" w:hint="default"/>
      </w:rPr>
    </w:lvl>
    <w:lvl w:ilvl="5" w:tplc="4A5E6FE0">
      <w:numFmt w:val="decimal"/>
      <w:lvlText w:val=""/>
      <w:lvlJc w:val="left"/>
      <w:pPr>
        <w:ind w:left="4320" w:hanging="360"/>
      </w:pPr>
      <w:rPr>
        <w:rFonts w:ascii="Wingdings" w:hAnsi="Wingdings" w:hint="default"/>
      </w:rPr>
    </w:lvl>
    <w:lvl w:ilvl="6" w:tplc="86D86DDE">
      <w:numFmt w:val="decimal"/>
      <w:lvlText w:val=""/>
      <w:lvlJc w:val="left"/>
      <w:pPr>
        <w:ind w:left="5040" w:hanging="360"/>
      </w:pPr>
      <w:rPr>
        <w:rFonts w:ascii="Wingdings" w:hAnsi="Wingdings" w:hint="default"/>
      </w:rPr>
    </w:lvl>
    <w:lvl w:ilvl="7" w:tplc="4BF8BC82">
      <w:numFmt w:val="decimal"/>
      <w:lvlText w:val=""/>
      <w:lvlJc w:val="left"/>
      <w:pPr>
        <w:ind w:left="5760" w:hanging="360"/>
      </w:pPr>
      <w:rPr>
        <w:rFonts w:ascii="Symbol" w:hAnsi="Symbol" w:hint="default"/>
      </w:rPr>
    </w:lvl>
    <w:lvl w:ilvl="8" w:tplc="3BF0C42C">
      <w:numFmt w:val="decimal"/>
      <w:lvlText w:val="♦"/>
      <w:lvlJc w:val="left"/>
      <w:pPr>
        <w:ind w:left="6480" w:hanging="360"/>
      </w:pPr>
      <w:rPr>
        <w:rFonts w:ascii="Courier New" w:hAnsi="Courier New" w:cs="Times New Roman" w:hint="default"/>
      </w:rPr>
    </w:lvl>
  </w:abstractNum>
  <w:num w:numId="1" w16cid:durableId="466240542">
    <w:abstractNumId w:val="1"/>
  </w:num>
  <w:num w:numId="2" w16cid:durableId="863984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E63"/>
    <w:rsid w:val="000E6199"/>
    <w:rsid w:val="00200C00"/>
    <w:rsid w:val="002F67D3"/>
    <w:rsid w:val="00395F2F"/>
    <w:rsid w:val="005A4687"/>
    <w:rsid w:val="006969E5"/>
    <w:rsid w:val="006F4FD3"/>
    <w:rsid w:val="00732275"/>
    <w:rsid w:val="007A4494"/>
    <w:rsid w:val="008312D6"/>
    <w:rsid w:val="00946021"/>
    <w:rsid w:val="00953A91"/>
    <w:rsid w:val="00A258EB"/>
    <w:rsid w:val="00B50E63"/>
    <w:rsid w:val="00DF395E"/>
    <w:rsid w:val="00EC2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906C"/>
  <w15:chartTrackingRefBased/>
  <w15:docId w15:val="{D59BDC54-EAD1-4877-82E1-DE444648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F395E"/>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F395E"/>
    <w:pPr>
      <w:ind w:left="220"/>
    </w:pPr>
    <w:rPr>
      <w:lang w:val="x-none"/>
    </w:rPr>
  </w:style>
  <w:style w:type="character" w:customStyle="1" w:styleId="a4">
    <w:name w:val="Абзац списка Знак"/>
    <w:link w:val="a3"/>
    <w:uiPriority w:val="34"/>
    <w:qFormat/>
    <w:rsid w:val="00DF395E"/>
    <w:rPr>
      <w:rFonts w:ascii="Times New Roman" w:eastAsia="Times New Roman" w:hAnsi="Times New Roman" w:cs="Times New Roman"/>
      <w:lang w:val="x-none"/>
    </w:rPr>
  </w:style>
  <w:style w:type="character" w:styleId="a5">
    <w:name w:val="Hyperlink"/>
    <w:basedOn w:val="a0"/>
    <w:uiPriority w:val="99"/>
    <w:unhideWhenUsed/>
    <w:rsid w:val="00A258EB"/>
    <w:rPr>
      <w:color w:val="0563C1" w:themeColor="hyperlink"/>
      <w:u w:val="single"/>
    </w:rPr>
  </w:style>
  <w:style w:type="character" w:styleId="a6">
    <w:name w:val="Unresolved Mention"/>
    <w:basedOn w:val="a0"/>
    <w:uiPriority w:val="99"/>
    <w:semiHidden/>
    <w:unhideWhenUsed/>
    <w:rsid w:val="00A25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sk-legal.ru/spory_po_dogovoru_komissi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3504</Words>
  <Characters>19979</Characters>
  <Application>Microsoft Office Word</Application>
  <DocSecurity>0</DocSecurity>
  <Lines>166</Lines>
  <Paragraphs>46</Paragraphs>
  <ScaleCrop>false</ScaleCrop>
  <Company/>
  <LinksUpToDate>false</LinksUpToDate>
  <CharactersWithSpaces>23437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Раловец Анна Дмитриевна</dc:creator>
  <cp:keywords/>
  <dc:description/>
  <cp:lastModifiedBy>Администратор</cp:lastModifiedBy>
  <cp:revision>2</cp:revision>
  <dcterms:created xsi:type="dcterms:W3CDTF">2026-07-07T19:44:00Z</dcterms:created>
  <dcterms:modified xsi:type="dcterms:W3CDTF">2026-07-07T19:44:00Z</dcterms:modified>
</cp:coreProperties>
</file>