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</w:pPr>
      <w:r>
        <w:t xml:space="preserve">Глава </w:t>
      </w:r>
      <w:r>
        <w:t xml:space="preserve">1 </w:t>
      </w:r>
      <w:r>
        <w:t>Теоретические основы социальной поддержки и социальной защиты населения на муниципальном уровне</w:t>
      </w:r>
    </w:p>
    <w:p w14:paraId="0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pStyle w:val="Style_3"/>
      </w:pPr>
      <w:r>
        <w:t xml:space="preserve">1.1 </w:t>
      </w:r>
      <w:r>
        <w:t>Понятие, сущность и принципы социальной защиты и социальной поддержки населения</w:t>
      </w:r>
    </w:p>
    <w:p w14:paraId="0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российском законодательстве отсутствует единое легальное определение «социальной защиты населения», что порождает разночтения в научной литературе. Авторы, как правило, разграничивают широкий и узкий подходы: в первом случае социальная защита трактуется как политика обеспечения социально-экономических прав и гарантий человека, во втором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как система мер, направленных на поддержку социально уязвимых слоёв (нетрудоспособных, малоимущих, семей с детьми)</w:t>
      </w:r>
      <w:r>
        <w:rPr>
          <w:rStyle w:val="Style_4_ch"/>
          <w:rFonts w:ascii="Times New Roman" w:hAnsi="Times New Roman"/>
          <w:sz w:val="28"/>
        </w:rPr>
        <w:footnoteReference w:id="1"/>
      </w:r>
      <w:r>
        <w:rPr>
          <w:rFonts w:ascii="Times New Roman" w:hAnsi="Times New Roman"/>
          <w:sz w:val="28"/>
        </w:rPr>
        <w:t>. В экономической науке социальная защита изучается преимущественно с позиции предотвращения бедности и обеспечения населения материальными средствами при утрате трудоспособности, безработице или иных рисках</w:t>
      </w:r>
      <w:r>
        <w:rPr>
          <w:rStyle w:val="Style_4_ch"/>
          <w:rFonts w:ascii="Times New Roman" w:hAnsi="Times New Roman"/>
          <w:sz w:val="28"/>
        </w:rPr>
        <w:footnoteReference w:id="2"/>
      </w:r>
      <w:r>
        <w:rPr>
          <w:rFonts w:ascii="Times New Roman" w:hAnsi="Times New Roman"/>
          <w:sz w:val="28"/>
        </w:rPr>
        <w:t>.</w:t>
      </w:r>
    </w:p>
    <w:p w14:paraId="0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С.А. </w:t>
      </w:r>
      <w:r>
        <w:rPr>
          <w:rFonts w:ascii="Times New Roman" w:hAnsi="Times New Roman"/>
          <w:sz w:val="28"/>
        </w:rPr>
        <w:t>Юдников</w:t>
      </w:r>
      <w:r>
        <w:rPr>
          <w:rFonts w:ascii="Times New Roman" w:hAnsi="Times New Roman"/>
          <w:sz w:val="28"/>
        </w:rPr>
        <w:t xml:space="preserve"> и И.Г. </w:t>
      </w:r>
      <w:r>
        <w:rPr>
          <w:rFonts w:ascii="Times New Roman" w:hAnsi="Times New Roman"/>
          <w:sz w:val="28"/>
        </w:rPr>
        <w:t>Тарент</w:t>
      </w:r>
      <w:r>
        <w:rPr>
          <w:rFonts w:ascii="Times New Roman" w:hAnsi="Times New Roman"/>
          <w:sz w:val="28"/>
        </w:rPr>
        <w:t xml:space="preserve"> определяют социальную защиту как комплекс мер, направленных на устранение или сглаживание социального неравенства и обеспечение всем членам общества минимально необходимого уровня жизни</w:t>
      </w:r>
      <w:r>
        <w:rPr>
          <w:rStyle w:val="Style_4_ch"/>
          <w:rFonts w:ascii="Times New Roman" w:hAnsi="Times New Roman"/>
          <w:sz w:val="28"/>
        </w:rPr>
        <w:footnoteReference w:id="3"/>
      </w:r>
      <w:r>
        <w:rPr>
          <w:rFonts w:ascii="Times New Roman" w:hAnsi="Times New Roman"/>
          <w:sz w:val="28"/>
        </w:rPr>
        <w:t>. Российское социальное право рассматривает социальную защиту одновременно как систему правовых гарантий и охранительных мер, защищающих членов общества от экономической, социальной и физической деградации, и как процесс обеспечения государственными органами конституционных прав и свобод личности</w:t>
      </w:r>
      <w:r>
        <w:rPr>
          <w:rStyle w:val="Style_4_ch"/>
          <w:rFonts w:ascii="Times New Roman" w:hAnsi="Times New Roman"/>
          <w:sz w:val="28"/>
        </w:rPr>
        <w:footnoteReference w:id="4"/>
      </w:r>
      <w:r>
        <w:rPr>
          <w:rFonts w:ascii="Times New Roman" w:hAnsi="Times New Roman"/>
          <w:sz w:val="28"/>
        </w:rPr>
        <w:t xml:space="preserve">. Понятие «социальная поддержка» </w:t>
      </w:r>
      <w:r>
        <w:rPr>
          <w:rFonts w:ascii="Times New Roman" w:hAnsi="Times New Roman"/>
          <w:sz w:val="28"/>
        </w:rPr>
        <w:t>занимает подчинённое положение по отношению к социальной защите: оно охватывает преимущественно меры денежного и натурального характера, адресованные конкретным категориям граждан (ветераны, инвалиды, семьи с детьми, малоимущие), и не включает в себя систему обязательного страхования</w:t>
      </w:r>
      <w:r>
        <w:rPr>
          <w:rStyle w:val="Style_4_ch"/>
          <w:rFonts w:ascii="Times New Roman" w:hAnsi="Times New Roman"/>
          <w:sz w:val="28"/>
        </w:rPr>
        <w:footnoteReference w:id="5"/>
      </w:r>
      <w:r>
        <w:rPr>
          <w:rFonts w:ascii="Times New Roman" w:hAnsi="Times New Roman"/>
          <w:sz w:val="28"/>
        </w:rPr>
        <w:t>.</w:t>
      </w:r>
    </w:p>
    <w:p w14:paraId="0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Соотношение смежных понятий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«социальная защита», «социальное обеспечение» и «социальная поддержка»</w:t>
      </w:r>
      <w:r>
        <w:rPr>
          <w:rFonts w:ascii="Times New Roman" w:hAnsi="Times New Roman"/>
          <w:sz w:val="28"/>
        </w:rPr>
        <w:t xml:space="preserve">), </w:t>
      </w:r>
      <w:r>
        <w:rPr>
          <w:rFonts w:ascii="Times New Roman" w:hAnsi="Times New Roman"/>
          <w:sz w:val="28"/>
        </w:rPr>
        <w:t xml:space="preserve">принципиально для понимания компетенции муниципальных органов. Государственная система социального обеспечения реализуется в трёх организационно-правовых формах: обязательное социальное страхование, обеспечение за счёт бюджетных средств и государственная социальная помощь. Социальная поддержка является подсистемой бюджетного обеспечения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адресным инструментом для лиц, доход которых не превышает установленный прожиточный минимум. Социальная защита в широком смысле объединяет все три формы, поэтому именно она выступает базовым термином в государственных программах и нормативных актах</w:t>
      </w:r>
      <w:r>
        <w:rPr>
          <w:rStyle w:val="Style_4_ch"/>
          <w:rFonts w:ascii="Times New Roman" w:hAnsi="Times New Roman"/>
          <w:sz w:val="28"/>
        </w:rPr>
        <w:footnoteReference w:id="6"/>
      </w:r>
      <w:r>
        <w:rPr>
          <w:rFonts w:ascii="Times New Roman" w:hAnsi="Times New Roman"/>
          <w:sz w:val="28"/>
        </w:rPr>
        <w:t>.</w:t>
      </w:r>
    </w:p>
    <w:p w14:paraId="0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Принципы системы социальной защиты определяют её функциональную логику. В научной литературе выделяется несколько сопоставимых классификаций: принципы права социального обеспечения, принципы социального обслуживания (закреплённые в ФЗ № 442-ФЗ</w:t>
      </w:r>
      <w:r>
        <w:rPr>
          <w:rStyle w:val="Style_4_ch"/>
          <w:rFonts w:ascii="Times New Roman" w:hAnsi="Times New Roman"/>
          <w:sz w:val="28"/>
        </w:rPr>
        <w:footnoteReference w:id="7"/>
      </w:r>
      <w:r>
        <w:rPr>
          <w:rFonts w:ascii="Times New Roman" w:hAnsi="Times New Roman"/>
          <w:sz w:val="28"/>
        </w:rPr>
        <w:t>), принципы государственной социальной политики и принципы социальной защиты как самостоятельной категории</w:t>
      </w:r>
      <w:r>
        <w:rPr>
          <w:rStyle w:val="Style_4_ch"/>
          <w:rFonts w:ascii="Times New Roman" w:hAnsi="Times New Roman"/>
          <w:sz w:val="28"/>
        </w:rPr>
        <w:footnoteReference w:id="8"/>
      </w:r>
      <w:r>
        <w:rPr>
          <w:rFonts w:ascii="Times New Roman" w:hAnsi="Times New Roman"/>
          <w:sz w:val="28"/>
        </w:rPr>
        <w:t>. Их сравнение приведено в таблице 1.1.</w:t>
      </w:r>
    </w:p>
    <w:p w14:paraId="0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0B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1.1</w:t>
      </w:r>
    </w:p>
    <w:p w14:paraId="0C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Сравнительная характеристика принципов социальной защиты населения по различным подходам</w:t>
      </w:r>
    </w:p>
    <w:tbl>
      <w:tblPr>
        <w:tblStyle w:val="Style_5"/>
        <w:tblLayout w:type="fixed"/>
      </w:tblPr>
      <w:tblGrid>
        <w:gridCol w:w="2562"/>
        <w:gridCol w:w="6793"/>
      </w:tblGrid>
      <w:tr>
        <w:tc>
          <w:tcPr>
            <w:tcW w:type="dxa" w:w="2562"/>
            <w:vAlign w:val="center"/>
          </w:tcPr>
          <w:p w14:paraId="0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Подход</w:t>
            </w:r>
          </w:p>
        </w:tc>
        <w:tc>
          <w:tcPr>
            <w:tcW w:type="dxa" w:w="6793"/>
            <w:vAlign w:val="center"/>
          </w:tcPr>
          <w:p w14:paraId="0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Ключевые принципы</w:t>
            </w:r>
          </w:p>
        </w:tc>
      </w:tr>
      <w:tr>
        <w:tc>
          <w:tcPr>
            <w:tcW w:type="dxa" w:w="2562"/>
            <w:vAlign w:val="center"/>
          </w:tcPr>
          <w:p w14:paraId="0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 социального обеспечения</w:t>
            </w:r>
          </w:p>
        </w:tc>
        <w:tc>
          <w:tcPr>
            <w:tcW w:type="dxa" w:w="6793"/>
            <w:vAlign w:val="center"/>
          </w:tcPr>
          <w:p w14:paraId="1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Всеобщность; дифференциация условий; многообразие оснований и видов; участие общественных объединений</w:t>
            </w:r>
          </w:p>
        </w:tc>
      </w:tr>
      <w:tr>
        <w:tc>
          <w:tcPr>
            <w:tcW w:type="dxa" w:w="2562"/>
            <w:vAlign w:val="center"/>
          </w:tcPr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обслуживание (ФЗ № 442-ФЗ)</w:t>
            </w:r>
          </w:p>
        </w:tc>
        <w:tc>
          <w:tcPr>
            <w:tcW w:type="dxa" w:w="6793"/>
            <w:vAlign w:val="center"/>
          </w:tcPr>
          <w:p w14:paraId="1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Адресность; доступность; добровольность; конфиденциальность; приближённость к месту жительства; сохранение привычной среды</w:t>
            </w:r>
          </w:p>
        </w:tc>
      </w:tr>
      <w:tr>
        <w:tc>
          <w:tcPr>
            <w:tcW w:type="dxa" w:w="2562"/>
            <w:vAlign w:val="center"/>
          </w:tcPr>
          <w:p w14:paraId="1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социальная политика</w:t>
            </w:r>
          </w:p>
        </w:tc>
        <w:tc>
          <w:tcPr>
            <w:tcW w:type="dxa" w:w="6793"/>
            <w:vAlign w:val="center"/>
          </w:tcPr>
          <w:p w14:paraId="1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справедливость; социальная ответственность; социальное партнёрство; социальные гарантии; преемственность</w:t>
            </w:r>
          </w:p>
        </w:tc>
      </w:tr>
      <w:tr>
        <w:tc>
          <w:tcPr>
            <w:tcW w:type="dxa" w:w="2562"/>
            <w:vAlign w:val="center"/>
          </w:tcPr>
          <w:p w14:paraId="1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Наука о социальной защите</w:t>
            </w:r>
          </w:p>
        </w:tc>
        <w:tc>
          <w:tcPr>
            <w:tcW w:type="dxa" w:w="6793"/>
            <w:vAlign w:val="center"/>
          </w:tcPr>
          <w:p w14:paraId="1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Всеобщность; адресность; системность; комплексность; адаптивность; превентивность; многосубъектность; социальная ответственность</w:t>
            </w:r>
          </w:p>
        </w:tc>
      </w:tr>
    </w:tbl>
    <w:p w14:paraId="1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сравнения следует, что принципы адресности и комплексности присутствуют во всех подходах и образуют нормативное ядро системы. Принцип адресности реализуется через критерий нуждаемости, закреплённый в ст. 3 ФЗ № 178-ФЗ «О государственной социальной помощи» от 17.07.1999</w:t>
      </w:r>
      <w:r>
        <w:rPr>
          <w:rStyle w:val="Style_4_ch"/>
          <w:rFonts w:ascii="Times New Roman" w:hAnsi="Times New Roman"/>
          <w:sz w:val="28"/>
        </w:rPr>
        <w:footnoteReference w:id="9"/>
      </w:r>
      <w:r>
        <w:rPr>
          <w:rFonts w:ascii="Times New Roman" w:hAnsi="Times New Roman"/>
          <w:sz w:val="28"/>
        </w:rPr>
        <w:t>, и предполагает предоставление помощи конкретным лицам с учётом их имущественного положения. Принцип адаптивности, выделяемый исследователями, означает способность системы перестраиваться при изменении экономической ситуации и социально-демографических параметров, что особенно значимо для малых муниципальных образований с неустойчивой структурой занятости.</w:t>
      </w:r>
    </w:p>
    <w:p w14:paraId="1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Исторически система социальной защиты в России формировалась в несколько этапов. Советская модель строилась на принципе всеобщности через систему государственного распределения: занятость была гарантирована, а пенсии, медицинское обслуживание и жильё предоставлялись вне зависимости от рыночных механизмов. Переход к рыночной экономике в начале 1990-х годов разрушил эту систему: государство утратило возможность полного финансирования социальных обязательств, а </w:t>
      </w:r>
      <w:r>
        <w:rPr>
          <w:rFonts w:ascii="Times New Roman" w:hAnsi="Times New Roman"/>
          <w:sz w:val="28"/>
        </w:rPr>
        <w:t>новые институты страхования и адресной помощи создавались в условиях острого бюджетного дефицита</w:t>
      </w:r>
      <w:r>
        <w:rPr>
          <w:rStyle w:val="Style_4_ch"/>
          <w:rFonts w:ascii="Times New Roman" w:hAnsi="Times New Roman"/>
          <w:sz w:val="28"/>
        </w:rPr>
        <w:footnoteReference w:id="10"/>
      </w:r>
      <w:r>
        <w:rPr>
          <w:rFonts w:ascii="Times New Roman" w:hAnsi="Times New Roman"/>
          <w:sz w:val="28"/>
        </w:rPr>
        <w:t>.</w:t>
      </w:r>
    </w:p>
    <w:p w14:paraId="1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научной литературе принято выделять три базовые модели социального государства, предложенные Г. </w:t>
      </w:r>
      <w:r>
        <w:rPr>
          <w:rFonts w:ascii="Times New Roman" w:hAnsi="Times New Roman"/>
          <w:sz w:val="28"/>
        </w:rPr>
        <w:t>Эспинг</w:t>
      </w:r>
      <w:r>
        <w:rPr>
          <w:rFonts w:ascii="Times New Roman" w:hAnsi="Times New Roman"/>
          <w:sz w:val="28"/>
        </w:rPr>
        <w:t>-Андерсеном: либеральную, консервативную (корпоративную) и социал-демократическую. Российская модель не вписывается ни в одну из них в чистом виде: от советского наследия она унаследовала высокие ожидания населения в отношении государственного патернализма, тогда как финансовые возможности и институциональный дизайн системы ближе к смешанной модели с элементами корпоративизма</w:t>
      </w:r>
      <w:r>
        <w:rPr>
          <w:rFonts w:ascii="Times New Roman" w:hAnsi="Times New Roman"/>
          <w:sz w:val="28"/>
        </w:rPr>
        <w:t xml:space="preserve">, что в свою очередь, </w:t>
      </w:r>
      <w:r>
        <w:rPr>
          <w:rFonts w:ascii="Times New Roman" w:hAnsi="Times New Roman"/>
          <w:sz w:val="28"/>
        </w:rPr>
        <w:t>определяет постоянное противоречие между декларируемым охватом и реальным объёмом предоставляемой поддержки</w:t>
      </w:r>
      <w:r>
        <w:rPr>
          <w:rStyle w:val="Style_4_ch"/>
          <w:rFonts w:ascii="Times New Roman" w:hAnsi="Times New Roman"/>
          <w:sz w:val="28"/>
        </w:rPr>
        <w:footnoteReference w:id="11"/>
      </w:r>
      <w:r>
        <w:rPr>
          <w:rFonts w:ascii="Times New Roman" w:hAnsi="Times New Roman"/>
          <w:sz w:val="28"/>
        </w:rPr>
        <w:t>.</w:t>
      </w:r>
    </w:p>
    <w:p w14:paraId="1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Категории граждан, нуждающихся в социальной защите, традиционно определяются через критерии физиологической уязвимости и имущественной недостаточности</w:t>
      </w:r>
      <w:r>
        <w:rPr>
          <w:rFonts w:ascii="Times New Roman" w:hAnsi="Times New Roman"/>
          <w:sz w:val="28"/>
        </w:rPr>
        <w:t xml:space="preserve"> (таблица 1.2)</w:t>
      </w:r>
      <w:r>
        <w:rPr>
          <w:rFonts w:ascii="Times New Roman" w:hAnsi="Times New Roman"/>
          <w:sz w:val="28"/>
        </w:rPr>
        <w:t xml:space="preserve">. К первой группе относятся пожилые граждане (мужчины старше 65 лет, женщины старше 60 лет), инвалиды I, II и III групп, дети до 18 лет и беременные женщины; ко второй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малоимущие граждане с доходом ниже прожиточного минимума. Ряд категорий формируется по комбинированному критерию: многодетные семьи, одинокие родители, дети-сироты и дети, оставшиеся без попечения родителей. Именно состав этих категорий определяет номенклатуру мер поддержки, реализуемых на муниципальном уровне.</w:t>
      </w:r>
    </w:p>
    <w:p w14:paraId="1C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</w:t>
      </w:r>
      <w:r>
        <w:rPr>
          <w:rFonts w:ascii="Times New Roman" w:hAnsi="Times New Roman"/>
          <w:sz w:val="28"/>
        </w:rPr>
        <w:t>2</w:t>
      </w:r>
    </w:p>
    <w:p w14:paraId="1D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Классификация категорий получателей социальной поддержки</w:t>
      </w:r>
    </w:p>
    <w:tbl>
      <w:tblPr>
        <w:tblStyle w:val="Style_5"/>
        <w:tblLayout w:type="fixed"/>
      </w:tblPr>
      <w:tblGrid>
        <w:gridCol w:w="2266"/>
        <w:gridCol w:w="2554"/>
        <w:gridCol w:w="4535"/>
      </w:tblGrid>
      <w:tr>
        <w:tc>
          <w:tcPr>
            <w:tcW w:type="dxa" w:w="2266"/>
            <w:vAlign w:val="center"/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Критерий отнесения</w:t>
            </w:r>
          </w:p>
        </w:tc>
        <w:tc>
          <w:tcPr>
            <w:tcW w:type="dxa" w:w="2554"/>
            <w:vAlign w:val="center"/>
          </w:tcPr>
          <w:p w14:paraId="1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граждан</w:t>
            </w:r>
          </w:p>
        </w:tc>
        <w:tc>
          <w:tcPr>
            <w:tcW w:type="dxa" w:w="4535"/>
            <w:vAlign w:val="center"/>
          </w:tcPr>
          <w:p w14:paraId="2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федеральный акт</w:t>
            </w:r>
          </w:p>
        </w:tc>
      </w:tr>
      <w:tr>
        <w:tc>
          <w:tcPr>
            <w:tcW w:type="dxa" w:w="2266"/>
            <w:vAlign w:val="center"/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 и утрата трудоспособности</w:t>
            </w:r>
          </w:p>
        </w:tc>
        <w:tc>
          <w:tcPr>
            <w:tcW w:type="dxa" w:w="2554"/>
            <w:vAlign w:val="center"/>
          </w:tcPr>
          <w:p w14:paraId="2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Пенсионеры, пожилые граждане</w:t>
            </w:r>
          </w:p>
        </w:tc>
        <w:tc>
          <w:tcPr>
            <w:tcW w:type="dxa" w:w="4535"/>
            <w:vAlign w:val="center"/>
          </w:tcPr>
          <w:p w14:paraId="2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400-ФЗ «О страховых пенсиях» от 28.12.2013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2"/>
            </w:r>
          </w:p>
        </w:tc>
      </w:tr>
      <w:tr>
        <w:tc>
          <w:tcPr>
            <w:tcW w:type="dxa" w:w="9355"/>
            <w:gridSpan w:val="3"/>
            <w:tcBorders>
              <w:top w:sz="4" w:val="nil"/>
              <w:left w:sz="4" w:val="nil"/>
              <w:right w:sz="4" w:val="nil"/>
            </w:tcBorders>
            <w:vAlign w:val="center"/>
          </w:tcPr>
          <w:p w14:paraId="24000000">
            <w:pPr>
              <w:spacing w:line="36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Продолжение таблицы 1.2</w:t>
            </w:r>
          </w:p>
        </w:tc>
      </w:tr>
      <w:tr>
        <w:tc>
          <w:tcPr>
            <w:tcW w:type="dxa" w:w="2266"/>
            <w:vAlign w:val="center"/>
          </w:tcPr>
          <w:p w14:paraId="2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Состояние здоровья</w:t>
            </w:r>
          </w:p>
        </w:tc>
        <w:tc>
          <w:tcPr>
            <w:tcW w:type="dxa" w:w="2554"/>
            <w:vAlign w:val="center"/>
          </w:tcPr>
          <w:p w14:paraId="2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Инвалиды I, II, III групп</w:t>
            </w:r>
          </w:p>
        </w:tc>
        <w:tc>
          <w:tcPr>
            <w:tcW w:type="dxa" w:w="4535"/>
            <w:vAlign w:val="center"/>
          </w:tcPr>
          <w:p w14:paraId="2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181-ФЗ «О социальной защите инвалидов» от 24.11.1995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3"/>
            </w:r>
          </w:p>
        </w:tc>
      </w:tr>
      <w:tr>
        <w:tc>
          <w:tcPr>
            <w:tcW w:type="dxa" w:w="2266"/>
            <w:vAlign w:val="center"/>
          </w:tcPr>
          <w:p w14:paraId="2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Семейный статус</w:t>
            </w:r>
          </w:p>
        </w:tc>
        <w:tc>
          <w:tcPr>
            <w:tcW w:type="dxa" w:w="2554"/>
            <w:vAlign w:val="center"/>
          </w:tcPr>
          <w:p w14:paraId="2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Многодетные семьи, одинокие родители</w:t>
            </w:r>
          </w:p>
        </w:tc>
        <w:tc>
          <w:tcPr>
            <w:tcW w:type="dxa" w:w="4535"/>
            <w:vAlign w:val="center"/>
          </w:tcPr>
          <w:p w14:paraId="2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81-ФЗ от 19.05.1995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4"/>
            </w:r>
          </w:p>
        </w:tc>
      </w:tr>
      <w:tr>
        <w:tc>
          <w:tcPr>
            <w:tcW w:type="dxa" w:w="2266"/>
            <w:vAlign w:val="center"/>
          </w:tcPr>
          <w:p w14:paraId="2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Имущественная недостаточность</w:t>
            </w:r>
          </w:p>
        </w:tc>
        <w:tc>
          <w:tcPr>
            <w:tcW w:type="dxa" w:w="2554"/>
            <w:vAlign w:val="center"/>
          </w:tcPr>
          <w:p w14:paraId="2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Малоимущие граждане и семьи</w:t>
            </w:r>
          </w:p>
        </w:tc>
        <w:tc>
          <w:tcPr>
            <w:tcW w:type="dxa" w:w="4535"/>
            <w:vAlign w:val="center"/>
          </w:tcPr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178-ФЗ «О государственной социальной помощи» от 17.07.1999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5"/>
            </w:r>
          </w:p>
        </w:tc>
      </w:tr>
      <w:tr>
        <w:tc>
          <w:tcPr>
            <w:tcW w:type="dxa" w:w="2266"/>
            <w:vAlign w:val="center"/>
          </w:tcPr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Особые обстоятельства</w:t>
            </w:r>
          </w:p>
        </w:tc>
        <w:tc>
          <w:tcPr>
            <w:tcW w:type="dxa" w:w="2554"/>
            <w:vAlign w:val="center"/>
          </w:tcPr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Дети-сироты, дети без попечения родителей</w:t>
            </w:r>
          </w:p>
        </w:tc>
        <w:tc>
          <w:tcPr>
            <w:tcW w:type="dxa" w:w="4535"/>
            <w:vAlign w:val="center"/>
          </w:tcPr>
          <w:p w14:paraId="3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159-ФЗ «О дополнительных гарантиях» от 21.12.1996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6"/>
            </w:r>
          </w:p>
        </w:tc>
      </w:tr>
      <w:tr>
        <w:tc>
          <w:tcPr>
            <w:tcW w:type="dxa" w:w="2266"/>
            <w:vAlign w:val="center"/>
          </w:tcPr>
          <w:p w14:paraId="3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Жизненная ситуация</w:t>
            </w:r>
          </w:p>
        </w:tc>
        <w:tc>
          <w:tcPr>
            <w:tcW w:type="dxa" w:w="2554"/>
            <w:vAlign w:val="center"/>
          </w:tcPr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 без определённого места жительства, освободившиеся из мест лишения свободы</w:t>
            </w:r>
          </w:p>
        </w:tc>
        <w:tc>
          <w:tcPr>
            <w:tcW w:type="dxa" w:w="4535"/>
            <w:vAlign w:val="cente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442-ФЗ «Об основах социального обслуживания» от 28.12.2013</w:t>
            </w:r>
            <w:r>
              <w:rPr>
                <w:rStyle w:val="Style_4_ch"/>
                <w:rFonts w:ascii="Times New Roman" w:hAnsi="Times New Roman"/>
                <w:sz w:val="24"/>
              </w:rPr>
              <w:footnoteReference w:id="17"/>
            </w:r>
          </w:p>
        </w:tc>
      </w:tr>
    </w:tbl>
    <w:p w14:paraId="3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Понятие «трудная жизненная ситуация», закреплённое в ст. 3 ФЗ № 442-ФЗ как основание для признания гражданина нуждающимся в социальном обслуживании, принципиально расширило круг получателей поддержки по сравнению с категориальной моделью: теперь помощь может быть предоставлена любому лицу, которое не способно самостоятельно преодолеть сложившиеся обстоятельства, утратившему работу, оказавшемуся в конфликтной или кризисной внутрисемейной ситуации, а также тем, кому требуется помощь после освобождения из мест лишения свободы</w:t>
      </w:r>
      <w:r>
        <w:rPr>
          <w:rFonts w:ascii="Times New Roman" w:hAnsi="Times New Roman"/>
          <w:sz w:val="28"/>
        </w:rPr>
        <w:t xml:space="preserve">, что в свою очередь, </w:t>
      </w:r>
      <w:r>
        <w:rPr>
          <w:rFonts w:ascii="Times New Roman" w:hAnsi="Times New Roman"/>
          <w:sz w:val="28"/>
        </w:rPr>
        <w:t>размывает традиционные категориальные границы и ориентирует систему на индивидуализацию поддержки.</w:t>
      </w:r>
    </w:p>
    <w:p w14:paraId="3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Концепция социального риска является теоретическим фундаментом, объясняющим природу потребности в социальной защите. Под социальным </w:t>
      </w:r>
      <w:r>
        <w:rPr>
          <w:rFonts w:ascii="Times New Roman" w:hAnsi="Times New Roman"/>
          <w:sz w:val="28"/>
        </w:rPr>
        <w:t>риском понимается вероятность наступления события, влекущего материальную необеспеченность вследствие утраты заработка, дохода от трудовой деятельности или внутрисемейного содержания по экономическим, физиологическим или демографическим причинам. Законодательное определение социального риска содержится в ст. 3 ФЗ № 165-ФЗ «Об основах обязательного социального страхования» от 16.07.1999. Исследователи классифицируют социальные риски на четыре группы:</w:t>
      </w:r>
    </w:p>
    <w:p w14:paraId="37000000">
      <w:pPr>
        <w:pStyle w:val="Style_6"/>
        <w:numPr>
          <w:ilvl w:val="0"/>
          <w:numId w:val="1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нездоровья (болезнь, инвалидность),</w:t>
      </w:r>
    </w:p>
    <w:p w14:paraId="38000000">
      <w:pPr>
        <w:pStyle w:val="Style_6"/>
        <w:numPr>
          <w:ilvl w:val="0"/>
          <w:numId w:val="1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незанятости (безработица),</w:t>
      </w:r>
    </w:p>
    <w:p w14:paraId="39000000">
      <w:pPr>
        <w:pStyle w:val="Style_6"/>
        <w:numPr>
          <w:ilvl w:val="0"/>
          <w:numId w:val="1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 бедности</w:t>
      </w:r>
      <w:r>
        <w:rPr>
          <w:rFonts w:ascii="Times New Roman" w:hAnsi="Times New Roman"/>
          <w:sz w:val="28"/>
        </w:rPr>
        <w:t>,</w:t>
      </w:r>
    </w:p>
    <w:p w14:paraId="3A000000">
      <w:pPr>
        <w:pStyle w:val="Style_6"/>
        <w:numPr>
          <w:ilvl w:val="0"/>
          <w:numId w:val="1"/>
        </w:numPr>
        <w:tabs>
          <w:tab w:leader="none" w:pos="993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риски, вытекающие из семейных обязанностей (многодетность, сиротство, потеря кормильца).</w:t>
      </w:r>
    </w:p>
    <w:p w14:paraId="3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Именно идентификация конкретного вида риска определяет, какой институт системы социальной защиты должен реагировать: страхование, социальная помощь или социальное обслуживание.</w:t>
      </w:r>
    </w:p>
    <w:p w14:paraId="3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D000000">
      <w:pPr>
        <w:pStyle w:val="Style_3"/>
      </w:pPr>
      <w:r>
        <w:t xml:space="preserve">1.2 </w:t>
      </w:r>
      <w:r>
        <w:t>Нормативно-правовое регулирование социальной защиты населения в Российской Федерации</w:t>
      </w:r>
    </w:p>
    <w:p w14:paraId="3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нормативного регулирования в сфере социальной защиты выстроена по многоуровневому принципу и включает федеральный, региональный и муниципальный уровни. На федеральном уровне ключевую роль играют:</w:t>
      </w:r>
    </w:p>
    <w:p w14:paraId="40000000">
      <w:pPr>
        <w:pStyle w:val="Style_6"/>
        <w:numPr>
          <w:ilvl w:val="0"/>
          <w:numId w:val="2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Конституция РФ (ст. 7, 38–41)</w:t>
      </w:r>
      <w:r>
        <w:rPr>
          <w:rStyle w:val="Style_4_ch"/>
          <w:rFonts w:ascii="Times New Roman" w:hAnsi="Times New Roman"/>
          <w:sz w:val="28"/>
        </w:rPr>
        <w:footnoteReference w:id="18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закрепляет статус России как социального государства и гарантирует право на социальное обеспечение по возрасту, болезни, инвалидности, потере кормильца и в иных предусмотренных законом случаях;</w:t>
      </w:r>
    </w:p>
    <w:p w14:paraId="41000000">
      <w:pPr>
        <w:pStyle w:val="Style_6"/>
        <w:numPr>
          <w:ilvl w:val="0"/>
          <w:numId w:val="2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ФЗ № 442-ФЗ от 28.12.2013 «Об основах социального обслуживания граждан в РФ»</w:t>
      </w:r>
      <w:r>
        <w:rPr>
          <w:rStyle w:val="Style_4_ch"/>
          <w:rFonts w:ascii="Times New Roman" w:hAnsi="Times New Roman"/>
          <w:sz w:val="28"/>
        </w:rPr>
        <w:footnoteReference w:id="19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устанавливает принципы, субъектный состав и формы социального обслуживания, вводит институт индивидуальной программы предоставления услуг (ИППСУ);</w:t>
      </w:r>
    </w:p>
    <w:p w14:paraId="42000000">
      <w:pPr>
        <w:pStyle w:val="Style_6"/>
        <w:numPr>
          <w:ilvl w:val="0"/>
          <w:numId w:val="2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ФЗ № 178-ФЗ от 17.07.1999 «О государственной социальной помощи»</w:t>
      </w:r>
      <w:r>
        <w:rPr>
          <w:rStyle w:val="Style_4_ch"/>
          <w:rFonts w:ascii="Times New Roman" w:hAnsi="Times New Roman"/>
          <w:sz w:val="28"/>
        </w:rPr>
        <w:footnoteReference w:id="20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регулирует предоставление государственной помощи малоимущим, включая социальный контракт;</w:t>
      </w:r>
    </w:p>
    <w:p w14:paraId="43000000">
      <w:pPr>
        <w:pStyle w:val="Style_6"/>
        <w:numPr>
          <w:ilvl w:val="0"/>
          <w:numId w:val="2"/>
        </w:numPr>
        <w:tabs>
          <w:tab w:leader="none" w:pos="1134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ФЗ № 131-ФЗ от 06.10.2003 «Об общих принципах организации местного самоуправления в РФ»</w:t>
      </w:r>
      <w:r>
        <w:rPr>
          <w:rStyle w:val="Style_4_ch"/>
          <w:rFonts w:ascii="Times New Roman" w:hAnsi="Times New Roman"/>
          <w:sz w:val="28"/>
        </w:rPr>
        <w:footnoteReference w:id="21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разграничивает вопросы местного значения и переданные государственные полномочия в сфере социальной защиты.</w:t>
      </w:r>
    </w:p>
    <w:p w14:paraId="4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региональном уровне полномочия в сфере социальной политики Свердловской области распределены согласно Положению о Министерстве социальной политики Свердловской области, утверждённому постановлением Правительства Свердловской области. Министерство является уполномоченным органом в сфере социальной защиты населения на территории региона и осуществляет деятельность через территориальные управления социальной политики, которые являются отраслевыми исполнительными органами государственной власти Свердловской области. Территориальное управление поселка Красногвардейский действует в этой вертикали, реализуя переданные государственные полномочия на уровне конкретного поселения.</w:t>
      </w:r>
    </w:p>
    <w:p w14:paraId="4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Обобщение к</w:t>
      </w:r>
      <w:r>
        <w:rPr>
          <w:rFonts w:ascii="Times New Roman" w:hAnsi="Times New Roman"/>
          <w:sz w:val="28"/>
        </w:rPr>
        <w:t>лючевы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федеральны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нормативны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акт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 xml:space="preserve"> в сфере социальной защиты населения</w:t>
      </w:r>
      <w:r>
        <w:rPr>
          <w:rFonts w:ascii="Times New Roman" w:hAnsi="Times New Roman"/>
          <w:sz w:val="28"/>
        </w:rPr>
        <w:t xml:space="preserve"> отражено в таблице 1.3.</w:t>
      </w:r>
    </w:p>
    <w:p w14:paraId="46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47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</w:t>
      </w:r>
      <w:r>
        <w:rPr>
          <w:rFonts w:ascii="Times New Roman" w:hAnsi="Times New Roman"/>
          <w:sz w:val="28"/>
        </w:rPr>
        <w:t>3</w:t>
      </w:r>
    </w:p>
    <w:p w14:paraId="48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Ключевые федеральные нормативные акты в сфере социальной защиты населения</w:t>
      </w:r>
    </w:p>
    <w:tbl>
      <w:tblPr>
        <w:tblStyle w:val="Style_5"/>
        <w:tblLayout w:type="fixed"/>
      </w:tblPr>
      <w:tblGrid>
        <w:gridCol w:w="1798"/>
        <w:gridCol w:w="4166"/>
        <w:gridCol w:w="3391"/>
      </w:tblGrid>
      <w:tr>
        <w:tc>
          <w:tcPr>
            <w:tcW w:type="dxa" w:w="1798"/>
            <w:vAlign w:val="center"/>
          </w:tcPr>
          <w:p w14:paraId="4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Нормативный акт</w:t>
            </w:r>
          </w:p>
        </w:tc>
        <w:tc>
          <w:tcPr>
            <w:tcW w:type="dxa" w:w="4166"/>
            <w:vAlign w:val="center"/>
          </w:tcPr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Предмет регулирования</w:t>
            </w:r>
          </w:p>
        </w:tc>
        <w:tc>
          <w:tcPr>
            <w:tcW w:type="dxa" w:w="3391"/>
            <w:vAlign w:val="center"/>
          </w:tcPr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муниципального уровня</w:t>
            </w:r>
          </w:p>
        </w:tc>
      </w:tr>
      <w:tr>
        <w:tc>
          <w:tcPr>
            <w:tcW w:type="dxa" w:w="1798"/>
            <w:vAlign w:val="center"/>
          </w:tcPr>
          <w:p w14:paraId="4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РФ, ст. 7, 38–41</w:t>
            </w:r>
          </w:p>
        </w:tc>
        <w:tc>
          <w:tcPr>
            <w:tcW w:type="dxa" w:w="4166"/>
            <w:vAlign w:val="center"/>
          </w:tcPr>
          <w:p w14:paraId="4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государство; права на обеспечение по возрасту, инвалидности, при рождении детей</w:t>
            </w:r>
          </w:p>
        </w:tc>
        <w:tc>
          <w:tcPr>
            <w:tcW w:type="dxa" w:w="3391"/>
            <w:vAlign w:val="center"/>
          </w:tcPr>
          <w:p w14:paraId="4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Конституционная основа всей системы</w:t>
            </w:r>
          </w:p>
        </w:tc>
      </w:tr>
      <w:tr>
        <w:tc>
          <w:tcPr>
            <w:tcW w:type="dxa" w:w="1798"/>
            <w:vAlign w:val="center"/>
          </w:tcPr>
          <w:p w14:paraId="4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ФЗ № 131-ФЗ от 06.10.2003</w:t>
            </w:r>
          </w:p>
        </w:tc>
        <w:tc>
          <w:tcPr>
            <w:tcW w:type="dxa" w:w="4166"/>
            <w:vAlign w:val="center"/>
          </w:tcPr>
          <w:p w14:paraId="5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Вопросы местного значения поселений; порядок передачи государственных полномочий</w:t>
            </w:r>
          </w:p>
        </w:tc>
        <w:tc>
          <w:tcPr>
            <w:tcW w:type="dxa" w:w="3391"/>
            <w:vAlign w:val="center"/>
          </w:tcPr>
          <w:p w14:paraId="5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Определяет компетенцию ОМС в социальной сфере</w:t>
            </w:r>
          </w:p>
        </w:tc>
      </w:tr>
      <w:tr>
        <w:tc>
          <w:tcPr>
            <w:tcW w:type="dxa" w:w="1798"/>
            <w:vAlign w:val="center"/>
          </w:tcPr>
          <w:p w14:paraId="5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ФЗ № 442-ФЗ от 28.12.2013</w:t>
            </w:r>
          </w:p>
        </w:tc>
        <w:tc>
          <w:tcPr>
            <w:tcW w:type="dxa" w:w="4166"/>
            <w:vAlign w:val="center"/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Формы социального обслуживания; ИППСУ; права получателей услуг</w:t>
            </w:r>
          </w:p>
        </w:tc>
        <w:tc>
          <w:tcPr>
            <w:tcW w:type="dxa" w:w="3391"/>
            <w:vAlign w:val="center"/>
          </w:tcPr>
          <w:p w14:paraId="5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Регулирует деятельность поставщиков социальных услуг на местах</w:t>
            </w:r>
          </w:p>
        </w:tc>
      </w:tr>
      <w:tr>
        <w:tc>
          <w:tcPr>
            <w:tcW w:type="dxa" w:w="1798"/>
            <w:vAlign w:val="center"/>
          </w:tcPr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ФЗ № 178-ФЗ от 17.07.1999</w:t>
            </w:r>
          </w:p>
        </w:tc>
        <w:tc>
          <w:tcPr>
            <w:tcW w:type="dxa" w:w="4166"/>
            <w:vAlign w:val="center"/>
          </w:tcPr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социальная помощь; социальный контракт</w:t>
            </w:r>
          </w:p>
        </w:tc>
        <w:tc>
          <w:tcPr>
            <w:tcW w:type="dxa" w:w="3391"/>
            <w:vAlign w:val="center"/>
          </w:tcPr>
          <w:p w14:paraId="5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 адресной поддержки малоимущих</w:t>
            </w:r>
          </w:p>
        </w:tc>
      </w:tr>
      <w:tr>
        <w:tc>
          <w:tcPr>
            <w:tcW w:type="dxa" w:w="1798"/>
            <w:vAlign w:val="center"/>
          </w:tcPr>
          <w:p w14:paraId="5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ФЗ № 165-ФЗ от 16.07.1999</w:t>
            </w:r>
          </w:p>
        </w:tc>
        <w:tc>
          <w:tcPr>
            <w:tcW w:type="dxa" w:w="4166"/>
            <w:vAlign w:val="center"/>
          </w:tcPr>
          <w:p w14:paraId="5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Обязательное социальное страхование</w:t>
            </w:r>
          </w:p>
        </w:tc>
        <w:tc>
          <w:tcPr>
            <w:tcW w:type="dxa" w:w="3391"/>
            <w:vAlign w:val="center"/>
          </w:tcPr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Финансовый механизм защиты от социальных рисков</w:t>
            </w:r>
          </w:p>
        </w:tc>
      </w:tr>
    </w:tbl>
    <w:p w14:paraId="5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Существенной особенностью разграничения полномочий является то, что органы местного самоуправления поселений не располагают собственными полномочиями в сфере социальной защиты в классическом понимании. Полномочия по опеке и попечительству отнесены к государственным и с 2008 года переданы субъектам федерации, которые, в свою очередь, могут делегировать их органам местного самоуправления. Аналогичный механизм действует для большинства льготных выплат: они финансируются из регионального или федерального бюджета и только администрируются на муниципальном уровне</w:t>
      </w:r>
      <w:r>
        <w:rPr>
          <w:rFonts w:ascii="Times New Roman" w:hAnsi="Times New Roman"/>
          <w:sz w:val="28"/>
        </w:rPr>
        <w:t xml:space="preserve">, что в свою очередь, </w:t>
      </w:r>
      <w:r>
        <w:rPr>
          <w:rFonts w:ascii="Times New Roman" w:hAnsi="Times New Roman"/>
          <w:sz w:val="28"/>
        </w:rPr>
        <w:t>порождает зависимость муниципальных органов от межбюджетных трансфертов и делает самостоятельное расширение мер поддержки крайне ограниченным</w:t>
      </w:r>
      <w:r>
        <w:rPr>
          <w:rStyle w:val="Style_4_ch"/>
          <w:rFonts w:ascii="Times New Roman" w:hAnsi="Times New Roman"/>
          <w:sz w:val="28"/>
        </w:rPr>
        <w:footnoteReference w:id="22"/>
      </w:r>
      <w:r>
        <w:rPr>
          <w:rFonts w:ascii="Times New Roman" w:hAnsi="Times New Roman"/>
          <w:sz w:val="28"/>
        </w:rPr>
        <w:t>.</w:t>
      </w:r>
    </w:p>
    <w:p w14:paraId="5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Значимой вехой в развитии нормативной базы стало принятие в 2020 году поправок к Конституции РФ, дополнивших её ст. 75.1. Данная норма закрепила принципы взаимного доверия государства и общества, а также обеспечение сбалансированности прав и обязанностей граждан, что </w:t>
      </w:r>
      <w:r>
        <w:rPr>
          <w:rFonts w:ascii="Times New Roman" w:hAnsi="Times New Roman"/>
          <w:sz w:val="28"/>
        </w:rPr>
        <w:t>расширило конституционную трактовку социального государства, ранее ограниченную содержанием ст. 7. Конституционный суд РФ неоднократно указывал, что закреплённые в ст. 7 принципы носят не декларативный, а обязывающий характер для законодателя при установлении и отмене социальных гарантий.</w:t>
      </w:r>
    </w:p>
    <w:p w14:paraId="5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1 января 2023 года федеральное законодательство претерпело существенные изменения в части поддержки семей с детьми: введено единое (универсальное) пособие на детей в возрасте до 17 лет и беременных женщин, вставших на учёт в ранние сроки беременности. Пособие объединило шесть ранее действовавших мер поддержки и назначается семьям с доходом ниже прожиточного минимума на человека с применением комплексной оценки нуждаемости. Его размер составляет 50, 75 или 100% регионального прожиточного минимума на детей в зависимости от финансовой обеспеченности семьи. Единственным оператором назначения определён Социальный фонд России (СФР), а заявление подаётся через портал Госуслуги без сбора справок.</w:t>
      </w:r>
    </w:p>
    <w:p w14:paraId="5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Параллельно с реформированием выплат реализуется концепция «социального казначейства»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единой цифровой платформы, предусматривающей проактивное (беззаявительное) предоставление ряда мер социальной поддержки по факту наступления страхового или социального события. С 1 января 2024 года Единая государственная информационная система социального обеспечения (ЕГИССО) стала подсистемой этой платформы. Переход к проактивному назначению означает, что часть мер поддержки гражданам назначается автоматически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без подачи заявлений, что принципиально меняет роль территориальных управлений: из органов, принимающих обращения, они превращаются в операторов цифровых сервисов и проводников между гражданином и платформой.</w:t>
      </w:r>
    </w:p>
    <w:p w14:paraId="6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Ключевые изменения законодательства в сфере социальной защиты</w:t>
      </w:r>
      <w:r>
        <w:rPr>
          <w:rFonts w:ascii="Times New Roman" w:hAnsi="Times New Roman"/>
          <w:sz w:val="28"/>
        </w:rPr>
        <w:t>, отражены в таблице 1.4.</w:t>
      </w:r>
    </w:p>
    <w:p w14:paraId="6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62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</w:t>
      </w:r>
      <w:r>
        <w:rPr>
          <w:rFonts w:ascii="Times New Roman" w:hAnsi="Times New Roman"/>
          <w:sz w:val="28"/>
        </w:rPr>
        <w:t>4</w:t>
      </w:r>
    </w:p>
    <w:p w14:paraId="63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Ключевые изменения законодательства в сфере социальной защиты </w:t>
      </w:r>
    </w:p>
    <w:tbl>
      <w:tblPr>
        <w:tblStyle w:val="Style_5"/>
        <w:tblLayout w:type="fixed"/>
      </w:tblPr>
      <w:tblGrid>
        <w:gridCol w:w="989"/>
        <w:gridCol w:w="3548"/>
        <w:gridCol w:w="4818"/>
      </w:tblGrid>
      <w:tr>
        <w:tc>
          <w:tcPr>
            <w:tcW w:type="dxa" w:w="989"/>
            <w:vAlign w:val="center"/>
          </w:tcPr>
          <w:p w14:paraId="6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3548"/>
            <w:vAlign w:val="center"/>
          </w:tcPr>
          <w:p w14:paraId="6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акт / событие</w:t>
            </w:r>
          </w:p>
        </w:tc>
        <w:tc>
          <w:tcPr>
            <w:tcW w:type="dxa" w:w="4818"/>
            <w:vAlign w:val="center"/>
          </w:tcPr>
          <w:p w14:paraId="6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изменения</w:t>
            </w:r>
          </w:p>
        </w:tc>
      </w:tr>
      <w:tr>
        <w:tc>
          <w:tcPr>
            <w:tcW w:type="dxa" w:w="989"/>
            <w:vAlign w:val="center"/>
          </w:tcPr>
          <w:p w14:paraId="6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2013</w:t>
            </w:r>
          </w:p>
        </w:tc>
        <w:tc>
          <w:tcPr>
            <w:tcW w:type="dxa" w:w="3548"/>
            <w:vAlign w:val="center"/>
          </w:tcPr>
          <w:p w14:paraId="6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442-ФЗ от 28.12.2013</w:t>
            </w:r>
          </w:p>
        </w:tc>
        <w:tc>
          <w:tcPr>
            <w:tcW w:type="dxa" w:w="4818"/>
            <w:vAlign w:val="center"/>
          </w:tcPr>
          <w:p w14:paraId="6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Переход к заявительной модели; введены ИППСУ, рынок социальных услуг с участием НКО</w:t>
            </w:r>
          </w:p>
        </w:tc>
      </w:tr>
      <w:tr>
        <w:tc>
          <w:tcPr>
            <w:tcW w:type="dxa" w:w="989"/>
            <w:vAlign w:val="center"/>
          </w:tcPr>
          <w:p w14:paraId="6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2015</w:t>
            </w:r>
          </w:p>
        </w:tc>
        <w:tc>
          <w:tcPr>
            <w:tcW w:type="dxa" w:w="3548"/>
            <w:vAlign w:val="center"/>
          </w:tcPr>
          <w:p w14:paraId="6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388-ФЗ от 29.12.2015 (поправки в ФЗ-178)</w:t>
            </w:r>
          </w:p>
        </w:tc>
        <w:tc>
          <w:tcPr>
            <w:tcW w:type="dxa" w:w="4818"/>
            <w:vAlign w:val="center"/>
          </w:tcPr>
          <w:p w14:paraId="6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Расширение института социального контракта на уровень субъектов РФ</w:t>
            </w:r>
          </w:p>
        </w:tc>
      </w:tr>
      <w:tr>
        <w:tc>
          <w:tcPr>
            <w:tcW w:type="dxa" w:w="989"/>
            <w:vAlign w:val="center"/>
          </w:tcPr>
          <w:p w14:paraId="6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2020</w:t>
            </w:r>
          </w:p>
        </w:tc>
        <w:tc>
          <w:tcPr>
            <w:tcW w:type="dxa" w:w="3548"/>
            <w:vAlign w:val="center"/>
          </w:tcPr>
          <w:p w14:paraId="6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Поправки к Конституции РФ (ст. 75.1)</w:t>
            </w:r>
          </w:p>
        </w:tc>
        <w:tc>
          <w:tcPr>
            <w:tcW w:type="dxa" w:w="4818"/>
            <w:vAlign w:val="center"/>
          </w:tcPr>
          <w:p w14:paraId="6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Конституционное закрепление принципов социального государства и сбалансированности прав и обязанностей</w:t>
            </w:r>
          </w:p>
        </w:tc>
      </w:tr>
      <w:tr>
        <w:tc>
          <w:tcPr>
            <w:tcW w:type="dxa" w:w="989"/>
            <w:vAlign w:val="center"/>
          </w:tcPr>
          <w:p w14:paraId="7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</w:t>
            </w:r>
          </w:p>
        </w:tc>
        <w:tc>
          <w:tcPr>
            <w:tcW w:type="dxa" w:w="3548"/>
            <w:vAlign w:val="center"/>
          </w:tcPr>
          <w:p w14:paraId="7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РФ № 1894 от 03.11.2021</w:t>
            </w:r>
          </w:p>
        </w:tc>
        <w:tc>
          <w:tcPr>
            <w:tcW w:type="dxa" w:w="4818"/>
            <w:vAlign w:val="center"/>
          </w:tcPr>
          <w:p w14:paraId="7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Единые правила социального контракта; распространение на все регионы</w:t>
            </w:r>
          </w:p>
        </w:tc>
      </w:tr>
      <w:tr>
        <w:tc>
          <w:tcPr>
            <w:tcW w:type="dxa" w:w="989"/>
            <w:vAlign w:val="center"/>
          </w:tcPr>
          <w:p w14:paraId="7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type="dxa" w:w="3548"/>
            <w:vAlign w:val="center"/>
          </w:tcPr>
          <w:p w14:paraId="7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ФЗ № 713-ФЗ от 21.11.2022 (вступил в силу с 01.01.2023)</w:t>
            </w:r>
          </w:p>
        </w:tc>
        <w:tc>
          <w:tcPr>
            <w:tcW w:type="dxa" w:w="4818"/>
            <w:vAlign w:val="center"/>
          </w:tcPr>
          <w:p w14:paraId="7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Введено единое пособие на детей до 17 лет и беременных; объединение 6 мер поддержки</w:t>
            </w:r>
          </w:p>
        </w:tc>
      </w:tr>
      <w:tr>
        <w:tc>
          <w:tcPr>
            <w:tcW w:type="dxa" w:w="989"/>
            <w:vAlign w:val="center"/>
          </w:tcPr>
          <w:p w14:paraId="7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type="dxa" w:w="3548"/>
            <w:vAlign w:val="center"/>
          </w:tcPr>
          <w:p w14:paraId="7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РФ № 789 от 12.06.2024</w:t>
            </w:r>
          </w:p>
        </w:tc>
        <w:tc>
          <w:tcPr>
            <w:tcW w:type="dxa" w:w="4818"/>
            <w:vAlign w:val="center"/>
          </w:tcPr>
          <w:p w14:paraId="7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 ПМ на 2025 год (17 733 руб. на душу населения); рост на 14,8%</w:t>
            </w:r>
          </w:p>
        </w:tc>
      </w:tr>
      <w:tr>
        <w:tc>
          <w:tcPr>
            <w:tcW w:type="dxa" w:w="989"/>
            <w:vAlign w:val="center"/>
          </w:tcPr>
          <w:p w14:paraId="7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</w:t>
            </w:r>
          </w:p>
        </w:tc>
        <w:tc>
          <w:tcPr>
            <w:tcW w:type="dxa" w:w="3548"/>
            <w:vAlign w:val="center"/>
          </w:tcPr>
          <w:p w14:paraId="7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Единая цифровая платформа (ЕЦП)</w:t>
            </w:r>
          </w:p>
        </w:tc>
        <w:tc>
          <w:tcPr>
            <w:tcW w:type="dxa" w:w="4818"/>
            <w:vAlign w:val="center"/>
          </w:tcPr>
          <w:p w14:paraId="7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ЕГИССО включена в ЕЦП; переход к проактивному назначению мер поддержки</w:t>
            </w:r>
          </w:p>
        </w:tc>
      </w:tr>
    </w:tbl>
    <w:p w14:paraId="7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Прожиточный минимум с 2021 года рассчитывается не на основе потребительской корзины, а как доля (44,2%) от медианного среднедушевого дохода по данным Росстата за предыдущий год. Такая методика делает ПМ более чувствительным к динамике реальных доходов населения и снижает риск его формального занижения. На 2025 год федеральный ПМ составляет 17 733 рублей на душу населения (для трудоспособных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19 329 руб., пенсионеров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15 250 руб., детей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17 201 руб.). Субъекты РФ вправе устанавливать региональный ПМ выше федерального с учётом местных условий, что непосредственно влияет на размер адресных выплат и круг получателей в каждом муниципальном образовании.</w:t>
      </w:r>
    </w:p>
    <w:p w14:paraId="7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Функциональная модель взаимодействия федерального, регионального и муниципального уровней в сфере социальной защиты строится по принципу субсидиарности: каждый нижестоящий уровень получает полномочия ровно в той мере, в которой он способен их исполнять эффективнее вышестоящего. На практике это означает, что за федеральным центром закреплены стандарты, финансирование и единая информационная система; субъект РФ формирует реестр поставщиков, устанавливает региональные надбавки и надзирает за </w:t>
      </w:r>
      <w:r>
        <w:rPr>
          <w:rFonts w:ascii="Times New Roman" w:hAnsi="Times New Roman"/>
          <w:sz w:val="28"/>
        </w:rPr>
        <w:t>исполнением; территориальное управление непосредственно взаимодействует с получателями. Данная конструкция порождает зависимость муниципального уровня от межбюджетных трансфертов и ограничивает самостоятельность территориальных органов в принятии решений о назначении мер поддержки сверх установленных нормативов.</w:t>
      </w:r>
    </w:p>
    <w:p w14:paraId="7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0000000">
      <w:pPr>
        <w:pStyle w:val="Style_3"/>
      </w:pPr>
      <w:r>
        <w:t xml:space="preserve">1.3 </w:t>
      </w:r>
      <w:r>
        <w:t>Формы и механизмы реализации социальной поддержки населения на муниципальном уровне</w:t>
      </w:r>
    </w:p>
    <w:p w14:paraId="8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социальной поддержки на муниципальном уровне осуществляется через несколько организационно-правовых форм и инструментов, которые существенно различаются по природе, источнику финансирования и охватываемым категориям граждан. Системообразующее значение имеет разграничение между обязательным социальным страхованием (федеральный уровень, внебюджетные фонды), государственным социальным обеспечением и государственной социальной помощью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последние две формы в части предоставления конкретных услуг и выплат исполняются территориальными управлениями социальной политики.</w:t>
      </w:r>
    </w:p>
    <w:p w14:paraId="83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</w:t>
      </w:r>
      <w:r>
        <w:rPr>
          <w:rFonts w:ascii="Times New Roman" w:hAnsi="Times New Roman"/>
          <w:sz w:val="28"/>
        </w:rPr>
        <w:t>5</w:t>
      </w:r>
    </w:p>
    <w:p w14:paraId="84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Организационно-правовые формы социальной защиты и их реализация на муниципальном уровне</w:t>
      </w:r>
    </w:p>
    <w:tbl>
      <w:tblPr>
        <w:tblStyle w:val="Style_5"/>
        <w:tblLayout w:type="fixed"/>
      </w:tblPr>
      <w:tblGrid>
        <w:gridCol w:w="2113"/>
        <w:gridCol w:w="2549"/>
        <w:gridCol w:w="2045"/>
        <w:gridCol w:w="2648"/>
      </w:tblGrid>
      <w:tr>
        <w:tc>
          <w:tcPr>
            <w:tcW w:type="dxa" w:w="2113"/>
            <w:vAlign w:val="center"/>
          </w:tcPr>
          <w:p w14:paraId="8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</w:p>
        </w:tc>
        <w:tc>
          <w:tcPr>
            <w:tcW w:type="dxa" w:w="2549"/>
            <w:vAlign w:val="center"/>
          </w:tcPr>
          <w:p w14:paraId="8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Основание</w:t>
            </w:r>
          </w:p>
        </w:tc>
        <w:tc>
          <w:tcPr>
            <w:tcW w:type="dxa" w:w="2045"/>
            <w:vAlign w:val="center"/>
          </w:tcPr>
          <w:p w14:paraId="8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Источник финансирования</w:t>
            </w:r>
          </w:p>
        </w:tc>
        <w:tc>
          <w:tcPr>
            <w:tcW w:type="dxa" w:w="2648"/>
            <w:vAlign w:val="center"/>
          </w:tcPr>
          <w:p w14:paraId="8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Роль муниципального уровня</w:t>
            </w:r>
          </w:p>
        </w:tc>
      </w:tr>
      <w:tr>
        <w:tc>
          <w:tcPr>
            <w:tcW w:type="dxa" w:w="2113"/>
            <w:vAlign w:val="center"/>
          </w:tcPr>
          <w:p w14:paraId="8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Обязательное социальное страхование</w:t>
            </w:r>
          </w:p>
        </w:tc>
        <w:tc>
          <w:tcPr>
            <w:tcW w:type="dxa" w:w="2549"/>
            <w:vAlign w:val="center"/>
          </w:tcPr>
          <w:p w14:paraId="8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Трудовая деятельность, уплата взносов</w:t>
            </w:r>
          </w:p>
        </w:tc>
        <w:tc>
          <w:tcPr>
            <w:tcW w:type="dxa" w:w="2045"/>
            <w:vAlign w:val="center"/>
          </w:tcPr>
          <w:p w14:paraId="8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СФР, ФСС</w:t>
            </w:r>
          </w:p>
        </w:tc>
        <w:tc>
          <w:tcPr>
            <w:tcW w:type="dxa" w:w="2648"/>
            <w:vAlign w:val="center"/>
          </w:tcPr>
          <w:p w14:paraId="8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Информирование; содействие в оформлении</w:t>
            </w:r>
          </w:p>
        </w:tc>
      </w:tr>
      <w:tr>
        <w:tc>
          <w:tcPr>
            <w:tcW w:type="dxa" w:w="2113"/>
            <w:vAlign w:val="center"/>
          </w:tcPr>
          <w:p w14:paraId="8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социальное обеспечение</w:t>
            </w:r>
          </w:p>
        </w:tc>
        <w:tc>
          <w:tcPr>
            <w:tcW w:type="dxa" w:w="2549"/>
            <w:vAlign w:val="center"/>
          </w:tcPr>
          <w:p w14:paraId="8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Категориальная принадлежность (ветераны, инвалиды и др.)</w:t>
            </w:r>
          </w:p>
        </w:tc>
        <w:tc>
          <w:tcPr>
            <w:tcW w:type="dxa" w:w="2045"/>
            <w:vAlign w:val="center"/>
          </w:tcPr>
          <w:p w14:paraId="8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Федеральный и региональный бюджет</w:t>
            </w:r>
          </w:p>
        </w:tc>
        <w:tc>
          <w:tcPr>
            <w:tcW w:type="dxa" w:w="2648"/>
            <w:vAlign w:val="center"/>
          </w:tcPr>
          <w:p w14:paraId="9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Администрирование выплат, ведение регистров</w:t>
            </w:r>
          </w:p>
        </w:tc>
      </w:tr>
      <w:tr>
        <w:tc>
          <w:tcPr>
            <w:tcW w:type="dxa" w:w="2113"/>
            <w:vAlign w:val="center"/>
          </w:tcPr>
          <w:p w14:paraId="9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социальная помощь</w:t>
            </w:r>
          </w:p>
        </w:tc>
        <w:tc>
          <w:tcPr>
            <w:tcW w:type="dxa" w:w="2549"/>
            <w:vAlign w:val="center"/>
          </w:tcPr>
          <w:p w14:paraId="9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Критерий нуждаемости (доход ниже ПМ)</w:t>
            </w:r>
          </w:p>
        </w:tc>
        <w:tc>
          <w:tcPr>
            <w:tcW w:type="dxa" w:w="2045"/>
            <w:vAlign w:val="center"/>
          </w:tcPr>
          <w:p w14:paraId="9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Региональный бюджет</w:t>
            </w:r>
          </w:p>
        </w:tc>
        <w:tc>
          <w:tcPr>
            <w:tcW w:type="dxa" w:w="2648"/>
            <w:vAlign w:val="center"/>
          </w:tcPr>
          <w:p w14:paraId="9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социальный контракт, ИППСУ</w:t>
            </w:r>
          </w:p>
        </w:tc>
      </w:tr>
      <w:tr>
        <w:tc>
          <w:tcPr>
            <w:tcW w:type="dxa" w:w="2113"/>
            <w:vAlign w:val="center"/>
          </w:tcPr>
          <w:p w14:paraId="9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обслуживание</w:t>
            </w:r>
          </w:p>
        </w:tc>
        <w:tc>
          <w:tcPr>
            <w:tcW w:type="dxa" w:w="2549"/>
            <w:vAlign w:val="center"/>
          </w:tcPr>
          <w:p w14:paraId="9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Трудная жизненная ситуация</w:t>
            </w:r>
          </w:p>
        </w:tc>
        <w:tc>
          <w:tcPr>
            <w:tcW w:type="dxa" w:w="2045"/>
            <w:vAlign w:val="center"/>
          </w:tcPr>
          <w:p w14:paraId="9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Региональный бюджет</w:t>
            </w:r>
          </w:p>
        </w:tc>
        <w:tc>
          <w:tcPr>
            <w:tcW w:type="dxa" w:w="2648"/>
            <w:vAlign w:val="center"/>
          </w:tcPr>
          <w:p w14:paraId="9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предоставление услуг поставщиками</w:t>
            </w:r>
          </w:p>
        </w:tc>
      </w:tr>
    </w:tbl>
    <w:p w14:paraId="9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социального обслуживания, установленные ФЗ № 442-ФЗ, включают: на дому, в полустационарных условиях (дневное пребывание) и в стационарных организациях. Обслуживание на дому охватывает граждан пожилого возраста и инвалидов, частично утративших способность к самообслуживанию, и является наиболее востребованной формой в малых поселениях, где доступность стационарных учреждений ограничена. Основанием для признания гражданина нуждающимся в социальном обслуживании служит заявление, по которому уполномоченный орган принимает решение в течение пяти рабочих дней.</w:t>
      </w:r>
    </w:p>
    <w:p w14:paraId="9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Отдельного рассмотрения заслуживает социальный контракт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соглашение между органом социальной защиты и малоимущим гражданином, по которому государство предоставляет помощь (денежную или натуральную), а гражданин принимает на себя обязательство по выполнению программы социальной адаптации (трудоустройство, открытие ИП, ведение личного подсобного хозяйства). Этот инструмент нормативно закреплён в ФЗ № 178-ФЗ и с 2021 года реализуется на всей территории России за исключением Москвы, финансируясь из федерального и регионального бюджетов. Принципиальное отличие социального контракта от адресных пособий состоит в его возмездном характере: получатель обязуется активными действиями улучшить собственное материальное положение, что переориентирует поддержку с компенсационной модели на активизирующую.</w:t>
      </w:r>
    </w:p>
    <w:p w14:paraId="9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Межведомственное взаимодействие является одним из ключевых операционных механизмов на муниципальном уровне. Территориальные органы социальной защиты в Свердловской области осуществляют координацию с органами здравоохранения, образования, миграционной службы, службы занятости и внутренних дел по вопросам предоставления мер социальной поддержки. В рамках ФЗ № 442-ФЗ закреплён институт социального сопровождения (ст. 22), предполагающий привлечение профильных специалистов различных ведомств для содействия в получении медицинских, образовательных, психологических и иных услуг. На практике </w:t>
      </w:r>
      <w:r>
        <w:rPr>
          <w:rFonts w:ascii="Times New Roman" w:hAnsi="Times New Roman"/>
          <w:sz w:val="28"/>
        </w:rPr>
        <w:t>результативность межведомственного взаимодействия определяется наличием единых регламентов и информационных систем персонифицированного учёта, которые для малых поселений нередко остаются слабо развитыми.</w:t>
      </w:r>
    </w:p>
    <w:p w14:paraId="9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Механизм адресной поддержки сопряжён с системой ИППСУ (индивидуальная программа предоставления социальных услуг), формируемой уполномоченным органом субъекта на основании обращения гражданина и пересматриваемой не реже одного раза в три года либо при изменении потребностей получателя. ИППСУ фиксирует форму, вид, объём, периодичность и условия предоставления услуг, а также перечень рекомендованных поставщиков. Гражданин вправе выбирать поставщика услуг, в том числе социально ориентированные НКО и частные организации, включённые в региональный реестр. Введение этого инструмента в 2013–2014 годах обозначило переход от нормативной (</w:t>
      </w:r>
      <w:r>
        <w:rPr>
          <w:rFonts w:ascii="Times New Roman" w:hAnsi="Times New Roman"/>
          <w:sz w:val="28"/>
        </w:rPr>
        <w:t>катeгориальной</w:t>
      </w:r>
      <w:r>
        <w:rPr>
          <w:rFonts w:ascii="Times New Roman" w:hAnsi="Times New Roman"/>
          <w:sz w:val="28"/>
        </w:rPr>
        <w:t>) к заявительной модели социального обслуживания, при которой объём помощи определяется не принадлежностью к льготной категории, а индивидуально установленной нуждаемостью</w:t>
      </w:r>
      <w:r>
        <w:rPr>
          <w:rStyle w:val="Style_4_ch"/>
          <w:rFonts w:ascii="Times New Roman" w:hAnsi="Times New Roman"/>
          <w:sz w:val="28"/>
        </w:rPr>
        <w:footnoteReference w:id="23"/>
      </w:r>
      <w:r>
        <w:rPr>
          <w:rFonts w:ascii="Times New Roman" w:hAnsi="Times New Roman"/>
          <w:sz w:val="28"/>
        </w:rPr>
        <w:t>.</w:t>
      </w:r>
    </w:p>
    <w:p w14:paraId="9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Социальное обслуживание на дому как наиболее массовая форма работы на уровне поселений включает две базовые разновидности: обычное (социально-бытовое) и специализированное (социально-медицинское). Специализированное обслуживание назначается гражданам с тяжёлыми психическими расстройствами, перенёсшим операции или проходящим паллиативное сопровождение. Его оказание требует взаимодействия с органами здравоохранения, что превращает данную форму в наглядный пример межведомственного взаимодействия на практике. В Свердловской области полустационарное обслуживание реализуется через отделения дневного пребывания, действующие при комплексных центрах социального обслуживания населения (КЦСОН).</w:t>
      </w:r>
    </w:p>
    <w:p w14:paraId="9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Полустационарная форма обслуживания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дневное пребывание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ориентирована на граждан, сохранивших способность к самостоятельному передвижению. Она обеспечивает организацию питания, досуга, медицинской и психологической помощи в условиях дневного пребывания без ночлега. Для поселений с низкой плотностью населения, где стационарные учреждения удалены, данная форма служит инструментом включения пожилых граждан в социальную жизнь и предупреждения социальной изоляции, особенно актуальной для сельских территорий Свердловской области.</w:t>
      </w:r>
    </w:p>
    <w:p w14:paraId="9F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1.6</w:t>
      </w:r>
    </w:p>
    <w:p w14:paraId="A0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Сравнительная характеристика форм социального обслуживания по ФЗ № 442-ФЗ</w:t>
      </w:r>
    </w:p>
    <w:tbl>
      <w:tblPr>
        <w:tblStyle w:val="Style_5"/>
        <w:tblLayout w:type="fixed"/>
      </w:tblPr>
      <w:tblGrid>
        <w:gridCol w:w="2344"/>
        <w:gridCol w:w="2136"/>
        <w:gridCol w:w="2367"/>
        <w:gridCol w:w="2509"/>
      </w:tblGrid>
      <w:tr>
        <w:tc>
          <w:tcPr>
            <w:tcW w:type="dxa" w:w="2344"/>
            <w:vAlign w:val="center"/>
          </w:tcPr>
          <w:p w14:paraId="A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</w:t>
            </w:r>
          </w:p>
        </w:tc>
        <w:tc>
          <w:tcPr>
            <w:tcW w:type="dxa" w:w="2136"/>
            <w:vAlign w:val="center"/>
          </w:tcPr>
          <w:p w14:paraId="A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предоставления</w:t>
            </w:r>
          </w:p>
        </w:tc>
        <w:tc>
          <w:tcPr>
            <w:tcW w:type="dxa" w:w="2367"/>
            <w:vAlign w:val="center"/>
          </w:tcPr>
          <w:p w14:paraId="A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группа</w:t>
            </w:r>
          </w:p>
        </w:tc>
        <w:tc>
          <w:tcPr>
            <w:tcW w:type="dxa" w:w="2509"/>
            <w:vAlign w:val="center"/>
          </w:tcPr>
          <w:p w14:paraId="A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для малых поселений</w:t>
            </w:r>
          </w:p>
        </w:tc>
      </w:tr>
      <w:tr>
        <w:tc>
          <w:tcPr>
            <w:tcW w:type="dxa" w:w="2344"/>
            <w:vAlign w:val="center"/>
          </w:tcPr>
          <w:p w14:paraId="A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дому</w:t>
            </w:r>
          </w:p>
        </w:tc>
        <w:tc>
          <w:tcPr>
            <w:tcW w:type="dxa" w:w="2136"/>
            <w:vAlign w:val="center"/>
          </w:tcPr>
          <w:p w14:paraId="A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месту проживания получателя; без ночлега</w:t>
            </w:r>
          </w:p>
        </w:tc>
        <w:tc>
          <w:tcPr>
            <w:tcW w:type="dxa" w:w="2367"/>
            <w:vAlign w:val="center"/>
          </w:tcPr>
          <w:p w14:paraId="A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Пожилые и инвалиды, частично утратившие самообслуживание</w:t>
            </w:r>
          </w:p>
        </w:tc>
        <w:tc>
          <w:tcPr>
            <w:tcW w:type="dxa" w:w="2509"/>
            <w:vAlign w:val="center"/>
          </w:tcPr>
          <w:p w14:paraId="A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Наиболее доступна; не требует инфраструктуры; основная форма в посёлках</w:t>
            </w:r>
          </w:p>
        </w:tc>
      </w:tr>
      <w:tr>
        <w:tc>
          <w:tcPr>
            <w:tcW w:type="dxa" w:w="2344"/>
            <w:vAlign w:val="center"/>
          </w:tcPr>
          <w:p w14:paraId="A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Полустационарная (дневное пребывание)</w:t>
            </w:r>
          </w:p>
        </w:tc>
        <w:tc>
          <w:tcPr>
            <w:tcW w:type="dxa" w:w="2136"/>
            <w:vAlign w:val="center"/>
          </w:tcPr>
          <w:p w14:paraId="A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организации социального обслуживания в дневное время</w:t>
            </w:r>
          </w:p>
        </w:tc>
        <w:tc>
          <w:tcPr>
            <w:tcW w:type="dxa" w:w="2367"/>
            <w:vAlign w:val="center"/>
          </w:tcPr>
          <w:p w14:paraId="A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Граждане, сохранившие способность к передвижению</w:t>
            </w:r>
          </w:p>
        </w:tc>
        <w:tc>
          <w:tcPr>
            <w:tcW w:type="dxa" w:w="2509"/>
            <w:vAlign w:val="center"/>
          </w:tcPr>
          <w:p w14:paraId="A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Требует доступного транспорта; актуальна при наличии КЦСОН</w:t>
            </w:r>
          </w:p>
        </w:tc>
      </w:tr>
      <w:tr>
        <w:tc>
          <w:tcPr>
            <w:tcW w:type="dxa" w:w="2344"/>
            <w:vAlign w:val="center"/>
          </w:tcPr>
          <w:p w14:paraId="A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Стационарная</w:t>
            </w:r>
          </w:p>
        </w:tc>
        <w:tc>
          <w:tcPr>
            <w:tcW w:type="dxa" w:w="2136"/>
            <w:vAlign w:val="center"/>
          </w:tcPr>
          <w:p w14:paraId="A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Проживание в организации социального обслуживания круглосуточно</w:t>
            </w:r>
          </w:p>
        </w:tc>
        <w:tc>
          <w:tcPr>
            <w:tcW w:type="dxa" w:w="2367"/>
            <w:vAlign w:val="center"/>
          </w:tcPr>
          <w:p w14:paraId="A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Граждане, полностью утратившие самообслуживание</w:t>
            </w:r>
          </w:p>
        </w:tc>
        <w:tc>
          <w:tcPr>
            <w:tcW w:type="dxa" w:w="2509"/>
            <w:vAlign w:val="center"/>
          </w:tcPr>
          <w:p w14:paraId="B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правило, расположена в районном центре; требует направления</w:t>
            </w:r>
          </w:p>
        </w:tc>
      </w:tr>
      <w:tr>
        <w:tc>
          <w:tcPr>
            <w:tcW w:type="dxa" w:w="2344"/>
            <w:vAlign w:val="center"/>
          </w:tcPr>
          <w:p w14:paraId="B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Срочная</w:t>
            </w:r>
          </w:p>
        </w:tc>
        <w:tc>
          <w:tcPr>
            <w:tcW w:type="dxa" w:w="2136"/>
            <w:vAlign w:val="center"/>
          </w:tcPr>
          <w:p w14:paraId="B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Разовое предоставление; без признания нуждающимся</w:t>
            </w:r>
          </w:p>
        </w:tc>
        <w:tc>
          <w:tcPr>
            <w:tcW w:type="dxa" w:w="2367"/>
            <w:vAlign w:val="center"/>
          </w:tcPr>
          <w:p w14:paraId="B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Любые граждане в трудной жизненной ситуации</w:t>
            </w:r>
          </w:p>
        </w:tc>
        <w:tc>
          <w:tcPr>
            <w:tcW w:type="dxa" w:w="2509"/>
            <w:vAlign w:val="center"/>
          </w:tcPr>
          <w:p w14:paraId="B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Гибкий инструмент реагирования на кризисные ситуации</w:t>
            </w:r>
          </w:p>
        </w:tc>
      </w:tr>
      <w:tr>
        <w:tc>
          <w:tcPr>
            <w:tcW w:type="dxa" w:w="2344"/>
            <w:vAlign w:val="center"/>
          </w:tcPr>
          <w:p w14:paraId="B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Социальное сопровождение</w:t>
            </w:r>
          </w:p>
        </w:tc>
        <w:tc>
          <w:tcPr>
            <w:tcW w:type="dxa" w:w="2136"/>
            <w:vAlign w:val="center"/>
          </w:tcPr>
          <w:p w14:paraId="B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является видом социального обслуживания; привлечение специалистов</w:t>
            </w:r>
          </w:p>
        </w:tc>
        <w:tc>
          <w:tcPr>
            <w:tcW w:type="dxa" w:w="2367"/>
            <w:vAlign w:val="center"/>
          </w:tcPr>
          <w:p w14:paraId="B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Граждане, нуждающиеся в медицинских, образовательных, иных услугах</w:t>
            </w:r>
          </w:p>
        </w:tc>
        <w:tc>
          <w:tcPr>
            <w:tcW w:type="dxa" w:w="2509"/>
            <w:vAlign w:val="center"/>
          </w:tcPr>
          <w:p w14:paraId="B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Межведомственный характер; требует координации с другими органами</w:t>
            </w:r>
          </w:p>
        </w:tc>
      </w:tr>
    </w:tbl>
    <w:p w14:paraId="B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Институт социального контракта по состоянию на 2025 год реализован во всех субъектах Российской Федерации,</w:t>
      </w:r>
      <w:r>
        <w:rPr>
          <w:rFonts w:ascii="Times New Roman" w:hAnsi="Times New Roman"/>
          <w:sz w:val="28"/>
        </w:rPr>
        <w:t xml:space="preserve"> а ф</w:t>
      </w:r>
      <w:r>
        <w:rPr>
          <w:rFonts w:ascii="Times New Roman" w:hAnsi="Times New Roman"/>
          <w:sz w:val="28"/>
        </w:rPr>
        <w:t xml:space="preserve">инансирование социального контракта осуществляется из федерального бюджета (через субсидии субъектам) и регионального бюджета. Стандартный срок действия контракта </w:t>
      </w:r>
      <w:r>
        <w:rPr>
          <w:rFonts w:ascii="Times New Roman" w:hAnsi="Times New Roman"/>
          <w:sz w:val="28"/>
        </w:rPr>
        <w:t xml:space="preserve">составляет от трёх до двенадцати месяцев в зависимости от вида программы социальной адаптации: для ведения личного подсобного хозяйства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до 12 месяцев, для поиска работы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до 9 месяцев, для открытия индивидуального предпринимательства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до 12 месяцев. Объём единовременной выплаты по контракту в большинстве регионов составляет от 50 до 350 тысяч рублей в зависимости от направления деятельности.</w:t>
      </w:r>
    </w:p>
    <w:p w14:paraId="B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Критическим уязвимым местом действующего механизма адресной поддержки остаётся информационная асимметрия: значительная часть нуждающихся граждан не располагает сведениями о причитающихся им мерах поддержки либо испытывает трудности при подаче заявлений. Переход к проактивному назначению в рамках концепции «социального казначейства» призван устранить этот недостаток: система должна самостоятельно выявлять получателей по данным межведомственного обмена (СФР, ФНС, Росреестр, органы ЗАГСа) и уведомлять их о праве на поддержку. Однако для малых поселений, где доля пожилых граждан без навыков работы с электронными сервисами традиционно высока, проактивное цифровое уведомление не заменяет живого консультирования со стороны специалистов территориальных управлений.</w:t>
      </w:r>
    </w:p>
    <w:p w14:paraId="BC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1.7</w:t>
      </w:r>
    </w:p>
    <w:p w14:paraId="BD000000">
      <w:pPr>
        <w:spacing w:after="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Направления социального контракта и их характеристики</w:t>
      </w:r>
    </w:p>
    <w:tbl>
      <w:tblPr>
        <w:tblStyle w:val="Style_5"/>
        <w:tblLayout w:type="fixed"/>
      </w:tblPr>
      <w:tblGrid>
        <w:gridCol w:w="2327"/>
        <w:gridCol w:w="1358"/>
        <w:gridCol w:w="2412"/>
        <w:gridCol w:w="3257"/>
      </w:tblGrid>
      <w:tr>
        <w:tc>
          <w:tcPr>
            <w:tcW w:type="dxa" w:w="2327"/>
            <w:vAlign w:val="center"/>
          </w:tcPr>
          <w:p w14:paraId="B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type="dxa" w:w="1358"/>
            <w:vAlign w:val="center"/>
          </w:tcPr>
          <w:p w14:paraId="B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контракта</w:t>
            </w:r>
          </w:p>
        </w:tc>
        <w:tc>
          <w:tcPr>
            <w:tcW w:type="dxa" w:w="2412"/>
            <w:vAlign w:val="center"/>
          </w:tcPr>
          <w:p w14:paraId="C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азмер поддержки (руб.)</w:t>
            </w:r>
          </w:p>
        </w:tc>
        <w:tc>
          <w:tcPr>
            <w:tcW w:type="dxa" w:w="3257"/>
            <w:vAlign w:val="center"/>
          </w:tcPr>
          <w:p w14:paraId="C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Обязательства получателя</w:t>
            </w:r>
          </w:p>
        </w:tc>
      </w:tr>
      <w:tr>
        <w:tc>
          <w:tcPr>
            <w:tcW w:type="dxa" w:w="2327"/>
            <w:vAlign w:val="center"/>
          </w:tcPr>
          <w:p w14:paraId="C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работы и трудоустройство</w:t>
            </w:r>
          </w:p>
        </w:tc>
        <w:tc>
          <w:tcPr>
            <w:tcW w:type="dxa" w:w="1358"/>
            <w:vAlign w:val="center"/>
          </w:tcPr>
          <w:p w14:paraId="C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9 месяцев</w:t>
            </w:r>
          </w:p>
        </w:tc>
        <w:tc>
          <w:tcPr>
            <w:tcW w:type="dxa" w:w="2412"/>
            <w:vAlign w:val="center"/>
          </w:tcPr>
          <w:p w14:paraId="C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50 000 – 70 000</w:t>
            </w:r>
          </w:p>
        </w:tc>
        <w:tc>
          <w:tcPr>
            <w:tcW w:type="dxa" w:w="3257"/>
            <w:vAlign w:val="center"/>
          </w:tcPr>
          <w:p w14:paraId="C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переобучения; трудоустройство в течение срока</w:t>
            </w:r>
          </w:p>
        </w:tc>
      </w:tr>
      <w:tr>
        <w:tc>
          <w:tcPr>
            <w:tcW w:type="dxa" w:w="2327"/>
            <w:vAlign w:val="center"/>
          </w:tcPr>
          <w:p w14:paraId="C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Открытие ИП / самозанятость</w:t>
            </w:r>
          </w:p>
        </w:tc>
        <w:tc>
          <w:tcPr>
            <w:tcW w:type="dxa" w:w="1358"/>
            <w:vAlign w:val="center"/>
          </w:tcPr>
          <w:p w14:paraId="C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12 месяцев</w:t>
            </w:r>
          </w:p>
        </w:tc>
        <w:tc>
          <w:tcPr>
            <w:tcW w:type="dxa" w:w="2412"/>
            <w:vAlign w:val="center"/>
          </w:tcPr>
          <w:p w14:paraId="C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250 000 – 350 000</w:t>
            </w:r>
          </w:p>
        </w:tc>
        <w:tc>
          <w:tcPr>
            <w:tcW w:type="dxa" w:w="3257"/>
            <w:vAlign w:val="center"/>
          </w:tcPr>
          <w:p w14:paraId="C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ИП/самозанятости; ведение деятельности не менее 12 мес.</w:t>
            </w:r>
          </w:p>
        </w:tc>
      </w:tr>
      <w:tr>
        <w:tc>
          <w:tcPr>
            <w:tcW w:type="dxa" w:w="2327"/>
            <w:vAlign w:val="center"/>
          </w:tcPr>
          <w:p w14:paraId="C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личного подсобного хозяйства</w:t>
            </w:r>
          </w:p>
        </w:tc>
        <w:tc>
          <w:tcPr>
            <w:tcW w:type="dxa" w:w="1358"/>
            <w:vAlign w:val="center"/>
          </w:tcPr>
          <w:p w14:paraId="C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12 месяцев</w:t>
            </w:r>
          </w:p>
        </w:tc>
        <w:tc>
          <w:tcPr>
            <w:tcW w:type="dxa" w:w="2412"/>
            <w:vAlign w:val="center"/>
          </w:tcPr>
          <w:p w14:paraId="C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100 000 – 200 000</w:t>
            </w:r>
          </w:p>
        </w:tc>
        <w:tc>
          <w:tcPr>
            <w:tcW w:type="dxa" w:w="3257"/>
            <w:vAlign w:val="center"/>
          </w:tcPr>
          <w:p w14:paraId="C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скота, семян, инвентаря; регулярная отчётность</w:t>
            </w:r>
          </w:p>
        </w:tc>
      </w:tr>
      <w:tr>
        <w:tc>
          <w:tcPr>
            <w:tcW w:type="dxa" w:w="2327"/>
            <w:vAlign w:val="center"/>
          </w:tcPr>
          <w:p w14:paraId="C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Преодоление трудной жизненной ситуации</w:t>
            </w:r>
          </w:p>
        </w:tc>
        <w:tc>
          <w:tcPr>
            <w:tcW w:type="dxa" w:w="1358"/>
            <w:vAlign w:val="center"/>
          </w:tcPr>
          <w:p w14:paraId="C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 6 месяцев</w:t>
            </w:r>
          </w:p>
        </w:tc>
        <w:tc>
          <w:tcPr>
            <w:tcW w:type="dxa" w:w="2412"/>
            <w:vAlign w:val="center"/>
          </w:tcPr>
          <w:p w14:paraId="D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30 000 – 50 000 / мес.</w:t>
            </w:r>
          </w:p>
        </w:tc>
        <w:tc>
          <w:tcPr>
            <w:tcW w:type="dxa" w:w="3257"/>
            <w:vAlign w:val="center"/>
          </w:tcPr>
          <w:p w14:paraId="D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программе социальной адаптации, назначенной специалистом</w:t>
            </w:r>
          </w:p>
        </w:tc>
      </w:tr>
    </w:tbl>
    <w:p w14:paraId="D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Зарубежный опыт организации социальной защиты на субнациональном (муниципальном) уровне демонстрирует две устойчивые тенденции</w:t>
      </w:r>
      <w:r>
        <w:rPr>
          <w:rStyle w:val="Style_4_ch"/>
          <w:rFonts w:ascii="Times New Roman" w:hAnsi="Times New Roman"/>
          <w:sz w:val="28"/>
        </w:rPr>
        <w:footnoteReference w:id="24"/>
      </w:r>
      <w:r>
        <w:rPr>
          <w:rFonts w:ascii="Times New Roman" w:hAnsi="Times New Roman"/>
          <w:sz w:val="28"/>
        </w:rPr>
        <w:t>:</w:t>
      </w:r>
    </w:p>
    <w:p w14:paraId="D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</w:t>
      </w:r>
      <w:r>
        <w:rPr>
          <w:rFonts w:ascii="Times New Roman" w:hAnsi="Times New Roman"/>
          <w:sz w:val="28"/>
        </w:rPr>
        <w:t>ецентрализация предоставления услуг при централизованном финансировании и стандартизации (опыт Германии, Финляндии).</w:t>
      </w:r>
    </w:p>
    <w:p w14:paraId="D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А</w:t>
      </w:r>
      <w:r>
        <w:rPr>
          <w:rFonts w:ascii="Times New Roman" w:hAnsi="Times New Roman"/>
          <w:sz w:val="28"/>
        </w:rPr>
        <w:t>ктивное использование НКО и частных поставщиков в конкурентной среде (опыт Великобритании, Швеции).</w:t>
      </w:r>
    </w:p>
    <w:p w14:paraId="D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Российская модель в рамках ФЗ № 442-ФЗ заимствует вторую тенденцию через институт регионального реестра поставщиков социальных услуг, однако на уровне малых муниципальных образований реальная конкуренция поставщиков, как правило, отсутствует из-за невысокой численности населения и низкой инвестиционной привлекательности сектора</w:t>
      </w:r>
      <w:r>
        <w:rPr>
          <w:rFonts w:ascii="Times New Roman" w:hAnsi="Times New Roman"/>
          <w:sz w:val="28"/>
        </w:rPr>
        <w:t xml:space="preserve">, что в свою очередь, </w:t>
      </w:r>
      <w:r>
        <w:rPr>
          <w:rFonts w:ascii="Times New Roman" w:hAnsi="Times New Roman"/>
          <w:sz w:val="28"/>
        </w:rPr>
        <w:t>превращает государственные и муниципальные учреждения в монопольных фактических исполнителей, что снижает стимулы к повышению качества услуг.</w:t>
      </w:r>
    </w:p>
    <w:p w14:paraId="D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система социальной поддержки и социальной защиты населения на муниципальном уровне представляет собой многоуровневую конструкцию, в которой территориальное управление выступает не самостоятельным субъектом политики, а исполнительным звеном государственной системы</w:t>
      </w:r>
      <w:r>
        <w:rPr>
          <w:rFonts w:ascii="Times New Roman" w:hAnsi="Times New Roman"/>
          <w:sz w:val="28"/>
        </w:rPr>
        <w:t xml:space="preserve">, роль которого </w:t>
      </w:r>
      <w:r>
        <w:rPr>
          <w:rFonts w:ascii="Times New Roman" w:hAnsi="Times New Roman"/>
          <w:sz w:val="28"/>
        </w:rPr>
        <w:t xml:space="preserve">определяется объёмом переданных государственных полномочий, размером субвенций из регионального бюджета и качеством цифровой инфраструктуры. Именно эти параметры формируют реальные возможности по оказанию поддержки конкретным категориям граждан в конкретном </w:t>
      </w:r>
      <w:r>
        <w:rPr>
          <w:rFonts w:ascii="Times New Roman" w:hAnsi="Times New Roman"/>
          <w:sz w:val="28"/>
        </w:rPr>
        <w:t>субъекте</w:t>
      </w:r>
      <w:r>
        <w:rPr>
          <w:rFonts w:ascii="Times New Roman" w:hAnsi="Times New Roman"/>
          <w:sz w:val="28"/>
        </w:rPr>
        <w:t>.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D8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Солодилов</w:t>
      </w:r>
      <w:r>
        <w:t xml:space="preserve">, А. В. Социально-правовая защита граждан в современной России : монография / А. В. </w:t>
      </w:r>
      <w:r>
        <w:t>Солодилов</w:t>
      </w:r>
      <w:r>
        <w:t xml:space="preserve">. </w:t>
      </w:r>
      <w:r>
        <w:t>–</w:t>
      </w:r>
      <w:r>
        <w:t xml:space="preserve"> Москва : </w:t>
      </w:r>
      <w:r>
        <w:t>Русайнс</w:t>
      </w:r>
      <w:r>
        <w:t xml:space="preserve">, 2022. </w:t>
      </w:r>
      <w:r>
        <w:t>–</w:t>
      </w:r>
      <w:r>
        <w:t xml:space="preserve"> 118 с.</w:t>
      </w:r>
    </w:p>
  </w:footnote>
  <w:footnote w:id="2">
    <w:p w14:paraId="D9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Управление социальной сферой : учебник / С. Е. Прокофьев, О. В. Панина, Н. Л. Красюкова [и др.] ; под общ. ред. С. Е. Прокофьева, О. В. Паниной, Н. Л. Красюковой. </w:t>
      </w:r>
      <w:r>
        <w:t>–</w:t>
      </w:r>
      <w:r>
        <w:t xml:space="preserve"> Москва : </w:t>
      </w:r>
      <w:r>
        <w:t>КноРус</w:t>
      </w:r>
      <w:r>
        <w:t xml:space="preserve">, 2026. </w:t>
      </w:r>
      <w:r>
        <w:t>–</w:t>
      </w:r>
      <w:r>
        <w:t xml:space="preserve"> 438 с.</w:t>
      </w:r>
    </w:p>
  </w:footnote>
  <w:footnote w:id="3">
    <w:p w14:paraId="DA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Тарент</w:t>
      </w:r>
      <w:r>
        <w:t xml:space="preserve"> И. Г. Система социальной защиты населения в Российской Федерации: учебное пособие / И. Г. </w:t>
      </w:r>
      <w:r>
        <w:t>Тарент</w:t>
      </w:r>
      <w:r>
        <w:t xml:space="preserve">, С. А. </w:t>
      </w:r>
      <w:r>
        <w:t>Юдников</w:t>
      </w:r>
      <w:r>
        <w:t xml:space="preserve">. - Изд. 3 - </w:t>
      </w:r>
      <w:r>
        <w:t>испр</w:t>
      </w:r>
      <w:r>
        <w:t>.</w:t>
      </w:r>
      <w:r>
        <w:t xml:space="preserve"> и доп. - Ногинск: Ногинский филиал РАНХиГС, 20</w:t>
      </w:r>
      <w:r>
        <w:t>2</w:t>
      </w:r>
      <w:r>
        <w:t>5. - 160 с.</w:t>
      </w:r>
    </w:p>
  </w:footnote>
  <w:footnote w:id="4">
    <w:p w14:paraId="DB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Аверьянова, М. И. Право социального обеспечения (с практикумом) : учебное пособие / М. И. Аверьянова. </w:t>
      </w:r>
      <w:r>
        <w:t>–</w:t>
      </w:r>
      <w:r>
        <w:t xml:space="preserve"> Москва : </w:t>
      </w:r>
      <w:r>
        <w:t>КноРус</w:t>
      </w:r>
      <w:r>
        <w:t xml:space="preserve">, 2026. </w:t>
      </w:r>
      <w:r>
        <w:t>–</w:t>
      </w:r>
      <w:r>
        <w:t xml:space="preserve"> 288 с.</w:t>
      </w:r>
    </w:p>
  </w:footnote>
  <w:footnote w:id="5">
    <w:p w14:paraId="DC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Право социального </w:t>
      </w:r>
      <w:r>
        <w:t>обеспечения :</w:t>
      </w:r>
      <w:r>
        <w:t xml:space="preserve"> учебник / В. Ш. </w:t>
      </w:r>
      <w:r>
        <w:t>Шайхатдинов</w:t>
      </w:r>
      <w:r>
        <w:t>, В. А. Агафонов, В. А. Власов [и др.</w:t>
      </w:r>
      <w:r>
        <w:t>] ;</w:t>
      </w:r>
      <w:r>
        <w:t xml:space="preserve"> под ред. В. Ш. </w:t>
      </w:r>
      <w:r>
        <w:t>Шайхатдинова</w:t>
      </w:r>
      <w:r>
        <w:t xml:space="preserve">. </w:t>
      </w:r>
      <w:r>
        <w:t>–</w:t>
      </w:r>
      <w:r>
        <w:t xml:space="preserve"> </w:t>
      </w:r>
      <w:r>
        <w:t>Москва :</w:t>
      </w:r>
      <w:r>
        <w:t xml:space="preserve"> Юстиция, 2023. </w:t>
      </w:r>
      <w:r>
        <w:t>–</w:t>
      </w:r>
      <w:r>
        <w:t xml:space="preserve"> 556 с.</w:t>
      </w:r>
    </w:p>
  </w:footnote>
  <w:footnote w:id="6">
    <w:p w14:paraId="DD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Воронцова, М. В.  Социальная защита и социальное обслуживание населения : учебник для среднего профессионального образования / М. В. Воронцова, В. Е. Макаров ; под редакцией М. В. Воронцовой. </w:t>
      </w:r>
      <w:r>
        <w:t>–</w:t>
      </w:r>
      <w:r>
        <w:t xml:space="preserve"> 3-е изд., </w:t>
      </w:r>
      <w:r>
        <w:t>перераб</w:t>
      </w:r>
      <w:r>
        <w:t xml:space="preserve">. и доп. </w:t>
      </w:r>
      <w:r>
        <w:t>–</w:t>
      </w:r>
      <w:r>
        <w:t xml:space="preserve"> Москва : Издательство </w:t>
      </w:r>
      <w:r>
        <w:t>Юрайт</w:t>
      </w:r>
      <w:r>
        <w:t xml:space="preserve">, 2026. </w:t>
      </w:r>
      <w:r>
        <w:t>–</w:t>
      </w:r>
      <w:r>
        <w:t xml:space="preserve"> 371 с.</w:t>
      </w:r>
    </w:p>
  </w:footnote>
  <w:footnote w:id="7">
    <w:p w14:paraId="DE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Об основах социального обслуживания граждан в Российской Федерации</w:t>
      </w:r>
      <w:r>
        <w:t>»</w:t>
      </w:r>
      <w:r>
        <w:t xml:space="preserve"> от 28.12.2013 N 442-ФЗ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https://www.consultant.ru/document/cons_doc_LAW_156558/</w:t>
      </w:r>
    </w:p>
  </w:footnote>
  <w:footnote w:id="8">
    <w:p w14:paraId="DF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Теория социальной </w:t>
      </w:r>
      <w:r>
        <w:t>работы :</w:t>
      </w:r>
      <w:r>
        <w:t xml:space="preserve"> учебник для вузов / под редакцией Е. И. </w:t>
      </w:r>
      <w:r>
        <w:t>Холостовой</w:t>
      </w:r>
      <w:r>
        <w:t xml:space="preserve">, Л. И. Кононовой, М. В. Вдовиной. </w:t>
      </w:r>
      <w:r>
        <w:t>–</w:t>
      </w:r>
      <w:r>
        <w:t xml:space="preserve"> 3-е изд., </w:t>
      </w:r>
      <w:r>
        <w:t>перераб</w:t>
      </w:r>
      <w:r>
        <w:t xml:space="preserve">. и доп. </w:t>
      </w:r>
      <w:r>
        <w:t>–</w:t>
      </w:r>
      <w:r>
        <w:t xml:space="preserve"> Москва : Издательство </w:t>
      </w:r>
      <w:r>
        <w:t>Юрайт</w:t>
      </w:r>
      <w:r>
        <w:t xml:space="preserve">, 2026. </w:t>
      </w:r>
      <w:r>
        <w:t>–</w:t>
      </w:r>
      <w:r>
        <w:t xml:space="preserve"> 288 с.</w:t>
      </w:r>
    </w:p>
  </w:footnote>
  <w:footnote w:id="9">
    <w:p w14:paraId="E0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государственной социальной помощи</w:t>
      </w:r>
      <w:r>
        <w:t>»</w:t>
      </w:r>
      <w:r>
        <w:t xml:space="preserve"> от 17.07.1999 N 178-ФЗ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https://www.consultant.ru/document/cons_doc_LAW_23735/</w:t>
      </w:r>
    </w:p>
  </w:footnote>
  <w:footnote w:id="10">
    <w:p w14:paraId="E1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Шайдукова</w:t>
      </w:r>
      <w:r>
        <w:t xml:space="preserve">, Л. Д.  Социальная политика Российской </w:t>
      </w:r>
      <w:r>
        <w:t>Федерации :</w:t>
      </w:r>
      <w:r>
        <w:t xml:space="preserve"> учебник для вузов / Л. Д. </w:t>
      </w:r>
      <w:r>
        <w:t>Шайдукова</w:t>
      </w:r>
      <w:r>
        <w:t xml:space="preserve">. </w:t>
      </w:r>
      <w:r>
        <w:t>–</w:t>
      </w:r>
      <w:r>
        <w:t xml:space="preserve"> 2-е изд., </w:t>
      </w:r>
      <w:r>
        <w:t>перераб</w:t>
      </w:r>
      <w:r>
        <w:t xml:space="preserve">. и доп. </w:t>
      </w:r>
      <w:r>
        <w:t>–</w:t>
      </w:r>
      <w:r>
        <w:t xml:space="preserve"> Москва : Издательство </w:t>
      </w:r>
      <w:r>
        <w:t>Юрайт</w:t>
      </w:r>
      <w:r>
        <w:t xml:space="preserve">, 2026. </w:t>
      </w:r>
      <w:r>
        <w:t>–</w:t>
      </w:r>
      <w:r>
        <w:t xml:space="preserve"> 172 с.</w:t>
      </w:r>
    </w:p>
  </w:footnote>
  <w:footnote w:id="11">
    <w:p w14:paraId="E2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Медведева, Г. П., Социальная работа в России: традиции и инновации : сборник статей / Г. П. Медведева, ; под общ. ред. Г. П. Медведевой. </w:t>
      </w:r>
      <w:r>
        <w:t>–</w:t>
      </w:r>
      <w:r>
        <w:t xml:space="preserve"> Москва : </w:t>
      </w:r>
      <w:r>
        <w:t>Русайнс</w:t>
      </w:r>
      <w:r>
        <w:t xml:space="preserve">, 2021. </w:t>
      </w:r>
      <w:r>
        <w:t>–</w:t>
      </w:r>
      <w:r>
        <w:t xml:space="preserve"> 237 с.</w:t>
      </w:r>
    </w:p>
  </w:footnote>
  <w:footnote w:id="12">
    <w:p w14:paraId="E3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страховых пенсиях</w:t>
      </w:r>
      <w:r>
        <w:t>»</w:t>
      </w:r>
      <w:r>
        <w:t xml:space="preserve"> от 28.12.2013 N 400-ФЗ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>:</w:t>
      </w:r>
      <w:r>
        <w:t xml:space="preserve"> https://www.consultant.ru/document/cons_doc_LAW_156525/</w:t>
      </w:r>
    </w:p>
  </w:footnote>
  <w:footnote w:id="13">
    <w:p w14:paraId="E4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социальной защите инвалидов в Российской Федерации</w:t>
      </w:r>
      <w:r>
        <w:t>»</w:t>
      </w:r>
      <w:r>
        <w:t xml:space="preserve"> от 24.11.1995 N 181-ФЗ (последняя редакция) </w:t>
      </w:r>
      <w:r>
        <w:t xml:space="preserve">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https://www.consultant.ru/document/cons_doc_LAW_8559/</w:t>
      </w:r>
    </w:p>
  </w:footnote>
  <w:footnote w:id="14">
    <w:p w14:paraId="E5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государственных пособиях гражданам, имеющим детей</w:t>
      </w:r>
      <w:r>
        <w:t>»</w:t>
      </w:r>
      <w:r>
        <w:t xml:space="preserve"> от 19.05.1995 N 81-ФЗ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https://www.consultant.ru/document/cons_doc_LAW_6659/</w:t>
      </w:r>
    </w:p>
  </w:footnote>
  <w:footnote w:id="15">
    <w:p w14:paraId="E6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государственной социальной помощи</w:t>
      </w:r>
      <w:r>
        <w:t>»</w:t>
      </w:r>
      <w:r>
        <w:t xml:space="preserve"> от 17.07.1999 N 178-ФЗ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https://www.consultant.ru/document/cons_doc_LAW_23735/</w:t>
      </w:r>
    </w:p>
  </w:footnote>
  <w:footnote w:id="16">
    <w:p w14:paraId="E7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дополнительных гарантиях по социальной поддержке детей-сирот и детей, оставшихся без попечения родителей</w:t>
      </w:r>
      <w:r>
        <w:t>»</w:t>
      </w:r>
      <w:r>
        <w:t xml:space="preserve"> от 21.12.1996 N 159-ФЗ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https://www.consultant.ru/document/cons_doc_LAW_12778/</w:t>
      </w:r>
    </w:p>
  </w:footnote>
  <w:footnote w:id="17">
    <w:p w14:paraId="E8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Об основах социального обслуживания граждан в Российской Федерации</w:t>
      </w:r>
      <w:r>
        <w:t>»</w:t>
      </w:r>
      <w:r>
        <w:t xml:space="preserve"> от 28.12.2013 N 442-ФЗ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https://www.consultant.ru/document/cons_doc_LAW_156558/</w:t>
      </w:r>
    </w:p>
  </w:footnote>
  <w:footnote w:id="18">
    <w:p w14:paraId="E9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https://www.consultant.ru/document/cons_doc_LAW_28399/</w:t>
      </w:r>
    </w:p>
  </w:footnote>
  <w:footnote w:id="19">
    <w:p w14:paraId="EA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Об основах социального обслуживания граждан в Российской Федерации</w:t>
      </w:r>
      <w:r>
        <w:t>»</w:t>
      </w:r>
      <w:r>
        <w:t xml:space="preserve"> от 28.12.2013 N 442-ФЗ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https://www.consultant.ru/document/cons_doc_LAW_156558/</w:t>
      </w:r>
    </w:p>
  </w:footnote>
  <w:footnote w:id="20">
    <w:p w14:paraId="EB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</w:t>
      </w:r>
      <w:r>
        <w:t>«</w:t>
      </w:r>
      <w:r>
        <w:t>О государственной социальной помощи</w:t>
      </w:r>
      <w:r>
        <w:t>»</w:t>
      </w:r>
      <w:r>
        <w:t xml:space="preserve"> от 17.07.1999 N 178-ФЗ (последняя редакция)</w:t>
      </w:r>
      <w:r>
        <w:t xml:space="preserve">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https://www.consultant.ru/document/cons_doc_LAW_23735/</w:t>
      </w:r>
    </w:p>
  </w:footnote>
  <w:footnote w:id="21">
    <w:p w14:paraId="EC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Федеральный закон от 06.10.2003 N 131-ФЗ (ред. от 20.03.2025) </w:t>
      </w:r>
      <w:r>
        <w:t>«</w:t>
      </w:r>
      <w:r>
        <w:t>Об общих принципах организации местного самоуправления в Российской Федерации</w:t>
      </w:r>
      <w:r>
        <w:t xml:space="preserve">» // Консультант Плюс </w:t>
      </w:r>
      <w:r>
        <w:t>[</w:t>
      </w:r>
      <w:r>
        <w:t>Электронный ресурс</w:t>
      </w:r>
      <w:r>
        <w:t>]</w:t>
      </w:r>
      <w:r>
        <w:t xml:space="preserve">. </w:t>
      </w:r>
      <w:r>
        <w:t>URL</w:t>
      </w:r>
      <w:r>
        <w:t xml:space="preserve">: </w:t>
      </w:r>
      <w:r>
        <w:t>https://www.consultant.ru/document/cons_doc_LAW_44571/</w:t>
      </w:r>
    </w:p>
  </w:footnote>
  <w:footnote w:id="22">
    <w:p w14:paraId="ED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Солодилов</w:t>
      </w:r>
      <w:r>
        <w:t xml:space="preserve">, А. В. Социально-правовая защита граждан в современной России : монография / А. В. </w:t>
      </w:r>
      <w:r>
        <w:t>Солодилов</w:t>
      </w:r>
      <w:r>
        <w:t xml:space="preserve">. </w:t>
      </w:r>
      <w:r>
        <w:t>–</w:t>
      </w:r>
      <w:r>
        <w:t xml:space="preserve"> Москва : </w:t>
      </w:r>
      <w:r>
        <w:t>Русайнс</w:t>
      </w:r>
      <w:r>
        <w:t xml:space="preserve">, 2022. </w:t>
      </w:r>
      <w:r>
        <w:t>–</w:t>
      </w:r>
      <w:r>
        <w:t xml:space="preserve"> 118 с.</w:t>
      </w:r>
    </w:p>
  </w:footnote>
  <w:footnote w:id="23">
    <w:p w14:paraId="EE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Социальная работа с различными группами населения : учебное пособие / Н. Ф. Басов, О. С. Щербинина, Н. Б. Топка [и др.] ; под ред. Н. Ф. Басова. </w:t>
      </w:r>
      <w:r>
        <w:t>–</w:t>
      </w:r>
      <w:r>
        <w:t xml:space="preserve"> Москва : </w:t>
      </w:r>
      <w:r>
        <w:t>КноРус</w:t>
      </w:r>
      <w:r>
        <w:t xml:space="preserve">, 2023. </w:t>
      </w:r>
      <w:r>
        <w:t>–</w:t>
      </w:r>
      <w:r>
        <w:t xml:space="preserve"> 528 с.</w:t>
      </w:r>
    </w:p>
  </w:footnote>
  <w:footnote w:id="24">
    <w:p w14:paraId="EF000000">
      <w:pPr>
        <w:pStyle w:val="Style_22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>Павлова Ирина Владимировна Опыт функционирования систем социальной защиты зарубежных стран // Вестник ТГУ. №8. URL: https://cyberleninka.ru/article/n/opyt-funktsionirovaniya-sistem-sotsialnoy-zaschity-zarubezhnyh-stran (дата обращения: 20.06.2026).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)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16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basedOn w:val="Style_7"/>
    <w:next w:val="Style_7"/>
    <w:link w:val="Style_8_ch"/>
    <w:uiPriority w:val="39"/>
    <w:pPr>
      <w:spacing w:after="100"/>
      <w:ind w:firstLine="0" w:left="240"/>
    </w:pPr>
  </w:style>
  <w:style w:styleId="Style_8_ch" w:type="character">
    <w:name w:val="toc 2"/>
    <w:basedOn w:val="Style_7_ch"/>
    <w:link w:val="Style_8"/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7"/>
    <w:next w:val="Style_7"/>
    <w:link w:val="Style_10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10_ch" w:type="character">
    <w:name w:val="heading 7"/>
    <w:basedOn w:val="Style_7_ch"/>
    <w:link w:val="Style_10"/>
    <w:rPr>
      <w:color w:themeColor="text1" w:themeTint="A6" w:val="595959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FollowedHyperlink"/>
    <w:basedOn w:val="Style_14"/>
    <w:link w:val="Style_13_ch"/>
    <w:rPr>
      <w:color w:themeColor="followedHyperlink" w:val="96607D"/>
      <w:u w:val="single"/>
    </w:rPr>
  </w:style>
  <w:style w:styleId="Style_13_ch" w:type="character">
    <w:name w:val="FollowedHyperlink"/>
    <w:basedOn w:val="Style_14_ch"/>
    <w:link w:val="Style_13"/>
    <w:rPr>
      <w:color w:themeColor="followedHyperlink" w:val="96607D"/>
      <w:u w:val="single"/>
    </w:rPr>
  </w:style>
  <w:style w:styleId="Style_15" w:type="paragraph">
    <w:name w:val="Intense Quote"/>
    <w:basedOn w:val="Style_7"/>
    <w:next w:val="Style_7"/>
    <w:link w:val="Style_15_ch"/>
    <w:pPr>
      <w:spacing w:after="360" w:before="360"/>
      <w:ind w:firstLine="0" w:left="864" w:right="864"/>
      <w:jc w:val="center"/>
    </w:pPr>
    <w:rPr>
      <w:i w:val="1"/>
      <w:color w:themeColor="accent1" w:themeShade="BF" w:val="104861"/>
    </w:rPr>
  </w:style>
  <w:style w:styleId="Style_15_ch" w:type="character">
    <w:name w:val="Intense Quote"/>
    <w:basedOn w:val="Style_7_ch"/>
    <w:link w:val="Style_15"/>
    <w:rPr>
      <w:i w:val="1"/>
      <w:color w:themeColor="accent1" w:themeShade="BF" w:val="104861"/>
    </w:rPr>
  </w:style>
  <w:style w:styleId="Style_16" w:type="paragraph">
    <w:name w:val="heading 3"/>
    <w:basedOn w:val="Style_7"/>
    <w:next w:val="Style_7"/>
    <w:link w:val="Style_16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6_ch" w:type="character">
    <w:name w:val="heading 3"/>
    <w:basedOn w:val="Style_7_ch"/>
    <w:link w:val="Style_16"/>
    <w:rPr>
      <w:color w:themeColor="accent1" w:themeShade="BF" w:val="104861"/>
      <w:sz w:val="28"/>
    </w:rPr>
  </w:style>
  <w:style w:styleId="Style_17" w:type="paragraph">
    <w:name w:val="heading 9"/>
    <w:basedOn w:val="Style_7"/>
    <w:next w:val="Style_7"/>
    <w:link w:val="Style_17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7_ch" w:type="character">
    <w:name w:val="heading 9"/>
    <w:basedOn w:val="Style_7_ch"/>
    <w:link w:val="Style_17"/>
    <w:rPr>
      <w:color w:themeColor="text1" w:themeTint="D8" w:val="272727"/>
    </w:rPr>
  </w:style>
  <w:style w:styleId="Style_18" w:type="paragraph">
    <w:name w:val="Quote"/>
    <w:basedOn w:val="Style_7"/>
    <w:next w:val="Style_7"/>
    <w:link w:val="Style_18_ch"/>
    <w:pPr>
      <w:spacing w:before="160"/>
      <w:ind/>
      <w:jc w:val="center"/>
    </w:pPr>
    <w:rPr>
      <w:i w:val="1"/>
      <w:color w:themeColor="text1" w:themeTint="BF" w:val="404040"/>
    </w:rPr>
  </w:style>
  <w:style w:styleId="Style_18_ch" w:type="character">
    <w:name w:val="Quote"/>
    <w:basedOn w:val="Style_7_ch"/>
    <w:link w:val="Style_18"/>
    <w:rPr>
      <w:i w:val="1"/>
      <w:color w:themeColor="text1" w:themeTint="BF" w:val="404040"/>
    </w:rPr>
  </w:style>
  <w:style w:styleId="Style_6" w:type="paragraph">
    <w:name w:val="List Paragraph"/>
    <w:basedOn w:val="Style_7"/>
    <w:link w:val="Style_6_ch"/>
    <w:pPr>
      <w:ind w:firstLine="0" w:left="720"/>
      <w:contextualSpacing w:val="1"/>
    </w:pPr>
  </w:style>
  <w:style w:styleId="Style_6_ch" w:type="character">
    <w:name w:val="List Paragraph"/>
    <w:basedOn w:val="Style_7_ch"/>
    <w:link w:val="Style_6"/>
  </w:style>
  <w:style w:styleId="Style_19" w:type="paragraph">
    <w:name w:val="toc 3"/>
    <w:next w:val="Style_7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basedOn w:val="Style_7"/>
    <w:next w:val="Style_7"/>
    <w:link w:val="Style_20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104861"/>
    </w:rPr>
  </w:style>
  <w:style w:styleId="Style_20_ch" w:type="character">
    <w:name w:val="heading 5"/>
    <w:basedOn w:val="Style_7_ch"/>
    <w:link w:val="Style_20"/>
    <w:rPr>
      <w:color w:themeColor="accent1" w:themeShade="BF" w:val="104861"/>
    </w:rPr>
  </w:style>
  <w:style w:styleId="Style_2" w:type="paragraph">
    <w:name w:val="heading 1"/>
    <w:basedOn w:val="Style_7"/>
    <w:next w:val="Style_7"/>
    <w:link w:val="Style_2_ch"/>
    <w:uiPriority w:val="9"/>
    <w:qFormat/>
    <w:pPr>
      <w:keepNext w:val="1"/>
      <w:keepLines w:val="1"/>
      <w:spacing w:after="0" w:line="360" w:lineRule="auto"/>
      <w:ind/>
      <w:jc w:val="center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2_ch" w:type="character">
    <w:name w:val="heading 1"/>
    <w:basedOn w:val="Style_7_ch"/>
    <w:link w:val="Style_2"/>
    <w:rPr>
      <w:rFonts w:ascii="Times New Roman Полужирный" w:hAnsi="Times New Roman Полужирный"/>
      <w:b w:val="1"/>
      <w:caps w:val="1"/>
      <w:sz w:val="28"/>
    </w:rPr>
  </w:style>
  <w:style w:styleId="Style_21" w:type="paragraph">
    <w:name w:val="Hyperlink"/>
    <w:basedOn w:val="Style_14"/>
    <w:link w:val="Style_21_ch"/>
    <w:rPr>
      <w:color w:themeColor="hyperlink" w:val="467886"/>
      <w:u w:val="single"/>
    </w:rPr>
  </w:style>
  <w:style w:styleId="Style_21_ch" w:type="character">
    <w:name w:val="Hyperlink"/>
    <w:basedOn w:val="Style_14_ch"/>
    <w:link w:val="Style_21"/>
    <w:rPr>
      <w:color w:themeColor="hyperlink" w:val="467886"/>
      <w:u w:val="single"/>
    </w:rPr>
  </w:style>
  <w:style w:styleId="Style_22" w:type="paragraph">
    <w:name w:val="Footnote"/>
    <w:basedOn w:val="Style_7"/>
    <w:link w:val="Style_22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22_ch" w:type="character">
    <w:name w:val="Footnote"/>
    <w:basedOn w:val="Style_7_ch"/>
    <w:link w:val="Style_22"/>
    <w:rPr>
      <w:rFonts w:ascii="Times New Roman" w:hAnsi="Times New Roman"/>
      <w:sz w:val="20"/>
    </w:rPr>
  </w:style>
  <w:style w:styleId="Style_23" w:type="paragraph">
    <w:name w:val="heading 8"/>
    <w:basedOn w:val="Style_7"/>
    <w:next w:val="Style_7"/>
    <w:link w:val="Style_23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3_ch" w:type="character">
    <w:name w:val="heading 8"/>
    <w:basedOn w:val="Style_7_ch"/>
    <w:link w:val="Style_23"/>
    <w:rPr>
      <w:i w:val="1"/>
      <w:color w:themeColor="text1" w:themeTint="D8" w:val="272727"/>
    </w:rPr>
  </w:style>
  <w:style w:styleId="Style_24" w:type="paragraph">
    <w:name w:val="toc 1"/>
    <w:basedOn w:val="Style_7"/>
    <w:next w:val="Style_7"/>
    <w:link w:val="Style_24_ch"/>
    <w:uiPriority w:val="39"/>
    <w:pPr>
      <w:tabs>
        <w:tab w:leader="dot" w:pos="9345" w:val="right"/>
      </w:tabs>
      <w:spacing w:after="0" w:line="360" w:lineRule="auto"/>
      <w:ind/>
      <w:jc w:val="both"/>
    </w:pPr>
    <w:rPr>
      <w:rFonts w:ascii="Times New Roman" w:hAnsi="Times New Roman"/>
      <w:caps w:val="1"/>
      <w:sz w:val="28"/>
    </w:rPr>
  </w:style>
  <w:style w:styleId="Style_24_ch" w:type="character">
    <w:name w:val="toc 1"/>
    <w:basedOn w:val="Style_7_ch"/>
    <w:link w:val="Style_24"/>
    <w:rPr>
      <w:rFonts w:ascii="Times New Roman" w:hAnsi="Times New Roman"/>
      <w:caps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Intense Reference"/>
    <w:basedOn w:val="Style_14"/>
    <w:link w:val="Style_26_ch"/>
    <w:rPr>
      <w:b w:val="1"/>
      <w:smallCaps w:val="1"/>
      <w:color w:themeColor="accent1" w:themeShade="BF" w:val="104861"/>
      <w:spacing w:val="5"/>
    </w:rPr>
  </w:style>
  <w:style w:styleId="Style_26_ch" w:type="character">
    <w:name w:val="Intense Reference"/>
    <w:basedOn w:val="Style_14_ch"/>
    <w:link w:val="Style_26"/>
    <w:rPr>
      <w:b w:val="1"/>
      <w:smallCaps w:val="1"/>
      <w:color w:themeColor="accent1" w:themeShade="BF" w:val="104861"/>
      <w:spacing w:val="5"/>
    </w:rPr>
  </w:style>
  <w:style w:styleId="Style_27" w:type="paragraph">
    <w:name w:val="toc 9"/>
    <w:next w:val="Style_7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Strong"/>
    <w:basedOn w:val="Style_14"/>
    <w:link w:val="Style_28_ch"/>
    <w:rPr>
      <w:b w:val="1"/>
    </w:rPr>
  </w:style>
  <w:style w:styleId="Style_28_ch" w:type="character">
    <w:name w:val="Strong"/>
    <w:basedOn w:val="Style_14_ch"/>
    <w:link w:val="Style_28"/>
    <w:rPr>
      <w:b w:val="1"/>
    </w:rPr>
  </w:style>
  <w:style w:styleId="Style_29" w:type="paragraph">
    <w:name w:val="toc 8"/>
    <w:next w:val="Style_7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Intense Emphasis"/>
    <w:basedOn w:val="Style_14"/>
    <w:link w:val="Style_30_ch"/>
    <w:rPr>
      <w:i w:val="1"/>
      <w:color w:themeColor="accent1" w:themeShade="BF" w:val="104861"/>
    </w:rPr>
  </w:style>
  <w:style w:styleId="Style_30_ch" w:type="character">
    <w:name w:val="Intense Emphasis"/>
    <w:basedOn w:val="Style_14_ch"/>
    <w:link w:val="Style_30"/>
    <w:rPr>
      <w:i w:val="1"/>
      <w:color w:themeColor="accent1" w:themeShade="BF" w:val="104861"/>
    </w:rPr>
  </w:style>
  <w:style w:styleId="Style_1" w:type="paragraph">
    <w:name w:val="header"/>
    <w:basedOn w:val="Style_7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7_ch"/>
    <w:link w:val="Style_1"/>
  </w:style>
  <w:style w:styleId="Style_31" w:type="paragraph">
    <w:name w:val="toc 5"/>
    <w:next w:val="Style_7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footer"/>
    <w:basedOn w:val="Style_7"/>
    <w:link w:val="Style_3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2_ch" w:type="character">
    <w:name w:val="footer"/>
    <w:basedOn w:val="Style_7_ch"/>
    <w:link w:val="Style_32"/>
  </w:style>
  <w:style w:styleId="Style_33" w:type="paragraph">
    <w:name w:val="Unresolved Mention"/>
    <w:basedOn w:val="Style_14"/>
    <w:link w:val="Style_33_ch"/>
    <w:rPr>
      <w:color w:val="605E5C"/>
      <w:shd w:fill="E1DFDD" w:val="clear"/>
    </w:rPr>
  </w:style>
  <w:style w:styleId="Style_33_ch" w:type="character">
    <w:name w:val="Unresolved Mention"/>
    <w:basedOn w:val="Style_14_ch"/>
    <w:link w:val="Style_33"/>
    <w:rPr>
      <w:color w:val="605E5C"/>
      <w:shd w:fill="E1DFDD" w:val="clear"/>
    </w:rPr>
  </w:style>
  <w:style w:styleId="Style_34" w:type="paragraph">
    <w:name w:val="Subtitle"/>
    <w:basedOn w:val="Style_7"/>
    <w:next w:val="Style_7"/>
    <w:link w:val="Style_34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34_ch" w:type="character">
    <w:name w:val="Subtitle"/>
    <w:basedOn w:val="Style_7_ch"/>
    <w:link w:val="Style_34"/>
    <w:rPr>
      <w:color w:themeColor="text1" w:themeTint="A6" w:val="595959"/>
      <w:spacing w:val="15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35" w:type="paragraph">
    <w:name w:val="Title"/>
    <w:basedOn w:val="Style_7"/>
    <w:next w:val="Style_7"/>
    <w:link w:val="Style_35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5_ch" w:type="character">
    <w:name w:val="Title"/>
    <w:basedOn w:val="Style_7_ch"/>
    <w:link w:val="Style_35"/>
    <w:rPr>
      <w:rFonts w:asciiTheme="majorAscii" w:hAnsiTheme="majorHAnsi"/>
      <w:spacing w:val="-10"/>
      <w:sz w:val="56"/>
    </w:rPr>
  </w:style>
  <w:style w:styleId="Style_36" w:type="paragraph">
    <w:name w:val="heading 4"/>
    <w:basedOn w:val="Style_7"/>
    <w:next w:val="Style_7"/>
    <w:link w:val="Style_36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6_ch" w:type="character">
    <w:name w:val="heading 4"/>
    <w:basedOn w:val="Style_7_ch"/>
    <w:link w:val="Style_36"/>
    <w:rPr>
      <w:i w:val="1"/>
      <w:color w:themeColor="accent1" w:themeShade="BF" w:val="104861"/>
    </w:rPr>
  </w:style>
  <w:style w:styleId="Style_4" w:type="paragraph">
    <w:name w:val="footnote reference"/>
    <w:basedOn w:val="Style_14"/>
    <w:link w:val="Style_4_ch"/>
    <w:rPr>
      <w:vertAlign w:val="superscript"/>
    </w:rPr>
  </w:style>
  <w:style w:styleId="Style_4_ch" w:type="character">
    <w:name w:val="footnote reference"/>
    <w:basedOn w:val="Style_14_ch"/>
    <w:link w:val="Style_4"/>
    <w:rPr>
      <w:vertAlign w:val="superscript"/>
    </w:rPr>
  </w:style>
  <w:style w:styleId="Style_3" w:type="paragraph">
    <w:name w:val="heading 2"/>
    <w:basedOn w:val="Style_7"/>
    <w:next w:val="Style_7"/>
    <w:link w:val="Style_3_ch"/>
    <w:uiPriority w:val="9"/>
    <w:qFormat/>
    <w:pPr>
      <w:keepNext w:val="1"/>
      <w:keepLines w:val="1"/>
      <w:spacing w:after="0" w:line="360" w:lineRule="auto"/>
      <w:ind w:firstLine="709" w:left="0"/>
      <w:jc w:val="both"/>
      <w:outlineLvl w:val="1"/>
    </w:pPr>
    <w:rPr>
      <w:rFonts w:ascii="Times New Roman" w:hAnsi="Times New Roman"/>
      <w:b w:val="1"/>
      <w:sz w:val="28"/>
    </w:rPr>
  </w:style>
  <w:style w:styleId="Style_3_ch" w:type="character">
    <w:name w:val="heading 2"/>
    <w:basedOn w:val="Style_7_ch"/>
    <w:link w:val="Style_3"/>
    <w:rPr>
      <w:rFonts w:ascii="Times New Roman" w:hAnsi="Times New Roman"/>
      <w:b w:val="1"/>
      <w:sz w:val="28"/>
    </w:rPr>
  </w:style>
  <w:style w:styleId="Style_37" w:type="paragraph">
    <w:name w:val="heading 6"/>
    <w:basedOn w:val="Style_7"/>
    <w:next w:val="Style_7"/>
    <w:link w:val="Style_37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7_ch" w:type="character">
    <w:name w:val="heading 6"/>
    <w:basedOn w:val="Style_7_ch"/>
    <w:link w:val="Style_37"/>
    <w:rPr>
      <w:i w:val="1"/>
      <w:color w:themeColor="text1" w:themeTint="A6" w:val="595959"/>
    </w:rPr>
  </w:style>
  <w:style w:styleId="Style_38" w:type="paragraph">
    <w:name w:val="Emphasis"/>
    <w:basedOn w:val="Style_14"/>
    <w:link w:val="Style_38_ch"/>
    <w:rPr>
      <w:i w:val="1"/>
    </w:rPr>
  </w:style>
  <w:style w:styleId="Style_38_ch" w:type="character">
    <w:name w:val="Emphasis"/>
    <w:basedOn w:val="Style_14_ch"/>
    <w:link w:val="Style_38"/>
    <w:rPr>
      <w:i w:val="1"/>
    </w:rPr>
  </w:style>
  <w:style w:styleId="Style_39" w:type="table">
    <w:name w:val="Table Grid"/>
    <w:basedOn w:val="Style_40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Сетка таблицы1"/>
    <w:basedOn w:val="Style_40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Normal Grid"/>
    <w:basedOn w:val="Style_40"/>
    <w:pPr>
      <w:spacing w:after="0" w:line="240" w:lineRule="auto"/>
      <w:ind/>
    </w:pPr>
    <w:rPr>
      <w:rFonts w:ascii="Georgia" w:hAnsi="Georgia"/>
      <w:sz w:val="21"/>
    </w:r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footnotes.xml" Type="http://schemas.openxmlformats.org/officeDocument/2006/relationships/footnotes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2026-07-09T09:08:59Z</dcterms:modified>
</cp:coreProperties>
</file>