
<file path=[Content_Types].xml><?xml version="1.0" encoding="utf-8"?>
<Types xmlns="http://schemas.openxmlformats.org/package/2006/content-types"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240" w:lineRule="auto"/>
        <w:ind w:right="51"/>
        <w:jc w:val="right"/>
        <w:rPr>
          <w:sz w:val="24"/>
        </w:rPr>
      </w:pPr>
    </w:p>
    <w:p w14:paraId="04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Автономная некоммерческая организация высшего образования</w:t>
      </w:r>
    </w:p>
    <w:p w14:paraId="06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Национальный открытый институт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 Санкт-Петербург</w:t>
      </w:r>
    </w:p>
    <w:p w14:paraId="07000000">
      <w:pPr>
        <w:spacing w:after="0" w:line="240" w:lineRule="auto"/>
        <w:ind w:right="51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</w:t>
      </w:r>
    </w:p>
    <w:p w14:paraId="09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геодезии и дистанционного зондирования</w:t>
      </w:r>
    </w:p>
    <w:p w14:paraId="0A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C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right="51"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ОТЧЕТ</w:t>
      </w:r>
    </w:p>
    <w:p w14:paraId="11000000">
      <w:pPr>
        <w:spacing w:after="0" w:line="240" w:lineRule="auto"/>
        <w:ind w:right="51"/>
        <w:jc w:val="center"/>
        <w:rPr>
          <w:rFonts w:ascii="Times New Roman" w:hAnsi="Times New Roman"/>
          <w:b w:val="1"/>
          <w:sz w:val="40"/>
        </w:rPr>
      </w:pPr>
    </w:p>
    <w:p w14:paraId="12000000">
      <w:pPr>
        <w:spacing w:after="0" w:line="240" w:lineRule="auto"/>
        <w:ind w:right="5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о</w:t>
      </w:r>
    </w:p>
    <w:p w14:paraId="13000000">
      <w:pPr>
        <w:spacing w:after="0" w:line="240" w:lineRule="auto"/>
        <w:ind w:right="5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геодезической практике</w:t>
      </w:r>
    </w:p>
    <w:p w14:paraId="14000000">
      <w:pPr>
        <w:spacing w:after="0" w:line="240" w:lineRule="auto"/>
        <w:ind w:right="51"/>
        <w:jc w:val="center"/>
        <w:rPr>
          <w:rFonts w:ascii="Times New Roman" w:hAnsi="Times New Roman"/>
          <w:sz w:val="40"/>
          <w:u w:val="single"/>
        </w:rPr>
      </w:pPr>
      <w:r>
        <w:rPr>
          <w:rFonts w:ascii="Times New Roman" w:hAnsi="Times New Roman"/>
          <w:sz w:val="40"/>
          <w:u w:val="single"/>
        </w:rPr>
        <w:t>«Геодезия и дистанционное зондирование»</w:t>
      </w:r>
    </w:p>
    <w:p w14:paraId="15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B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</w:t>
      </w:r>
    </w:p>
    <w:p w14:paraId="1C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___________________________________</w:t>
      </w:r>
    </w:p>
    <w:p w14:paraId="1D000000">
      <w:pPr>
        <w:spacing w:after="0" w:line="240" w:lineRule="auto"/>
        <w:ind w:firstLine="0" w:left="2123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(фамилия, инициалы, </w:t>
      </w:r>
      <w:r>
        <w:rPr>
          <w:rFonts w:ascii="Times New Roman" w:hAnsi="Times New Roman"/>
          <w:sz w:val="28"/>
        </w:rPr>
        <w:t>PIN</w:t>
      </w:r>
      <w:r>
        <w:rPr>
          <w:rFonts w:ascii="Times New Roman" w:hAnsi="Times New Roman"/>
          <w:sz w:val="28"/>
        </w:rPr>
        <w:t>-код)</w:t>
      </w:r>
    </w:p>
    <w:p w14:paraId="1E00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1F00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</w:t>
      </w:r>
    </w:p>
    <w:p w14:paraId="21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___________________________________</w:t>
      </w:r>
    </w:p>
    <w:p w14:paraId="22000000">
      <w:pPr>
        <w:spacing w:after="0" w:line="240" w:lineRule="auto"/>
        <w:ind w:firstLine="0" w:left="2123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(должность, фамилия, инициалы)</w:t>
      </w:r>
    </w:p>
    <w:p w14:paraId="23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4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5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9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C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2D000000">
      <w:pPr>
        <w:spacing w:line="240" w:lineRule="auto"/>
        <w:ind w:right="51"/>
        <w:jc w:val="center"/>
        <w:rPr>
          <w:sz w:val="24"/>
        </w:rPr>
      </w:pPr>
    </w:p>
    <w:p w14:paraId="2E000000">
      <w:pPr>
        <w:spacing w:line="240" w:lineRule="auto"/>
        <w:ind w:right="51"/>
        <w:jc w:val="center"/>
        <w:rPr>
          <w:sz w:val="24"/>
        </w:rPr>
      </w:pPr>
    </w:p>
    <w:p w14:paraId="2F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ОГЛАВЛЕНИЕ</w:t>
      </w:r>
    </w:p>
    <w:p w14:paraId="30000000">
      <w:pPr>
        <w:pStyle w:val="Style_3"/>
        <w:spacing w:line="360" w:lineRule="auto"/>
        <w:ind/>
        <w:jc w:val="both"/>
        <w:rPr>
          <w:rFonts w:ascii="Times New Roman" w:hAnsi="Times New Roman"/>
          <w:b w:val="0"/>
          <w:color w:val="000000"/>
        </w:rPr>
      </w:pPr>
    </w:p>
    <w:p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32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Постановка цели и задач работ, выполняемых в ходе практики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3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Аналитический обзор профильной литературы и нормативно-технической документации по тематике практики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4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Технический проект и график выполнения работ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35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Описание и результаты выполнения полевых и практических работ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36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Рисунок 4 –  исполнительной схемы  строений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37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Описание и результаты выполнения камеральных и теоретических работ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38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39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Список использованных литературных источников и руководящих документов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3A000000">
      <w:pPr>
        <w:pStyle w:val="Style_4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Приложения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>
      <w:r>
        <w:fldChar w:fldCharType="end"/>
      </w:r>
    </w:p>
    <w:p w14:paraId="3C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3D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3E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3F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0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1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2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3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4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5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46000000">
      <w:bookmarkStart w:id="1" w:name="__RefHeading___1"/>
      <w:bookmarkEnd w:id="1"/>
      <w:pPr>
        <w:pStyle w:val="Style_2"/>
        <w:spacing w:after="150" w:before="0" w:line="360" w:lineRule="auto"/>
        <w:ind w:firstLine="709" w:left="0"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Введение</w:t>
      </w:r>
      <w:r>
        <w:rPr>
          <w:b w:val="1"/>
          <w:sz w:val="28"/>
        </w:rPr>
        <w:t xml:space="preserve"> </w:t>
      </w:r>
    </w:p>
    <w:p w14:paraId="4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современном строительстве геодезические работы играют ключевую роль на всех этапах – от проектирования до сдачи объекта в эксплуатацию. Точность геодезических измерений напрямую влияет на качество, безопасность и экономическую эффективность строительных проектов. В связи с этим, освоение современных геодезических методов и технологий, а также получение практического опыта их применения, является актуальной задачей для подготовки квалифицированных специалистов в области строительства.</w:t>
      </w:r>
    </w:p>
    <w:p w14:paraId="4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практики: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акрепление теоретических знаний и приобретение практических навыков в области геодезического обеспечения строительных работ.</w:t>
      </w:r>
    </w:p>
    <w:p w14:paraId="4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 практики:</w:t>
      </w:r>
    </w:p>
    <w:p w14:paraId="4A000000">
      <w:pPr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Изучить теоретические основы геодезических работ в строительстве и провести аналитический обзор профильной литературы и нормативно-технической документации.</w:t>
      </w:r>
    </w:p>
    <w:p w14:paraId="4B000000">
      <w:pPr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Составить технический проект и график выполнения работ для конкретного геодезического задания.</w:t>
      </w:r>
    </w:p>
    <w:p w14:paraId="4C000000">
      <w:pPr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Осуществить полевые геодезические работы в соответствии с проектом, включая измерения, сбор данных и их первичную обработку.</w:t>
      </w:r>
    </w:p>
    <w:p w14:paraId="4D000000">
      <w:pPr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Выполнить камеральные и теоретические работы, такие как обработка полевых измерений, составление планов и схем, анализ полученных результатов.</w:t>
      </w:r>
    </w:p>
    <w:p w14:paraId="4E000000">
      <w:pPr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Оценить точность и надежность выполненных геодезических работ и сформулировать выводы о применимости различных методов и технологий.</w:t>
      </w:r>
    </w:p>
    <w:p w14:paraId="4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Краткие сведения о базе практики:</w:t>
      </w:r>
      <w:r>
        <w:rPr>
          <w:rFonts w:ascii="Times New Roman" w:hAnsi="Times New Roman"/>
          <w:sz w:val="28"/>
        </w:rPr>
        <w:t xml:space="preserve"> Практика проходила в ООО "</w:t>
      </w:r>
      <w:r>
        <w:rPr>
          <w:rFonts w:ascii="Times New Roman" w:hAnsi="Times New Roman"/>
          <w:sz w:val="28"/>
        </w:rPr>
        <w:t>Нордгеоком</w:t>
      </w:r>
      <w:r>
        <w:rPr>
          <w:rFonts w:ascii="Times New Roman" w:hAnsi="Times New Roman"/>
          <w:sz w:val="28"/>
        </w:rPr>
        <w:t xml:space="preserve">", зарегистрированной по адресу: г. Москва, Профсоюзная 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 xml:space="preserve">, д. 56, этаж 3 </w:t>
      </w:r>
      <w:r>
        <w:rPr>
          <w:rFonts w:ascii="Times New Roman" w:hAnsi="Times New Roman"/>
          <w:sz w:val="28"/>
        </w:rPr>
        <w:t>помещ</w:t>
      </w:r>
      <w:r>
        <w:rPr>
          <w:rFonts w:ascii="Times New Roman" w:hAnsi="Times New Roman"/>
          <w:sz w:val="28"/>
        </w:rPr>
        <w:t>./ком. XIX/142. ООО "</w:t>
      </w:r>
      <w:r>
        <w:rPr>
          <w:rFonts w:ascii="Times New Roman" w:hAnsi="Times New Roman"/>
          <w:sz w:val="28"/>
        </w:rPr>
        <w:t>Нордгеоком</w:t>
      </w:r>
      <w:r>
        <w:rPr>
          <w:rFonts w:ascii="Times New Roman" w:hAnsi="Times New Roman"/>
          <w:sz w:val="28"/>
        </w:rPr>
        <w:t xml:space="preserve">" является строительной организацией, работающей на рынке с 2012 года (ОГРН 1127746251698, ИНН 7709900861, ОКПО 09202064). Основным видом деятельности компании является строительство жилых и нежилых зданий. Руководителем организации является генеральный директор </w:t>
      </w:r>
      <w:r>
        <w:rPr>
          <w:rFonts w:ascii="Times New Roman" w:hAnsi="Times New Roman"/>
          <w:sz w:val="28"/>
        </w:rPr>
        <w:t>Квитко</w:t>
      </w:r>
      <w:r>
        <w:rPr>
          <w:rFonts w:ascii="Times New Roman" w:hAnsi="Times New Roman"/>
          <w:sz w:val="28"/>
        </w:rPr>
        <w:t xml:space="preserve"> Елена Геннадиевна.</w:t>
      </w:r>
    </w:p>
    <w:p w14:paraId="5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Значимость прохождения практики:</w:t>
      </w:r>
      <w:r>
        <w:rPr>
          <w:rFonts w:ascii="Times New Roman" w:hAnsi="Times New Roman"/>
          <w:sz w:val="28"/>
        </w:rPr>
        <w:t xml:space="preserve"> Данная практика имеет большое значение для формирования профессиональных компетенций в области геодезии. Полученные знания и навыки позволят применять современные геодезические приборы и методы, обрабатывать геодезические данные и обеспечивать точность и надежность геодезических работ на строительных площадках.</w:t>
      </w:r>
    </w:p>
    <w:p w14:paraId="51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2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3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4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5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6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7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8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9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A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B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C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D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E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5F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000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1000000">
      <w:bookmarkStart w:id="2" w:name="__RefHeading___2"/>
      <w:bookmarkEnd w:id="2"/>
      <w:pPr>
        <w:pStyle w:val="Style_2"/>
        <w:spacing w:after="150" w:before="0" w:line="360" w:lineRule="auto"/>
        <w:ind w:firstLine="709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остановка цели и задач работ, выполняемых в ходе практики</w:t>
      </w:r>
      <w:r>
        <w:rPr>
          <w:b w:val="1"/>
          <w:sz w:val="28"/>
        </w:rPr>
        <w:t xml:space="preserve"> </w:t>
      </w:r>
    </w:p>
    <w:p w14:paraId="6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период прохождения практики в ООО "</w:t>
      </w:r>
      <w:r>
        <w:rPr>
          <w:rFonts w:ascii="Times New Roman" w:hAnsi="Times New Roman"/>
          <w:sz w:val="28"/>
        </w:rPr>
        <w:t>Нордгеоком</w:t>
      </w:r>
      <w:r>
        <w:rPr>
          <w:rFonts w:ascii="Times New Roman" w:hAnsi="Times New Roman"/>
          <w:sz w:val="28"/>
        </w:rPr>
        <w:t>", основной целью было углубленное изучение и практическое применение методов обоснования точности геодезических работ при строительстве линейных объектов. ООО "</w:t>
      </w:r>
      <w:r>
        <w:rPr>
          <w:rFonts w:ascii="Times New Roman" w:hAnsi="Times New Roman"/>
          <w:sz w:val="28"/>
        </w:rPr>
        <w:t>Нордгеоком</w:t>
      </w:r>
      <w:r>
        <w:rPr>
          <w:rFonts w:ascii="Times New Roman" w:hAnsi="Times New Roman"/>
          <w:sz w:val="28"/>
        </w:rPr>
        <w:t>", являясь многопрофильной строительной организацией, предоставляет широкие возможности для анализа различных аспектов геодезического обеспечения строительства. В компании активно применяются современные геодезические технологии, что позволяет детально изучить их влияние на точность и эффективность строительных работ.</w:t>
      </w:r>
    </w:p>
    <w:p w14:paraId="6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поставленной цели были определены следующие задачи:</w:t>
      </w:r>
    </w:p>
    <w:p w14:paraId="64000000">
      <w:pPr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нормативно-технической документации, регламентирующей требования к точности геодезических работ при строительстве линейных объектов.</w:t>
      </w:r>
    </w:p>
    <w:p w14:paraId="65000000">
      <w:pPr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существующих методов обоснования точности геодезических сетей и измерений, применяемых в ООО "</w:t>
      </w:r>
      <w:r>
        <w:rPr>
          <w:rFonts w:ascii="Times New Roman" w:hAnsi="Times New Roman"/>
          <w:sz w:val="28"/>
        </w:rPr>
        <w:t>Нордгеоком</w:t>
      </w:r>
      <w:r>
        <w:rPr>
          <w:rFonts w:ascii="Times New Roman" w:hAnsi="Times New Roman"/>
          <w:sz w:val="28"/>
        </w:rPr>
        <w:t>".</w:t>
      </w:r>
    </w:p>
    <w:p w14:paraId="66000000">
      <w:pPr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Исследование влияния различных факторов (атмосферные условия, используемое оборудование, квалификация персонала) на точность геодезических работ.</w:t>
      </w:r>
    </w:p>
    <w:p w14:paraId="67000000">
      <w:pPr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экономической целесообразности соблюдения заданных требований к точности геодезических работ.</w:t>
      </w:r>
    </w:p>
    <w:p w14:paraId="68000000">
      <w:pPr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рекомендаций по оптимизации геодезического обеспечения строительства линейных объектов с учетом требований к точности и экономической эффективности.</w:t>
      </w:r>
    </w:p>
    <w:p w14:paraId="6900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6A00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6B00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6C000000">
      <w:bookmarkStart w:id="3" w:name="__RefHeading___3"/>
      <w:bookmarkEnd w:id="3"/>
      <w:pPr>
        <w:pStyle w:val="Style_2"/>
        <w:spacing w:after="150" w:before="0" w:line="360" w:lineRule="auto"/>
        <w:ind w:firstLine="709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>А</w:t>
      </w:r>
      <w:r>
        <w:rPr>
          <w:b w:val="1"/>
          <w:sz w:val="28"/>
        </w:rPr>
        <w:t>налитический обзор профильной литературы и нормативно-технической документации по тематике практики</w:t>
      </w:r>
      <w:r>
        <w:rPr>
          <w:b w:val="1"/>
          <w:sz w:val="28"/>
        </w:rPr>
        <w:t xml:space="preserve"> </w:t>
      </w:r>
    </w:p>
    <w:p w14:paraId="6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Аналитический обзор литературы и нормативно-технической документации является важным этапом для понимания современных требований и методов обоснования точности геодезических работ при строительстве линейных объектов. Существующие исследования охватывают широкий спектр вопросов, от анализа факторов, влияющих на точность измерений, до экономической оценки соблюдения требуемой точности.</w:t>
      </w:r>
    </w:p>
    <w:p w14:paraId="6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Нормативно-техническая документация.</w:t>
      </w:r>
    </w:p>
    <w:p w14:paraId="6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строительстве линейных объектов применяются различные нормативные документы, регламентирующие точность геодезических работ. Важным документом является СП 126.13330.2017 "Геодезические работы в строительстве". В данном документе определены требования к созданию геодезической разбивочной основы, точности разбивочных работ и геодезическому контролю в процессе строительства. Наряду с этим, используются отраслевые нормы и правила, устанавливающие требования к точности в зависимости от типа линейного объекта (автомобильные и железные дороги, трубопроводы, линии электропередач и т.д.) [4].</w:t>
      </w:r>
    </w:p>
    <w:p w14:paraId="7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факторов, влияющих на точность геодезических работ.</w:t>
      </w:r>
    </w:p>
    <w:p w14:paraId="7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точность геодезических работ оказывает влияние ряд факторов, которые можно разделить на три основные группы:</w:t>
      </w:r>
    </w:p>
    <w:p w14:paraId="72000000">
      <w:pPr>
        <w:numPr>
          <w:ilvl w:val="0"/>
          <w:numId w:val="3"/>
        </w:numPr>
        <w:spacing w:after="0" w:line="360" w:lineRule="auto"/>
        <w:ind w:firstLine="709" w:left="5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Инструментальные факторы:</w:t>
      </w:r>
      <w:r>
        <w:rPr>
          <w:rFonts w:ascii="Times New Roman" w:hAnsi="Times New Roman"/>
          <w:sz w:val="28"/>
        </w:rPr>
        <w:t xml:space="preserve"> точность используемых геодезических приборов (тахеометры, нивелиры, GNSS-приемники), калибровка и поверка оборудования [8, 12].</w:t>
      </w:r>
    </w:p>
    <w:p w14:paraId="73000000">
      <w:pPr>
        <w:numPr>
          <w:ilvl w:val="0"/>
          <w:numId w:val="3"/>
        </w:numPr>
        <w:spacing w:after="0" w:line="360" w:lineRule="auto"/>
        <w:ind w:firstLine="709" w:left="5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Методические факторы:</w:t>
      </w:r>
      <w:r>
        <w:rPr>
          <w:rFonts w:ascii="Times New Roman" w:hAnsi="Times New Roman"/>
          <w:sz w:val="28"/>
        </w:rPr>
        <w:t xml:space="preserve"> выбор оптимальной схемы геодезических построений, методов измерений и обработки данных, учет влияния систематических и случайных ошибок [13, 14].</w:t>
      </w:r>
    </w:p>
    <w:p w14:paraId="74000000">
      <w:pPr>
        <w:numPr>
          <w:ilvl w:val="0"/>
          <w:numId w:val="3"/>
        </w:numPr>
        <w:spacing w:after="0" w:line="360" w:lineRule="auto"/>
        <w:ind w:firstLine="709" w:left="5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Внешние факторы:</w:t>
      </w:r>
      <w:r>
        <w:rPr>
          <w:rFonts w:ascii="Times New Roman" w:hAnsi="Times New Roman"/>
          <w:sz w:val="28"/>
        </w:rPr>
        <w:t xml:space="preserve"> влияние атмосферных условий (температура, давление, влажность), рельеф местности, наличие препятствий для видимости, квалификация и опыт персонала [3, 20].</w:t>
      </w:r>
    </w:p>
    <w:p w14:paraId="7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Экономическое обоснование требований к точности.</w:t>
      </w:r>
    </w:p>
    <w:p w14:paraId="7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геодезических работ с повышенной точностью требует дополнительных затрат на использование более точного оборудования, применение более сложных методов измерений и обработки данных, а также на повышение квалификации персонала. Однако, как отмечает Т.А. Петрова [18], экономически обоснованное повышение точности геодезических работ позволяет снизить риски возникновения ошибок при строительстве, уменьшить затраты на переделку и исправление дефектов, а также повысить надежность и долговечность линейного объекта.</w:t>
      </w:r>
    </w:p>
    <w:p w14:paraId="7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оптимизации геодезического обеспечения строительства линейных объектов необходимо учитывать взаимное влияние различных факторов, обеспечивая требуемую точность измерений с минимальными затратами. В связи с этим проводится анализ применяемых технологий, оборудования и методов геодезических работ, а также их оценка с позиций экономической эффективности.</w:t>
      </w:r>
    </w:p>
    <w:p w14:paraId="7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 – Основные факторы, влияющие на точность геодезических работ при строительстве линейных объектов.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809"/>
        <w:gridCol w:w="7546"/>
      </w:tblGrid>
      <w:tr>
        <w:trPr>
          <w:tblHeader/>
        </w:trP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</w:t>
            </w:r>
          </w:p>
        </w:tc>
      </w:tr>
      <w:t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используемого прибора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Тахеометры, нивелиры, GNSS-приемники. Различные модели приборов имеют разную точность измерений.</w:t>
            </w:r>
          </w:p>
        </w:tc>
      </w:tr>
      <w:t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Квалификация персонала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Опыт и знания геодезистов, правильная организация работы.</w:t>
            </w:r>
          </w:p>
        </w:tc>
      </w:tr>
      <w:t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измерений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различных методов может снизить влияние систематических и случайных ошибок. Разные методы имеют разную точность</w:t>
            </w:r>
          </w:p>
        </w:tc>
      </w:tr>
      <w:t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Погодные условия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Температура, давление, влажность, ветер. Влияют на точность измерений.</w:t>
            </w:r>
          </w:p>
        </w:tc>
      </w:tr>
      <w:t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Рельеф местности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 наклона влияет на дальность измерений, так же как и геометрия трассы (например, угол поворота трассы).</w:t>
            </w:r>
          </w:p>
        </w:tc>
      </w:tr>
      <w:tr>
        <w:tc>
          <w:tcPr>
            <w:tcW w:type="dxa" w:w="18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Затененность</w:t>
            </w:r>
          </w:p>
        </w:tc>
        <w:tc>
          <w:tcPr>
            <w:tcW w:type="dxa" w:w="75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препятствий (леса, здания) снижает точность измерений с использованием спутниковых систем.</w:t>
            </w:r>
          </w:p>
        </w:tc>
      </w:tr>
    </w:tbl>
    <w:p w14:paraId="8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таблице 1 представлены основные факторы, влияющие на точность геодезических работ при строительстве линейных объектов. Основными из них являются применяемые геодезические приборы, квалификация персонала, методы измерений, атмосферные условия и рельеф местности. Выбор оптимального сочетания факторов позволит достичь требуемой точности геодезических работ с минимальными затратами. Важно отметить, что различные геодезические приборы, такие как тахеометры, нивелиры и GNSS-приемники, имеют разную точность измерений, что напрямую влияет на общую точность работ. Квалификация персонала также играет важную роль, поскольку опытные геодезисты могут более эффективно организовывать работу и минимизировать ошибки измерений. Методы измерений, применяемые в процессе геодезических работ, позволяют снизить влияние систематических и случайных ошибок, что способствует повышению точности результатов. Погодные условия, такие как температура, влажность и ветер, оказывают существенное влияние на измерения и требуют учета при выполнении работ. Наконец, рельеф местности и наличие препятствий для видимости также могут снижать общую точность геодезических измерений, требуя применения дополнительных мер и техник для обеспечения надежности результатов. Таким образом, учет и оптимизация всех представленных факторов являются ключевыми для достижения необходимой точности геодезических работ при строительстве линейных объектов. В конечном итоге, это способствует повышению качества и надежности строительства, а также снижению рисков возникновения ошибок и дополнительных затрат.</w:t>
      </w:r>
    </w:p>
    <w:p w14:paraId="8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требований к точности для различных видов линейных объектов</w:t>
      </w:r>
    </w:p>
    <w:p w14:paraId="8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 к точности геодезических работ зависят от типа линейного объекта и предъявляемых к нему эксплуатационных требований. Так, при строительстве железных дорог требования к точности планового и высотного положения элементов трассы выше, чем при строительстве автомобильных дорог. Для трубопроводов важна точность определения отметок и уклонов, обеспечивающая самотечное движение транспортируемой среды. При строительстве линий электропередач особое внимание уделяется точности определения положения опор и провиса проводов.</w:t>
      </w:r>
    </w:p>
    <w:p w14:paraId="8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 – Требования к точности геодезических работ для различных видов линейных объектов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2510"/>
        <w:gridCol w:w="3415"/>
        <w:gridCol w:w="3431"/>
      </w:tblGrid>
      <w:tr>
        <w:trPr>
          <w:tblHeader/>
        </w:trPr>
        <w:tc>
          <w:tcPr>
            <w:tcW w:type="dxa" w:w="25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Линейный объект</w:t>
            </w:r>
          </w:p>
        </w:tc>
        <w:tc>
          <w:tcPr>
            <w:tcW w:type="dxa" w:w="34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плановой точности</w:t>
            </w:r>
          </w:p>
        </w:tc>
        <w:tc>
          <w:tcPr>
            <w:tcW w:type="dxa" w:w="34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высотной точности</w:t>
            </w:r>
          </w:p>
        </w:tc>
      </w:tr>
      <w:tr>
        <w:tc>
          <w:tcPr>
            <w:tcW w:type="dxa" w:w="25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Автомобильные дороги</w:t>
            </w:r>
          </w:p>
        </w:tc>
        <w:tc>
          <w:tcPr>
            <w:tcW w:type="dxa" w:w="34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+/- 50 мм</w:t>
            </w:r>
          </w:p>
        </w:tc>
        <w:tc>
          <w:tcPr>
            <w:tcW w:type="dxa" w:w="34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+/- 20 мм</w:t>
            </w:r>
          </w:p>
        </w:tc>
      </w:tr>
      <w:tr>
        <w:tc>
          <w:tcPr>
            <w:tcW w:type="dxa" w:w="25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Железные дороги</w:t>
            </w:r>
          </w:p>
        </w:tc>
        <w:tc>
          <w:tcPr>
            <w:tcW w:type="dxa" w:w="34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+/- 20 мм</w:t>
            </w:r>
          </w:p>
        </w:tc>
        <w:tc>
          <w:tcPr>
            <w:tcW w:type="dxa" w:w="34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+/- 10 мм</w:t>
            </w:r>
          </w:p>
        </w:tc>
      </w:tr>
      <w:tr>
        <w:tc>
          <w:tcPr>
            <w:tcW w:type="dxa" w:w="25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Трубопроводы</w:t>
            </w:r>
          </w:p>
        </w:tc>
        <w:tc>
          <w:tcPr>
            <w:tcW w:type="dxa" w:w="34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+/- 100 мм</w:t>
            </w:r>
          </w:p>
        </w:tc>
        <w:tc>
          <w:tcPr>
            <w:tcW w:type="dxa" w:w="34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+/- 50 мм</w:t>
            </w:r>
          </w:p>
        </w:tc>
      </w:tr>
      <w:tr>
        <w:tc>
          <w:tcPr>
            <w:tcW w:type="dxa" w:w="25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Линии электропередач</w:t>
            </w:r>
          </w:p>
        </w:tc>
        <w:tc>
          <w:tcPr>
            <w:tcW w:type="dxa" w:w="341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+/- 100 мм</w:t>
            </w:r>
          </w:p>
        </w:tc>
        <w:tc>
          <w:tcPr>
            <w:tcW w:type="dxa" w:w="34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+/- 50 мм</w:t>
            </w:r>
          </w:p>
        </w:tc>
      </w:tr>
    </w:tbl>
    <w:p w14:paraId="9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 демонстрирует различия в требованиях к точности геодезических работ в зависимости от типа линейного объекта. Как видно из данных таблицы, для железных дорог предъявляются более высокие требования к точности планового и высотного положения элементов трассы по сравнению с автомобильными дорогами. Трубопроводы требуют относительно высокой точности определения отметок и уклонов, что необходимо для обеспечения эффективного самотечного движения транспортируемой среды. Для линий электропередач также важна точность определения положения опор и провиса проводов, чтобы обеспечить безопасность и надежность работы системы электроснабжения. Автомобильные дороги, в свою очередь, имеют менее строгие требования к точности по сравнению с железными дорогами, но все равно требуют соблюдения определенной плановой и высотной точности для обеспечения правильного функционирования и долговечности дорожной инфраструктуры. Важно отметить, что эти требования являются нормативными и должны строго соблюдаться в процессе выполнения геодезических работ, чтобы обеспечить соответствие построенного объекта проектной документации и стандартам безопасности. В итоге, правильный выбор геодезических методов и приборов, а также квалификация геодезистов, играют ключевую роль в обеспечении требуемой точности при строительстве различных видов линейных объектов.</w:t>
      </w:r>
    </w:p>
    <w:p w14:paraId="9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Влияние точности геодезических работ на стоимость строительства</w:t>
      </w:r>
    </w:p>
    <w:p w14:paraId="9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О.С. Зимин [10] исследует влияние точности геодезических работ на стоимость строительства линейных объектов. Анализ показывает, что повышение требований к точности может привести к увеличению затрат на геодезические работы (закупка более точного оборудования, привлечение высококвалифицированного персонала, увеличение времени на измерения и обработку данных). Однако, снижение точности может повлечь за собой дополнительные затраты на исправление ошибок и переделку некачественно выполненных работ.</w:t>
      </w:r>
    </w:p>
    <w:p w14:paraId="9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 – Зависимость затрат на геодезические работы от требуемой точности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547"/>
        <w:gridCol w:w="3931"/>
        <w:gridCol w:w="3877"/>
      </w:tblGrid>
      <w:tr>
        <w:trPr>
          <w:tblHeader/>
        </w:trPr>
        <w:tc>
          <w:tcPr>
            <w:tcW w:type="dxa" w:w="15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Требуемая точность (</w:t>
            </w:r>
            <w:r>
              <w:rPr>
                <w:rFonts w:ascii="Times New Roman" w:hAnsi="Times New Roman"/>
                <w:sz w:val="24"/>
              </w:rPr>
              <w:t>мм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39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геодезические работы (от общей стоимости строительства</w:t>
            </w:r>
            <w:r>
              <w:rPr>
                <w:rFonts w:ascii="Times New Roman" w:hAnsi="Times New Roman"/>
                <w:sz w:val="24"/>
              </w:rPr>
              <w:t>, %)</w:t>
            </w:r>
          </w:p>
        </w:tc>
        <w:tc>
          <w:tcPr>
            <w:tcW w:type="dxa" w:w="38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исправление ошибок (от общей стоимости строительства</w:t>
            </w:r>
            <w:r>
              <w:rPr>
                <w:rFonts w:ascii="Times New Roman" w:hAnsi="Times New Roman"/>
                <w:sz w:val="24"/>
              </w:rPr>
              <w:t>, %)</w:t>
            </w:r>
          </w:p>
        </w:tc>
      </w:tr>
      <w:tr>
        <w:tc>
          <w:tcPr>
            <w:tcW w:type="dxa" w:w="15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9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2.0</w:t>
            </w:r>
          </w:p>
        </w:tc>
        <w:tc>
          <w:tcPr>
            <w:tcW w:type="dxa" w:w="38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</w:tr>
      <w:tr>
        <w:tc>
          <w:tcPr>
            <w:tcW w:type="dxa" w:w="15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39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type="dxa" w:w="38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0.3</w:t>
            </w:r>
          </w:p>
        </w:tc>
      </w:tr>
      <w:tr>
        <w:tc>
          <w:tcPr>
            <w:tcW w:type="dxa" w:w="15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type="dxa" w:w="39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</w:t>
            </w:r>
          </w:p>
        </w:tc>
        <w:tc>
          <w:tcPr>
            <w:tcW w:type="dxa" w:w="38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0.5</w:t>
            </w:r>
          </w:p>
        </w:tc>
      </w:tr>
      <w:tr>
        <w:tc>
          <w:tcPr>
            <w:tcW w:type="dxa" w:w="154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type="dxa" w:w="393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0.5</w:t>
            </w:r>
          </w:p>
        </w:tc>
        <w:tc>
          <w:tcPr>
            <w:tcW w:type="dxa" w:w="387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</w:t>
            </w:r>
          </w:p>
        </w:tc>
      </w:tr>
    </w:tbl>
    <w:p w14:paraId="A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таблице 3 демонстрируется зависимость затрат на геодезические работы и на исправление ошибок от требуемой точности. </w:t>
      </w:r>
      <w:r>
        <w:rPr>
          <w:rFonts w:ascii="Times New Roman" w:hAnsi="Times New Roman"/>
          <w:sz w:val="28"/>
        </w:rPr>
        <w:t>Из таблицы видно, что при более высоких требованиях к точности (например, 10 мм), затраты на геодезические работы составляют 2.0% от общей стоимости строительства, но при этом затраты на исправление ошибок минимальны - всего 0.1%. В то же время, при снижении требований к точности до 100 мм, затраты на геодезические работы снижаются до 0.5%, однако затраты на исправление ошибок возрастают до 1.0</w:t>
      </w:r>
      <w:r>
        <w:rPr>
          <w:rFonts w:ascii="Times New Roman" w:hAnsi="Times New Roman"/>
          <w:sz w:val="28"/>
        </w:rPr>
        <w:t>%. Это свидетельствует о том, что снижение затрат на геодезические работы за счет уменьшения требований к точности может привести к увеличению общих затрат на проект из-за необходимости исправления ошибок и переделки некачественно выполненных работ. Оптимальная стратегия заключается в нахождении баланса между затратами на геодезические работы и затратами на исправление ошибок, чтобы минимизировать общую стоимость строительства, одновременно обеспечивая соответствие построенного объекта проектной документации и стандартам безопасности. Таким образом, экономическое обоснование требований к точности геодезических работ является важным аспектом при планировании и реализации строительных проектов. Важно отметить, что экономическое обоснование требований к точности геодезических работ требует тщательного анализа с учетом специфики каждого отдельного проекта.</w:t>
      </w:r>
    </w:p>
    <w:p w14:paraId="AE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AF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0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1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2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3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400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5000000">
      <w:bookmarkStart w:id="4" w:name="__RefHeading___4"/>
      <w:bookmarkEnd w:id="4"/>
      <w:pPr>
        <w:pStyle w:val="Style_2"/>
        <w:spacing w:after="150" w:before="0" w:line="360" w:lineRule="auto"/>
        <w:ind w:firstLine="709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>Т</w:t>
      </w:r>
      <w:r>
        <w:rPr>
          <w:b w:val="1"/>
          <w:sz w:val="28"/>
        </w:rPr>
        <w:t>ехнический проект и график выполнения работ</w:t>
      </w:r>
      <w:r>
        <w:rPr>
          <w:b w:val="1"/>
          <w:sz w:val="28"/>
        </w:rPr>
        <w:t xml:space="preserve"> </w:t>
      </w:r>
    </w:p>
    <w:p w14:paraId="B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Технический проект по геодезическому обеспечению строительства автомобильного моста является комплексным документом, определяющим все этапы и методы выполнения геодезических работ. Основная цель проекта – обеспечение необходимой точности при строительстве моста, что включает разбивку осей и элементов конструкций,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процессом строительства и исполнительную съемку. График выполнения работ разрабатывается на основе технического проекта и определяет последовательность и сроки выполнения геодезических работ.</w:t>
      </w:r>
    </w:p>
    <w:p w14:paraId="B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8000000">
      <w:pPr>
        <w:pStyle w:val="Style_7"/>
        <w:spacing w:line="360" w:lineRule="auto"/>
        <w:ind w:firstLine="567" w:left="0"/>
        <w:jc w:val="both"/>
        <w:rPr>
          <w:sz w:val="28"/>
        </w:rPr>
      </w:pPr>
      <w:r>
        <w:rPr>
          <w:sz w:val="28"/>
        </w:rPr>
        <w:drawing>
          <wp:inline>
            <wp:extent cx="5879962" cy="21336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879962" cy="2133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9000000">
      <w:pPr>
        <w:pStyle w:val="Style_7"/>
        <w:spacing w:line="360" w:lineRule="auto"/>
        <w:ind w:firstLine="567" w:left="0"/>
        <w:jc w:val="center"/>
        <w:rPr>
          <w:sz w:val="28"/>
        </w:rPr>
      </w:pPr>
      <w:r>
        <w:rPr>
          <w:sz w:val="28"/>
        </w:rPr>
        <w:t xml:space="preserve">Рисунок </w:t>
      </w:r>
      <w:r>
        <w:rPr>
          <w:sz w:val="28"/>
        </w:rPr>
        <w:t>1</w:t>
      </w:r>
      <w:r>
        <w:rPr>
          <w:sz w:val="28"/>
        </w:rPr>
        <w:t xml:space="preserve"> – Создание строительной геодезической сети в ССК</w:t>
      </w:r>
    </w:p>
    <w:p w14:paraId="B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Этапы технического проекта включают анализ исходных данных, создание строительной геодезической сети (СГС), разбивку осей и элементов конструкций, геодезический контроль в процессе строительства, исполнительную съемку и камеральную обработку данных. Каждый этап требует тщательного планирования и использования соответствующего геодезического оборудования и методов.</w:t>
      </w:r>
    </w:p>
    <w:p w14:paraId="B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 – Этапы геодезического обеспечения строительства моста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792"/>
        <w:gridCol w:w="1781"/>
        <w:gridCol w:w="1959"/>
        <w:gridCol w:w="2172"/>
        <w:gridCol w:w="1651"/>
      </w:tblGrid>
      <w:tr>
        <w:trPr>
          <w:tblHeader/>
        </w:trP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Этап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Цель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Методы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Оборудование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выполнения</w:t>
            </w:r>
          </w:p>
        </w:tc>
      </w:tr>
      <w:t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Анализ исходных данных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точности исходных геодезических пунктов и выбор оптимальной СГС.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Анализ каталогов координат, нормативных документов, топографических планов.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неделя</w:t>
            </w:r>
          </w:p>
        </w:tc>
      </w:tr>
      <w:t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Создание строительной геодезической сети (СГС)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сети с высокой точностью для разбивочных работ.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GPS-измерения, триангуляция, </w:t>
            </w:r>
            <w:r>
              <w:rPr>
                <w:rFonts w:ascii="Times New Roman" w:hAnsi="Times New Roman"/>
                <w:sz w:val="28"/>
              </w:rPr>
              <w:t>трилатерация</w:t>
            </w:r>
            <w:r>
              <w:rPr>
                <w:rFonts w:ascii="Times New Roman" w:hAnsi="Times New Roman"/>
                <w:sz w:val="28"/>
              </w:rPr>
              <w:t>, полигонометрия.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GPS </w:t>
            </w:r>
            <w:r>
              <w:rPr>
                <w:rFonts w:ascii="Times New Roman" w:hAnsi="Times New Roman"/>
                <w:sz w:val="28"/>
              </w:rPr>
              <w:t>Javad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Triumph</w:t>
            </w:r>
            <w:r>
              <w:rPr>
                <w:rFonts w:ascii="Times New Roman" w:hAnsi="Times New Roman"/>
                <w:sz w:val="28"/>
              </w:rPr>
              <w:t>–1–G3T, Тахеометр GEOMAX ZOOM 30.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недели</w:t>
            </w:r>
          </w:p>
        </w:tc>
      </w:tr>
      <w:t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Разбивка осей и элементов конструкций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Перенос проектных данных на местность с заданной точностью.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 прямоугольных координат, угловые и линейные засечки.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Тахеометр GEOMAX ZOOM 30, контроллер </w:t>
            </w:r>
            <w:r>
              <w:rPr>
                <w:rFonts w:ascii="Times New Roman" w:hAnsi="Times New Roman"/>
                <w:sz w:val="28"/>
              </w:rPr>
              <w:t>Viktor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недели</w:t>
            </w:r>
          </w:p>
        </w:tc>
      </w:tr>
      <w:t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Геодезический контроль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 за</w:t>
            </w:r>
            <w:r>
              <w:rPr>
                <w:rFonts w:ascii="Times New Roman" w:hAnsi="Times New Roman"/>
                <w:sz w:val="28"/>
              </w:rPr>
              <w:t xml:space="preserve"> соответствием возводимых конструкций проектным требованиям.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Нивелирование, тахеометрическая съемка, спутниковые измерения.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Нивелир, тахеометр GEOMAX ZOOM 30, GPS </w:t>
            </w:r>
            <w:r>
              <w:rPr>
                <w:rFonts w:ascii="Times New Roman" w:hAnsi="Times New Roman"/>
                <w:sz w:val="28"/>
              </w:rPr>
              <w:t>Javad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Triumph</w:t>
            </w:r>
            <w:r>
              <w:rPr>
                <w:rFonts w:ascii="Times New Roman" w:hAnsi="Times New Roman"/>
                <w:sz w:val="28"/>
              </w:rPr>
              <w:t>–1–G3T.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 (на всех этапах строительства)</w:t>
            </w:r>
          </w:p>
        </w:tc>
      </w:tr>
      <w:t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Исполнительная съемка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Фиксация фактического положения построенных конструкций и элементов объекта.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Тахеометрическая съемка, спутниковые измерения.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Тахеометр GEOMAX ZOOM 30, GPS </w:t>
            </w:r>
            <w:r>
              <w:rPr>
                <w:rFonts w:ascii="Times New Roman" w:hAnsi="Times New Roman"/>
                <w:sz w:val="28"/>
              </w:rPr>
              <w:t>Javad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Triumph</w:t>
            </w:r>
            <w:r>
              <w:rPr>
                <w:rFonts w:ascii="Times New Roman" w:hAnsi="Times New Roman"/>
                <w:sz w:val="28"/>
              </w:rPr>
              <w:t>–1–G3T.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После завершения этапов строительства, 2 недели</w:t>
            </w:r>
          </w:p>
        </w:tc>
      </w:tr>
      <w:tr>
        <w:tc>
          <w:tcPr>
            <w:tcW w:type="dxa" w:w="17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Камеральная обработка данных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Обработка и анализ результатов измерений, составление исполнительной документации.</w:t>
            </w:r>
          </w:p>
        </w:tc>
        <w:tc>
          <w:tcPr>
            <w:tcW w:type="dxa" w:w="19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Математическая обработка измерений, создание цифровых моделей местности, построение профилей и сечений.</w:t>
            </w:r>
          </w:p>
        </w:tc>
        <w:tc>
          <w:tcPr>
            <w:tcW w:type="dxa" w:w="217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специализированное программное обеспечение (</w:t>
            </w:r>
            <w:r>
              <w:rPr>
                <w:rFonts w:ascii="Times New Roman" w:hAnsi="Times New Roman"/>
                <w:sz w:val="28"/>
              </w:rPr>
              <w:t>AutoCAD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Credo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Civil</w:t>
            </w:r>
            <w:r>
              <w:rPr>
                <w:rFonts w:ascii="Times New Roman" w:hAnsi="Times New Roman"/>
                <w:sz w:val="28"/>
              </w:rPr>
              <w:t xml:space="preserve"> 3D).</w:t>
            </w:r>
          </w:p>
        </w:tc>
        <w:tc>
          <w:tcPr>
            <w:tcW w:type="dxa" w:w="165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D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Постоянно, завершение - 1 неделя</w:t>
            </w:r>
          </w:p>
        </w:tc>
      </w:tr>
    </w:tbl>
    <w:p w14:paraId="E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таблице 1 представлен подробный план-график геодезического обеспечения строительства моста, включающий все основные этапы работ. Начиная с анализа исходных данных, целью которого является оценка точности существующих геодезических пунктов и выбор оптимальной конфигурации строительной геодезической сети, и заканчивая камеральной обработкой данных и составлением исполнительной документации. Геодезический контроль осуществляется непрерывно на всех этапах строительства, что обеспечивает своевременное выявление и устранение отклонений от проектных значений, а также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соответствием возводимых конструкций требованиям проектной документации. Продолжительность каждого этапа, а также используемое оборудование, определены с учетом масштаба, сложности проекта и требуемой точности измерений. Сроки выполнения каждого этапа строго контролируются, что способствует соблюдению общего графика строительства моста. Камеральная обработка данных осуществляется постоянно и завершается после окончания полевых работ для формирования исполнительной документации.</w:t>
      </w:r>
    </w:p>
    <w:p w14:paraId="E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 – График выполнения геодезических работ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108"/>
        <w:gridCol w:w="3926"/>
        <w:gridCol w:w="929"/>
        <w:gridCol w:w="1058"/>
        <w:gridCol w:w="2701"/>
      </w:tblGrid>
      <w:tr>
        <w:trPr>
          <w:tblHeader/>
        </w:trP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работы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Ед. </w:t>
            </w:r>
            <w:r>
              <w:rPr>
                <w:rFonts w:ascii="Times New Roman" w:hAnsi="Times New Roman"/>
                <w:sz w:val="24"/>
              </w:rPr>
              <w:t>изм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выполнения (месяц)</w:t>
            </w:r>
          </w:p>
        </w:tc>
      </w:tr>
      <w:t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исходных данных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СГС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E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</w:t>
            </w:r>
          </w:p>
        </w:tc>
      </w:tr>
      <w:t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Разбивка осей и элементов конструкций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2-4</w:t>
            </w:r>
          </w:p>
        </w:tc>
      </w:tr>
      <w:t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Геодезический контроль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2-12</w:t>
            </w:r>
          </w:p>
        </w:tc>
      </w:tr>
      <w:t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Исполнительная съемка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F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10-12</w:t>
            </w:r>
          </w:p>
        </w:tc>
      </w:tr>
      <w:tr>
        <w:tc>
          <w:tcPr>
            <w:tcW w:type="dxa" w:w="11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9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Камеральная обработка данных</w:t>
            </w:r>
          </w:p>
        </w:tc>
        <w:tc>
          <w:tcPr>
            <w:tcW w:type="dxa" w:w="92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1-12</w:t>
            </w:r>
          </w:p>
        </w:tc>
      </w:tr>
    </w:tbl>
    <w:p w14:paraId="05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таблице 2 представлен график выполнения геодезических работ, развернутый по месяцам, который отражает динамику и последовательность реализации каждого этапа. Анализ исходных данных, а также создание строительной геодезической сети выполняются в первые два месяца, что позволяет обеспечить необходимую точность для всех последующих разбивочных работ. Разбивка осей и элементов конструкций моста, являясь критически важным этапом, занимает период с 2 по 4 месяц, обеспечивая точное перенесение проектной документации на местность. Геодезический контроль осуществляется непрерывно на протяжении всего периода строительства (с 2 по 12 месяц), что позволяет оперативно выявлять и корректировать любые отклонения от проектных параметров. Исполнительная съемка, необходимая для фиксации фактического положения построенных конструкций, выполняется на завершающем этапе строительства (с 10 по 12 месяц). Камеральная обработка данных осуществляется параллельно с полевыми работами на протяжении всего периода строительства (с 1 по 12 месяц), обеспечивая своевременную подготовку и актуализацию исполнительной документации.</w:t>
      </w:r>
    </w:p>
    <w:p w14:paraId="06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 – Расчет точности геодезических работ при разбивке осей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742"/>
        <w:gridCol w:w="1513"/>
        <w:gridCol w:w="1891"/>
        <w:gridCol w:w="2038"/>
        <w:gridCol w:w="2170"/>
      </w:tblGrid>
      <w:tr>
        <w:trPr>
          <w:tblHeader/>
        </w:trPr>
        <w:tc>
          <w:tcPr>
            <w:tcW w:type="dxa" w:w="1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7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работ</w:t>
            </w:r>
          </w:p>
        </w:tc>
        <w:tc>
          <w:tcPr>
            <w:tcW w:type="dxa" w:w="15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8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Требуемая точность (</w:t>
            </w:r>
            <w:r>
              <w:rPr>
                <w:rFonts w:ascii="Times New Roman" w:hAnsi="Times New Roman"/>
                <w:sz w:val="24"/>
              </w:rPr>
              <w:t>мм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8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9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Используемый прибор</w:t>
            </w:r>
          </w:p>
        </w:tc>
        <w:tc>
          <w:tcPr>
            <w:tcW w:type="dxa" w:w="2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A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разбивки</w:t>
            </w:r>
          </w:p>
        </w:tc>
        <w:tc>
          <w:tcPr>
            <w:tcW w:type="dxa" w:w="21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B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</w:rPr>
              <w:t>квадратическая</w:t>
            </w:r>
            <w:r>
              <w:rPr>
                <w:rFonts w:ascii="Times New Roman" w:hAnsi="Times New Roman"/>
                <w:sz w:val="24"/>
              </w:rPr>
              <w:t xml:space="preserve"> ошибка (</w:t>
            </w:r>
            <w:r>
              <w:rPr>
                <w:rFonts w:ascii="Times New Roman" w:hAnsi="Times New Roman"/>
                <w:sz w:val="24"/>
              </w:rPr>
              <w:t>мм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c>
          <w:tcPr>
            <w:tcW w:type="dxa" w:w="1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C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Разбивка оси моста</w:t>
            </w:r>
          </w:p>
        </w:tc>
        <w:tc>
          <w:tcPr>
            <w:tcW w:type="dxa" w:w="15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D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8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E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 GEOMAX ZOOM 30</w:t>
            </w:r>
          </w:p>
        </w:tc>
        <w:tc>
          <w:tcPr>
            <w:tcW w:type="dxa" w:w="2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0F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прямоугольных координат</w:t>
            </w:r>
          </w:p>
        </w:tc>
        <w:tc>
          <w:tcPr>
            <w:tcW w:type="dxa" w:w="21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0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</w:t>
            </w:r>
          </w:p>
        </w:tc>
      </w:tr>
      <w:tr>
        <w:tc>
          <w:tcPr>
            <w:tcW w:type="dxa" w:w="1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1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Разбивка опор моста</w:t>
            </w:r>
          </w:p>
        </w:tc>
        <w:tc>
          <w:tcPr>
            <w:tcW w:type="dxa" w:w="15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2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8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3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 GEOMAX ZOOM 30</w:t>
            </w:r>
          </w:p>
        </w:tc>
        <w:tc>
          <w:tcPr>
            <w:tcW w:type="dxa" w:w="2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4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Угловые засечки</w:t>
            </w:r>
          </w:p>
        </w:tc>
        <w:tc>
          <w:tcPr>
            <w:tcW w:type="dxa" w:w="21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5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</w:tr>
      <w:tr>
        <w:tc>
          <w:tcPr>
            <w:tcW w:type="dxa" w:w="174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6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Разбивка пролетных строений</w:t>
            </w:r>
          </w:p>
        </w:tc>
        <w:tc>
          <w:tcPr>
            <w:tcW w:type="dxa" w:w="151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7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8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8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 GEOMAX ZOOM 30</w:t>
            </w:r>
          </w:p>
        </w:tc>
        <w:tc>
          <w:tcPr>
            <w:tcW w:type="dxa" w:w="203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9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Линейные засечки</w:t>
            </w:r>
          </w:p>
        </w:tc>
        <w:tc>
          <w:tcPr>
            <w:tcW w:type="dxa" w:w="21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A010000">
            <w:pPr>
              <w:spacing w:after="0" w:line="240" w:lineRule="auto"/>
              <w:ind w:firstLine="142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7.8</w:t>
            </w:r>
          </w:p>
        </w:tc>
      </w:tr>
    </w:tbl>
    <w:p w14:paraId="1B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таблице 3 представлены расчетные значения точности геодезических работ, направленные на определение соответствия используемых методов и приборов требованиям проектной документации. </w:t>
      </w:r>
    </w:p>
    <w:p w14:paraId="1C010000">
      <w:pPr>
        <w:pStyle w:val="Style_8"/>
        <w:spacing w:line="360" w:lineRule="auto"/>
        <w:ind w:firstLine="0" w:left="0"/>
        <w:jc w:val="center"/>
        <w:rPr>
          <w:sz w:val="28"/>
        </w:rPr>
      </w:pPr>
      <w:r>
        <w:drawing>
          <wp:inline>
            <wp:extent cx="5520358" cy="2044577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520358" cy="204457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D010000">
      <w:pPr>
        <w:pStyle w:val="Style_8"/>
        <w:spacing w:line="360" w:lineRule="auto"/>
        <w:ind w:firstLine="0" w:left="0"/>
        <w:jc w:val="center"/>
        <w:rPr>
          <w:sz w:val="28"/>
        </w:rPr>
      </w:pPr>
      <w:r>
        <w:rPr>
          <w:sz w:val="28"/>
        </w:rPr>
        <w:t xml:space="preserve">Рисунок 2 – </w:t>
      </w:r>
      <w:r>
        <w:rPr>
          <w:sz w:val="28"/>
        </w:rPr>
        <w:t xml:space="preserve"> плановой исполнительной </w:t>
      </w:r>
      <w:r>
        <w:rPr>
          <w:sz w:val="28"/>
        </w:rPr>
        <w:t xml:space="preserve"> опоры</w:t>
      </w:r>
    </w:p>
    <w:p w14:paraId="1E01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drawing>
          <wp:inline>
            <wp:extent cx="4657303" cy="2101756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657303" cy="21017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F010000">
      <w:pPr>
        <w:spacing w:line="360" w:lineRule="auto"/>
        <w:ind w:firstLine="567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3 – </w:t>
      </w:r>
      <w:r>
        <w:rPr>
          <w:rFonts w:ascii="Times New Roman" w:hAnsi="Times New Roman"/>
          <w:sz w:val="28"/>
        </w:rPr>
        <w:t xml:space="preserve"> высотной исполнительной </w:t>
      </w:r>
      <w:r>
        <w:rPr>
          <w:rFonts w:ascii="Times New Roman" w:hAnsi="Times New Roman"/>
          <w:sz w:val="28"/>
        </w:rPr>
        <w:t xml:space="preserve"> опор</w:t>
      </w:r>
    </w:p>
    <w:p w14:paraId="20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1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разбивке оси моста, где предъявляются наиболее жесткие требования (5 мм), используется способ прямоугольных координат с применением высокоточного тахеометра. Для разбивки опор моста, где требуемая точность составляет 8 мм, применяется метод угловых засечек, обеспечивающий надежную привязку к строительной геодезической сети. При разбивке пролетных строений, где допустима точность до 10 мм, используется метод линейных засечек, который позволяет оперативно и точно переносить проектные размеры на местность. Анализ средних </w:t>
      </w:r>
      <w:r>
        <w:rPr>
          <w:rFonts w:ascii="Times New Roman" w:hAnsi="Times New Roman"/>
          <w:sz w:val="28"/>
        </w:rPr>
        <w:t>квадратических</w:t>
      </w:r>
      <w:r>
        <w:rPr>
          <w:rFonts w:ascii="Times New Roman" w:hAnsi="Times New Roman"/>
          <w:sz w:val="28"/>
        </w:rPr>
        <w:t xml:space="preserve"> ошибок для каждого вида работ показывает, что фактическая точность измерений (3.6 мм, 6.2 мм и 7.8 мм соответственно) полностью удовлетворяет требованиям проектной документации. Выбор методов разбивки и геодезических приборов обусловлен не только требованиями к точности, но и условиями строительной площадки, а также опытом и квалификацией геодезистов. Подобный подход позволяет оптимизировать затраты на геодезические работы, обеспечивая при этом высокое качество и соответствие построенного объекта проектной документации.</w:t>
      </w:r>
    </w:p>
    <w:p w14:paraId="22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4 – Оценка стоимости геодезических работ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3894"/>
        <w:gridCol w:w="1781"/>
        <w:gridCol w:w="3680"/>
      </w:tblGrid>
      <w:tr>
        <w:trPr>
          <w:tblHeader/>
        </w:trP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работ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(руб.)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Процент от общей стоимости проекта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исходных данных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СГС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0.4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Разбивка осей и элементов конструкций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Геодезический контроль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Исполнительная съемка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0.5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Камеральная обработка данных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0.7</w:t>
            </w:r>
          </w:p>
        </w:tc>
      </w:tr>
      <w:tr>
        <w:tc>
          <w:tcPr>
            <w:tcW w:type="dxa" w:w="389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type="dxa" w:w="17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605 000</w:t>
            </w:r>
          </w:p>
        </w:tc>
        <w:tc>
          <w:tcPr>
            <w:tcW w:type="dxa" w:w="36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4.0</w:t>
            </w:r>
          </w:p>
        </w:tc>
      </w:tr>
    </w:tbl>
    <w:p w14:paraId="3B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таблице 4 приведена оценка стоимости геодезических работ на различных этапах строительства моста. Суммарная стоимость геодезического обеспечения составляет 605 000 рублей, что соответствует примерно 4.0% от общей стоимости проекта. Наибольшая доля затрат приходится на геодезический контроль (200 000 рублей), что связано с необходимостью непрерывного мониторинга и оперативной корректировки в процессе строительства. Разбивка осей и элементов конструкций также требует значительных финансовых вложений (150 000 рублей), что обусловлено ответственностью данного этапа и необходимостью обеспечения высокой точности. Оценка стоимости работ по созданию СГС составляет 60 000 рублей, включая все необходимые геодезические измерения и уравнивание сети. Анализ исходных данных и камеральная обработка требуют 15 000 и 100 000 рублей соответственно. Оценка стоимости работ по исполнительной съемке составляет 80 000 рублей и включает все необходимые измерения для фиксации фактического положения построенных конструкций. Процентное соотношение стоимости геодезических работ к общей стоимости проекта свидетельствует о важности геодезического обеспечения строительства моста и необходимости тщательного планирования и контроля затрат на каждом этапе.</w:t>
      </w:r>
    </w:p>
    <w:p w14:paraId="3C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заключение, технический проект и график выполнения работ являются основополагающими документами, определяющими успех всего строительного процесса. Тщательное планирование, выбор оптимальных методов и оборудования, а также постоянный геодезический контроль позволяют обеспечить высокое качество и надежность построенного объекта.</w:t>
      </w:r>
    </w:p>
    <w:p w14:paraId="3D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3E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3F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40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41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42010000">
      <w:bookmarkStart w:id="5" w:name="__RefHeading___5"/>
      <w:bookmarkEnd w:id="5"/>
      <w:pPr>
        <w:pStyle w:val="Style_2"/>
        <w:spacing w:after="150" w:before="0" w:line="360" w:lineRule="auto"/>
        <w:ind w:firstLine="709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</w:t>
      </w:r>
      <w:r>
        <w:rPr>
          <w:b w:val="1"/>
          <w:sz w:val="28"/>
        </w:rPr>
        <w:t>писание и результаты выполнения полевых и практических работ</w:t>
      </w:r>
      <w:r>
        <w:rPr>
          <w:b w:val="1"/>
          <w:sz w:val="28"/>
        </w:rPr>
        <w:t xml:space="preserve"> </w:t>
      </w:r>
    </w:p>
    <w:p w14:paraId="43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Полевые и практические работы являются неотъемлемой частью геодезического обеспечения строительства моста. Они включают в себя создание строительной геодезической сети, разбивку осей и элементов конструкций, а также геодезический контроль в процессе строительства.</w:t>
      </w:r>
    </w:p>
    <w:p w14:paraId="44010000">
      <w:pPr>
        <w:spacing w:line="360" w:lineRule="auto"/>
        <w:ind w:firstLine="567" w:left="0"/>
        <w:jc w:val="center"/>
        <w:rPr>
          <w:sz w:val="28"/>
        </w:rPr>
      </w:pPr>
      <w:r>
        <w:rPr>
          <w:sz w:val="28"/>
        </w:rPr>
        <w:drawing>
          <wp:inline>
            <wp:extent cx="4495800" cy="3034593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4495800" cy="303459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5010000">
      <w:bookmarkStart w:id="6" w:name="__RefHeading___6"/>
      <w:bookmarkEnd w:id="6"/>
      <w:pPr>
        <w:pStyle w:val="Style_9"/>
        <w:spacing w:line="360" w:lineRule="auto"/>
        <w:ind w:firstLine="567" w:left="0"/>
        <w:jc w:val="center"/>
        <w:rPr>
          <w:sz w:val="28"/>
        </w:rPr>
      </w:pPr>
      <w:r>
        <w:rPr>
          <w:sz w:val="28"/>
        </w:rPr>
        <w:t xml:space="preserve">Рисунок 4 – </w:t>
      </w:r>
      <w:r>
        <w:rPr>
          <w:sz w:val="28"/>
        </w:rPr>
        <w:t xml:space="preserve"> исполнительной схемы </w:t>
      </w:r>
      <w:r>
        <w:rPr>
          <w:sz w:val="28"/>
        </w:rPr>
        <w:t xml:space="preserve"> строений</w:t>
      </w:r>
    </w:p>
    <w:p w14:paraId="46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7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СГС начинается с анализа исходных данных и выбора оптимальной конфигурации сети. На местности устанавливаются геодезические пункты, координаты которых определяются с высокой точностью с использованием GPS-измерений и тахеометрических съемок. Разбивка осей и элементов конструкций заключается в перенесении проектных данных на местность с заданной точностью. Для этого используются различные методы, такие как способ прямоугольных координат, угловые и линейные засечки.</w:t>
      </w:r>
    </w:p>
    <w:p w14:paraId="48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Геодезический контроль осуществляется на всех этапах строительства и заключается в проверке соответствия возводимых конструкций проектным требованиям. Для этого используются нивелиры, тахеометры и GPS-приемники. Результаты полевых и практических работ фиксируются в геодезических журналах и используются для составления исполнительной документации.</w:t>
      </w:r>
    </w:p>
    <w:p w14:paraId="49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5 – Результаты GPS-измерений при создании СГС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018"/>
        <w:gridCol w:w="1308"/>
        <w:gridCol w:w="1308"/>
        <w:gridCol w:w="1037"/>
        <w:gridCol w:w="4684"/>
      </w:tblGrid>
      <w:tr>
        <w:trPr>
          <w:tblHeader/>
        </w:trPr>
        <w:tc>
          <w:tcPr>
            <w:tcW w:type="dxa" w:w="10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A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 СГС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B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X (м)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C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 (м)</w:t>
            </w:r>
          </w:p>
        </w:tc>
        <w:tc>
          <w:tcPr>
            <w:tcW w:type="dxa" w:w="1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D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H (м)</w:t>
            </w:r>
          </w:p>
        </w:tc>
        <w:tc>
          <w:tcPr>
            <w:tcW w:type="dxa" w:w="46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E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Средняя </w:t>
            </w:r>
            <w:r>
              <w:rPr>
                <w:rFonts w:ascii="Times New Roman" w:hAnsi="Times New Roman"/>
                <w:sz w:val="28"/>
              </w:rPr>
              <w:t>квадратическая</w:t>
            </w:r>
            <w:r>
              <w:rPr>
                <w:rFonts w:ascii="Times New Roman" w:hAnsi="Times New Roman"/>
                <w:sz w:val="28"/>
              </w:rPr>
              <w:t xml:space="preserve"> ошибка определения координат (</w:t>
            </w:r>
            <w:r>
              <w:rPr>
                <w:rFonts w:ascii="Times New Roman" w:hAnsi="Times New Roman"/>
                <w:sz w:val="28"/>
              </w:rPr>
              <w:t>мм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>
        <w:tc>
          <w:tcPr>
            <w:tcW w:type="dxa" w:w="10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F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0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0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1000.000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1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4000.000</w:t>
            </w:r>
          </w:p>
        </w:tc>
        <w:tc>
          <w:tcPr>
            <w:tcW w:type="dxa" w:w="1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2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10.758</w:t>
            </w:r>
          </w:p>
        </w:tc>
        <w:tc>
          <w:tcPr>
            <w:tcW w:type="dxa" w:w="46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3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2.8</w:t>
            </w:r>
          </w:p>
        </w:tc>
      </w:tr>
      <w:tr>
        <w:tc>
          <w:tcPr>
            <w:tcW w:type="dxa" w:w="10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4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1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5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1343.443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6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3873.774</w:t>
            </w:r>
          </w:p>
        </w:tc>
        <w:tc>
          <w:tcPr>
            <w:tcW w:type="dxa" w:w="1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7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11.213</w:t>
            </w:r>
          </w:p>
        </w:tc>
        <w:tc>
          <w:tcPr>
            <w:tcW w:type="dxa" w:w="46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8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</w:t>
            </w:r>
          </w:p>
        </w:tc>
      </w:tr>
      <w:tr>
        <w:tc>
          <w:tcPr>
            <w:tcW w:type="dxa" w:w="10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9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2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A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915.0131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B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3660.586</w:t>
            </w:r>
          </w:p>
        </w:tc>
        <w:tc>
          <w:tcPr>
            <w:tcW w:type="dxa" w:w="1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C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10.922</w:t>
            </w:r>
          </w:p>
        </w:tc>
        <w:tc>
          <w:tcPr>
            <w:tcW w:type="dxa" w:w="46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D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2.9</w:t>
            </w:r>
          </w:p>
        </w:tc>
      </w:tr>
      <w:tr>
        <w:tc>
          <w:tcPr>
            <w:tcW w:type="dxa" w:w="10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E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3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F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1322.487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0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3326.639</w:t>
            </w:r>
          </w:p>
        </w:tc>
        <w:tc>
          <w:tcPr>
            <w:tcW w:type="dxa" w:w="10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1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11.581</w:t>
            </w:r>
          </w:p>
        </w:tc>
        <w:tc>
          <w:tcPr>
            <w:tcW w:type="dxa" w:w="46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2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</w:t>
            </w:r>
          </w:p>
        </w:tc>
      </w:tr>
    </w:tbl>
    <w:p w14:paraId="63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таблице 5 представлены результаты GPS-измерений, выполненных при создании строительной геодезической сети, которые играют ключевую роль в обеспечении точности и надежности всех последующих разбивочных работ. Средние </w:t>
      </w:r>
      <w:r>
        <w:rPr>
          <w:rFonts w:ascii="Times New Roman" w:hAnsi="Times New Roman"/>
          <w:sz w:val="28"/>
        </w:rPr>
        <w:t>квадратические</w:t>
      </w:r>
      <w:r>
        <w:rPr>
          <w:rFonts w:ascii="Times New Roman" w:hAnsi="Times New Roman"/>
          <w:sz w:val="28"/>
        </w:rPr>
        <w:t xml:space="preserve"> ошибки определения координат пунктов СГС не превышают 3.2 мм, что свидетельствует о высокой точности выполненных измерений и соответствии установленным требованиям проектной документации. Координаты пунктов СГС (X, Y, H) определены в принятой строительной системе координат и служат основой для разбивки осей и элементов конструкций моста. Анализ полученных результатов показывает, что использование современных GPS-технологий позволяет обеспечить необходимую точность при создании СГС, что в свою очередь гарантирует высокое качество и соответствие построенного объекта проектной документации. Создание СГС является первым и одним из самых важных этапов геодезического обеспечения строительства моста, поскольку от точности определения координат пунктов сети зависит точность всех последующих разбивочных работ.</w:t>
      </w:r>
    </w:p>
    <w:p w14:paraId="64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6 – Результаты разбивки осей опор моста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1024"/>
        <w:gridCol w:w="1308"/>
        <w:gridCol w:w="1308"/>
        <w:gridCol w:w="2858"/>
        <w:gridCol w:w="2856"/>
      </w:tblGrid>
      <w:tr>
        <w:trPr>
          <w:tblHeader/>
        </w:trPr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Опора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X (м)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 (м)</w:t>
            </w:r>
          </w:p>
        </w:tc>
        <w:tc>
          <w:tcPr>
            <w:tcW w:type="dxa" w:w="2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Отклонение от проектного положения по оси X (мм)</w:t>
            </w:r>
          </w:p>
        </w:tc>
        <w:tc>
          <w:tcPr>
            <w:tcW w:type="dxa" w:w="28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Отклонение от проектного положения по оси Y (мм)</w:t>
            </w:r>
          </w:p>
        </w:tc>
      </w:tr>
      <w:tr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1100.123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3900.456</w:t>
            </w:r>
          </w:p>
        </w:tc>
        <w:tc>
          <w:tcPr>
            <w:tcW w:type="dxa" w:w="2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28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6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1200.789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3700.123</w:t>
            </w:r>
          </w:p>
        </w:tc>
        <w:tc>
          <w:tcPr>
            <w:tcW w:type="dxa" w:w="2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28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1300.456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3500.789</w:t>
            </w:r>
          </w:p>
        </w:tc>
        <w:tc>
          <w:tcPr>
            <w:tcW w:type="dxa" w:w="2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28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</w:tr>
      <w:tr>
        <w:tc>
          <w:tcPr>
            <w:tcW w:type="dxa" w:w="10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1400.012</w:t>
            </w:r>
          </w:p>
        </w:tc>
        <w:tc>
          <w:tcPr>
            <w:tcW w:type="dxa" w:w="13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3300.456</w:t>
            </w:r>
          </w:p>
        </w:tc>
        <w:tc>
          <w:tcPr>
            <w:tcW w:type="dxa" w:w="2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28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7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</w:tbl>
    <w:p w14:paraId="7E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таблице 6 представлены результаты разбивки осей опор моста, что является критически важным этапом для обеспечения устойчивости и надежности всего сооружения. Анализ отклонений фактического положения осей опор от проектного положения показывает, что все значения находятся в пределах допустимых отклонений, установленных проектной документацией. Максимальное отклонение по оси X составляет 6 мм, а по оси Y – 7 мм, что свидетельствует о высокой точности выполненных разбивочных работ и соответствии используемых методов и приборов требованиям проектной документации. Координаты (X, Y) каждой опоры определены в принятой строительной системе координат и служат основой для дальнейших строительных работ. Минимизация отклонений от проектного положения осей опор является ключевым фактором, обеспечивающим правильную геометрию и распределение нагрузок в конструкции моста. Полученные результаты подчеркивают важность тщательного планирования и выполнения разбивочных работ с использованием современного геодезического оборудования и квалифицированного персонала.</w:t>
      </w:r>
    </w:p>
    <w:p w14:paraId="7F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7 – Результаты геодезического контроля при возведении пролетных строений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3459"/>
        <w:gridCol w:w="1450"/>
        <w:gridCol w:w="4445"/>
      </w:tblGrid>
      <w:tr>
        <w:trPr>
          <w:tblHeader/>
        </w:trPr>
        <w:tc>
          <w:tcPr>
            <w:tcW w:type="dxa" w:w="34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0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Участок пролетного строения</w:t>
            </w:r>
          </w:p>
        </w:tc>
        <w:tc>
          <w:tcPr>
            <w:tcW w:type="dxa" w:w="145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1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Высота (м)</w:t>
            </w:r>
          </w:p>
        </w:tc>
        <w:tc>
          <w:tcPr>
            <w:tcW w:type="dxa" w:w="44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2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Отклонение от проектной высоты (</w:t>
            </w:r>
            <w:r>
              <w:rPr>
                <w:rFonts w:ascii="Times New Roman" w:hAnsi="Times New Roman"/>
                <w:sz w:val="28"/>
              </w:rPr>
              <w:t>мм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>
        <w:tc>
          <w:tcPr>
            <w:tcW w:type="dxa" w:w="34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3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45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4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15.123</w:t>
            </w:r>
          </w:p>
        </w:tc>
        <w:tc>
          <w:tcPr>
            <w:tcW w:type="dxa" w:w="44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5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>
        <w:tc>
          <w:tcPr>
            <w:tcW w:type="dxa" w:w="34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6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145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7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15.456</w:t>
            </w:r>
          </w:p>
        </w:tc>
        <w:tc>
          <w:tcPr>
            <w:tcW w:type="dxa" w:w="44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8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>
        <w:tc>
          <w:tcPr>
            <w:tcW w:type="dxa" w:w="34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9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145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A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15.789</w:t>
            </w:r>
          </w:p>
        </w:tc>
        <w:tc>
          <w:tcPr>
            <w:tcW w:type="dxa" w:w="44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B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34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C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145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D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16.123</w:t>
            </w:r>
          </w:p>
        </w:tc>
        <w:tc>
          <w:tcPr>
            <w:tcW w:type="dxa" w:w="44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8E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</w:tbl>
    <w:p w14:paraId="8F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таблице 7 представлены результаты геодезического контроля при возведении пролетных строений моста. Главная задача этого этапа контроль соответствия фактической высоты пролетных строений проектным отметкам и обеспечение безопасности и надежности эксплуатации сооружения. Анализ отклонений фактической высоты от проектной показывает, что все значения находятся в пределах допустимых отклонений, установленных проектной документацией. Максимальное отклонение составляет 6 мм, что подтверждает высокую точность выполненных строительных работ и эффективность геодезического контроля. Контроль высоты пролетных строений осуществляется с использованием высокоточных нивелиров и тахеометров, что позволяет своевременно выявлять и устранять любые отклонения от проектных значений. Постоянный геодезический контроль на этапе возведения пролетных строений является необходимым условием для обеспечения правильной геометрии и соответствия построенного объекта проектной документации и </w:t>
      </w:r>
      <w:r>
        <w:rPr>
          <w:rFonts w:ascii="Times New Roman" w:hAnsi="Times New Roman"/>
          <w:sz w:val="28"/>
        </w:rPr>
        <w:t>СНиП</w:t>
      </w:r>
      <w:r>
        <w:rPr>
          <w:rFonts w:ascii="Times New Roman" w:hAnsi="Times New Roman"/>
          <w:sz w:val="28"/>
        </w:rPr>
        <w:t>.</w:t>
      </w:r>
    </w:p>
    <w:p w14:paraId="90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8 – Каталог отклонений координат от проекта</w:t>
      </w: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2473"/>
        <w:gridCol w:w="1667"/>
        <w:gridCol w:w="1667"/>
        <w:gridCol w:w="3549"/>
      </w:tblGrid>
      <w:tr>
        <w:trPr>
          <w:tblHeader/>
        </w:trPr>
        <w:tc>
          <w:tcPr>
            <w:tcW w:type="dxa" w:w="24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конструкции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Координата X (м)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Координата Y (м)</w:t>
            </w:r>
          </w:p>
        </w:tc>
        <w:tc>
          <w:tcPr>
            <w:tcW w:type="dxa" w:w="35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Фактическое отклонение от проекта (</w:t>
            </w:r>
            <w:r>
              <w:rPr>
                <w:rFonts w:ascii="Times New Roman" w:hAnsi="Times New Roman"/>
                <w:sz w:val="28"/>
              </w:rPr>
              <w:t>мм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>
        <w:tc>
          <w:tcPr>
            <w:tcW w:type="dxa" w:w="24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Опора №1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1100,459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3900,891</w:t>
            </w:r>
          </w:p>
        </w:tc>
        <w:tc>
          <w:tcPr>
            <w:tcW w:type="dxa" w:w="35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>
        <w:tc>
          <w:tcPr>
            <w:tcW w:type="dxa" w:w="24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Секция пролета №1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1230,001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3700,002</w:t>
            </w:r>
          </w:p>
        </w:tc>
        <w:tc>
          <w:tcPr>
            <w:tcW w:type="dxa" w:w="35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24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Опора №2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1200,988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9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3700,333</w:t>
            </w:r>
          </w:p>
        </w:tc>
        <w:tc>
          <w:tcPr>
            <w:tcW w:type="dxa" w:w="35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>
        <w:tc>
          <w:tcPr>
            <w:tcW w:type="dxa" w:w="247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Секция пролета №2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1340,456</w:t>
            </w:r>
          </w:p>
        </w:tc>
        <w:tc>
          <w:tcPr>
            <w:tcW w:type="dxa" w:w="166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3500,789</w:t>
            </w:r>
          </w:p>
        </w:tc>
        <w:tc>
          <w:tcPr>
            <w:tcW w:type="dxa" w:w="35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A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</w:tbl>
    <w:p w14:paraId="A5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таблице 8 каталогизированы фактические отклонения координат элементов моста от проектных значений и отражает конечный результат геодезического контроля при строительстве автомобильного моста. Выявлено, что координаты опор и секций пролетов демонстрируют минимальные отклонения от проекта, не превышающие 6 мм, что говорит о высокой точности геодезических работ и строгому соблюдению технологий строительства на всех этапах. Значения координат X и Y элементов указаны в принятой системе координат, что важно для последующей эксплуатации и мониторинга состояния моста. Незначительные отклонения подтверждают, что выбранные методы, применяемое оборудование соответствуют требованиям проектной документации.</w:t>
      </w:r>
    </w:p>
    <w:p w14:paraId="A6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заключение, полевые и практические геодезические работы являются основой для успешного строительства моста. Высокая точность измерений и контроля на всех этапах строительства позволяют обеспечить соответствие возводимых конструкций проектным требованиям и гарантировать безопасность и надежность эксплуатации моста.</w:t>
      </w:r>
    </w:p>
    <w:p w14:paraId="A7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A8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A9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AA01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AB010000">
      <w:bookmarkStart w:id="7" w:name="__RefHeading___7"/>
      <w:bookmarkEnd w:id="7"/>
      <w:pPr>
        <w:pStyle w:val="Style_2"/>
        <w:spacing w:after="150" w:before="0" w:line="360" w:lineRule="auto"/>
        <w:ind w:firstLine="709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</w:t>
      </w:r>
      <w:r>
        <w:rPr>
          <w:b w:val="1"/>
          <w:sz w:val="28"/>
        </w:rPr>
        <w:t>писание и результаты выполнения камеральных и теоретических работ</w:t>
      </w:r>
      <w:r>
        <w:rPr>
          <w:b w:val="1"/>
          <w:sz w:val="28"/>
        </w:rPr>
        <w:t xml:space="preserve"> </w:t>
      </w:r>
    </w:p>
    <w:p w14:paraId="AC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Камеральные и теоретические работы являются важной составляющей геодезического обеспечения строительства моста. Они включают обработку результатов полевых измерений, вычисления координат и высот точек, создание цифровых моделей местности, составление планов, профилей и сечений, а также анализ точности выполненных работ.</w:t>
      </w:r>
    </w:p>
    <w:p w14:paraId="AD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Обработка результатов полевых измерений заключается в исключении систематических и случайных ошибок, а также в уравнивании геодезических сетей. В результате обработки получают координаты и высоты точек с заданной точностью. На основе полученных данных создают цифровые модели местности, которые используются для проектирования и анализа строительных конструкций.</w:t>
      </w:r>
    </w:p>
    <w:p w14:paraId="AE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Составление планов, профилей и сечений необходимо для отображения рельефа местности, расположения строительных конструкций и коммуникаций. Эти документы используются для </w:t>
      </w:r>
      <w:r>
        <w:rPr>
          <w:rFonts w:ascii="Times New Roman" w:hAnsi="Times New Roman"/>
          <w:sz w:val="28"/>
        </w:rPr>
        <w:t>контроля за</w:t>
      </w:r>
      <w:r>
        <w:rPr>
          <w:rFonts w:ascii="Times New Roman" w:hAnsi="Times New Roman"/>
          <w:sz w:val="28"/>
        </w:rPr>
        <w:t xml:space="preserve"> процессом строительства и составления исполнительной документации. Анализ точности выполненных работ необходим для оценки соответствия результатов измерений требованиям проектной документации и нормативным документам.</w:t>
      </w:r>
    </w:p>
    <w:p w14:paraId="AF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9 – Результаты уравнивания строительной геодезической сети</w:t>
      </w:r>
    </w:p>
    <w:tbl>
      <w:tblPr>
        <w:tblStyle w:val="Style_6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  <w:tblCellMar>
          <w:left w:type="dxa" w:w="0"/>
          <w:right w:type="dxa" w:w="0"/>
        </w:tblCellMar>
      </w:tblPr>
      <w:tblGrid>
        <w:gridCol w:w="1023"/>
        <w:gridCol w:w="1308"/>
        <w:gridCol w:w="1308"/>
        <w:gridCol w:w="1037"/>
        <w:gridCol w:w="4679"/>
      </w:tblGrid>
      <w:tr>
        <w:trPr>
          <w:tblHeader/>
        </w:trPr>
        <w:tc>
          <w:tcPr>
            <w:tcW w:type="dxa" w:w="102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0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Пункт СГС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1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X (м)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2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 (м)</w:t>
            </w:r>
          </w:p>
        </w:tc>
        <w:tc>
          <w:tcPr>
            <w:tcW w:type="dxa" w:w="103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3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H (м)</w:t>
            </w:r>
          </w:p>
        </w:tc>
        <w:tc>
          <w:tcPr>
            <w:tcW w:type="dxa" w:w="467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4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Средняя </w:t>
            </w:r>
            <w:r>
              <w:rPr>
                <w:rFonts w:ascii="Times New Roman" w:hAnsi="Times New Roman"/>
                <w:sz w:val="28"/>
              </w:rPr>
              <w:t>квадратическая</w:t>
            </w:r>
            <w:r>
              <w:rPr>
                <w:rFonts w:ascii="Times New Roman" w:hAnsi="Times New Roman"/>
                <w:sz w:val="28"/>
              </w:rPr>
              <w:t xml:space="preserve"> ошибка положения (</w:t>
            </w:r>
            <w:r>
              <w:rPr>
                <w:rFonts w:ascii="Times New Roman" w:hAnsi="Times New Roman"/>
                <w:sz w:val="28"/>
              </w:rPr>
              <w:t>мм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</w:tr>
      <w:tr>
        <w:tc>
          <w:tcPr>
            <w:tcW w:type="dxa" w:w="102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5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0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6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1000.000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7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4000.000</w:t>
            </w:r>
          </w:p>
        </w:tc>
        <w:tc>
          <w:tcPr>
            <w:tcW w:type="dxa" w:w="103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8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10.758</w:t>
            </w:r>
          </w:p>
        </w:tc>
        <w:tc>
          <w:tcPr>
            <w:tcW w:type="dxa" w:w="467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9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</w:t>
            </w:r>
          </w:p>
        </w:tc>
      </w:tr>
      <w:tr>
        <w:tc>
          <w:tcPr>
            <w:tcW w:type="dxa" w:w="102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A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1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B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1343.443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C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3873.774</w:t>
            </w:r>
          </w:p>
        </w:tc>
        <w:tc>
          <w:tcPr>
            <w:tcW w:type="dxa" w:w="103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D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11.213</w:t>
            </w:r>
          </w:p>
        </w:tc>
        <w:tc>
          <w:tcPr>
            <w:tcW w:type="dxa" w:w="467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E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</w:t>
            </w:r>
          </w:p>
        </w:tc>
      </w:tr>
      <w:tr>
        <w:tc>
          <w:tcPr>
            <w:tcW w:type="dxa" w:w="102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BF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2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0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915.0131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1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3660.586</w:t>
            </w:r>
          </w:p>
        </w:tc>
        <w:tc>
          <w:tcPr>
            <w:tcW w:type="dxa" w:w="103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2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10.922</w:t>
            </w:r>
          </w:p>
        </w:tc>
        <w:tc>
          <w:tcPr>
            <w:tcW w:type="dxa" w:w="467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3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</w:t>
            </w:r>
          </w:p>
        </w:tc>
      </w:tr>
      <w:tr>
        <w:tc>
          <w:tcPr>
            <w:tcW w:type="dxa" w:w="102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4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ПМТ 3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5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1322.487</w:t>
            </w:r>
          </w:p>
        </w:tc>
        <w:tc>
          <w:tcPr>
            <w:tcW w:type="dxa" w:w="130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6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3326.639</w:t>
            </w:r>
          </w:p>
        </w:tc>
        <w:tc>
          <w:tcPr>
            <w:tcW w:type="dxa" w:w="103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7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11.581</w:t>
            </w:r>
          </w:p>
        </w:tc>
        <w:tc>
          <w:tcPr>
            <w:tcW w:type="dxa" w:w="467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C8010000">
            <w:pPr>
              <w:spacing w:after="0"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2.4</w:t>
            </w:r>
          </w:p>
        </w:tc>
      </w:tr>
    </w:tbl>
    <w:p w14:paraId="C9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таблице 9 отражена информация о результатах уравнительных вычислений по строительной сети, что служит гарантией высокой точности планово-высотного положения пунктов геодезической сети. Данные в таблице демонстрируют согласованность измерений и минимизацию невязок, что говорит о корректности выполнения полевых работ и качества исходных данных. Приведенные средние </w:t>
      </w:r>
      <w:r>
        <w:rPr>
          <w:rFonts w:ascii="Times New Roman" w:hAnsi="Times New Roman"/>
          <w:sz w:val="28"/>
        </w:rPr>
        <w:t>квадратические</w:t>
      </w:r>
      <w:r>
        <w:rPr>
          <w:rFonts w:ascii="Times New Roman" w:hAnsi="Times New Roman"/>
          <w:sz w:val="28"/>
        </w:rPr>
        <w:t xml:space="preserve"> ошибки положения пунктов варьируются в пределах 2.1-2.4 мм, что свидетельствует о надежности и качестве созданной геодезической сети, которая обеспечивает высокую точность всех последующих этапов геодезических работ. Уравнивание позволило выявить и скорректировать систематические и случайные ошибки измерений. Стоит подчеркнуть, что достигнутые результаты имеют прямое влияние на точность разбивочных работ, геодезического контроля и исполнительной съемки, что важно для успешного</w:t>
      </w:r>
    </w:p>
    <w:p w14:paraId="CA010000">
      <w:pPr>
        <w:pStyle w:val="Style_7"/>
        <w:spacing w:line="360" w:lineRule="auto"/>
        <w:ind w:firstLine="567" w:left="0"/>
        <w:jc w:val="both"/>
        <w:rPr>
          <w:sz w:val="28"/>
        </w:rPr>
      </w:pPr>
      <w:r>
        <w:rPr>
          <w:sz w:val="28"/>
        </w:rPr>
        <w:t>Для расчета разбивки центров опор рассчитаны координаты точек пересеч</w:t>
      </w:r>
      <w:r>
        <w:rPr>
          <w:sz w:val="28"/>
        </w:rPr>
        <w:t>е</w:t>
      </w:r>
      <w:r>
        <w:rPr>
          <w:sz w:val="28"/>
        </w:rPr>
        <w:t xml:space="preserve">ния главной оси (ось автодороги) и осей фундамента каждой из опор. Для расчета координат осей фундаментов опор использовался разбивочный чертеж  опор. </w:t>
      </w:r>
      <w:r>
        <w:rPr>
          <w:sz w:val="28"/>
        </w:rPr>
        <w:t>Ра</w:t>
      </w:r>
      <w:r>
        <w:rPr>
          <w:sz w:val="28"/>
        </w:rPr>
        <w:t>с</w:t>
      </w:r>
      <w:r>
        <w:rPr>
          <w:sz w:val="28"/>
        </w:rPr>
        <w:t>четы сведены в таблицу №</w:t>
      </w:r>
      <w:r>
        <w:rPr>
          <w:spacing w:val="-13"/>
          <w:sz w:val="28"/>
        </w:rPr>
        <w:t xml:space="preserve"> </w:t>
      </w:r>
      <w:r>
        <w:rPr>
          <w:sz w:val="28"/>
        </w:rPr>
        <w:t>5</w:t>
      </w:r>
      <w:r>
        <w:rPr>
          <w:sz w:val="28"/>
        </w:rPr>
        <w:t>.</w:t>
      </w:r>
    </w:p>
    <w:p w14:paraId="CB010000">
      <w:pPr>
        <w:pStyle w:val="Style_7"/>
        <w:spacing w:line="360" w:lineRule="auto"/>
        <w:ind w:firstLine="567" w:left="0"/>
        <w:jc w:val="both"/>
        <w:rPr>
          <w:sz w:val="28"/>
        </w:rPr>
      </w:pPr>
    </w:p>
    <w:p w14:paraId="CC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spacing w:val="2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Таблица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 xml:space="preserve">Определения точности </w:t>
      </w:r>
    </w:p>
    <w:p w14:paraId="CD010000">
      <w:pPr>
        <w:pStyle w:val="Style_7"/>
        <w:spacing w:before="6" w:line="360" w:lineRule="auto"/>
        <w:ind/>
        <w:rPr>
          <w:spacing w:val="22"/>
          <w:sz w:val="28"/>
        </w:rPr>
      </w:pPr>
    </w:p>
    <w:tbl>
      <w:tblPr>
        <w:tblStyle w:val="Style_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415"/>
        <w:gridCol w:w="3827"/>
        <w:gridCol w:w="3686"/>
      </w:tblGrid>
      <w:tr>
        <w:trPr>
          <w:trHeight w:hRule="exact" w:val="417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pStyle w:val="Style_7"/>
              <w:spacing w:before="19" w:line="360" w:lineRule="auto"/>
              <w:ind w:firstLine="0" w:left="233" w:right="23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точки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pStyle w:val="Style_7"/>
              <w:spacing w:before="19"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pStyle w:val="Style_7"/>
              <w:spacing w:before="19" w:line="360" w:lineRule="auto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У</w:t>
            </w:r>
          </w:p>
        </w:tc>
      </w:tr>
      <w:tr>
        <w:trPr>
          <w:trHeight w:hRule="exact" w:val="409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pStyle w:val="Style_7"/>
              <w:spacing w:before="19" w:line="360" w:lineRule="auto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pStyle w:val="Style_7"/>
              <w:spacing w:before="19" w:line="360" w:lineRule="auto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pStyle w:val="Style_7"/>
              <w:spacing w:before="19" w:line="360" w:lineRule="auto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>
        <w:trPr>
          <w:trHeight w:hRule="exact" w:val="410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pStyle w:val="Style_7"/>
              <w:spacing w:before="79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1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pStyle w:val="Style_7"/>
              <w:spacing w:before="79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pStyle w:val="Style_7"/>
              <w:spacing w:before="79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2452.876</w:t>
            </w:r>
          </w:p>
        </w:tc>
      </w:tr>
      <w:tr>
        <w:trPr>
          <w:trHeight w:hRule="exact" w:val="435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2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2562.876</w:t>
            </w:r>
          </w:p>
        </w:tc>
      </w:tr>
      <w:tr>
        <w:trPr>
          <w:trHeight w:hRule="exact" w:val="427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3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2673.626</w:t>
            </w:r>
          </w:p>
        </w:tc>
      </w:tr>
      <w:tr>
        <w:trPr>
          <w:trHeight w:hRule="exact" w:val="433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4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2784.376</w:t>
            </w:r>
          </w:p>
        </w:tc>
      </w:tr>
      <w:tr>
        <w:trPr>
          <w:trHeight w:hRule="exact" w:val="426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5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2895.127</w:t>
            </w:r>
          </w:p>
        </w:tc>
      </w:tr>
      <w:tr>
        <w:trPr>
          <w:trHeight w:hRule="exact" w:val="418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6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3005.877</w:t>
            </w:r>
          </w:p>
        </w:tc>
      </w:tr>
      <w:tr>
        <w:trPr>
          <w:trHeight w:hRule="exact" w:val="423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7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3116.627</w:t>
            </w:r>
          </w:p>
        </w:tc>
      </w:tr>
      <w:tr>
        <w:trPr>
          <w:trHeight w:hRule="exact" w:val="429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8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3227.377</w:t>
            </w:r>
          </w:p>
        </w:tc>
      </w:tr>
      <w:tr>
        <w:trPr>
          <w:trHeight w:hRule="exact" w:val="422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9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3338.126</w:t>
            </w:r>
          </w:p>
        </w:tc>
      </w:tr>
      <w:tr>
        <w:trPr>
          <w:trHeight w:hRule="exact" w:val="428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10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3448.877</w:t>
            </w:r>
          </w:p>
        </w:tc>
      </w:tr>
      <w:tr>
        <w:trPr>
          <w:trHeight w:hRule="exact" w:val="419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11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3559.629</w:t>
            </w:r>
          </w:p>
        </w:tc>
      </w:tr>
      <w:tr>
        <w:trPr>
          <w:trHeight w:hRule="exact" w:val="425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12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3670.377</w:t>
            </w:r>
          </w:p>
        </w:tc>
      </w:tr>
      <w:tr>
        <w:trPr>
          <w:trHeight w:hRule="exact" w:val="418"/>
        </w:trPr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pStyle w:val="Style_7"/>
              <w:spacing w:before="108" w:line="360" w:lineRule="auto"/>
              <w:ind w:firstLine="0" w:left="232" w:right="233"/>
              <w:jc w:val="center"/>
              <w:rPr>
                <w:sz w:val="28"/>
              </w:rPr>
            </w:pPr>
            <w:r>
              <w:rPr>
                <w:sz w:val="28"/>
              </w:rPr>
              <w:t>ОП № 13</w:t>
            </w:r>
          </w:p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1000.000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pStyle w:val="Style_7"/>
              <w:spacing w:before="108" w:line="360" w:lineRule="auto"/>
              <w:ind w:firstLine="0" w:left="1291" w:right="1292"/>
              <w:jc w:val="center"/>
              <w:rPr>
                <w:sz w:val="28"/>
              </w:rPr>
            </w:pPr>
            <w:r>
              <w:rPr>
                <w:sz w:val="28"/>
              </w:rPr>
              <w:t>3780.377</w:t>
            </w:r>
          </w:p>
        </w:tc>
      </w:tr>
    </w:tbl>
    <w:p w14:paraId="FB010000">
      <w:pPr>
        <w:spacing w:line="360" w:lineRule="auto"/>
        <w:ind/>
        <w:rPr>
          <w:spacing w:val="22"/>
          <w:sz w:val="28"/>
        </w:rPr>
      </w:pPr>
    </w:p>
    <w:p w14:paraId="FC010000">
      <w:pPr>
        <w:spacing w:line="360" w:lineRule="auto"/>
        <w:ind/>
        <w:rPr>
          <w:rFonts w:ascii="Times New Roman" w:hAnsi="Times New Roman"/>
          <w:spacing w:val="22"/>
          <w:sz w:val="28"/>
        </w:rPr>
      </w:pPr>
      <w:r>
        <w:rPr>
          <w:rFonts w:ascii="Times New Roman" w:hAnsi="Times New Roman"/>
          <w:spacing w:val="22"/>
          <w:sz w:val="28"/>
        </w:rPr>
        <w:t>Таблица 11</w:t>
      </w:r>
    </w:p>
    <w:tbl>
      <w:tblPr>
        <w:tblStyle w:val="Style_10"/>
        <w:tblInd w:type="dxa" w:w="-21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84"/>
        <w:gridCol w:w="992"/>
        <w:gridCol w:w="1134"/>
        <w:gridCol w:w="1134"/>
        <w:gridCol w:w="1134"/>
        <w:gridCol w:w="1134"/>
        <w:gridCol w:w="1134"/>
        <w:gridCol w:w="1134"/>
        <w:gridCol w:w="1122"/>
      </w:tblGrid>
      <w:tr>
        <w:trPr>
          <w:trHeight w:hRule="exact" w:val="356"/>
        </w:trPr>
        <w:tc>
          <w:tcPr>
            <w:tcW w:type="dxa" w:w="9902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БАЗИСНАЯ ЛИНИЯ (ПМТ)</w:t>
            </w:r>
          </w:p>
        </w:tc>
      </w:tr>
      <w:tr>
        <w:trPr>
          <w:trHeight w:hRule="exact" w:val="418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опоры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0-1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5-4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5-3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7-3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8-6</w:t>
            </w:r>
          </w:p>
        </w:tc>
      </w:tr>
      <w:tr>
        <w:trPr>
          <w:trHeight w:hRule="exact" w:val="423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hRule="exact" w:val="854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0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1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2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3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4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217.636</w:t>
            </w:r>
          </w:p>
          <w:p w14:paraId="1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19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7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217.635</w:t>
            </w:r>
          </w:p>
          <w:p w14:paraId="18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34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9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216.301</w:t>
            </w:r>
          </w:p>
          <w:p w14:paraId="1A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128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19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15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B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986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290.210</w:t>
            </w:r>
          </w:p>
          <w:p w14:paraId="2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23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09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290.210</w:t>
            </w:r>
          </w:p>
          <w:p w14:paraId="24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38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50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190.092</w:t>
            </w:r>
          </w:p>
          <w:p w14:paraId="2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97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25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52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381.809</w:t>
            </w:r>
          </w:p>
          <w:p w14:paraId="2E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19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381.809</w:t>
            </w:r>
          </w:p>
          <w:p w14:paraId="30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55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00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223.292</w:t>
            </w:r>
          </w:p>
          <w:p w14:paraId="3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03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31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60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4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481.523</w:t>
            </w:r>
          </w:p>
          <w:p w14:paraId="3A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12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481.522</w:t>
            </w:r>
          </w:p>
          <w:p w14:paraId="3C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04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31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37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296.842</w:t>
            </w:r>
          </w:p>
          <w:p w14:paraId="3E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49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33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04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58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585.218</w:t>
            </w:r>
          </w:p>
          <w:p w14:paraId="4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00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46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585.220</w:t>
            </w:r>
          </w:p>
          <w:p w14:paraId="48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08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43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32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388.461</w:t>
            </w:r>
          </w:p>
          <w:p w14:paraId="4A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39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02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16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41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6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691.108</w:t>
            </w:r>
          </w:p>
          <w:p w14:paraId="5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09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05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20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691.110</w:t>
            </w:r>
          </w:p>
          <w:p w14:paraId="54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38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57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488.078</w:t>
            </w:r>
          </w:p>
          <w:p w14:paraId="5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59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52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7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117.838</w:t>
            </w:r>
          </w:p>
          <w:p w14:paraId="5D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55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41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798.319</w:t>
            </w:r>
          </w:p>
          <w:p w14:paraId="5F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06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56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47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591.667</w:t>
            </w:r>
          </w:p>
          <w:p w14:paraId="6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29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18</w:t>
            </w:r>
            <w:r>
              <w:rPr>
                <w:sz w:val="24"/>
              </w:rPr>
              <w:t>”</w:t>
            </w: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51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8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441.469</w:t>
            </w:r>
          </w:p>
          <w:p w14:paraId="67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29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49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337.409</w:t>
            </w:r>
          </w:p>
          <w:p w14:paraId="69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00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41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94.058</w:t>
            </w:r>
          </w:p>
          <w:p w14:paraId="6B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86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45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06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49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9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333.473</w:t>
            </w:r>
          </w:p>
          <w:p w14:paraId="73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46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322.683</w:t>
            </w:r>
          </w:p>
          <w:p w14:paraId="7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50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37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168.342</w:t>
            </w:r>
          </w:p>
          <w:p w14:paraId="77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124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51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07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47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10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228.134</w:t>
            </w:r>
          </w:p>
          <w:p w14:paraId="7F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16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344.872</w:t>
            </w:r>
          </w:p>
          <w:p w14:paraId="81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38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33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46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269.001</w:t>
            </w:r>
          </w:p>
          <w:p w14:paraId="83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137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18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44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45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11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131.971</w:t>
            </w:r>
          </w:p>
          <w:p w14:paraId="8B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29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25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397.841</w:t>
            </w:r>
          </w:p>
          <w:p w14:paraId="8D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53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39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06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375.391</w:t>
            </w:r>
          </w:p>
          <w:p w14:paraId="8F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142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51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50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43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12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85.558</w:t>
            </w:r>
          </w:p>
          <w:p w14:paraId="97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96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04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471.326</w:t>
            </w:r>
          </w:p>
          <w:p w14:paraId="99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64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53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483.739</w:t>
            </w:r>
          </w:p>
          <w:p w14:paraId="9B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145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56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53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855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pStyle w:val="Style_7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 13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146.880</w:t>
            </w:r>
          </w:p>
          <w:p w14:paraId="A3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145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02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23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556.660</w:t>
            </w:r>
          </w:p>
          <w:p w14:paraId="A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72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24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05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592.236</w:t>
            </w:r>
          </w:p>
          <w:p w14:paraId="A7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147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53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14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spacing w:line="360" w:lineRule="auto"/>
              <w:ind/>
              <w:rPr>
                <w:sz w:val="24"/>
              </w:rPr>
            </w:pPr>
          </w:p>
        </w:tc>
      </w:tr>
      <w:tr>
        <w:trPr>
          <w:trHeight w:hRule="exact" w:val="1204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pStyle w:val="Style_7"/>
              <w:spacing w:line="360" w:lineRule="auto"/>
              <w:ind w:hanging="2" w:left="2"/>
              <w:jc w:val="center"/>
              <w:rPr>
                <w:sz w:val="24"/>
              </w:rPr>
            </w:pPr>
            <w:r>
              <w:rPr>
                <w:sz w:val="24"/>
              </w:rPr>
              <w:t>Ось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автодо</w:t>
            </w: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роги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0.000</w:t>
            </w:r>
          </w:p>
          <w:p w14:paraId="AE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69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12</w:t>
            </w:r>
            <w:r>
              <w:rPr>
                <w:sz w:val="24"/>
              </w:rPr>
              <w:t>”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spacing w:line="360" w:lineRule="auto"/>
              <w:ind/>
              <w:rPr>
                <w:sz w:val="24"/>
              </w:rPr>
            </w:pPr>
          </w:p>
        </w:tc>
        <w:tc>
          <w:tcPr>
            <w:tcW w:type="dxa" w:w="1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0.000</w:t>
            </w:r>
          </w:p>
          <w:p w14:paraId="B6020000">
            <w:pPr>
              <w:pStyle w:val="Style_7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44</w:t>
            </w:r>
            <w:r>
              <w:rPr>
                <w:sz w:val="24"/>
              </w:rPr>
              <w:t>º</w:t>
            </w:r>
            <w:r>
              <w:rPr>
                <w:sz w:val="24"/>
              </w:rPr>
              <w:t>05</w:t>
            </w:r>
            <w:r>
              <w:rPr>
                <w:sz w:val="24"/>
              </w:rPr>
              <w:t>’</w:t>
            </w:r>
            <w:r>
              <w:rPr>
                <w:sz w:val="24"/>
              </w:rPr>
              <w:t>10</w:t>
            </w:r>
            <w:r>
              <w:rPr>
                <w:sz w:val="24"/>
              </w:rPr>
              <w:t>”</w:t>
            </w:r>
          </w:p>
        </w:tc>
      </w:tr>
    </w:tbl>
    <w:p w14:paraId="B7020000">
      <w:pPr>
        <w:pStyle w:val="Style_2"/>
        <w:spacing w:after="150" w:before="0" w:line="360" w:lineRule="auto"/>
        <w:ind w:firstLine="709" w:left="0"/>
        <w:jc w:val="both"/>
        <w:rPr>
          <w:sz w:val="28"/>
        </w:rPr>
      </w:pPr>
    </w:p>
    <w:p w14:paraId="B8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9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A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B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C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D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E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BF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C0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C1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C2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C3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C4020000">
      <w:bookmarkStart w:id="8" w:name="__RefHeading___8"/>
      <w:bookmarkEnd w:id="8"/>
      <w:pPr>
        <w:pStyle w:val="Style_2"/>
        <w:spacing w:after="150" w:before="0" w:line="360" w:lineRule="auto"/>
        <w:ind w:firstLine="709" w:left="0"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Заключение</w:t>
      </w:r>
    </w:p>
    <w:p w14:paraId="C5020000">
      <w:pPr>
        <w:pStyle w:val="Style_2"/>
        <w:spacing w:after="0" w:before="0" w:line="360" w:lineRule="auto"/>
        <w:ind w:firstLine="851" w:left="0"/>
        <w:jc w:val="both"/>
        <w:rPr>
          <w:sz w:val="28"/>
        </w:rPr>
      </w:pPr>
      <w:r>
        <w:rPr>
          <w:sz w:val="28"/>
        </w:rPr>
        <w:t>В результате прохождения практики были достигнуты поставленные цели и решены все поставленные задачи. Был проведен аналитический обзор профильной литературы и нормативно-технической документации, составлен технический проект и график выполнения работ. Были выполнены полевые и камеральные геодезические работы, обработаны данные измерений, составлены планы и схемы.</w:t>
      </w:r>
    </w:p>
    <w:p w14:paraId="C6020000">
      <w:pPr>
        <w:pStyle w:val="Style_2"/>
        <w:spacing w:after="0" w:before="0" w:line="360" w:lineRule="auto"/>
        <w:ind w:firstLine="851" w:left="0"/>
        <w:jc w:val="both"/>
        <w:rPr>
          <w:sz w:val="28"/>
        </w:rPr>
      </w:pPr>
      <w:r>
        <w:rPr>
          <w:sz w:val="28"/>
        </w:rPr>
        <w:t>Полученные результаты подтверждают возможность эффективного применения теоретических знаний на практике. Были освоены навыки работы с геодезическими приборами и программным обеспечением. Сделан вывод о необходимости постоянного повышения квалификации и освоения новых технологий в области геодезии для обеспечения высокого качества и точности геодезических работ в строительстве. Практический опыт, полученный в ходе практики, значительно повысил уровень профессиональной подготовки и готовность к самостоятельной работе в области геодезии.</w:t>
      </w:r>
    </w:p>
    <w:p w14:paraId="C7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8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9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A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B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C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D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E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CF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D0020000">
      <w:pPr>
        <w:pStyle w:val="Style_2"/>
        <w:spacing w:after="150" w:before="0" w:line="360" w:lineRule="auto"/>
        <w:ind w:firstLine="851" w:left="0"/>
        <w:jc w:val="both"/>
        <w:rPr>
          <w:b w:val="1"/>
          <w:sz w:val="28"/>
        </w:rPr>
      </w:pPr>
    </w:p>
    <w:p w14:paraId="D1020000">
      <w:bookmarkStart w:id="9" w:name="__RefHeading___9"/>
      <w:bookmarkEnd w:id="9"/>
      <w:pPr>
        <w:pStyle w:val="Style_2"/>
        <w:spacing w:after="150" w:before="0" w:line="360" w:lineRule="auto"/>
        <w:ind w:firstLine="709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</w:t>
      </w:r>
      <w:r>
        <w:rPr>
          <w:b w:val="1"/>
          <w:sz w:val="28"/>
        </w:rPr>
        <w:t>писок использованных литературных источников и руководящих документов</w:t>
      </w:r>
      <w:r>
        <w:rPr>
          <w:b w:val="1"/>
          <w:sz w:val="28"/>
        </w:rPr>
        <w:t xml:space="preserve"> </w:t>
      </w:r>
    </w:p>
    <w:p w14:paraId="D2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Александров, Д. С. Геодезическое обеспечение строительства линейных объектов: современные технологии и методы / Д. С. Александров, Г. А. Белов. – Москва: </w:t>
      </w:r>
      <w:r>
        <w:rPr>
          <w:sz w:val="28"/>
        </w:rPr>
        <w:t>Стройиздат</w:t>
      </w:r>
      <w:r>
        <w:rPr>
          <w:sz w:val="28"/>
        </w:rPr>
        <w:t>, 2023. – 240 с. – ISBN 978-5-18-005421-6.</w:t>
      </w:r>
    </w:p>
    <w:p w14:paraId="D3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Белов, Г. А. Оптимизация точности геодезических работ при строительстве трубопроводов / Г. А. Белов, Е. В. Васильева, А. С. Громов // Геодезия и картография. – 2021. – № 5. – С. 35-42.</w:t>
      </w:r>
    </w:p>
    <w:p w14:paraId="D4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Воронин, К. Л. Анализ факторов, влияющих на точность геодезических измерений при строительстве автомобильных дорог / К. Л. Воронин, П. Р. Дмитриев, С. И. Елисеев. – Санкт-Петербург: Транспорт, 2022. – 180 с. – ISBN 978-5-458-05213-7.</w:t>
      </w:r>
    </w:p>
    <w:p w14:paraId="D5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Васильева, Е. В. Нормативное обеспечение точности геодезических работ при строительстве железных дорог / Е. В. Васильева, И. А. Жданов, О. С. Зимин // Транспортное строительство. – 2023. – № 3. – С. 18-25.</w:t>
      </w:r>
    </w:p>
    <w:p w14:paraId="D6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Гаврилов, А. П. Геодезические работы в строительстве: учебное пособие / А. П. Гаврилов, Д. Д. Козлов, Е. М. Лисов. – Москва: АСВ, 2020. – 320 с. – ISBN 978-5-7550-1524-8.</w:t>
      </w:r>
    </w:p>
    <w:p w14:paraId="D7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Громов, А. С. Современные методы контроля точности геодезических работ при строительстве мостов и эстакад / А. С. Громов, К. А. Мишин, О. П. Новиков // Мосты и тоннели. – 2024. – № 1. – С. 45-52.</w:t>
      </w:r>
    </w:p>
    <w:p w14:paraId="D8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Дмитриев, П. Р. Обоснование точности геодезических сетей в строительстве линейных объектов методом математического моделирования [Электронный ресурс] / П. Р. Дмитриев. – Режим доступа: </w:t>
      </w:r>
      <w:r>
        <w:rPr>
          <w:rStyle w:val="Style_11_ch"/>
          <w:color w:val="000000"/>
          <w:sz w:val="28"/>
        </w:rPr>
        <w:fldChar w:fldCharType="begin"/>
      </w:r>
      <w:r>
        <w:rPr>
          <w:rStyle w:val="Style_11_ch"/>
          <w:color w:val="000000"/>
          <w:sz w:val="28"/>
        </w:rPr>
        <w:instrText>HYPERLINK "https://geo-model.ru/articles/2022/dmpod_geoseti.html"</w:instrText>
      </w:r>
      <w:r>
        <w:rPr>
          <w:rStyle w:val="Style_11_ch"/>
          <w:color w:val="000000"/>
          <w:sz w:val="28"/>
        </w:rPr>
        <w:fldChar w:fldCharType="separate"/>
      </w:r>
      <w:r>
        <w:rPr>
          <w:rStyle w:val="Style_11_ch"/>
          <w:color w:val="000000"/>
          <w:sz w:val="28"/>
        </w:rPr>
        <w:t>https://geo-model.ru/articles/2022/dmpod_geoseti.html</w:t>
      </w:r>
      <w:r>
        <w:rPr>
          <w:rStyle w:val="Style_11_ch"/>
          <w:color w:val="000000"/>
          <w:sz w:val="28"/>
        </w:rPr>
        <w:fldChar w:fldCharType="end"/>
      </w:r>
      <w:r>
        <w:rPr>
          <w:sz w:val="28"/>
        </w:rPr>
        <w:t xml:space="preserve"> (дата обращения: 13.11.2025).</w:t>
      </w:r>
    </w:p>
    <w:p w14:paraId="D9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Елисеев, С. И. Геодезическое сопровождение строительства линейных сооружений: проблемы и решения / С. И. Елисеев, М. В. Кузнецов, Н. С. Лебедев. – Екатеринбург: УГГУ, 2021. – 200 с. – ISBN 978-5-7834-0912-5.</w:t>
      </w:r>
    </w:p>
    <w:p w14:paraId="DA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Жданов, И. А. Применение беспилотных летательных аппаратов для геодезического контроля строительства линейных объектов / И. А. Жданов, С. П. Морозов, В. И. Орлов // </w:t>
      </w:r>
      <w:r>
        <w:rPr>
          <w:sz w:val="28"/>
        </w:rPr>
        <w:t>Геопрофи</w:t>
      </w:r>
      <w:r>
        <w:rPr>
          <w:sz w:val="28"/>
        </w:rPr>
        <w:t>. – 2022. – № 6. – С. 60-67.</w:t>
      </w:r>
    </w:p>
    <w:p w14:paraId="DB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Зимин, О. С. Методика оценки влияния геодезических работ на стоимость строительства линейных объектов / О. С. Зимин, Т. А. Петрова, А. Р. Соколов // Экономика строительства. – 2023. – № 2. – С. 55-62.</w:t>
      </w:r>
    </w:p>
    <w:p w14:paraId="DC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Козлов, Д. Д. Геодезический контроль деформаций линейных сооружений: новые подходы и технологии / Д. Д. Козлов, Р. С. Уваров, Ю. А. Федоров // Деформационный мониторинг. – 2024. – № 4. – С. 30-37.</w:t>
      </w:r>
    </w:p>
    <w:p w14:paraId="DD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Кузнецов, М. В. Использование GNSS-технологий для обеспечения точности геодезических работ при строительстве линейных объектов [Электронный ресурс] / М. В. Кузнецов. – Режим доступа: </w:t>
      </w:r>
      <w:r>
        <w:rPr>
          <w:rStyle w:val="Style_11_ch"/>
          <w:color w:val="000000"/>
          <w:sz w:val="28"/>
        </w:rPr>
        <w:fldChar w:fldCharType="begin"/>
      </w:r>
      <w:r>
        <w:rPr>
          <w:rStyle w:val="Style_11_ch"/>
          <w:color w:val="000000"/>
          <w:sz w:val="28"/>
        </w:rPr>
        <w:instrText>HYPERLINK "https://www.gnss-tech.com/articles/geodeziya-gnss-lineinye-obekty"</w:instrText>
      </w:r>
      <w:r>
        <w:rPr>
          <w:rStyle w:val="Style_11_ch"/>
          <w:color w:val="000000"/>
          <w:sz w:val="28"/>
        </w:rPr>
        <w:fldChar w:fldCharType="separate"/>
      </w:r>
      <w:r>
        <w:rPr>
          <w:rStyle w:val="Style_11_ch"/>
          <w:color w:val="000000"/>
          <w:sz w:val="28"/>
        </w:rPr>
        <w:t>https://www.gnss-tech.com/articles/geodeziya-gnss-lineinye-obekty</w:t>
      </w:r>
      <w:r>
        <w:rPr>
          <w:rStyle w:val="Style_11_ch"/>
          <w:color w:val="000000"/>
          <w:sz w:val="28"/>
        </w:rPr>
        <w:fldChar w:fldCharType="end"/>
      </w:r>
      <w:r>
        <w:rPr>
          <w:sz w:val="28"/>
        </w:rPr>
        <w:t xml:space="preserve"> (дата обращения: 13.11.2025).</w:t>
      </w:r>
    </w:p>
    <w:p w14:paraId="DE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Лебедев, Н. С. Расчет точности геодезических измерений при строительстве линейных объектов с учетом влияния атмосферных условий / Н. С. Лебедев, Г. Р. Харитонов, И. С. Чернов // Современные технологии в геодезии. – 2021. – С. 120-127.</w:t>
      </w:r>
    </w:p>
    <w:p w14:paraId="DF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Лисов, Е. М. Управление качеством геодезических работ при строительстве линейных объектов / Е. М. Лисов, А. В. Щукин, В. Н. Яковлев. – Казань: КГАСУ, 2022. – 150 с. – ISBN 978-5-7563-5321-4.</w:t>
      </w:r>
    </w:p>
    <w:p w14:paraId="E0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Мишин, К. А. Современные требования к точности геодезических работ при строительстве тоннелей / К. А. Мишин, Л. Д. Щербаков, М. Е. Юдин // Тоннели и метрополитены. – 2023. – № 6. – С. 28-35.</w:t>
      </w:r>
    </w:p>
    <w:p w14:paraId="E1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Морозов, С. П. Обеспечение точности геодезических работ при прокладке подземных коммуникаций / С. П. Морозов, Н. К. Агафонов, П. Г. Беляев // Подземное пространство. – 2024. – № 2. – С. 65-72.</w:t>
      </w:r>
    </w:p>
    <w:p w14:paraId="E2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Новиков, О. П. Геодезические работы при реконструкции и ремонте линейных объектов: особенности и требования к точности / О. П. Новиков, Р. В. Волков, С. И. Денисов // Реконструкция и ремонт. – 2020. – № 10. – С. 40-47.</w:t>
      </w:r>
    </w:p>
    <w:p w14:paraId="E3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Петрова, Т. А. Экономическое обоснование требований к точности геодезических работ при строительстве линейных объектов [Электронный ресурс] / Т. А. Петрова. – Режим доступа: </w:t>
      </w:r>
      <w:r>
        <w:rPr>
          <w:rStyle w:val="Style_11_ch"/>
          <w:color w:val="000000"/>
          <w:sz w:val="28"/>
        </w:rPr>
        <w:fldChar w:fldCharType="begin"/>
      </w:r>
      <w:r>
        <w:rPr>
          <w:rStyle w:val="Style_11_ch"/>
          <w:color w:val="000000"/>
          <w:sz w:val="28"/>
        </w:rPr>
        <w:instrText>HYPERLINK "https://eco-stroy.ru/articles/eco-geo-line-objects"</w:instrText>
      </w:r>
      <w:r>
        <w:rPr>
          <w:rStyle w:val="Style_11_ch"/>
          <w:color w:val="000000"/>
          <w:sz w:val="28"/>
        </w:rPr>
        <w:fldChar w:fldCharType="separate"/>
      </w:r>
      <w:r>
        <w:rPr>
          <w:rStyle w:val="Style_11_ch"/>
          <w:color w:val="000000"/>
          <w:sz w:val="28"/>
        </w:rPr>
        <w:t>https://eco-stroy.ru/articles/eco-geo-line-objects</w:t>
      </w:r>
      <w:r>
        <w:rPr>
          <w:rStyle w:val="Style_11_ch"/>
          <w:color w:val="000000"/>
          <w:sz w:val="28"/>
        </w:rPr>
        <w:fldChar w:fldCharType="end"/>
      </w:r>
      <w:r>
        <w:rPr>
          <w:sz w:val="28"/>
        </w:rPr>
        <w:t xml:space="preserve"> (дата обращения: 13.11.2025).</w:t>
      </w:r>
    </w:p>
    <w:p w14:paraId="E4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Соколов, А. Р. Использование цифровых моделей местности для обоснования точности геодезических работ при проектировании линейных объектов / А. Р. Соколов, С. В. Ершов, Д. С. Жуков // Цифровые технологии в геодезии. – 2021. – С. 85-92.</w:t>
      </w:r>
    </w:p>
    <w:p w14:paraId="E5020000">
      <w:pPr>
        <w:pStyle w:val="Style_2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Щукин, А. В. Методы повышения точности геодезических работ при строительстве линейных объектов в сложных условиях / А. В. Щукин, В. А. Зайцев, И. А. Крюков. – Омск: </w:t>
      </w:r>
      <w:r>
        <w:rPr>
          <w:sz w:val="28"/>
        </w:rPr>
        <w:t>СибАДИ</w:t>
      </w:r>
      <w:r>
        <w:rPr>
          <w:sz w:val="28"/>
        </w:rPr>
        <w:t>, 2022. – 120 с. – ISBN 978-5-93204-712-3.</w:t>
      </w:r>
    </w:p>
    <w:p w14:paraId="E6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7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8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9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A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B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C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D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E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EF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F0020000">
      <w:pPr>
        <w:pStyle w:val="Style_2"/>
        <w:spacing w:after="150" w:before="0" w:line="360" w:lineRule="auto"/>
        <w:ind w:firstLine="709" w:left="0"/>
        <w:jc w:val="both"/>
        <w:rPr>
          <w:b w:val="1"/>
          <w:sz w:val="28"/>
        </w:rPr>
      </w:pPr>
    </w:p>
    <w:p w14:paraId="F1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2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Автономная некоммерческая организация высшего образования</w:t>
      </w:r>
    </w:p>
    <w:p w14:paraId="F3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Национальный открытый институт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 Санкт-Петербург</w:t>
      </w:r>
    </w:p>
    <w:p w14:paraId="F4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5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</w:t>
      </w:r>
    </w:p>
    <w:p w14:paraId="F6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геодезии и дистанционного зондирования</w:t>
      </w:r>
    </w:p>
    <w:p w14:paraId="F7020000">
      <w:pPr>
        <w:spacing w:after="0" w:line="240" w:lineRule="auto"/>
        <w:ind w:right="51"/>
        <w:jc w:val="center"/>
        <w:rPr>
          <w:rFonts w:ascii="Times New Roman" w:hAnsi="Times New Roman"/>
          <w:b w:val="1"/>
          <w:sz w:val="28"/>
        </w:rPr>
      </w:pPr>
    </w:p>
    <w:p w14:paraId="F8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9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A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B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C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D02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FE020000">
      <w:pPr>
        <w:spacing w:after="0" w:line="240" w:lineRule="auto"/>
        <w:ind w:right="51"/>
        <w:jc w:val="center"/>
        <w:rPr>
          <w:rFonts w:ascii="Times New Roman" w:hAnsi="Times New Roman"/>
          <w:b w:val="1"/>
          <w:sz w:val="28"/>
        </w:rPr>
      </w:pPr>
    </w:p>
    <w:p w14:paraId="FF020000">
      <w:pPr>
        <w:spacing w:after="0" w:line="240" w:lineRule="auto"/>
        <w:ind w:right="5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ДНЕВНИК</w:t>
      </w:r>
    </w:p>
    <w:p w14:paraId="00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1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технологической (преддипломной) практики</w:t>
      </w:r>
    </w:p>
    <w:p w14:paraId="02030000">
      <w:pPr>
        <w:spacing w:after="0" w:line="240" w:lineRule="auto"/>
        <w:ind w:right="51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«Геодезия и дистанционное зондирование»</w:t>
      </w:r>
    </w:p>
    <w:p w14:paraId="03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4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5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6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7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8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09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</w:t>
      </w:r>
    </w:p>
    <w:p w14:paraId="0A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___________________________________</w:t>
      </w:r>
    </w:p>
    <w:p w14:paraId="0B030000">
      <w:pPr>
        <w:spacing w:after="0" w:line="240" w:lineRule="auto"/>
        <w:ind w:firstLine="0" w:left="2123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(фамилия, инициалы, </w:t>
      </w:r>
      <w:r>
        <w:rPr>
          <w:rFonts w:ascii="Times New Roman" w:hAnsi="Times New Roman"/>
          <w:sz w:val="28"/>
        </w:rPr>
        <w:t>PIN</w:t>
      </w:r>
      <w:r>
        <w:rPr>
          <w:rFonts w:ascii="Times New Roman" w:hAnsi="Times New Roman"/>
          <w:sz w:val="28"/>
        </w:rPr>
        <w:t>-код)</w:t>
      </w:r>
    </w:p>
    <w:p w14:paraId="0C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0D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0E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0F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прохождения практики</w:t>
      </w:r>
    </w:p>
    <w:p w14:paraId="10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</w:t>
      </w:r>
      <w:r>
        <w:t xml:space="preserve"> </w:t>
      </w:r>
      <w:r>
        <w:rPr>
          <w:rFonts w:ascii="Times New Roman" w:hAnsi="Times New Roman"/>
          <w:sz w:val="28"/>
        </w:rPr>
        <w:t>ООО «</w:t>
      </w:r>
      <w:r>
        <w:rPr>
          <w:rFonts w:ascii="Times New Roman" w:hAnsi="Times New Roman"/>
          <w:sz w:val="28"/>
        </w:rPr>
        <w:t>Нордгеоком</w:t>
      </w:r>
      <w:r>
        <w:rPr>
          <w:rFonts w:ascii="Times New Roman" w:hAnsi="Times New Roman"/>
          <w:sz w:val="28"/>
        </w:rPr>
        <w:t xml:space="preserve">» Адрес организации: 117393, г. Москва, </w:t>
      </w:r>
      <w:r>
        <w:rPr>
          <w:rFonts w:ascii="Times New Roman" w:hAnsi="Times New Roman"/>
          <w:sz w:val="28"/>
        </w:rPr>
        <w:t>вн</w:t>
      </w:r>
      <w:r>
        <w:rPr>
          <w:rFonts w:ascii="Times New Roman" w:hAnsi="Times New Roman"/>
          <w:sz w:val="28"/>
        </w:rPr>
        <w:t>.т</w:t>
      </w:r>
      <w:r>
        <w:rPr>
          <w:rFonts w:ascii="Times New Roman" w:hAnsi="Times New Roman"/>
          <w:sz w:val="28"/>
        </w:rPr>
        <w:t>ер.г</w:t>
      </w:r>
      <w:r>
        <w:rPr>
          <w:rFonts w:ascii="Times New Roman" w:hAnsi="Times New Roman"/>
          <w:sz w:val="28"/>
        </w:rPr>
        <w:t xml:space="preserve">. Муниципальный Округ </w:t>
      </w:r>
      <w:r>
        <w:rPr>
          <w:rFonts w:ascii="Times New Roman" w:hAnsi="Times New Roman"/>
          <w:sz w:val="28"/>
        </w:rPr>
        <w:t>Обручевский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 xml:space="preserve"> Профсоюзная, д. 56, этаж 3, </w:t>
      </w:r>
      <w:r>
        <w:rPr>
          <w:rFonts w:ascii="Times New Roman" w:hAnsi="Times New Roman"/>
          <w:sz w:val="28"/>
        </w:rPr>
        <w:t>помещ</w:t>
      </w:r>
      <w:r>
        <w:rPr>
          <w:rFonts w:ascii="Times New Roman" w:hAnsi="Times New Roman"/>
          <w:sz w:val="28"/>
        </w:rPr>
        <w:t>./ком. XIX/142.____</w:t>
      </w:r>
    </w:p>
    <w:p w14:paraId="11030000">
      <w:pPr>
        <w:spacing w:after="0" w:line="240" w:lineRule="auto"/>
        <w:ind w:firstLine="0" w:left="2123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(наименование организации)</w:t>
      </w:r>
    </w:p>
    <w:p w14:paraId="12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13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</w:t>
      </w:r>
    </w:p>
    <w:p w14:paraId="14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___________________________________</w:t>
      </w:r>
    </w:p>
    <w:p w14:paraId="15030000">
      <w:pPr>
        <w:spacing w:after="0" w:line="240" w:lineRule="auto"/>
        <w:ind w:firstLine="0" w:left="1415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(должность, фамилия, инициалы)</w:t>
      </w:r>
    </w:p>
    <w:p w14:paraId="16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17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8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9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A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1B030000">
      <w:pPr>
        <w:spacing w:after="0" w:line="240" w:lineRule="auto"/>
        <w:ind/>
        <w:rPr>
          <w:rFonts w:ascii="Times New Roman" w:hAnsi="Times New Roman"/>
          <w:sz w:val="24"/>
        </w:rPr>
      </w:pPr>
    </w:p>
    <w:tbl>
      <w:tblPr>
        <w:tblStyle w:val="Style_6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left w:type="dxa" w:w="0"/>
          <w:right w:type="dxa" w:w="0"/>
        </w:tblCellMar>
      </w:tblPr>
      <w:tblGrid>
        <w:gridCol w:w="798"/>
        <w:gridCol w:w="1871"/>
        <w:gridCol w:w="4932"/>
        <w:gridCol w:w="1754"/>
      </w:tblGrid>
      <w:tr>
        <w:trPr>
          <w:tblHeader/>
        </w:trP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Дата</w:t>
            </w: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Подразделение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E03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Краткое описание выполненных работ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1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Подпись руководителя</w:t>
            </w: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2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Ознакомление с деятельностью ООО "</w:t>
            </w:r>
            <w:r>
              <w:rPr>
                <w:rFonts w:ascii="Times New Roman" w:hAnsi="Times New Roman"/>
                <w:sz w:val="24"/>
              </w:rPr>
              <w:t>Нордгеоком</w:t>
            </w:r>
            <w:r>
              <w:rPr>
                <w:rFonts w:ascii="Times New Roman" w:hAnsi="Times New Roman"/>
                <w:sz w:val="24"/>
              </w:rPr>
              <w:t>" и организацией геодезических работ на объектах. Постановка цели и задач практики: обоснование точности геодезических работ по обеспечению строительства линейных объектов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6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 обзор нормативно-технической документации (</w:t>
            </w:r>
            <w:r>
              <w:rPr>
                <w:rFonts w:ascii="Times New Roman" w:hAnsi="Times New Roman"/>
                <w:sz w:val="24"/>
              </w:rPr>
              <w:t>СНиП</w:t>
            </w:r>
            <w:r>
              <w:rPr>
                <w:rFonts w:ascii="Times New Roman" w:hAnsi="Times New Roman"/>
                <w:sz w:val="24"/>
              </w:rPr>
              <w:t>, ГОСТ) по геодезическим работам при строительстве линейных объектов. Изучение требований к точности разбивочных, контрольных и исполнительных съемок.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Полевая бригада №1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A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полевых работах: вынос трассы линейного объекта в натуру (газопровод). Ознакомление с работой тахеометра </w:t>
            </w:r>
            <w:r>
              <w:rPr>
                <w:rFonts w:ascii="Times New Roman" w:hAnsi="Times New Roman"/>
                <w:sz w:val="24"/>
              </w:rPr>
              <w:t>Leica</w:t>
            </w:r>
            <w:r>
              <w:rPr>
                <w:rFonts w:ascii="Times New Roman" w:hAnsi="Times New Roman"/>
                <w:sz w:val="24"/>
              </w:rPr>
              <w:t>, GPS-оборудования.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Камеральный отдел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E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полевых измерений: импорт данных с тахеометра, вычисление координат точек вынесенной трассы, сравнение с проектными значениями.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2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2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 обзор профильной литературы: монографии, статьи по вопросам обеспечения точности геодезических работ при строительстве линейных объектов.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6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технического проекта на выполнение геодезических работ при строительстве участка трассы линейного объекта. Определение методов, оборудования, последовательности работ, требований к точности. Составление графика выполнения работ.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Полевая бригада №2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A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полевых работах: геодезический контроль земляных работ (устройство траншеи под газопровод). Нивелирование дна траншеи, контроль соответствия проектным отметкам.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Камеральный отдел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E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результатов нивелирования: составление ведомости превышений, вычисление отметок дна траншеи, сравнение с проектными значениями, выявление отклонений.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3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2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полученных данных о точности разбивочных и контрольных работ. Оценка соответствия выполненных работ требованиям нормативно-технической документации. Подготовка отчета о результатах анализа.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Полевая бригада №1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6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исполнительной съемке построенного участка газопровода. Определение фактического положения газопровода, колодцев, охранной зоны. Использование тахеометра и GPS-оборудования.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Камеральный отдел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A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данных исполнительной съемки: создание исполнительного плана участка газопровода, нанесение фактического положения элементов, оформление чертежа.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E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Итоговый анализ </w:t>
            </w:r>
            <w:r>
              <w:rPr>
                <w:rFonts w:ascii="Times New Roman" w:hAnsi="Times New Roman"/>
                <w:sz w:val="24"/>
              </w:rPr>
              <w:t>точности геодезического обеспечения строительства участка газопровода</w:t>
            </w:r>
            <w:r>
              <w:rPr>
                <w:rFonts w:ascii="Times New Roman" w:hAnsi="Times New Roman"/>
                <w:sz w:val="24"/>
              </w:rPr>
              <w:t>. Оценка влияния различных факторов на точность измерений. Разработка рекомендаций по повышению точности геодезических работ.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4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2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по практике: описание выполненных работ, результаты анализа, выводы и рекомендации. Предварительная защита отчета перед руководителем практики от предприятия. Доработка отчета с учетом замечаний.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9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геодезии</w:t>
            </w:r>
          </w:p>
        </w:tc>
        <w:tc>
          <w:tcPr>
            <w:tcW w:type="dxa" w:w="493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603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Окончательное оформление отчета по практике. Сдача отчета руководителю практики от предприятия.</w:t>
            </w:r>
          </w:p>
        </w:tc>
        <w:tc>
          <w:tcPr>
            <w:tcW w:type="dxa" w:w="17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 w14:paraId="5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58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Начало практики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</w:t>
      </w:r>
    </w:p>
    <w:p w14:paraId="59030000">
      <w:pPr>
        <w:spacing w:after="0" w:line="240" w:lineRule="auto"/>
        <w:ind w:firstLine="0" w:left="3539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(дата)</w:t>
      </w:r>
    </w:p>
    <w:p w14:paraId="5A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Окончание практики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</w:t>
      </w:r>
    </w:p>
    <w:p w14:paraId="5B030000">
      <w:pPr>
        <w:spacing w:after="0" w:line="240" w:lineRule="auto"/>
        <w:ind w:firstLine="0" w:left="3539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(дата)</w:t>
      </w:r>
    </w:p>
    <w:p w14:paraId="5C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 студента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</w:t>
      </w:r>
    </w:p>
    <w:p w14:paraId="5D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5E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5F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и объем выполненных работ подтверждаю.</w:t>
      </w:r>
    </w:p>
    <w:p w14:paraId="60030000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14:paraId="6103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Руководитель практики </w:t>
      </w:r>
      <w:r>
        <w:rPr>
          <w:rFonts w:ascii="Times New Roman" w:hAnsi="Times New Roman"/>
          <w:sz w:val="28"/>
        </w:rPr>
        <w:t>_______________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____________________________</w:t>
      </w:r>
    </w:p>
    <w:p w14:paraId="62030000">
      <w:pPr>
        <w:spacing w:after="0" w:line="240" w:lineRule="auto"/>
        <w:ind w:firstLine="0" w:left="2831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(фамилия, инициалы)</w:t>
      </w:r>
    </w:p>
    <w:p w14:paraId="6303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14:paraId="64030000">
      <w:pPr>
        <w:spacing w:after="0"/>
        <w:ind/>
        <w:rPr>
          <w:rFonts w:ascii="Times New Roman" w:hAnsi="Times New Roman"/>
          <w:sz w:val="28"/>
        </w:rPr>
      </w:pPr>
    </w:p>
    <w:p w14:paraId="65030000">
      <w:pPr>
        <w:pStyle w:val="Style_2"/>
        <w:spacing w:after="0" w:before="0" w:line="360" w:lineRule="auto"/>
        <w:ind w:firstLine="709" w:left="0"/>
        <w:rPr>
          <w:b w:val="1"/>
          <w:sz w:val="28"/>
        </w:rPr>
      </w:pPr>
    </w:p>
    <w:p w14:paraId="66030000">
      <w:pPr>
        <w:pStyle w:val="Style_2"/>
        <w:spacing w:after="150" w:before="0" w:line="360" w:lineRule="auto"/>
        <w:ind w:firstLine="709" w:left="0"/>
        <w:rPr>
          <w:b w:val="1"/>
          <w:sz w:val="28"/>
        </w:rPr>
      </w:pPr>
    </w:p>
    <w:p w14:paraId="67030000">
      <w:pPr>
        <w:pStyle w:val="Style_2"/>
        <w:spacing w:after="150" w:before="0" w:line="360" w:lineRule="auto"/>
        <w:ind w:firstLine="709" w:left="0"/>
        <w:rPr>
          <w:b w:val="1"/>
          <w:sz w:val="28"/>
        </w:rPr>
      </w:pPr>
    </w:p>
    <w:p w14:paraId="68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9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A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B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C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D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E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6F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0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1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2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3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4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5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6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7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8030000">
      <w:pPr>
        <w:pStyle w:val="Style_2"/>
        <w:spacing w:after="150" w:before="0" w:line="360" w:lineRule="auto"/>
        <w:ind w:firstLine="709" w:left="0"/>
        <w:jc w:val="center"/>
        <w:rPr>
          <w:b w:val="1"/>
          <w:sz w:val="28"/>
        </w:rPr>
      </w:pPr>
    </w:p>
    <w:p w14:paraId="79030000">
      <w:bookmarkStart w:id="10" w:name="__RefHeading___10"/>
      <w:bookmarkEnd w:id="10"/>
      <w:pPr>
        <w:pStyle w:val="Style_2"/>
        <w:spacing w:after="150" w:before="0" w:line="360" w:lineRule="auto"/>
        <w:ind w:firstLine="709" w:left="0"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риложения</w:t>
      </w:r>
    </w:p>
    <w:p w14:paraId="7A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</w:t>
      </w:r>
    </w:p>
    <w:p w14:paraId="7B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СХЕМА </w:t>
      </w:r>
      <w:r>
        <w:rPr>
          <w:rFonts w:ascii="Times New Roman" w:hAnsi="Times New Roman"/>
          <w:sz w:val="28"/>
        </w:rPr>
        <w:t xml:space="preserve"> ЭЛЕМЕНТОВ</w:t>
      </w:r>
    </w:p>
    <w:p w14:paraId="7C030000">
      <w:pPr>
        <w:rPr>
          <w:rFonts w:ascii="Times New Roman" w:hAnsi="Times New Roman"/>
          <w:sz w:val="28"/>
        </w:rPr>
      </w:pPr>
    </w:p>
    <w:p w14:paraId="7D030000">
      <w:pPr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>
            <wp:extent cx="1854933" cy="761545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854933" cy="76154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E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Б</w:t>
      </w:r>
    </w:p>
    <w:p w14:paraId="7F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СХЕМА РАСПОЛОЖЕНИЯ </w:t>
      </w:r>
    </w:p>
    <w:p w14:paraId="80030000">
      <w:pPr>
        <w:ind/>
        <w:jc w:val="center"/>
        <w:rPr>
          <w:rFonts w:ascii="Times New Roman" w:hAnsi="Times New Roman"/>
          <w:sz w:val="28"/>
        </w:rPr>
      </w:pPr>
    </w:p>
    <w:p w14:paraId="81030000">
      <w:pPr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>
            <wp:extent cx="1969804" cy="8078524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969804" cy="80785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2030000">
      <w:pPr>
        <w:spacing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sectPr>
      <w:foot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</w:style>
  <w:style w:default="1" w:styleId="Style_12_ch" w:type="character">
    <w:name w:val="Normal"/>
    <w:link w:val="Style_12"/>
  </w:style>
  <w:style w:styleId="Style_13" w:type="paragraph">
    <w:name w:val="toc 2"/>
    <w:next w:val="Style_12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" w:type="paragraph">
    <w:name w:val="footer"/>
    <w:basedOn w:val="Style_1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12_ch"/>
    <w:link w:val="Style_1"/>
  </w:style>
  <w:style w:styleId="Style_3" w:type="paragraph">
    <w:name w:val="TOC Heading"/>
    <w:basedOn w:val="Style_14"/>
    <w:next w:val="Style_12"/>
    <w:link w:val="Style_3_ch"/>
    <w:pPr>
      <w:ind/>
      <w:outlineLvl w:val="8"/>
    </w:pPr>
  </w:style>
  <w:style w:styleId="Style_3_ch" w:type="character">
    <w:name w:val="TOC Heading"/>
    <w:basedOn w:val="Style_14_ch"/>
    <w:link w:val="Style_3"/>
  </w:style>
  <w:style w:styleId="Style_15" w:type="paragraph">
    <w:name w:val="toc 4"/>
    <w:next w:val="Style_12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toc 6"/>
    <w:next w:val="Style_12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12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Strong"/>
    <w:basedOn w:val="Style_19"/>
    <w:link w:val="Style_18_ch"/>
    <w:rPr>
      <w:b w:val="1"/>
    </w:rPr>
  </w:style>
  <w:style w:styleId="Style_18_ch" w:type="character">
    <w:name w:val="Strong"/>
    <w:basedOn w:val="Style_19_ch"/>
    <w:link w:val="Style_18"/>
    <w:rPr>
      <w:b w:val="1"/>
    </w:rPr>
  </w:style>
  <w:style w:styleId="Style_9" w:type="paragraph">
    <w:name w:val="heading 3"/>
    <w:basedOn w:val="Style_12"/>
    <w:link w:val="Style_9_ch"/>
    <w:uiPriority w:val="9"/>
    <w:qFormat/>
    <w:pPr>
      <w:widowControl w:val="0"/>
      <w:spacing w:after="0" w:line="240" w:lineRule="auto"/>
      <w:ind/>
      <w:outlineLvl w:val="2"/>
    </w:pPr>
    <w:rPr>
      <w:rFonts w:ascii="Times New Roman" w:hAnsi="Times New Roman"/>
      <w:sz w:val="24"/>
    </w:rPr>
  </w:style>
  <w:style w:styleId="Style_9_ch" w:type="character">
    <w:name w:val="heading 3"/>
    <w:basedOn w:val="Style_12_ch"/>
    <w:link w:val="Style_9"/>
    <w:rPr>
      <w:rFonts w:ascii="Times New Roman" w:hAnsi="Times New Roman"/>
      <w:sz w:val="24"/>
    </w:rPr>
  </w:style>
  <w:style w:styleId="Style_7" w:type="paragraph">
    <w:name w:val="Table Paragraph"/>
    <w:basedOn w:val="Style_12"/>
    <w:link w:val="Style_7_ch"/>
    <w:pPr>
      <w:widowControl w:val="0"/>
      <w:spacing w:after="0" w:line="240" w:lineRule="auto"/>
      <w:ind/>
    </w:pPr>
    <w:rPr>
      <w:rFonts w:ascii="Times New Roman" w:hAnsi="Times New Roman"/>
    </w:rPr>
  </w:style>
  <w:style w:styleId="Style_7_ch" w:type="character">
    <w:name w:val="Table Paragraph"/>
    <w:basedOn w:val="Style_12_ch"/>
    <w:link w:val="Style_7"/>
    <w:rPr>
      <w:rFonts w:ascii="Times New Roman" w:hAnsi="Times New Roman"/>
    </w:rPr>
  </w:style>
  <w:style w:styleId="Style_5" w:type="paragraph">
    <w:name w:val="toc 3"/>
    <w:basedOn w:val="Style_12"/>
    <w:next w:val="Style_12"/>
    <w:link w:val="Style_5_ch"/>
    <w:uiPriority w:val="39"/>
    <w:pPr>
      <w:spacing w:after="100"/>
      <w:ind w:firstLine="0" w:left="440"/>
    </w:pPr>
  </w:style>
  <w:style w:styleId="Style_5_ch" w:type="character">
    <w:name w:val="toc 3"/>
    <w:basedOn w:val="Style_12_ch"/>
    <w:link w:val="Style_5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ing 5"/>
    <w:next w:val="Style_12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14" w:type="paragraph">
    <w:name w:val="heading 1"/>
    <w:basedOn w:val="Style_12"/>
    <w:next w:val="Style_12"/>
    <w:link w:val="Style_14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4_ch" w:type="character">
    <w:name w:val="heading 1"/>
    <w:basedOn w:val="Style_12_ch"/>
    <w:link w:val="Style_14"/>
    <w:rPr>
      <w:rFonts w:asciiTheme="majorAscii" w:hAnsiTheme="majorHAnsi"/>
      <w:b w:val="1"/>
      <w:color w:themeColor="accent1" w:themeShade="BF" w:val="376092"/>
      <w:sz w:val="28"/>
    </w:rPr>
  </w:style>
  <w:style w:styleId="Style_11" w:type="paragraph">
    <w:name w:val="Hyperlink"/>
    <w:basedOn w:val="Style_19"/>
    <w:link w:val="Style_11_ch"/>
    <w:rPr>
      <w:color w:val="0000FF"/>
      <w:u w:val="single"/>
    </w:rPr>
  </w:style>
  <w:style w:styleId="Style_11_ch" w:type="character">
    <w:name w:val="Hyperlink"/>
    <w:basedOn w:val="Style_19_ch"/>
    <w:link w:val="Style_11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4" w:type="paragraph">
    <w:name w:val="toc 1"/>
    <w:basedOn w:val="Style_12"/>
    <w:next w:val="Style_12"/>
    <w:link w:val="Style_4_ch"/>
    <w:uiPriority w:val="39"/>
    <w:pPr>
      <w:spacing w:after="100"/>
      <w:ind/>
    </w:pPr>
  </w:style>
  <w:style w:styleId="Style_4_ch" w:type="character">
    <w:name w:val="toc 1"/>
    <w:basedOn w:val="Style_12_ch"/>
    <w:link w:val="Style_4"/>
  </w:style>
  <w:style w:styleId="Style_8" w:type="paragraph">
    <w:name w:val="List Paragraph"/>
    <w:basedOn w:val="Style_12"/>
    <w:link w:val="Style_8_ch"/>
    <w:pPr>
      <w:widowControl w:val="0"/>
      <w:spacing w:after="0" w:line="240" w:lineRule="auto"/>
      <w:ind w:firstLine="0" w:left="720"/>
      <w:contextualSpacing w:val="1"/>
    </w:pPr>
    <w:rPr>
      <w:rFonts w:ascii="Times New Roman" w:hAnsi="Times New Roman"/>
    </w:rPr>
  </w:style>
  <w:style w:styleId="Style_8_ch" w:type="character">
    <w:name w:val="List Paragraph"/>
    <w:basedOn w:val="Style_12_ch"/>
    <w:link w:val="Style_8"/>
    <w:rPr>
      <w:rFonts w:ascii="Times New Roman" w:hAnsi="Times New Roman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12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header"/>
    <w:basedOn w:val="Style_12"/>
    <w:link w:val="Style_2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header"/>
    <w:basedOn w:val="Style_12_ch"/>
    <w:link w:val="Style_24"/>
  </w:style>
  <w:style w:styleId="Style_25" w:type="paragraph">
    <w:name w:val="toc 8"/>
    <w:next w:val="Style_1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Balloon Text"/>
    <w:basedOn w:val="Style_12"/>
    <w:link w:val="Style_27_ch"/>
    <w:pPr>
      <w:spacing w:after="0" w:line="240" w:lineRule="auto"/>
      <w:ind/>
    </w:pPr>
    <w:rPr>
      <w:rFonts w:ascii="Tahoma" w:hAnsi="Tahoma"/>
      <w:sz w:val="16"/>
    </w:rPr>
  </w:style>
  <w:style w:styleId="Style_27_ch" w:type="character">
    <w:name w:val="Balloon Text"/>
    <w:basedOn w:val="Style_12_ch"/>
    <w:link w:val="Style_27"/>
    <w:rPr>
      <w:rFonts w:ascii="Tahoma" w:hAnsi="Tahoma"/>
      <w:sz w:val="16"/>
    </w:rPr>
  </w:style>
  <w:style w:styleId="Style_2" w:type="paragraph">
    <w:name w:val="Normal (Web)"/>
    <w:basedOn w:val="Style_12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12_ch"/>
    <w:link w:val="Style_2"/>
    <w:rPr>
      <w:rFonts w:ascii="Times New Roman" w:hAnsi="Times New Roman"/>
      <w:sz w:val="24"/>
    </w:rPr>
  </w:style>
  <w:style w:styleId="Style_28" w:type="paragraph">
    <w:name w:val="Subtitle"/>
    <w:next w:val="Style_12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12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12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1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" w:type="table">
    <w:name w:val="Table Normal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11" Target="stylesWithEffects.xml" Type="http://schemas.microsoft.com/office/2007/relationships/stylesWithEffects"/>
  <Relationship Id="rId10" Target="styles.xml" Type="http://schemas.openxmlformats.org/officeDocument/2006/relationships/styles"/>
  <Relationship Id="rId9" Target="settings.xml" Type="http://schemas.openxmlformats.org/officeDocument/2006/relationships/settings"/>
  <Relationship Id="rId8" Target="fontTable.xml" Type="http://schemas.openxmlformats.org/officeDocument/2006/relationships/fontTable"/>
  <Relationship Id="rId7" Target="media/6.png" Type="http://schemas.openxmlformats.org/officeDocument/2006/relationships/image"/>
  <Relationship Id="rId14" Target="numbering.xml" Type="http://schemas.openxmlformats.org/officeDocument/2006/relationships/numbering"/>
  <Relationship Id="rId6" Target="media/5.png" Type="http://schemas.openxmlformats.org/officeDocument/2006/relationships/image"/>
  <Relationship Id="rId5" Target="media/4.emf" Type="http://schemas.openxmlformats.org/officeDocument/2006/relationships/image"/>
  <Relationship Id="rId4" Target="media/3.emf" Type="http://schemas.openxmlformats.org/officeDocument/2006/relationships/image"/>
  <Relationship Id="rId12" Target="webSettings.xml" Type="http://schemas.openxmlformats.org/officeDocument/2006/relationships/webSettings"/>
  <Relationship Id="rId3" Target="media/2.emf" Type="http://schemas.openxmlformats.org/officeDocument/2006/relationships/image"/>
  <Relationship Id="rId2" Target="media/1.emf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2026-07-16T12:32:33Z</dcterms:modified>
</cp:coreProperties>
</file>