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line="240" w:lineRule="auto"/>
        <w:ind w:firstLine="0" w:left="-567"/>
        <w:jc w:val="center"/>
        <w:rPr>
          <w:sz w:val="24"/>
        </w:rPr>
      </w:pPr>
      <w:r>
        <w:rPr>
          <w:sz w:val="24"/>
        </w:rPr>
        <w:t>МИНИСТЕРСТВО НАУКИ И ВЫСШЕГО ОБРАЗОВАНИЯ РОССИЙСКОЙ ФЕДЕРАЦИИ</w:t>
      </w:r>
    </w:p>
    <w:p w14:paraId="04000000">
      <w:pPr>
        <w:spacing w:line="240" w:lineRule="auto"/>
        <w:ind w:firstLine="0" w:left="-567"/>
        <w:jc w:val="center"/>
        <w:rPr>
          <w:sz w:val="24"/>
        </w:rPr>
      </w:pPr>
      <w:r>
        <w:rPr>
          <w:sz w:val="24"/>
        </w:rPr>
        <w:t>федеральное государственное бюджетное образовательное учреждение высшего образования</w:t>
      </w:r>
    </w:p>
    <w:p w14:paraId="05000000">
      <w:pPr>
        <w:spacing w:line="240" w:lineRule="auto"/>
        <w:ind/>
        <w:jc w:val="center"/>
        <w:rPr>
          <w:sz w:val="24"/>
        </w:rPr>
      </w:pPr>
      <w:r>
        <w:rPr>
          <w:sz w:val="24"/>
        </w:rPr>
        <w:t>«Тольяттинский государственный университет»</w:t>
      </w:r>
    </w:p>
    <w:p w14:paraId="06000000">
      <w:pPr>
        <w:spacing w:line="240" w:lineRule="auto"/>
        <w:ind/>
        <w:jc w:val="center"/>
        <w:rPr>
          <w:caps w:val="1"/>
          <w:sz w:val="24"/>
        </w:rPr>
      </w:pPr>
    </w:p>
    <w:p w14:paraId="07000000">
      <w:pPr>
        <w:tabs>
          <w:tab w:leader="none" w:pos="4677" w:val="center"/>
          <w:tab w:leader="none" w:pos="8210" w:val="left"/>
        </w:tabs>
        <w:spacing w:line="240" w:lineRule="auto"/>
        <w:ind/>
        <w:jc w:val="center"/>
        <w:rPr>
          <w:caps w:val="1"/>
          <w:sz w:val="24"/>
        </w:rPr>
      </w:pPr>
      <w:r>
        <w:rPr>
          <w:caps w:val="1"/>
          <w:sz w:val="24"/>
        </w:rPr>
        <w:t>Г</w:t>
      </w:r>
      <w:r>
        <w:rPr>
          <w:sz w:val="24"/>
        </w:rPr>
        <w:t>уманитарно-педагогический институт</w:t>
      </w:r>
    </w:p>
    <w:p w14:paraId="08000000">
      <w:pPr>
        <w:spacing w:line="240" w:lineRule="auto"/>
        <w:ind/>
        <w:jc w:val="center"/>
        <w:rPr>
          <w:sz w:val="24"/>
          <w:vertAlign w:val="superscript"/>
        </w:rPr>
      </w:pPr>
      <w:r>
        <w:rPr>
          <w:sz w:val="24"/>
          <w:vertAlign w:val="superscript"/>
        </w:rPr>
        <w:t>(наименование института полностью)</w:t>
      </w:r>
    </w:p>
    <w:p w14:paraId="09000000">
      <w:pPr>
        <w:spacing w:line="240" w:lineRule="auto"/>
        <w:ind/>
        <w:jc w:val="center"/>
        <w:rPr>
          <w:sz w:val="24"/>
        </w:rPr>
      </w:pPr>
    </w:p>
    <w:tbl>
      <w:tblPr>
        <w:tblStyle w:val="Style_2"/>
        <w:tblLayout w:type="fixed"/>
      </w:tblPr>
      <w:tblGrid>
        <w:gridCol w:w="1101"/>
        <w:gridCol w:w="8363"/>
      </w:tblGrid>
      <w:tr>
        <w:tc>
          <w:tcPr>
            <w:tcW w:type="dxa" w:w="1101"/>
            <w:shd w:fill="auto" w:val="clear"/>
          </w:tcPr>
          <w:p w14:paraId="0A000000">
            <w:pPr>
              <w:spacing w:line="240" w:lineRule="auto"/>
              <w:ind/>
              <w:jc w:val="center"/>
              <w:rPr>
                <w:sz w:val="24"/>
              </w:rPr>
            </w:pPr>
            <w:r>
              <w:rPr>
                <w:sz w:val="24"/>
              </w:rPr>
              <w:t>Кафедра</w:t>
            </w:r>
          </w:p>
        </w:tc>
        <w:tc>
          <w:tcPr>
            <w:tcW w:type="dxa" w:w="8363"/>
            <w:tcBorders>
              <w:bottom w:color="000000" w:sz="4" w:val="single"/>
            </w:tcBorders>
            <w:shd w:fill="auto" w:val="clear"/>
          </w:tcPr>
          <w:p w14:paraId="0B000000">
            <w:pPr>
              <w:spacing w:line="240" w:lineRule="auto"/>
              <w:ind/>
              <w:jc w:val="left"/>
              <w:rPr>
                <w:sz w:val="24"/>
              </w:rPr>
            </w:pPr>
            <w:r>
              <w:rPr>
                <w:sz w:val="24"/>
              </w:rPr>
              <w:t xml:space="preserve">                                   Педагогика и психология</w:t>
            </w:r>
          </w:p>
        </w:tc>
      </w:tr>
      <w:tr>
        <w:tc>
          <w:tcPr>
            <w:tcW w:type="dxa" w:w="9464"/>
            <w:gridSpan w:val="2"/>
            <w:shd w:fill="auto" w:val="clear"/>
          </w:tcPr>
          <w:p w14:paraId="0C000000">
            <w:pPr>
              <w:spacing w:line="240" w:lineRule="auto"/>
              <w:ind/>
              <w:jc w:val="center"/>
              <w:rPr>
                <w:sz w:val="24"/>
              </w:rPr>
            </w:pPr>
            <w:r>
              <w:rPr>
                <w:sz w:val="24"/>
                <w:vertAlign w:val="superscript"/>
              </w:rPr>
              <w:t>(наименование)</w:t>
            </w:r>
          </w:p>
        </w:tc>
      </w:tr>
    </w:tbl>
    <w:p w14:paraId="0D000000">
      <w:pPr>
        <w:spacing w:line="240" w:lineRule="auto"/>
        <w:ind/>
        <w:jc w:val="center"/>
        <w:rPr>
          <w:sz w:val="24"/>
        </w:rPr>
      </w:pPr>
      <w:r>
        <w:rPr>
          <w:sz w:val="24"/>
        </w:rPr>
        <w:t>37.03.01 Психология</w:t>
      </w:r>
    </w:p>
    <w:p w14:paraId="0E000000">
      <w:pPr>
        <w:spacing w:line="240" w:lineRule="auto"/>
        <w:ind/>
        <w:jc w:val="center"/>
        <w:rPr>
          <w:sz w:val="6"/>
        </w:rPr>
      </w:pPr>
      <w:r>
        <w:rPr>
          <w:sz w:val="24"/>
          <w:vertAlign w:val="superscript"/>
        </w:rPr>
        <w:t>(код и наименование направления подготовки / специальности)</w:t>
      </w:r>
    </w:p>
    <w:p w14:paraId="0F000000">
      <w:pPr>
        <w:spacing w:line="240" w:lineRule="auto"/>
        <w:ind/>
        <w:jc w:val="center"/>
      </w:pPr>
      <w:r>
        <w:rPr>
          <w:sz w:val="24"/>
        </w:rPr>
        <w:t>Психология</w:t>
      </w:r>
    </w:p>
    <w:p w14:paraId="10000000">
      <w:pPr>
        <w:spacing w:line="240" w:lineRule="auto"/>
        <w:ind/>
        <w:jc w:val="center"/>
        <w:rPr>
          <w:sz w:val="24"/>
          <w:vertAlign w:val="superscript"/>
        </w:rPr>
      </w:pPr>
      <w:r>
        <w:rPr>
          <w:sz w:val="24"/>
          <w:vertAlign w:val="superscript"/>
        </w:rPr>
        <w:t>(направленность (профиль) / специализация)</w:t>
      </w:r>
    </w:p>
    <w:p w14:paraId="11000000">
      <w:pPr>
        <w:spacing w:line="240" w:lineRule="auto"/>
        <w:ind/>
        <w:jc w:val="center"/>
        <w:rPr>
          <w:sz w:val="24"/>
        </w:rPr>
      </w:pPr>
    </w:p>
    <w:p w14:paraId="12000000">
      <w:pPr>
        <w:spacing w:line="240" w:lineRule="auto"/>
        <w:ind/>
        <w:jc w:val="center"/>
        <w:rPr>
          <w:sz w:val="24"/>
        </w:rPr>
      </w:pPr>
    </w:p>
    <w:p w14:paraId="13000000">
      <w:pPr>
        <w:spacing w:line="240" w:lineRule="auto"/>
        <w:ind/>
        <w:jc w:val="center"/>
        <w:rPr>
          <w:sz w:val="24"/>
        </w:rPr>
      </w:pPr>
    </w:p>
    <w:p w14:paraId="14000000">
      <w:pPr>
        <w:spacing w:line="240" w:lineRule="auto"/>
        <w:ind/>
        <w:jc w:val="center"/>
        <w:rPr>
          <w:b w:val="1"/>
          <w:caps w:val="1"/>
          <w:sz w:val="32"/>
        </w:rPr>
      </w:pPr>
      <w:r>
        <w:rPr>
          <w:b w:val="1"/>
          <w:caps w:val="1"/>
          <w:sz w:val="32"/>
        </w:rPr>
        <w:t>выпускная квалификационная работа</w:t>
      </w:r>
    </w:p>
    <w:p w14:paraId="15000000">
      <w:pPr>
        <w:spacing w:line="240" w:lineRule="auto"/>
        <w:ind/>
        <w:jc w:val="center"/>
        <w:rPr>
          <w:b w:val="1"/>
          <w:caps w:val="1"/>
          <w:sz w:val="32"/>
        </w:rPr>
      </w:pPr>
      <w:r>
        <w:rPr>
          <w:b w:val="1"/>
          <w:caps w:val="1"/>
          <w:sz w:val="32"/>
        </w:rPr>
        <w:t>(бакалаврская работа)</w:t>
      </w:r>
    </w:p>
    <w:p w14:paraId="16000000">
      <w:pPr>
        <w:spacing w:line="240" w:lineRule="auto"/>
        <w:ind/>
        <w:jc w:val="center"/>
        <w:rPr>
          <w:sz w:val="24"/>
        </w:rPr>
      </w:pPr>
    </w:p>
    <w:tbl>
      <w:tblPr>
        <w:tblStyle w:val="Style_2"/>
        <w:tblLayout w:type="fixed"/>
      </w:tblPr>
      <w:tblGrid>
        <w:gridCol w:w="1101"/>
        <w:gridCol w:w="8649"/>
      </w:tblGrid>
      <w:tr>
        <w:tc>
          <w:tcPr>
            <w:tcW w:type="dxa" w:w="1101"/>
            <w:shd w:fill="auto" w:val="clear"/>
          </w:tcPr>
          <w:p w14:paraId="17000000">
            <w:pPr>
              <w:spacing w:line="240" w:lineRule="auto"/>
              <w:ind/>
              <w:jc w:val="center"/>
              <w:rPr>
                <w:sz w:val="24"/>
              </w:rPr>
            </w:pPr>
            <w:r>
              <w:rPr>
                <w:sz w:val="24"/>
              </w:rPr>
              <w:t>на тему</w:t>
            </w:r>
          </w:p>
        </w:tc>
        <w:tc>
          <w:tcPr>
            <w:tcW w:type="dxa" w:w="8649"/>
            <w:tcBorders>
              <w:bottom w:color="000000" w:sz="4" w:val="single"/>
            </w:tcBorders>
            <w:shd w:fill="auto" w:val="clear"/>
          </w:tcPr>
          <w:p w14:paraId="18000000">
            <w:pPr>
              <w:tabs>
                <w:tab w:leader="none" w:pos="8430" w:val="right"/>
              </w:tabs>
              <w:spacing w:line="240" w:lineRule="auto"/>
              <w:ind/>
              <w:jc w:val="left"/>
              <w:rPr>
                <w:sz w:val="24"/>
              </w:rPr>
            </w:pPr>
            <w:r>
              <w:rPr>
                <w:sz w:val="24"/>
              </w:rPr>
              <w:t xml:space="preserve">Психологическое сопровождение профессионального самоопределения </w:t>
            </w:r>
          </w:p>
        </w:tc>
      </w:tr>
      <w:tr>
        <w:tc>
          <w:tcPr>
            <w:tcW w:type="dxa" w:w="9750"/>
            <w:gridSpan w:val="2"/>
            <w:tcBorders>
              <w:top w:sz="4" w:val="nil"/>
              <w:left w:sz="4" w:val="nil"/>
              <w:bottom w:color="000000" w:sz="4" w:val="single"/>
              <w:right w:sz="4" w:val="nil"/>
            </w:tcBorders>
          </w:tcPr>
          <w:p w14:paraId="19000000">
            <w:pPr>
              <w:spacing w:line="240" w:lineRule="auto"/>
              <w:ind/>
              <w:jc w:val="left"/>
              <w:rPr>
                <w:sz w:val="24"/>
              </w:rPr>
            </w:pPr>
            <w:r>
              <w:rPr>
                <w:sz w:val="24"/>
              </w:rPr>
              <w:t>старшеклассников, воспитывающихся в интернатных учреждениях</w:t>
            </w:r>
          </w:p>
        </w:tc>
      </w:tr>
    </w:tbl>
    <w:p w14:paraId="1A000000">
      <w:pPr>
        <w:rPr>
          <w:sz w:val="24"/>
        </w:rPr>
      </w:pPr>
    </w:p>
    <w:tbl>
      <w:tblPr>
        <w:tblStyle w:val="Style_2"/>
        <w:tblLayout w:type="fixed"/>
      </w:tblPr>
      <w:tblGrid>
        <w:gridCol w:w="2532"/>
        <w:gridCol w:w="4248"/>
        <w:gridCol w:w="2718"/>
      </w:tblGrid>
      <w:tr>
        <w:tc>
          <w:tcPr>
            <w:tcW w:type="dxa" w:w="2532"/>
          </w:tcPr>
          <w:p w14:paraId="1B000000">
            <w:pPr>
              <w:spacing w:line="240" w:lineRule="auto"/>
              <w:ind w:firstLine="0" w:left="-105"/>
              <w:rPr>
                <w:sz w:val="24"/>
              </w:rPr>
            </w:pPr>
            <w:r>
              <w:rPr>
                <w:sz w:val="24"/>
              </w:rPr>
              <w:t>Обучающийся</w:t>
            </w:r>
          </w:p>
        </w:tc>
        <w:tc>
          <w:tcPr>
            <w:tcW w:type="dxa" w:w="4248"/>
          </w:tcPr>
          <w:p/>
        </w:tc>
        <w:tc>
          <w:tcPr>
            <w:tcW w:type="dxa" w:w="2718"/>
          </w:tcPr>
          <w:p w14:paraId="1C000000">
            <w:pPr>
              <w:spacing w:line="240" w:lineRule="auto"/>
              <w:ind/>
              <w:rPr>
                <w:sz w:val="24"/>
              </w:rPr>
            </w:pPr>
          </w:p>
          <w:p w14:paraId="1D000000">
            <w:pPr>
              <w:spacing w:line="240" w:lineRule="auto"/>
              <w:ind/>
              <w:jc w:val="center"/>
              <w:rPr>
                <w:sz w:val="24"/>
                <w:vertAlign w:val="superscript"/>
              </w:rPr>
            </w:pPr>
            <w:r>
              <w:rPr>
                <w:sz w:val="24"/>
                <w:vertAlign w:val="superscript"/>
              </w:rPr>
              <w:t>(личная подпись)</w:t>
            </w:r>
          </w:p>
        </w:tc>
      </w:tr>
      <w:tr>
        <w:tc>
          <w:tcPr>
            <w:tcW w:type="dxa" w:w="2532"/>
          </w:tcPr>
          <w:p w14:paraId="1E000000">
            <w:pPr>
              <w:spacing w:line="240" w:lineRule="auto"/>
              <w:ind w:firstLine="0" w:left="-105"/>
              <w:rPr>
                <w:sz w:val="24"/>
              </w:rPr>
            </w:pPr>
            <w:r>
              <w:rPr>
                <w:sz w:val="24"/>
              </w:rPr>
              <w:t>Руководитель</w:t>
            </w:r>
          </w:p>
        </w:tc>
        <w:tc>
          <w:tcPr>
            <w:tcW w:type="dxa" w:w="6966"/>
            <w:gridSpan w:val="2"/>
          </w:tcPr>
          <w:p/>
        </w:tc>
      </w:tr>
    </w:tbl>
    <w:p w14:paraId="1F000000">
      <w:pPr>
        <w:spacing w:line="240" w:lineRule="auto"/>
        <w:ind/>
        <w:jc w:val="center"/>
        <w:rPr>
          <w:sz w:val="24"/>
        </w:rPr>
      </w:pPr>
    </w:p>
    <w:p w14:paraId="20000000">
      <w:pPr>
        <w:spacing w:line="240" w:lineRule="auto"/>
        <w:ind/>
        <w:jc w:val="center"/>
        <w:rPr>
          <w:sz w:val="24"/>
        </w:rPr>
      </w:pPr>
    </w:p>
    <w:p w14:paraId="21000000">
      <w:pPr>
        <w:spacing w:line="240" w:lineRule="auto"/>
        <w:ind/>
        <w:jc w:val="center"/>
        <w:rPr>
          <w:sz w:val="24"/>
        </w:rPr>
      </w:pPr>
    </w:p>
    <w:p w14:paraId="22000000">
      <w:pPr>
        <w:spacing w:line="240" w:lineRule="auto"/>
        <w:ind/>
        <w:jc w:val="center"/>
        <w:rPr>
          <w:sz w:val="24"/>
        </w:rPr>
      </w:pPr>
    </w:p>
    <w:p w14:paraId="23000000">
      <w:pPr>
        <w:spacing w:line="240" w:lineRule="auto"/>
        <w:ind/>
        <w:jc w:val="center"/>
        <w:rPr>
          <w:sz w:val="24"/>
        </w:rPr>
      </w:pPr>
    </w:p>
    <w:p w14:paraId="24000000">
      <w:pPr>
        <w:spacing w:line="240" w:lineRule="auto"/>
        <w:ind/>
        <w:jc w:val="center"/>
        <w:rPr>
          <w:sz w:val="24"/>
        </w:rPr>
      </w:pPr>
    </w:p>
    <w:p w14:paraId="25000000">
      <w:pPr>
        <w:spacing w:line="240" w:lineRule="auto"/>
        <w:ind/>
        <w:rPr>
          <w:sz w:val="24"/>
        </w:rPr>
      </w:pPr>
    </w:p>
    <w:p w14:paraId="26000000">
      <w:pPr>
        <w:spacing w:line="240" w:lineRule="auto"/>
        <w:ind/>
        <w:jc w:val="center"/>
        <w:rPr>
          <w:sz w:val="24"/>
        </w:rPr>
      </w:pPr>
    </w:p>
    <w:p w14:paraId="27000000">
      <w:pPr>
        <w:spacing w:line="240" w:lineRule="auto"/>
        <w:ind/>
        <w:jc w:val="center"/>
        <w:rPr>
          <w:sz w:val="24"/>
        </w:rPr>
      </w:pPr>
    </w:p>
    <w:p w14:paraId="28000000">
      <w:pPr>
        <w:spacing w:line="240" w:lineRule="auto"/>
        <w:ind/>
        <w:jc w:val="center"/>
        <w:rPr>
          <w:sz w:val="24"/>
        </w:rPr>
      </w:pPr>
    </w:p>
    <w:p w14:paraId="29000000">
      <w:pPr>
        <w:spacing w:line="240" w:lineRule="auto"/>
        <w:ind/>
        <w:jc w:val="center"/>
        <w:rPr>
          <w:sz w:val="24"/>
        </w:rPr>
      </w:pPr>
    </w:p>
    <w:p w14:paraId="2A000000">
      <w:pPr>
        <w:spacing w:line="240" w:lineRule="auto"/>
        <w:ind/>
        <w:jc w:val="center"/>
        <w:rPr>
          <w:sz w:val="24"/>
        </w:rPr>
      </w:pPr>
    </w:p>
    <w:p w14:paraId="2B000000">
      <w:pPr>
        <w:spacing w:line="240" w:lineRule="auto"/>
        <w:ind/>
        <w:jc w:val="center"/>
        <w:rPr>
          <w:sz w:val="24"/>
        </w:rPr>
      </w:pPr>
    </w:p>
    <w:p w14:paraId="2C000000">
      <w:pPr>
        <w:spacing w:line="240" w:lineRule="auto"/>
        <w:ind/>
        <w:jc w:val="center"/>
        <w:rPr>
          <w:sz w:val="24"/>
        </w:rPr>
      </w:pPr>
    </w:p>
    <w:p w14:paraId="2D000000">
      <w:pPr>
        <w:spacing w:line="240" w:lineRule="auto"/>
        <w:ind/>
        <w:jc w:val="center"/>
        <w:rPr>
          <w:sz w:val="24"/>
        </w:rPr>
      </w:pPr>
    </w:p>
    <w:p w14:paraId="2E000000">
      <w:pPr>
        <w:tabs>
          <w:tab w:leader="none" w:pos="3686" w:val="left"/>
          <w:tab w:leader="none" w:pos="3969" w:val="left"/>
        </w:tabs>
        <w:spacing w:line="240" w:lineRule="auto"/>
        <w:ind/>
        <w:jc w:val="center"/>
        <w:rPr>
          <w:sz w:val="24"/>
        </w:rPr>
      </w:pPr>
    </w:p>
    <w:p w14:paraId="2F000000">
      <w:pPr>
        <w:tabs>
          <w:tab w:leader="none" w:pos="3686" w:val="left"/>
          <w:tab w:leader="none" w:pos="3969" w:val="left"/>
        </w:tabs>
        <w:spacing w:line="240" w:lineRule="auto"/>
        <w:ind/>
        <w:jc w:val="center"/>
        <w:rPr>
          <w:sz w:val="24"/>
        </w:rPr>
      </w:pPr>
    </w:p>
    <w:p w14:paraId="30000000">
      <w:pPr>
        <w:tabs>
          <w:tab w:leader="none" w:pos="3686" w:val="left"/>
          <w:tab w:leader="none" w:pos="3969" w:val="left"/>
        </w:tabs>
        <w:spacing w:line="240" w:lineRule="auto"/>
        <w:ind/>
        <w:jc w:val="center"/>
        <w:rPr>
          <w:sz w:val="24"/>
        </w:rPr>
      </w:pPr>
    </w:p>
    <w:p w14:paraId="31000000">
      <w:pPr>
        <w:tabs>
          <w:tab w:leader="none" w:pos="3686" w:val="left"/>
          <w:tab w:leader="none" w:pos="3969" w:val="left"/>
        </w:tabs>
        <w:spacing w:line="240" w:lineRule="auto"/>
        <w:ind/>
        <w:jc w:val="center"/>
        <w:rPr>
          <w:sz w:val="24"/>
        </w:rPr>
      </w:pPr>
    </w:p>
    <w:p w14:paraId="32000000">
      <w:pPr>
        <w:tabs>
          <w:tab w:leader="none" w:pos="3686" w:val="left"/>
          <w:tab w:leader="none" w:pos="3969" w:val="left"/>
        </w:tabs>
        <w:spacing w:line="240" w:lineRule="auto"/>
        <w:ind/>
        <w:jc w:val="center"/>
        <w:rPr>
          <w:sz w:val="24"/>
        </w:rPr>
      </w:pPr>
    </w:p>
    <w:p w14:paraId="33000000">
      <w:pPr>
        <w:tabs>
          <w:tab w:leader="none" w:pos="3686" w:val="left"/>
          <w:tab w:leader="none" w:pos="3969" w:val="left"/>
        </w:tabs>
        <w:spacing w:line="240" w:lineRule="auto"/>
        <w:ind/>
        <w:jc w:val="center"/>
        <w:rPr>
          <w:sz w:val="24"/>
        </w:rPr>
      </w:pPr>
    </w:p>
    <w:p w14:paraId="34000000">
      <w:pPr>
        <w:spacing w:line="240" w:lineRule="auto"/>
        <w:ind/>
        <w:jc w:val="center"/>
        <w:rPr>
          <w:sz w:val="24"/>
        </w:rPr>
      </w:pPr>
      <w:r>
        <w:rPr>
          <w:sz w:val="24"/>
        </w:rPr>
        <w:t>Тольятти 2026</w:t>
      </w:r>
    </w:p>
    <w:p w14:paraId="35000000">
      <w:pPr>
        <w:ind w:firstLine="709" w:left="0"/>
      </w:pPr>
      <w:r>
        <w:br w:type="page"/>
      </w:r>
    </w:p>
    <w:p w14:paraId="36000000">
      <w:pPr>
        <w:pStyle w:val="Style_3"/>
        <w:ind/>
        <w:jc w:val="center"/>
        <w:rPr>
          <w:rFonts w:ascii="Times New Roman" w:hAnsi="Times New Roman"/>
          <w:b w:val="1"/>
          <w:color w:themeColor="text1" w:val="000000"/>
          <w:sz w:val="28"/>
        </w:rPr>
      </w:pPr>
      <w:r>
        <w:rPr>
          <w:rFonts w:ascii="Times New Roman" w:hAnsi="Times New Roman"/>
          <w:b w:val="1"/>
          <w:color w:themeColor="text1" w:val="000000"/>
          <w:sz w:val="28"/>
        </w:rPr>
        <w:t>Оглавление</w:t>
      </w:r>
    </w:p>
    <w:p w14:paraId="37000000"/>
    <w:p>
      <w:pPr>
        <w:pStyle w:val="Style_4"/>
        <w:tabs>
          <w:tab w:leader="none" w:pos="9345" w:val="clear"/>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Введение</w:t>
      </w:r>
      <w:r>
        <w:tab/>
      </w:r>
      <w:r>
        <w:fldChar w:fldCharType="begin"/>
      </w:r>
      <w:r>
        <w:instrText>PAGEREF __RefHeading___1 \h</w:instrText>
      </w:r>
      <w:r>
        <w:fldChar w:fldCharType="separate"/>
      </w:r>
      <w:r>
        <w:t>3</w:t>
      </w:r>
      <w:r>
        <w:fldChar w:fldCharType="end"/>
      </w:r>
      <w:r>
        <w:fldChar w:fldCharType="end"/>
      </w:r>
    </w:p>
    <w:p w14:paraId="39000000">
      <w:pPr>
        <w:pStyle w:val="Style_4"/>
        <w:tabs>
          <w:tab w:leader="none" w:pos="9345" w:val="clear"/>
          <w:tab w:leader="dot" w:pos="9355" w:val="right"/>
        </w:tabs>
        <w:ind/>
      </w:pPr>
      <w:r>
        <w:fldChar w:fldCharType="begin"/>
      </w:r>
      <w:r>
        <w:instrText>HYPERLINK \l "__RefHeading___2"</w:instrText>
      </w:r>
      <w:r>
        <w:fldChar w:fldCharType="separate"/>
      </w:r>
      <w:r>
        <w:t>Глава 1 Теоретические основы психологического сопровождения профессионального самоопределения старшеклассников, воспитывающихся в интернатных учреждениях</w:t>
      </w:r>
      <w:r>
        <w:tab/>
      </w:r>
      <w:r>
        <w:fldChar w:fldCharType="begin"/>
      </w:r>
      <w:r>
        <w:instrText>PAGEREF __RefHeading___2 \h</w:instrText>
      </w:r>
      <w:r>
        <w:fldChar w:fldCharType="separate"/>
      </w:r>
      <w:r>
        <w:t>10</w:t>
      </w:r>
      <w:r>
        <w:fldChar w:fldCharType="end"/>
      </w:r>
      <w:r>
        <w:fldChar w:fldCharType="end"/>
      </w:r>
    </w:p>
    <w:p w14:paraId="3A000000">
      <w:pPr>
        <w:pStyle w:val="Style_4"/>
        <w:tabs>
          <w:tab w:leader="none" w:pos="9345" w:val="clear"/>
          <w:tab w:leader="dot" w:pos="9355" w:val="right"/>
        </w:tabs>
        <w:ind/>
      </w:pPr>
      <w:r>
        <w:fldChar w:fldCharType="begin"/>
      </w:r>
      <w:r>
        <w:instrText>HYPERLINK \l "__RefHeading___3"</w:instrText>
      </w:r>
      <w:r>
        <w:fldChar w:fldCharType="separate"/>
      </w:r>
      <w:r>
        <w:t>1.1 Профессиональное самоопределение как психолого-педагогическая проблема</w:t>
      </w:r>
      <w:r>
        <w:tab/>
      </w:r>
      <w:r>
        <w:fldChar w:fldCharType="begin"/>
      </w:r>
      <w:r>
        <w:instrText>PAGEREF __RefHeading___3 \h</w:instrText>
      </w:r>
      <w:r>
        <w:fldChar w:fldCharType="separate"/>
      </w:r>
      <w:r>
        <w:t>10</w:t>
      </w:r>
      <w:r>
        <w:fldChar w:fldCharType="end"/>
      </w:r>
      <w:r>
        <w:fldChar w:fldCharType="end"/>
      </w:r>
    </w:p>
    <w:p w14:paraId="3B000000">
      <w:pPr>
        <w:pStyle w:val="Style_4"/>
        <w:tabs>
          <w:tab w:leader="none" w:pos="9345" w:val="clear"/>
          <w:tab w:leader="dot" w:pos="9355" w:val="right"/>
        </w:tabs>
        <w:ind/>
      </w:pPr>
      <w:r>
        <w:fldChar w:fldCharType="begin"/>
      </w:r>
      <w:r>
        <w:instrText>HYPERLINK \l "__RefHeading___4"</w:instrText>
      </w:r>
      <w:r>
        <w:fldChar w:fldCharType="separate"/>
      </w:r>
      <w:r>
        <w:t>1.2 Психологические особенности профессионального самоопределения старшеклассников, воспитывающихся в интернатных учреждениях</w:t>
      </w:r>
      <w:r>
        <w:tab/>
      </w:r>
      <w:r>
        <w:fldChar w:fldCharType="begin"/>
      </w:r>
      <w:r>
        <w:instrText>PAGEREF __RefHeading___4 \h</w:instrText>
      </w:r>
      <w:r>
        <w:fldChar w:fldCharType="separate"/>
      </w:r>
      <w:r>
        <w:t>19</w:t>
      </w:r>
      <w:r>
        <w:fldChar w:fldCharType="end"/>
      </w:r>
      <w:r>
        <w:fldChar w:fldCharType="end"/>
      </w:r>
    </w:p>
    <w:p w14:paraId="3C000000">
      <w:pPr>
        <w:pStyle w:val="Style_4"/>
        <w:tabs>
          <w:tab w:leader="none" w:pos="9345" w:val="clear"/>
          <w:tab w:leader="dot" w:pos="9355" w:val="right"/>
        </w:tabs>
        <w:ind/>
      </w:pPr>
      <w:r>
        <w:fldChar w:fldCharType="begin"/>
      </w:r>
      <w:r>
        <w:instrText>HYPERLINK \l "__RefHeading___5"</w:instrText>
      </w:r>
      <w:r>
        <w:fldChar w:fldCharType="separate"/>
      </w:r>
      <w:r>
        <w:t>1.3 Организация психологического сопровождения профессионального самоопределения старшеклассников, воспитывающихся в интернатных учреждениях</w:t>
      </w:r>
      <w:r>
        <w:tab/>
      </w:r>
      <w:r>
        <w:fldChar w:fldCharType="begin"/>
      </w:r>
      <w:r>
        <w:instrText>PAGEREF __RefHeading___5 \h</w:instrText>
      </w:r>
      <w:r>
        <w:fldChar w:fldCharType="separate"/>
      </w:r>
      <w:r>
        <w:t>26</w:t>
      </w:r>
      <w:r>
        <w:fldChar w:fldCharType="end"/>
      </w:r>
      <w:r>
        <w:fldChar w:fldCharType="end"/>
      </w:r>
    </w:p>
    <w:p w14:paraId="3D000000">
      <w:pPr>
        <w:pStyle w:val="Style_4"/>
        <w:tabs>
          <w:tab w:leader="none" w:pos="9345" w:val="clear"/>
          <w:tab w:leader="dot" w:pos="9355" w:val="right"/>
        </w:tabs>
        <w:ind/>
      </w:pPr>
      <w:r>
        <w:fldChar w:fldCharType="begin"/>
      </w:r>
      <w:r>
        <w:instrText>HYPERLINK \l "__RefHeading___6"</w:instrText>
      </w:r>
      <w:r>
        <w:fldChar w:fldCharType="separate"/>
      </w:r>
      <w:r>
        <w:t>Глава 2 Эмпирическое исследование психологического сопровождения профессионального самоопределения старшеклассников, воспитывающихся в интернатных учреждениях</w:t>
      </w:r>
      <w:r>
        <w:tab/>
      </w:r>
      <w:r>
        <w:fldChar w:fldCharType="begin"/>
      </w:r>
      <w:r>
        <w:instrText>PAGEREF __RefHeading___6 \h</w:instrText>
      </w:r>
      <w:r>
        <w:fldChar w:fldCharType="separate"/>
      </w:r>
      <w:r>
        <w:t>33</w:t>
      </w:r>
      <w:r>
        <w:fldChar w:fldCharType="end"/>
      </w:r>
      <w:r>
        <w:fldChar w:fldCharType="end"/>
      </w:r>
    </w:p>
    <w:p w14:paraId="3E000000">
      <w:pPr>
        <w:pStyle w:val="Style_4"/>
        <w:tabs>
          <w:tab w:leader="none" w:pos="9345" w:val="clear"/>
          <w:tab w:leader="dot" w:pos="9355" w:val="right"/>
        </w:tabs>
        <w:ind/>
      </w:pPr>
      <w:r>
        <w:fldChar w:fldCharType="begin"/>
      </w:r>
      <w:r>
        <w:instrText>HYPERLINK \l "__RefHeading___7"</w:instrText>
      </w:r>
      <w:r>
        <w:fldChar w:fldCharType="separate"/>
      </w:r>
      <w:r>
        <w:t>2.1 Организация и методы исследования</w:t>
      </w:r>
      <w:r>
        <w:tab/>
      </w:r>
      <w:r>
        <w:fldChar w:fldCharType="begin"/>
      </w:r>
      <w:r>
        <w:instrText>PAGEREF __RefHeading___7 \h</w:instrText>
      </w:r>
      <w:r>
        <w:fldChar w:fldCharType="separate"/>
      </w:r>
      <w:r>
        <w:t>33</w:t>
      </w:r>
      <w:r>
        <w:fldChar w:fldCharType="end"/>
      </w:r>
      <w:r>
        <w:fldChar w:fldCharType="end"/>
      </w:r>
    </w:p>
    <w:p w14:paraId="3F000000">
      <w:pPr>
        <w:pStyle w:val="Style_4"/>
        <w:tabs>
          <w:tab w:leader="none" w:pos="9345" w:val="clear"/>
          <w:tab w:leader="dot" w:pos="9355" w:val="right"/>
        </w:tabs>
        <w:ind/>
      </w:pPr>
      <w:r>
        <w:fldChar w:fldCharType="begin"/>
      </w:r>
      <w:r>
        <w:instrText>HYPERLINK \l "__RefHeading___8"</w:instrText>
      </w:r>
      <w:r>
        <w:fldChar w:fldCharType="separate"/>
      </w:r>
      <w:r>
        <w:t>2.2 Анализ результатов первичной диагностики профессионального самоопределения старшеклассников</w:t>
      </w:r>
      <w:r>
        <w:tab/>
      </w:r>
      <w:r>
        <w:fldChar w:fldCharType="begin"/>
      </w:r>
      <w:r>
        <w:instrText>PAGEREF __RefHeading___8 \h</w:instrText>
      </w:r>
      <w:r>
        <w:fldChar w:fldCharType="separate"/>
      </w:r>
      <w:r>
        <w:t>37</w:t>
      </w:r>
      <w:r>
        <w:fldChar w:fldCharType="end"/>
      </w:r>
      <w:r>
        <w:fldChar w:fldCharType="end"/>
      </w:r>
    </w:p>
    <w:p w14:paraId="40000000">
      <w:pPr>
        <w:pStyle w:val="Style_4"/>
        <w:tabs>
          <w:tab w:leader="none" w:pos="9345" w:val="clear"/>
          <w:tab w:leader="dot" w:pos="9355" w:val="right"/>
        </w:tabs>
        <w:ind/>
      </w:pPr>
      <w:r>
        <w:fldChar w:fldCharType="begin"/>
      </w:r>
      <w:r>
        <w:instrText>HYPERLINK \l "__RefHeading___9"</w:instrText>
      </w:r>
      <w:r>
        <w:fldChar w:fldCharType="separate"/>
      </w:r>
      <w:r>
        <w:t>2.3 Разработка и апробация программы психологического сопровождения профессионального самоопределения старшеклассников</w:t>
      </w:r>
      <w:r>
        <w:tab/>
      </w:r>
      <w:r>
        <w:fldChar w:fldCharType="begin"/>
      </w:r>
      <w:r>
        <w:instrText>PAGEREF __RefHeading___9 \h</w:instrText>
      </w:r>
      <w:r>
        <w:fldChar w:fldCharType="separate"/>
      </w:r>
      <w:r>
        <w:t>48</w:t>
      </w:r>
      <w:r>
        <w:fldChar w:fldCharType="end"/>
      </w:r>
      <w:r>
        <w:fldChar w:fldCharType="end"/>
      </w:r>
    </w:p>
    <w:p w14:paraId="41000000">
      <w:pPr>
        <w:pStyle w:val="Style_4"/>
        <w:tabs>
          <w:tab w:leader="none" w:pos="9345" w:val="clear"/>
          <w:tab w:leader="dot" w:pos="9355" w:val="right"/>
        </w:tabs>
        <w:ind/>
      </w:pPr>
      <w:r>
        <w:fldChar w:fldCharType="begin"/>
      </w:r>
      <w:r>
        <w:instrText>HYPERLINK \l "__RefHeading___10"</w:instrText>
      </w:r>
      <w:r>
        <w:fldChar w:fldCharType="separate"/>
      </w:r>
      <w:r>
        <w:t>2.4 Анализ результатов апробации программы психологического сопровождения</w:t>
      </w:r>
      <w:r>
        <w:tab/>
      </w:r>
      <w:r>
        <w:fldChar w:fldCharType="begin"/>
      </w:r>
      <w:r>
        <w:instrText>PAGEREF __RefHeading___10 \h</w:instrText>
      </w:r>
      <w:r>
        <w:fldChar w:fldCharType="separate"/>
      </w:r>
      <w:r>
        <w:t>55</w:t>
      </w:r>
      <w:r>
        <w:fldChar w:fldCharType="end"/>
      </w:r>
      <w:r>
        <w:fldChar w:fldCharType="end"/>
      </w:r>
    </w:p>
    <w:p w14:paraId="42000000">
      <w:pPr>
        <w:pStyle w:val="Style_4"/>
        <w:tabs>
          <w:tab w:leader="none" w:pos="9345" w:val="clear"/>
          <w:tab w:leader="dot" w:pos="9355" w:val="right"/>
        </w:tabs>
        <w:ind/>
      </w:pPr>
      <w:r>
        <w:fldChar w:fldCharType="begin"/>
      </w:r>
      <w:r>
        <w:instrText>HYPERLINK \l "__RefHeading___11"</w:instrText>
      </w:r>
      <w:r>
        <w:fldChar w:fldCharType="separate"/>
      </w:r>
      <w:r>
        <w:t>Заключение</w:t>
      </w:r>
      <w:r>
        <w:tab/>
      </w:r>
      <w:r>
        <w:fldChar w:fldCharType="begin"/>
      </w:r>
      <w:r>
        <w:instrText>PAGEREF __RefHeading___11 \h</w:instrText>
      </w:r>
      <w:r>
        <w:fldChar w:fldCharType="separate"/>
      </w:r>
      <w:r>
        <w:t>64</w:t>
      </w:r>
      <w:r>
        <w:fldChar w:fldCharType="end"/>
      </w:r>
      <w:r>
        <w:fldChar w:fldCharType="end"/>
      </w:r>
    </w:p>
    <w:p w14:paraId="43000000">
      <w:pPr>
        <w:pStyle w:val="Style_4"/>
        <w:tabs>
          <w:tab w:leader="none" w:pos="9345" w:val="clear"/>
          <w:tab w:leader="dot" w:pos="9355" w:val="right"/>
        </w:tabs>
        <w:ind/>
      </w:pPr>
      <w:r>
        <w:fldChar w:fldCharType="begin"/>
      </w:r>
      <w:r>
        <w:instrText>HYPERLINK \l "__RefHeading___12"</w:instrText>
      </w:r>
      <w:r>
        <w:fldChar w:fldCharType="separate"/>
      </w:r>
      <w:r>
        <w:t>Список использованной литературы</w:t>
      </w:r>
      <w:r>
        <w:tab/>
      </w:r>
      <w:r>
        <w:fldChar w:fldCharType="begin"/>
      </w:r>
      <w:r>
        <w:instrText>PAGEREF __RefHeading___12 \h</w:instrText>
      </w:r>
      <w:r>
        <w:fldChar w:fldCharType="separate"/>
      </w:r>
      <w:r>
        <w:t>68</w:t>
      </w:r>
      <w:r>
        <w:fldChar w:fldCharType="end"/>
      </w:r>
      <w:r>
        <w:fldChar w:fldCharType="end"/>
      </w:r>
    </w:p>
    <w:p>
      <w:r>
        <w:fldChar w:fldCharType="end"/>
      </w:r>
    </w:p>
    <w:p w14:paraId="45000000">
      <w:r>
        <w:br w:type="page"/>
      </w:r>
    </w:p>
    <w:p w14:paraId="46000000">
      <w:bookmarkStart w:id="1" w:name="__RefHeading___1"/>
      <w:bookmarkEnd w:id="1"/>
      <w:pPr>
        <w:pStyle w:val="Style_6"/>
        <w:ind w:firstLine="0" w:left="709"/>
        <w:jc w:val="center"/>
      </w:pPr>
      <w:r>
        <w:t>Введение</w:t>
      </w:r>
    </w:p>
    <w:p w14:paraId="47000000">
      <w:pPr>
        <w:ind w:firstLine="709" w:left="0"/>
      </w:pPr>
    </w:p>
    <w:p w14:paraId="48000000">
      <w:pPr>
        <w:ind w:firstLine="709" w:left="0"/>
      </w:pPr>
      <w:r>
        <w:t>Профессиональное самоопределение относится к числу центральных задач развития личности в старшем школьном возрасте. На данном этапе обучающийся должен соотнести собственные интересы, склонности, способности и жизненные планы с требованиями различных видов профессиональной деятельности. От принятого решения зависит выбор дальнейшего образовательного маршрута, успешность социальной адаптации и готовность молодого человека к самостоятельной жизни.</w:t>
      </w:r>
    </w:p>
    <w:p w14:paraId="49000000">
      <w:pPr>
        <w:ind w:firstLine="709" w:left="0"/>
      </w:pPr>
      <w:r>
        <w:t>Современный мир профессий отличается высокой динамичностью. Изменение содержания труда, появление новых специальностей, цифровизация профессиональной деятельности и обновление требований к работникам расширяют возможности выбора, но одновременно усложняют его. Старшекласснику недостаточно знать названия профессий или ориентироваться на их общественный престиж. Осознанный профессиональный выбор требует понимания содержания труда, условий получения образования, собственных возможностей и перспектив дальнейшего развития.</w:t>
      </w:r>
    </w:p>
    <w:p w14:paraId="4A000000">
      <w:pPr>
        <w:ind w:firstLine="709" w:left="0"/>
      </w:pPr>
      <w:r>
        <w:t>Особое значение профессиональное самоопределение приобретает для старшеклассников, воспитывающихся в интернатных учреждениях. Образовательная и воспитательная среда таких организаций оказывает продолжительное влияние на личностное становление обучающихся. В организации их жизнедеятельности участвуют педагоги, воспитатели, классные руководители, педагог-психолог и социальный педагог. С одной стороны, согласованная работа специалистов создает условия для системной поддержки профессионального выбора. С другой стороны, постоянная регламентация повседневной деятельности может ограничивать опыт самостоятельного принятия решений и планирования будущего.</w:t>
      </w:r>
    </w:p>
    <w:p w14:paraId="4B000000">
      <w:pPr>
        <w:ind w:firstLine="709" w:left="0"/>
      </w:pPr>
      <w:r>
        <w:t xml:space="preserve">Старшеклассники, воспитывающиеся в интернатных учреждениях, могут испытывать затруднения при оценке собственных профессиональных </w:t>
      </w:r>
      <w:r>
        <w:t>возможностей, выборе образовательного маршрута и поиске достоверной информации о профессиях. У части обучающихся профессиональные планы формируются под влиянием мнения окружающих, представлений о престижности профессии или случайно полученной информации. Недостаток разнообразных профессиональных образцов также способен сузить круг рассматриваемых направлений. Поэтому профориентационная работа с данной категорией старшеклассников не должна ограничиваться отдельными беседами, тестированием или передачей сведений об учебных заведениях.</w:t>
      </w:r>
    </w:p>
    <w:p w14:paraId="4C000000">
      <w:pPr>
        <w:ind w:firstLine="709" w:left="0"/>
      </w:pPr>
      <w:r>
        <w:t>Психологическое сопровождение профессионального самоопределения предполагает системную работу, направленную на развитие самопознания, профессиональной мотивации, осознанности выбора и способности самостоятельно принимать решения. Оно объединяет диагностическое, просветительское, консультативное и развивающее направления. Такая организация работы позволяет не только выявить профессиональные предпочтения обучающегося, но и помочь ему проанализировать полученные результаты, расширить знания о мире труда и составить реалистичный план дальнейшего образования.</w:t>
      </w:r>
    </w:p>
    <w:p w14:paraId="4D000000">
      <w:pPr>
        <w:ind w:firstLine="709" w:left="0"/>
      </w:pPr>
      <w:r>
        <w:t>Проблема профессионального самоопределения старшеклассников представлена в трудах отечественных и зарубежных исследователей. Ученые рассматривают психологические механизмы выбора профессии, формирование профессиональной идентичности, развитие мотивации, влияние семьи и образовательной среды на жизненные планы личности. Вместе с тем организация психологического сопровождения старшеклассников, воспитывающихся в интернатных учреждениях, требует дальнейшей разработки. В практической деятельности профориентационные мероприятия нередко проводятся разрозненно и не образуют единой программы, основанной на результатах первичной диагностики.</w:t>
      </w:r>
    </w:p>
    <w:p w14:paraId="4E000000">
      <w:pPr>
        <w:ind w:firstLine="709" w:left="0"/>
      </w:pPr>
      <w:r>
        <w:t xml:space="preserve">Анализ научных и практических аспектов проблемы позволил выявить противоречие между необходимостью целенаправленного психологического сопровождения профессионального самоопределения старшеклассников, </w:t>
      </w:r>
      <w:r>
        <w:t>воспитывающихся в интернатных учреждениях, и недостаточной разработанностью программ, учитывающих их профессиональные интересы, мотивацию, уровень осознанности выбора и особенности воспитательной среды.</w:t>
      </w:r>
    </w:p>
    <w:p w14:paraId="4F000000">
      <w:pPr>
        <w:ind w:firstLine="709" w:left="0"/>
      </w:pPr>
      <w:r>
        <w:t>Выявленное противоречие определило проблему исследования: каким должно быть содержание программы психологического сопровождения, способствующей профессиональному самоопределению старшеклассников, воспитывающихся в интернатных учреждениях?</w:t>
      </w:r>
    </w:p>
    <w:p w14:paraId="50000000">
      <w:pPr>
        <w:ind w:firstLine="709" w:left="0"/>
      </w:pPr>
      <w:r>
        <w:t>Объект исследования — профессиональное самоопределение старшеклассников, воспитывающихся в интернатных учреждениях.</w:t>
      </w:r>
    </w:p>
    <w:p w14:paraId="51000000">
      <w:pPr>
        <w:ind w:firstLine="709" w:left="0"/>
      </w:pPr>
      <w:r>
        <w:t>Предмет исследования — психологическое сопровождение профессионального самоопределения старшеклассников, воспитывающихся в интернатных учреждениях.</w:t>
      </w:r>
    </w:p>
    <w:p w14:paraId="52000000">
      <w:pPr>
        <w:ind w:firstLine="709" w:left="0"/>
      </w:pPr>
      <w:r>
        <w:t>Цель исследования — разработать и апробировать программу психологического сопровождения профессионального самоопределения старшеклассников, воспитывающихся в интернатных учреждениях, и проанализировать результаты ее реализации.</w:t>
      </w:r>
    </w:p>
    <w:p w14:paraId="53000000">
      <w:pPr>
        <w:ind w:firstLine="709" w:left="0"/>
      </w:pPr>
      <w:r>
        <w:t>Гипотеза исследования заключается в предположении о том, что разработанная программа психологического сопровождения, направленная на повышение уровня мотивации и осознанности профессионального выбора, а также на расширение знаний о группах профессий, будет способствовать положительной динамике профессионального самоопределения старшеклассников, воспитывающихся в интернатных учреждениях.</w:t>
      </w:r>
    </w:p>
    <w:p w14:paraId="54000000">
      <w:pPr>
        <w:ind w:firstLine="709" w:left="0"/>
      </w:pPr>
      <w:r>
        <w:t>В соответствии с целью и гипотезой определены следующие задачи исследования:</w:t>
      </w:r>
    </w:p>
    <w:p w14:paraId="55000000">
      <w:pPr>
        <w:numPr>
          <w:ilvl w:val="0"/>
          <w:numId w:val="1"/>
        </w:numPr>
        <w:ind w:hanging="284" w:left="993"/>
      </w:pPr>
      <w:r>
        <w:t>Изучить теоретическую литературу по проблеме психологического сопровождения профессионального самоопределения старшеклассников, воспитывающихся в интернатных учреждениях.</w:t>
      </w:r>
    </w:p>
    <w:p w14:paraId="56000000">
      <w:pPr>
        <w:numPr>
          <w:ilvl w:val="0"/>
          <w:numId w:val="1"/>
        </w:numPr>
        <w:ind w:hanging="284" w:left="993"/>
      </w:pPr>
      <w:r>
        <w:t>Выявить уровень профессионального самоопределения старшеклассников, воспитывающихся в интернатных учреждениях.</w:t>
      </w:r>
    </w:p>
    <w:p w14:paraId="57000000">
      <w:pPr>
        <w:numPr>
          <w:ilvl w:val="0"/>
          <w:numId w:val="1"/>
        </w:numPr>
        <w:ind w:hanging="284" w:left="993"/>
      </w:pPr>
      <w:r>
        <w:t>Разработать и апробировать программу психологического сопровождения профессионального самоопределения старшеклассников.</w:t>
      </w:r>
    </w:p>
    <w:p w14:paraId="58000000">
      <w:pPr>
        <w:numPr>
          <w:ilvl w:val="0"/>
          <w:numId w:val="1"/>
        </w:numPr>
        <w:ind w:hanging="284" w:left="993"/>
      </w:pPr>
      <w:r>
        <w:t>Проанализировать результаты апробации программы психологического сопровождения.</w:t>
      </w:r>
    </w:p>
    <w:p w14:paraId="59000000">
      <w:pPr>
        <w:ind w:firstLine="709" w:left="0"/>
      </w:pPr>
      <w:r>
        <w:t>Теоретико-методологическую основу исследования составили научные положения о профессиональном самоопределении личности; психологических закономерностях развития в период ранней юности; роли мотивации, профессиональных интересов и профессиональной направленности в выборе будущей деятельности; субъектной позиции личности в построении профессионального и жизненного пути; содержании психологического сопровождения обучающихся.</w:t>
      </w:r>
    </w:p>
    <w:p w14:paraId="5A000000">
      <w:pPr>
        <w:ind w:firstLine="709" w:left="0"/>
      </w:pPr>
      <w:r>
        <w:t>Для решения поставленных задач использовался комплекс методов исследования.</w:t>
      </w:r>
    </w:p>
    <w:p w14:paraId="5B000000">
      <w:pPr>
        <w:ind w:firstLine="709" w:left="0"/>
      </w:pPr>
      <w:r>
        <w:t>Теоретические методы: анализ, обобщение и систематизация психологической и педагогической литературы по проблеме исследования.</w:t>
      </w:r>
    </w:p>
    <w:p w14:paraId="5C000000">
      <w:pPr>
        <w:ind w:firstLine="709" w:left="0"/>
      </w:pPr>
      <w:r>
        <w:t>Эмпирические методы: наблюдение, анкетирование, психодиагностическое обследование и формирующий эксперимент.</w:t>
      </w:r>
    </w:p>
    <w:p w14:paraId="5D000000">
      <w:pPr>
        <w:ind w:firstLine="709" w:left="0"/>
      </w:pPr>
      <w:r>
        <w:t>Психодиагностические методы:</w:t>
      </w:r>
    </w:p>
    <w:p w14:paraId="5E000000">
      <w:pPr>
        <w:numPr>
          <w:ilvl w:val="0"/>
          <w:numId w:val="1"/>
        </w:numPr>
        <w:ind w:hanging="284" w:left="993"/>
      </w:pPr>
      <w:r>
        <w:t>дифференциально-диагностический опросник Е. А. Климова, направленный на выявление предпочтительных типов профессиональной деятельности;</w:t>
      </w:r>
    </w:p>
    <w:p w14:paraId="5F000000">
      <w:pPr>
        <w:numPr>
          <w:ilvl w:val="0"/>
          <w:numId w:val="1"/>
        </w:numPr>
        <w:ind w:hanging="284" w:left="993"/>
      </w:pPr>
      <w:r>
        <w:t>опросник профессиональных предпочтений Дж. Холланда, позволяющий определить преобладающий тип профессиональной направленности личности;</w:t>
      </w:r>
    </w:p>
    <w:p w14:paraId="60000000">
      <w:pPr>
        <w:numPr>
          <w:ilvl w:val="0"/>
          <w:numId w:val="1"/>
        </w:numPr>
        <w:ind w:hanging="284" w:left="993"/>
      </w:pPr>
      <w:r>
        <w:t>методика диагностики мотивации обучения А. А. Реана, применяемая для исследования особенностей учебной мотивации старшеклассников;</w:t>
      </w:r>
    </w:p>
    <w:p w14:paraId="61000000">
      <w:pPr>
        <w:numPr>
          <w:ilvl w:val="0"/>
          <w:numId w:val="1"/>
        </w:numPr>
        <w:ind w:hanging="284" w:left="993"/>
      </w:pPr>
      <w:r>
        <w:t>методика «Карта интересов», предназначенная для определения выраженности интереса к различным областям знаний и видам деятельности;</w:t>
      </w:r>
    </w:p>
    <w:p w14:paraId="62000000">
      <w:pPr>
        <w:numPr>
          <w:ilvl w:val="0"/>
          <w:numId w:val="1"/>
        </w:numPr>
        <w:ind w:hanging="284" w:left="993"/>
      </w:pPr>
      <w:r>
        <w:t>авторская анкета профессионального самоопределения, направленная на изучение осознанности профессионального выбора, информированности о профессиях и сформированности профессиональных планов.</w:t>
      </w:r>
    </w:p>
    <w:p w14:paraId="63000000">
      <w:pPr>
        <w:ind w:firstLine="709" w:left="0"/>
      </w:pPr>
      <w:r>
        <w:t>Для обработки результатов применялись методы количественного, качественного и сравнительного анализа. Количественная обработка позволила определить распределение показателей по каждой методике. Качественный анализ использовался для выявления особенностей профессиональных интересов, мотивов и планов участников. Сравнительный анализ результатов первичной и повторной диагностики позволил оценить изменения, произошедшие после реализации программы психологического сопровождения.</w:t>
      </w:r>
    </w:p>
    <w:p w14:paraId="64000000">
      <w:pPr>
        <w:ind w:firstLine="709" w:left="0"/>
      </w:pPr>
      <w:r>
        <w:t>Эмпирической базой исследования выступило Государственное автономное общеобразовательное учреждение города Москвы «Школа № 548 “Царицыно”». В исследовании приняли участие 20 обучающихся 10–11 классов в возрасте 17–18 лет, среди которых 11 девушек и 9 юношей.</w:t>
      </w:r>
    </w:p>
    <w:p w14:paraId="65000000">
      <w:pPr>
        <w:ind w:firstLine="709" w:left="0"/>
      </w:pPr>
      <w:r>
        <w:t>Исследование проводилось в несколько этапов.</w:t>
      </w:r>
    </w:p>
    <w:p w14:paraId="66000000">
      <w:pPr>
        <w:ind w:firstLine="709" w:left="0"/>
      </w:pPr>
      <w:r>
        <w:t>На первом, теоретическом этапе изучалась психологическая и педагогическая литература по проблеме профессионального самоопределения старшеклассников и организации психологического сопровождения. Были определены объект, предмет, цель, гипотеза, задачи и методы исследования.</w:t>
      </w:r>
    </w:p>
    <w:p w14:paraId="67000000">
      <w:pPr>
        <w:ind w:firstLine="709" w:left="0"/>
      </w:pPr>
      <w:r>
        <w:t xml:space="preserve">На втором, диагностическом этапе проводилось первичное психодиагностическое обследование старшеклассников. Анализировались их </w:t>
      </w:r>
      <w:r>
        <w:t>профессиональные склонности, интересы, учебная мотивация, профессиональные предпочтения, уровень информированности и осознанности выбора будущей профессии.</w:t>
      </w:r>
    </w:p>
    <w:p w14:paraId="68000000">
      <w:pPr>
        <w:ind w:firstLine="709" w:left="0"/>
      </w:pPr>
      <w:r>
        <w:t>На третьем, формирующем этапе на основании результатов первичной диагностики была разработана и апробирована программа психологического сопровождения профессионального самоопределения старшеклассников. Программа включала диагностическое, просветительское, консультативное и развивающее направления работы.</w:t>
      </w:r>
    </w:p>
    <w:p w14:paraId="69000000">
      <w:pPr>
        <w:ind w:firstLine="709" w:left="0"/>
      </w:pPr>
      <w:r>
        <w:t>На четвертом, контрольном этапе была проведена повторная диагностика. Полученные результаты сопоставлялись с данными первичного обследования, после чего оценивалась динамика исследуемых показателей и результативность реализованной программы.</w:t>
      </w:r>
    </w:p>
    <w:p w14:paraId="6A000000">
      <w:pPr>
        <w:ind w:firstLine="709" w:left="0"/>
      </w:pPr>
      <w:r>
        <w:t>Теоретическая значимость исследования заключается в обобщении научных представлений о профессиональном самоопределении старшеклассников и уточнении содержания его психологического сопровождения в условиях интернатного учреждения. В работе профессиональное самоопределение рассматривается как процесс, включающий развитие профессиональных интересов, мотивации, информированности, осознанности выбора и способности планировать дальнейший образовательный маршрут.</w:t>
      </w:r>
    </w:p>
    <w:p w14:paraId="6B000000">
      <w:pPr>
        <w:ind w:firstLine="709" w:left="0"/>
      </w:pPr>
      <w:r>
        <w:t>Практическая значимость исследования состоит в разработке программы психологического сопровождения, которая может использоваться педагогами-психологами, классными руководителями, воспитателями и социальными педагогами интернатных учреждений. Представленные диагностические материалы, групповые занятия, упражнения и консультационные формы работы могут применяться при организации профориентационной деятельности со старшеклассниками.</w:t>
      </w:r>
    </w:p>
    <w:p w14:paraId="6C000000">
      <w:pPr>
        <w:ind w:firstLine="709" w:left="0"/>
      </w:pPr>
      <w:r>
        <w:t>Структура бакалаврской работы определяется целью и задачами исследования. Работа состоит из введения, двух глав, заключения, списка использованной литературы и приложений.</w:t>
      </w:r>
    </w:p>
    <w:p w14:paraId="6D000000">
      <w:pPr>
        <w:ind w:firstLine="709" w:left="0"/>
      </w:pPr>
      <w:r>
        <w:t>В первой главе раскрыты теоретические основы профессионального самоопределения старшеклассников, рассмотрены психологические особенности обучающихся, воспитывающихся в интернатных учреждениях, а также содержание и организация психологического сопровождения их профессионального выбора.</w:t>
      </w:r>
    </w:p>
    <w:p w14:paraId="6E000000">
      <w:pPr>
        <w:ind w:firstLine="709" w:left="0"/>
      </w:pPr>
      <w:r>
        <w:t>Во второй главе представлены организация и методы эмпирического исследования, результаты первичной диагностики, содержание разработанной программы психологического сопровождения, результаты повторного обследования и сравнительный анализ полученных данных.</w:t>
      </w:r>
    </w:p>
    <w:p w14:paraId="6F000000">
      <w:pPr>
        <w:ind w:firstLine="709" w:left="0"/>
      </w:pPr>
      <w:r>
        <w:t>Общий объём работы составляет 7</w:t>
      </w:r>
      <w:r>
        <w:t>1</w:t>
      </w:r>
      <w:r>
        <w:t xml:space="preserve"> страницы. Работа содержит 18 таблиц и 6 рисунков. Список использованной литературы включает 25 источников</w:t>
      </w:r>
      <w:r>
        <w:t>.</w:t>
      </w:r>
    </w:p>
    <w:p w14:paraId="70000000">
      <w:pPr>
        <w:ind w:firstLine="709" w:left="0"/>
        <w:rPr>
          <w:b w:val="1"/>
        </w:rPr>
      </w:pPr>
      <w:r>
        <w:rPr>
          <w:b w:val="1"/>
        </w:rPr>
        <w:br w:type="page"/>
      </w:r>
    </w:p>
    <w:p w14:paraId="71000000">
      <w:bookmarkStart w:id="2" w:name="__RefHeading___2"/>
      <w:bookmarkEnd w:id="2"/>
      <w:pPr>
        <w:pStyle w:val="Style_6"/>
      </w:pPr>
      <w:r>
        <w:t xml:space="preserve">Глава </w:t>
      </w:r>
      <w:r>
        <w:t>1</w:t>
      </w:r>
      <w:r>
        <w:t xml:space="preserve"> </w:t>
      </w:r>
      <w:r>
        <w:t>Теоретические основы психологического сопровождения профессионального самоопределения старшеклассников, воспитывающихся в интернатных учреждениях</w:t>
      </w:r>
    </w:p>
    <w:p w14:paraId="72000000">
      <w:pPr>
        <w:pStyle w:val="Style_6"/>
      </w:pPr>
    </w:p>
    <w:p w14:paraId="73000000">
      <w:bookmarkStart w:id="3" w:name="__RefHeading___3"/>
      <w:bookmarkEnd w:id="3"/>
      <w:pPr>
        <w:pStyle w:val="Style_6"/>
      </w:pPr>
      <w:r>
        <w:t>1.1 Профессиональное самоопределение как психолого-педагогическая проблема</w:t>
      </w:r>
    </w:p>
    <w:p w14:paraId="74000000">
      <w:pPr>
        <w:ind w:firstLine="709" w:left="0"/>
      </w:pPr>
    </w:p>
    <w:p w14:paraId="75000000">
      <w:pPr>
        <w:ind w:firstLine="709" w:left="0"/>
      </w:pPr>
      <w:r>
        <w:t>Профессиональное самоопределение занимает значимое место в развитии личности старшеклассника. В период ранней юности формируются жизненные планы, ценностные ориентиры и первые устойчивые представления о будущем труде. Обучающийся должен оценить собственные интересы и возможности, сопоставить их с требованиями профессий, а затем выбрать направление дальнейшего образования. Такое решение затрагивает не только учебные намерения, но и более широкое представление человека о сво</w:t>
      </w:r>
      <w:r>
        <w:t>е</w:t>
      </w:r>
      <w:r>
        <w:t>м будущем.</w:t>
      </w:r>
    </w:p>
    <w:p w14:paraId="76000000">
      <w:pPr>
        <w:ind w:firstLine="709" w:left="0"/>
      </w:pPr>
      <w:r>
        <w:t>Изменения в профессиональной сфере усложняют решение этой задачи. Появление новых специальностей, цифровизация труда и обновление требований к квалификации расширяют доступные варианты, однако одновременно затрудняют их сравнение. Старшеклассник сталкивается с большим объ</w:t>
      </w:r>
      <w:r>
        <w:t>е</w:t>
      </w:r>
      <w:r>
        <w:t>мом сведений, часть которых не отражает реального содержания профессиональной деятельности. Поэтому осознанный выбор требует не только информированности, но и способности анализировать данные, прогнозировать последствия решения и соотносить внешние возможности с личными ресурсами.</w:t>
      </w:r>
    </w:p>
    <w:p w14:paraId="77000000">
      <w:pPr>
        <w:ind w:firstLine="709" w:left="0"/>
      </w:pPr>
      <w:r>
        <w:t xml:space="preserve">С. В. Чебровская рассматривает профессиональное самоопределение как интегративное личностное образование, в структуру которого входят мотивационно-ценностный, когнитивный и поведенческий компоненты [20]. Такое понимание не позволяет сводить исследуемый процесс к однократному выбору специальности. Он включает накопление знаний о профессиях, </w:t>
      </w:r>
      <w:r>
        <w:t>осмысление собственных склонностей, формирование мотивов и последующую реализацию принятого решения.</w:t>
      </w:r>
    </w:p>
    <w:p w14:paraId="78000000">
      <w:pPr>
        <w:ind w:firstLine="709" w:left="0"/>
      </w:pPr>
      <w:r>
        <w:t>Когнитивный компонент отражает знания о мире труда, образовательных маршрутах и требованиях конкретных профессий. Мотивационно-ценностный связан с интересами, жизненными приоритетами и личным смыслом будущей деятельности. Поведенческий компонент проявляется в готовности действовать: искать информацию, посещать дни открытых дверей, участвовать в профессиональных пробах и готовиться к поступлению. Разрыв между указанными составляющими снижает устойчивость выбора. Например, выраженный интерес без понимания требований профессии может привести к нереалистичным ожиданиям.</w:t>
      </w:r>
    </w:p>
    <w:p w14:paraId="79000000">
      <w:pPr>
        <w:ind w:firstLine="709" w:left="0"/>
      </w:pPr>
      <w:r>
        <w:t>Т. А. Егоренко связывает профессиональное самоопределение с активным построением человеком собственного будущего [6]. Личность в таком процессе выступает не объектом внешнего профориентационного воздействия, а субъектом выбора. Педагог, психолог или родитель могут предоставить сведения и поддержку, однако окончательное решение требует самостоятельного осмысления. Поэтому директивные рекомендации часто дают кратковременный результат: старшеклассник формально принимает предложенный вариант, но не связывает его с собственными интересами и целями.</w:t>
      </w:r>
    </w:p>
    <w:p w14:paraId="7A000000">
      <w:pPr>
        <w:ind w:firstLine="709" w:left="0"/>
      </w:pPr>
      <w:r>
        <w:t>Активная позиция предполагает способность задавать вопросы, сравнивать альтернативы и аргументировать решение. Она формируется постепенно. Сначала подросток ориентируется на привлекательные образы профессий, затем начинает анализировать содержание труда, условия подготовки и собственные возможности. Психологическое сопровождение должно поддерживать такой переход, не подменяя личный выбор готовым заключением специалиста.</w:t>
      </w:r>
    </w:p>
    <w:p w14:paraId="7B000000">
      <w:pPr>
        <w:ind w:firstLine="709" w:left="0"/>
      </w:pPr>
      <w:r>
        <w:t xml:space="preserve">Педагогическая практика показывает противоречие между требованием самостоятельно определить профессиональный путь и недостаточной готовностью многих старшеклассников к подобному решению. И. В. </w:t>
      </w:r>
      <w:r>
        <w:t>Гайдамашко и Т. А. Егоренко связывают трудности выбора с неопредел</w:t>
      </w:r>
      <w:r>
        <w:t>е</w:t>
      </w:r>
      <w:r>
        <w:t>нностью жизненных планов, зависимостью от внешних оценок и слабой сформированностью навыков анализа профессиональных альтернатив [2]. Следовательно, возрастная необходимость самоопределения не означает автоматического появления психологической готовности к нему.</w:t>
      </w:r>
    </w:p>
    <w:p w14:paraId="7C000000">
      <w:pPr>
        <w:ind w:firstLine="709" w:left="0"/>
      </w:pPr>
      <w:r>
        <w:t>Неопредел</w:t>
      </w:r>
      <w:r>
        <w:t>е</w:t>
      </w:r>
      <w:r>
        <w:t>нность может проявляться по-разному. Одни обучающиеся не выделяют ни одной привлекательной сферы, другие часто меняют планы, третьи называют профессию, но не знают условий поступления и характера будущей работы. Во всех случаях выбор оста</w:t>
      </w:r>
      <w:r>
        <w:t>е</w:t>
      </w:r>
      <w:r>
        <w:t>тся недостаточно обоснованным. Поэтому профориентационная деятельность должна включать не только ознакомление с профессиями, но и развитие самопознания, рефлексии и способности принимать решения.</w:t>
      </w:r>
    </w:p>
    <w:p w14:paraId="7D000000">
      <w:pPr>
        <w:ind w:firstLine="709" w:left="0"/>
      </w:pPr>
      <w:r>
        <w:t>Структура профессионального самоопределения раскрывается через несколько взаимосвязанных компонентов. Исследователи выделяют мотивационную, когнитивную, ценностно-смысловую и деятельностную составляющие. Д. А. Фролов уделяет особое внимание ценностно-смысловому компоненту, поскольку именно он связывает будущую профессию с жизненными установками и личными целями старшеклассника [18]. Без такого смыслового основания выбор может зависеть преимущественно от престижности специальности, предполагаемого дохода или мнения окружающих.</w:t>
      </w:r>
    </w:p>
    <w:p w14:paraId="7E000000">
      <w:pPr>
        <w:ind w:firstLine="709" w:left="0"/>
      </w:pPr>
      <w:r>
        <w:t>Ценности определяют, что человек ожидает от труда. Для одного старшеклассника наиболее значимы общественная польза и взаимодействие с людьми, для другого — стабильность, творчество, самостоятельность или возможность профессионального роста. Понимание таких приоритетов помогает сравнивать профессии не по внешней привлекательности, а по их соответствию индивидуальной системе жизненных ориентиров. Поэтому работа с ценностями должна занимать самостоятельное место в психологическом сопровождении.</w:t>
      </w:r>
    </w:p>
    <w:p w14:paraId="7F000000">
      <w:pPr>
        <w:ind w:firstLine="709" w:left="0"/>
      </w:pPr>
      <w:r>
        <w:t>Профессиональная идентичность отражает степень, в которой человек связывает представление о себе с определ</w:t>
      </w:r>
      <w:r>
        <w:t>е</w:t>
      </w:r>
      <w:r>
        <w:t>нной сферой деятельности. Т. А. Егоренко указывает на нестабильность и вариативность профессиональной идентичности современных старшеклассников [7]. Такая подвижность закономерна для ранней юности: обучающиеся проверяют различные роли, меняют интересы и уточняют планы после знакомства с новой информацией. Проблема возникает тогда, когда изменения не сопровождаются анализом причин и подросток каждый раз ориентируется только на случайное внешнее влияние.</w:t>
      </w:r>
    </w:p>
    <w:p w14:paraId="80000000">
      <w:pPr>
        <w:ind w:firstLine="709" w:left="0"/>
      </w:pPr>
      <w:r>
        <w:t>Информационная насыщенность также не гарантирует осознанного решения. Большое количество описаний профессий может усиливать растерянность, если старшеклассник не умеет выделять достоверные сведения и сравнивать варианты по единым критериям. Поэтому развитие профессиональной идентичности требует не только расширения кругозора, но и организации опыта, который позволяет проверить интерес на практике.</w:t>
      </w:r>
    </w:p>
    <w:p w14:paraId="81000000">
      <w:pPr>
        <w:ind w:firstLine="709" w:left="0"/>
      </w:pPr>
      <w:r>
        <w:t>На профессиональный выбор воздействует социальное окружение. Семья, школа, сверстники и другие значимые люди передают обучающемуся представления о престижности, доступности и желательности различных профессий. Л. А. Головей, М. В. Данилова и Ю. Ю. Данилова показывают, что социальная среда участвует в формировании жизненных и профессиональных ориентиров подростка [3]. Такое влияние может поддерживать самостоятельность, но иногда приводит к конфликту между собственными склонностями и ожиданиями окружающих.</w:t>
      </w:r>
    </w:p>
    <w:p w14:paraId="82000000">
      <w:pPr>
        <w:ind w:firstLine="709" w:left="0"/>
      </w:pPr>
      <w:r>
        <w:t>Родители могут учитывать материальную устойчивость профессии, педагоги — учебные способности старшеклассника, а сверстники — популярность определ</w:t>
      </w:r>
      <w:r>
        <w:t>е</w:t>
      </w:r>
      <w:r>
        <w:t>нной сферы. Каждый из этих ориентиров содержит рациональное основание, однако ни один не должен полностью определять решение. Психологу важно помочь обучающемуся отделить личные мотивы от внешнего давления и понять, какие аргументы он действительно принимает как собственные.</w:t>
      </w:r>
    </w:p>
    <w:p w14:paraId="83000000">
      <w:pPr>
        <w:ind w:firstLine="709" w:left="0"/>
      </w:pPr>
      <w:r>
        <w:t>Готовность к профессиональному самоопределению отражает степень сформированности предпосылок для осознанного выбора. Д. А. Истратова связывает е</w:t>
      </w:r>
      <w:r>
        <w:t>е</w:t>
      </w:r>
      <w:r>
        <w:t xml:space="preserve"> с устойчивостью профессиональных намерений, адекватной самооценкой и способностью принимать решения [8]. Следовательно, готовый к выбору старшеклассник не обязательно должен окончательно определить единственную профессию. Более существенным признаком выступает умение обосновать предпочтения, видеть несколько маршрутов и понимать дальнейшие действия.</w:t>
      </w:r>
    </w:p>
    <w:p w14:paraId="84000000">
      <w:pPr>
        <w:ind w:firstLine="709" w:left="0"/>
      </w:pPr>
      <w:r>
        <w:t>Адекватная самооценка помогает соотносить притязания с реальными возможностями. Завышенная оценка способностей снижает внимание к требованиям подготовки, а заниженная заставляет отказаться от доступных вариантов ещ</w:t>
      </w:r>
      <w:r>
        <w:t>е</w:t>
      </w:r>
      <w:r>
        <w:t xml:space="preserve"> до проверки собственных сил. Психодиагностика способна уточнить представления обучающегося о себе, но е</w:t>
      </w:r>
      <w:r>
        <w:t>е</w:t>
      </w:r>
      <w:r>
        <w:t xml:space="preserve"> результаты нельзя воспринимать как готовое профессиональное предписание. Они служат материалом для анализа и консультирования.</w:t>
      </w:r>
    </w:p>
    <w:p w14:paraId="85000000">
      <w:pPr>
        <w:ind w:firstLine="709" w:left="0"/>
      </w:pPr>
      <w:r>
        <w:t>В зарубежной психологии вопросы выбора образовательной и профессиональной траектории часто рассматриваются через теорию самодетерминации. А. Э. Блэк и Э. Л. Деси показывают связь автономной мотивации с более устойчивой учебной активностью и личной включ</w:t>
      </w:r>
      <w:r>
        <w:t>е</w:t>
      </w:r>
      <w:r>
        <w:t>нностью в результат [21]. Применительно к профессиональному самоопределению такой подход означает, что решение становится стабильнее, когда старшеклассник воспринимает его как собственное, а не навязанное взрослыми.</w:t>
      </w:r>
    </w:p>
    <w:p w14:paraId="86000000">
      <w:pPr>
        <w:ind w:firstLine="709" w:left="0"/>
      </w:pPr>
      <w:r>
        <w:t>Автономия не исключает помощь. Напротив, поддерживающая среда предоставляет информацию, обсуждает сомнения и помогает оценить последствия выбора. Главное различие состоит в характере взаимодействия: взрослый не определяет профессию вместо обучающегося, а созда</w:t>
      </w:r>
      <w:r>
        <w:t>е</w:t>
      </w:r>
      <w:r>
        <w:t>т условия, в которых тот способен принять обоснованное решение. Такая позиция повышает ответственность за дальнейший образовательный маршрут.</w:t>
      </w:r>
    </w:p>
    <w:p w14:paraId="87000000">
      <w:pPr>
        <w:ind w:firstLine="709" w:left="0"/>
      </w:pPr>
      <w:r>
        <w:t>Профориентационная работа должна начинаться до выпускного класса. В. Ламанаускас и Д. Аугьене связывают успешность профессионального самоопределения с системной карьерной поддержкой, встроенной в образовательный процесс [22]. Разовые тестирования или беседы накануне поступления не дают достаточного времени для проверки интересов и корректировки планов. Последовательная работа позволяет пройти путь от первоначального знакомства с профессиями до выбора конкретной программы обучения.</w:t>
      </w:r>
    </w:p>
    <w:p w14:paraId="88000000">
      <w:pPr>
        <w:ind w:firstLine="709" w:left="0"/>
      </w:pPr>
      <w:r>
        <w:t>На ранних этапах целесообразно расширять представления о сферах труда. Позднее можно переходить к самодиагностике, профессиональным пробам и сравнению образовательных маршрутов. В старших классах акцент смещается на принятие решения и составление индивидуального плана поступления. Такая последовательность снижает риск случайного выбора и делает профориентацию частью общего развития личности.</w:t>
      </w:r>
    </w:p>
    <w:p w14:paraId="89000000">
      <w:pPr>
        <w:ind w:firstLine="709" w:left="0"/>
      </w:pPr>
      <w:r>
        <w:t>Отдельного анализа требует профессиональное самоопределение обучающихся интернатных организаций. Ю. П. Поваренков и А. Г. Хаймина связывают возникающие трудности с ограниченностью ряда социальных ресурсов и недостатком разнообразных профессиональных образцов [14]. Этот вывод нельзя автоматически распространять на каждого старшеклассника школы-интерната, поскольку условия обучения, семейная ситуация и жизненный опыт обучающихся различаются. Однако исследование показывает необходимость учитывать особенности образовательной среды и доступный подросткам социальный опыт.</w:t>
      </w:r>
    </w:p>
    <w:p w14:paraId="8A000000">
      <w:pPr>
        <w:ind w:firstLine="709" w:left="0"/>
      </w:pPr>
      <w:r>
        <w:t>Если круг профессиональных примеров ограничен преимущественно работниками образовательной организации и ближайшего окружения, часть сфер оста</w:t>
      </w:r>
      <w:r>
        <w:t>е</w:t>
      </w:r>
      <w:r>
        <w:t>тся малоизвестной. Такое положение сужает не способности обучающегося, а пространство рассматриваемых вариантов. Расширить его позволяют экскурсии, встречи со специалистами, посещение колледжей и вузов, проектная деятельность и профессиональные пробы.</w:t>
      </w:r>
    </w:p>
    <w:p w14:paraId="8B000000">
      <w:pPr>
        <w:ind w:firstLine="709" w:left="0"/>
      </w:pPr>
      <w:r>
        <w:t>Педагогический подход рассматривает профессиональное самоопределение как результат специально организованной образовательной работы. В. И. Волохова, А. А. Макеев и С. Б. Нестерова показывают, что модели, ориентированные на самопознание школьников, помогают сделать выбор более обоснованным [1]. Образовательная среда в таком случае не ограничивается передачей знаний. Она предоставляет возможность исследовать собственные интересы, пробовать разные виды деятельности и обсуждать полученный опыт.</w:t>
      </w:r>
    </w:p>
    <w:p w14:paraId="8C000000">
      <w:pPr>
        <w:ind w:firstLine="709" w:left="0"/>
      </w:pPr>
      <w:r>
        <w:t>Практическая направленность особенно важна, поскольку представление о профессии часто строится на внешних признаках. Старшеклассник может интересоваться медициной, не учитывая эмоциональную нагрузку, длительность обучения и ответственность за результат. Профессиональная проба позволяет увидеть содержание труда через конкретное действие и скорректировать первоначальные ожидания.</w:t>
      </w:r>
    </w:p>
    <w:p w14:paraId="8D000000">
      <w:pPr>
        <w:ind w:firstLine="709" w:left="0"/>
      </w:pPr>
      <w:r>
        <w:t>Среди факторов, затрудняющих профессиональный выбор, исследователи называют недостаток достоверной информации, влияние социальных стереотипов, давление окружающих и слабое развитие навыков принятия решений. Е. В. Кравченко подч</w:t>
      </w:r>
      <w:r>
        <w:t>е</w:t>
      </w:r>
      <w:r>
        <w:t>ркивает необходимость системной психолого-педагогической поддержки, без которой намерения подростков могут оставаться поверхностными и случайными [9]. Перечисленные трудности связаны между собой. Например, недостаток знаний усиливает зависимость от чужого мнения, а неуверенность мешает самостоятельно искать и проверять сведения.</w:t>
      </w:r>
    </w:p>
    <w:p w14:paraId="8E000000">
      <w:pPr>
        <w:ind w:firstLine="709" w:left="0"/>
      </w:pPr>
      <w:r>
        <w:t>Психологическое сопровождение должно работать не с отдельным симптомом, а с причиной затруднения. Одному обучающемуся требуется расширить представления о профессиях, другому — скорректировать самооценку, третьему — научиться сравнивать альтернативы. Поэтому единая информационная лекция не заменяет диагностику и индивидуальное консультирование.</w:t>
      </w:r>
    </w:p>
    <w:p w14:paraId="8F000000">
      <w:pPr>
        <w:ind w:firstLine="709" w:left="0"/>
      </w:pPr>
      <w:r>
        <w:t>Профессиональное самоопределение связано с общим личностным развитием. М. И. Савина и О. Г. Смирнова указывают на влияние жизненных и профессиональных ориентиров на становление личности реб</w:t>
      </w:r>
      <w:r>
        <w:t>е</w:t>
      </w:r>
      <w:r>
        <w:t>нка [15]. Выбор профессии затрагивает отношение к ответственности, самостоятельности, труду и будущему. По мере осмысления профессиональных намерений старшеклассник уточняет представление о собственных возможностях и месте в обществе.</w:t>
      </w:r>
    </w:p>
    <w:p w14:paraId="90000000">
      <w:pPr>
        <w:ind w:firstLine="709" w:left="0"/>
      </w:pPr>
      <w:r>
        <w:t>Обратная связь также сохраняется: уровень самосознания, рефлексии и внутренней самостоятельности определяет качество выбора. Поэтому профессиональное и личностное самоопределение нельзя исследовать изолированно. Они развиваются параллельно и поддерживают друг друга.</w:t>
      </w:r>
    </w:p>
    <w:p w14:paraId="91000000">
      <w:pPr>
        <w:ind w:firstLine="709" w:left="0"/>
      </w:pPr>
      <w:r>
        <w:t>Профессиональное самоопределение можно рассматривать как динамический процесс, который проходит несколько этапов. Сначала формируются общие представления о труде и привлекательных видах деятельности. Затем обучающийся выделяет собственные склонности, сравнивает направления и проверяет интерес через практический опыт. На следующем этапе возникает более устойчивое намерение, связанное с конкретным образовательным маршрутом.</w:t>
      </w:r>
    </w:p>
    <w:p w14:paraId="92000000">
      <w:pPr>
        <w:ind w:firstLine="709" w:left="0"/>
      </w:pPr>
      <w:r>
        <w:t>Такой процесс допускает пересмотр решения. Изменение плана не всегда означает неготовность, поскольку новая информация или практический опыт могут сделать выбор более реалистичным. Существенным показателем выступает способность объяснить причины корректировки и определить дальнейшие действия.</w:t>
      </w:r>
    </w:p>
    <w:p w14:paraId="93000000">
      <w:pPr>
        <w:ind w:firstLine="709" w:left="0"/>
      </w:pPr>
      <w:r>
        <w:t>Активные методы помогают старшекласснику перейти от пассивного восприятия информации к самостоятельному анализу. Т. А. Егоренко относит к ним способы работы, которые вовлекают обучающегося в практическую деятельность, обсуждение и самоанализ [6]. Профессиональные игры, кейсы, проектные задания и пробы позволяют исследовать содержание труда, а не только запоминать названия специальностей.</w:t>
      </w:r>
    </w:p>
    <w:p w14:paraId="94000000">
      <w:pPr>
        <w:ind w:firstLine="709" w:left="0"/>
      </w:pPr>
      <w:r>
        <w:t>Рефлексия после практического задания превращает опыт в основание для выбора. Старшеклассник анализирует, какие задачи вызвали интерес, с чем возникли затруднения и какие качества потребовались для выполнения работы. Без такого обсуждения профессиональная проба может остаться отдельным впечатлением и не повлиять на дальнейшее решение.</w:t>
      </w:r>
    </w:p>
    <w:p w14:paraId="95000000">
      <w:pPr>
        <w:ind w:firstLine="709" w:left="0"/>
      </w:pPr>
      <w:r>
        <w:t>Проблема профессионального самоопределения находится на пересечении психологии, педагогики, социологии и экономики. Психология исследует мотивы, способности, самооценку и принятие решений. Педагогика рассматривает условия сопровождения, социология — влияние окружения и социальных ожиданий, а экономика — изменения рынка труда. S. V. Pysarevka и соавторы связывают профессиональный выбор одновременно с личностными и социально-экономическими факторами [23].</w:t>
      </w:r>
    </w:p>
    <w:p w14:paraId="96000000">
      <w:pPr>
        <w:ind w:firstLine="709" w:left="0"/>
      </w:pPr>
      <w:r>
        <w:t>Междисциплинарный анализ помогает избежать упрощ</w:t>
      </w:r>
      <w:r>
        <w:t>е</w:t>
      </w:r>
      <w:r>
        <w:t>нного объяснения. Неопредел</w:t>
      </w:r>
      <w:r>
        <w:t>е</w:t>
      </w:r>
      <w:r>
        <w:t>нность старшеклассника нельзя всегда связывать только с отсутствием интересов. На решение могут влиять доступность образования, материальные условия, территориальные ограничения, состояние здоровья и представления семьи о будущем. Психологическое сопровождение должно учитывать эти обстоятельства, но сохранять внимание к позиции самого обучающегося.</w:t>
      </w:r>
    </w:p>
    <w:p w14:paraId="97000000">
      <w:pPr>
        <w:ind w:firstLine="709" w:left="0"/>
      </w:pPr>
      <w:r>
        <w:t>Провед</w:t>
      </w:r>
      <w:r>
        <w:t>е</w:t>
      </w:r>
      <w:r>
        <w:t>нный анализ показывает, что профессиональное самоопределение включает формирование профессиональных интересов, ценностей, представлений о себе, готовности принимать решения и способности реализовать выбранный маршрут</w:t>
      </w:r>
      <w:r>
        <w:t>, а е</w:t>
      </w:r>
      <w:r>
        <w:t>го результатом становится не только название будущей профессии, но и более широкая жизненная стратегия. Поэтому качество выбора определяется степенью его осознанности, самостоятельности и реалистичности.</w:t>
      </w:r>
    </w:p>
    <w:p w14:paraId="98000000">
      <w:pPr>
        <w:ind w:firstLine="709" w:left="0"/>
      </w:pPr>
      <w:r>
        <w:t xml:space="preserve">Психологическая поддержка необходима там, где обучающийся испытывает трудности в самопознании, анализе информации или принятии решения. Развивающая образовательная среда расширяет опыт, а активное участие старшеклассника превращает внешние рекомендации в личный план. </w:t>
      </w:r>
      <w:r>
        <w:t>Для обучающихся школы-интерната такая работа должна учитывать особенности воспитательной системы, степень самостоятельности и доступность профессиональных образцов</w:t>
      </w:r>
      <w:r>
        <w:t xml:space="preserve">, и данные </w:t>
      </w:r>
      <w:r>
        <w:t>положения образуют основу для дальнейшего анализа психологических особенностей старшеклассников, обучающихся в школе-интернате</w:t>
      </w:r>
      <w:r>
        <w:t>.</w:t>
      </w:r>
    </w:p>
    <w:p w14:paraId="99000000">
      <w:pPr>
        <w:ind w:firstLine="709" w:left="0"/>
      </w:pPr>
    </w:p>
    <w:p w14:paraId="9A000000">
      <w:bookmarkStart w:id="4" w:name="__RefHeading___4"/>
      <w:bookmarkEnd w:id="4"/>
      <w:pPr>
        <w:pStyle w:val="Style_6"/>
      </w:pPr>
      <w:r>
        <w:t xml:space="preserve">1.2 </w:t>
      </w:r>
      <w:r>
        <w:t>Психологические особенности профессионального самоопределения старшеклассников, воспитывающихся в интернатных учреждениях</w:t>
      </w:r>
    </w:p>
    <w:p w14:paraId="9B000000">
      <w:pPr>
        <w:ind w:firstLine="709" w:left="0"/>
      </w:pPr>
    </w:p>
    <w:p w14:paraId="9C000000">
      <w:pPr>
        <w:ind w:firstLine="709" w:left="0"/>
      </w:pPr>
      <w:r>
        <w:t>Ранняя юность охватывает период, в котором человек постепенно переходит от подростковой зависимости к более самостоятельному построению жизненных планов. В старших классах расширяется временная перспектива, меняется отношение к уч</w:t>
      </w:r>
      <w:r>
        <w:t>е</w:t>
      </w:r>
      <w:r>
        <w:t>бе, возрастает интерес к собственному будущему. Профессиональный выбор становится частью общего жизненного самоопределения, поскольку старшекласснику необходимо решить, где продолжить образование, какую специальность получить и с какой сферой труда связать дальнейшую деятельность.</w:t>
      </w:r>
    </w:p>
    <w:p w14:paraId="9D000000">
      <w:pPr>
        <w:ind w:firstLine="709" w:left="0"/>
      </w:pPr>
      <w:r>
        <w:t>Л. А. Головей, М. В. Данилова и Ю. Ю. Данилова связывают развитие личности в юношеском возрасте с решением задач личностного и профессионального самоопределения [3]. Такой подход позволяет рассматривать выбор профессии не как отдельное решение, принятое перед окончанием школы, а как результат изменений в самосознании, мотивации и ценностных ориентациях. Старшеклассник оценивает не только содержание предполагаемой деятельности. Он соотносит профессию со своими представлениями об успехе, самостоятельности, материальном положении и желаемом образе жизни.</w:t>
      </w:r>
    </w:p>
    <w:p w14:paraId="9E000000">
      <w:pPr>
        <w:ind w:firstLine="709" w:left="0"/>
      </w:pPr>
      <w:r>
        <w:t xml:space="preserve">Одним из центральных психологических новообразований ранней юности выступает развитие самосознания. Обучающийся начинает внимательнее анализировать собственные качества, интересы, способности и </w:t>
      </w:r>
      <w:r>
        <w:t>ограничения. Такой анализ созда</w:t>
      </w:r>
      <w:r>
        <w:t>е</w:t>
      </w:r>
      <w:r>
        <w:t>т основу для более реалистичного профессионального выбора. Однако представление о себе ещ</w:t>
      </w:r>
      <w:r>
        <w:t>е</w:t>
      </w:r>
      <w:r>
        <w:t xml:space="preserve"> сохраняет подвижность и нередко зависит от оценок значимых взрослых и сверстников. Д. А. Истратова указывает на возможную нестабильность самооценки старшеклассников, которая затрудняет принятие самостоятельных решений [8]. Завышенная оценка своих возможностей приводит к выбору профессии без уч</w:t>
      </w:r>
      <w:r>
        <w:t>е</w:t>
      </w:r>
      <w:r>
        <w:t>та объективных требований, а заниженная сужает круг рассматриваемых направлений подготовки.</w:t>
      </w:r>
    </w:p>
    <w:p w14:paraId="9F000000">
      <w:pPr>
        <w:ind w:firstLine="709" w:left="0"/>
      </w:pPr>
      <w:r>
        <w:t>В условиях школы-интерната развитие самооценки связано с продолжительным пребыванием обучающегося в организованной образовательной и воспитательной среде. Старшеклассник взаимодействует с учителями, воспитателями, классным руководителем, педагогом-психологом и группой сверстников не только во время уроков, но и во внеучебной деятельности. Поэтому оценки со стороны педагогов и коллектива могут заметно влиять на его представление о собственных возможностях. Поддерживающая обратная связь помогает увидеть сильные стороны, тогда как постоянное сравнение с другими обучающимися способно закрепить неуверенность или зависимость от внешнего одобрения.</w:t>
      </w:r>
    </w:p>
    <w:p w14:paraId="A0000000">
      <w:pPr>
        <w:ind w:firstLine="709" w:left="0"/>
      </w:pPr>
      <w:r>
        <w:t>Развитие рефлексии позволяет юноше или девушке анализировать собственные поступки, переживания и причины принятых решений. Рефлексивные способности необходимы для сопоставления личных интересов с содержанием профессии. Старшеклассник должен ответить не только на вопрос о том, какая деятельность ему нравится, но и понять, какие требования она предъявляет к знаниям, характеру, состоянию здоровья и способам взаимодействия с людьми. Без такого анализа профессиональное намерение часто основывается на привлекательном образе профессии, а не на понимании е</w:t>
      </w:r>
      <w:r>
        <w:t>е</w:t>
      </w:r>
      <w:r>
        <w:t xml:space="preserve"> реального содержания.</w:t>
      </w:r>
    </w:p>
    <w:p w14:paraId="A1000000">
      <w:pPr>
        <w:ind w:firstLine="709" w:left="0"/>
      </w:pPr>
      <w:r>
        <w:t>Организация жизни в школе-интернате может как поддерживать развитие рефлексии, так и ограничивать е</w:t>
      </w:r>
      <w:r>
        <w:t>е</w:t>
      </w:r>
      <w:r>
        <w:t>. Ч</w:t>
      </w:r>
      <w:r>
        <w:t>е</w:t>
      </w:r>
      <w:r>
        <w:t xml:space="preserve">ткий распорядок, распределение обязанностей и постоянное педагогическое сопровождение формируют </w:t>
      </w:r>
      <w:r>
        <w:t>дисциплину и ответственность. Вместе с тем чрезмерно подробная регламентация повседневных решений снижает количество ситуаций, в которых обучающийся самостоятельно выбирает способ действия и оценивает последствия. Поэтому психологическая работа должна создавать пространство для личного выбора, обсуждения альтернатив и аргументации собственной позиции.</w:t>
      </w:r>
    </w:p>
    <w:p w14:paraId="A2000000">
      <w:pPr>
        <w:ind w:firstLine="709" w:left="0"/>
      </w:pPr>
      <w:r>
        <w:t>Ценностно-смысловая сфера в ранней юности приобретает более устойчивую структуру. Старшеклассники переосмысливают значение образования, труда, материального благополучия, общественного признания и личной самореализации. Д. А. Фролов связывает направленность профессиональных намерений с развитием ценностно-смыслового компонента самоопределения [18]. Выбранная специальность становится психологически устойчивой тогда, когда обучающийся видит в ней личный смысл, а не только способ получить одобрение или соответствовать требованиям окружающих.</w:t>
      </w:r>
    </w:p>
    <w:p w14:paraId="A3000000">
      <w:pPr>
        <w:ind w:firstLine="709" w:left="0"/>
      </w:pPr>
      <w:r>
        <w:t>У старшеклассников школы-интерната ценностные представления формируются под влиянием нескольких групп взрослых. Помимо семьи или законных представителей, в таком процессе участвуют учителя, воспитатели и специалисты психолого-педагогической службы. Согласованность их позиций помогает обучающемуся сформировать непротиворечивое отношение к труду и образованию. Противоположные требования, напротив, усиливают неопредел</w:t>
      </w:r>
      <w:r>
        <w:t>е</w:t>
      </w:r>
      <w:r>
        <w:t>нность. Например, педагог может поддерживать интерес подростка к творческой специальности, тогда как другие взрослые настаивают на выборе направления, которое считают более практичным или престижным.</w:t>
      </w:r>
    </w:p>
    <w:p w14:paraId="A4000000">
      <w:pPr>
        <w:ind w:firstLine="709" w:left="0"/>
      </w:pPr>
      <w:r>
        <w:t xml:space="preserve">Мотивационная сфера старшеклассника также перестраивается. Внешние мотивы, связанные с отметками, контролем и требованиями взрослых, постепенно дополняются стремлением к самостоятельности и личным достижениям. В теории самодетерминации А. Э. Блэк и Э. Л. Деси автономная мотивация рассматривается как условие устойчивого </w:t>
      </w:r>
      <w:r>
        <w:t>образовательного и профессионального выбора [21]. Поддержка самостоятельности не означает отказа от педагогической помощи. Взрослый помогает подростку понять собственные мотивы, но не навязывает готовое решение.</w:t>
      </w:r>
    </w:p>
    <w:p w14:paraId="A5000000">
      <w:pPr>
        <w:ind w:firstLine="709" w:left="0"/>
      </w:pPr>
      <w:r>
        <w:t>Для обучающихся школы-интерната вопрос автономии имеет особое значение. Их повседневная деятельность во многом организована взрослыми, поэтому самостоятельность должна развиваться последовательно. Старшекласснику важно предоставить возможность выбирать содержание проекта, участвовать в планировании профессиональной пробы, самостоятельно искать информацию об образовательных организациях и сравнивать условия поступления. Такие действия переводят обучающегося из позиции получателя рекомендаций в позицию субъекта собственного профессионального маршрута.</w:t>
      </w:r>
    </w:p>
    <w:p w14:paraId="A6000000">
      <w:pPr>
        <w:ind w:firstLine="709" w:left="0"/>
      </w:pPr>
      <w:r>
        <w:t>Мотивация профессионального выбора в ранней юности оста</w:t>
      </w:r>
      <w:r>
        <w:t>е</w:t>
      </w:r>
      <w:r>
        <w:t>тся противоречивой. И. В. Гайдамашко и Т. А. Егоренко обращают внимание на ориентацию части старшеклассников на социально одобряемые профессии, которые не всегда соответствуют их склонностям [2]. Выбор может определяться престижем, предполагаемым доходом, мнением сверстников или ожиданиями взрослых. Внешний мотив сам по себе не делает решение ошибочным, однако его преобладание снижает устойчивость намерения. При столкновении с трудностями подросток быстрее разочаровывается в выбранной специальности, поскольку не связывает е</w:t>
      </w:r>
      <w:r>
        <w:t>е</w:t>
      </w:r>
      <w:r>
        <w:t xml:space="preserve"> содержание с личными интересами.</w:t>
      </w:r>
    </w:p>
    <w:p w14:paraId="A7000000">
      <w:pPr>
        <w:ind w:firstLine="709" w:left="0"/>
      </w:pPr>
      <w:r>
        <w:t>Когнитивное развитие старшеклассников созда</w:t>
      </w:r>
      <w:r>
        <w:t>е</w:t>
      </w:r>
      <w:r>
        <w:t>т предпосылки для анализа профессиональных альтернатив. Юноши и девушки способны оперировать абстрактными понятиями, устанавливать причинно-следственные связи и прогнозировать возможные результаты решения. Они могут сравнивать несколько образовательных маршрутов, учитывать сроки обучения, требования к поступлению и перспективы трудоустройства. Т. Г. Ханова, Н. Е. Серебровская и П. А. Бедная подч</w:t>
      </w:r>
      <w:r>
        <w:t>е</w:t>
      </w:r>
      <w:r>
        <w:t xml:space="preserve">ркивают, что уровень </w:t>
      </w:r>
      <w:r>
        <w:t>аналитических навыков у обучающихся различается [19]. Поэтому наличие возрастных предпосылок ещ</w:t>
      </w:r>
      <w:r>
        <w:t>е</w:t>
      </w:r>
      <w:r>
        <w:t xml:space="preserve"> не гарантирует умения принимать обоснованные решения.</w:t>
      </w:r>
    </w:p>
    <w:p w14:paraId="A8000000">
      <w:pPr>
        <w:ind w:firstLine="709" w:left="0"/>
      </w:pPr>
      <w:r>
        <w:t>Большой объ</w:t>
      </w:r>
      <w:r>
        <w:t>е</w:t>
      </w:r>
      <w:r>
        <w:t>м информации о профессиях дополнительно усложняет выбор. Описания специальностей в цифровой среде часто сосредоточены на привлекательных сторонах деятельности и редко показывают повседневные обязанности, ограничения или требования к подготовке. Т. А. Егоренко связывает трудности современных старшеклассников с необходимостью структурировать многочисленные сведения и определять приоритеты [7]. Обучающемуся школы-интерната требуется не просто доступ к информации, а помощь в е</w:t>
      </w:r>
      <w:r>
        <w:t>е</w:t>
      </w:r>
      <w:r>
        <w:t xml:space="preserve"> проверке и интерпретации. Эту задачу могут решать занятия с педагогом-психологом, встречи со специалистами, экскурсии, мастер-классы и профессиональные пробы.</w:t>
      </w:r>
    </w:p>
    <w:p w14:paraId="A9000000">
      <w:pPr>
        <w:ind w:firstLine="709" w:left="0"/>
      </w:pPr>
      <w:r>
        <w:t>Эмоциональное развитие ранней юности сопровождается повышенной чувствительностью к оценкам и переживаниями по поводу будущего. Необходимость выбрать профессию в ограниченный срок способна вызывать тревогу, особенно если старшеклассник не уверен в своих способностях или не располагает понятным планом действий. Е. В. Кравченко рассматривает эмоциональное напряжение и страх ошибки как факторы, затрудняющие профессиональное самоопределение [9]. Под влиянием тревоги подросток может откладывать решение, принимать первый доступный вариант либо перекладывать ответственность на взрослых.</w:t>
      </w:r>
    </w:p>
    <w:p w14:paraId="AA000000">
      <w:pPr>
        <w:ind w:firstLine="709" w:left="0"/>
      </w:pPr>
      <w:r>
        <w:t>Психологический климат школы-интерната влияет на то, как обучающийся переживает неопредел</w:t>
      </w:r>
      <w:r>
        <w:t>е</w:t>
      </w:r>
      <w:r>
        <w:t>нность. Доверительные отношения с воспитателем или педагогом-психологом позволяют открыто обсуждать сомнения и не воспринимать их как признак несостоятельности. Групповая среда также имеет двойственное влияние. Поддержка сверстников снижает напряжение, но ориентация на выбор друзей иногда мешает учитывать собственные интересы. Специалисту важно отделять стремление сохранить принадлежность к группе от индивидуального профессионального намерения.</w:t>
      </w:r>
    </w:p>
    <w:p w14:paraId="AB000000">
      <w:pPr>
        <w:ind w:firstLine="709" w:left="0"/>
      </w:pPr>
      <w:r>
        <w:t>Социальная ситуация развития старшеклассников складывается под воздействием семьи, образовательной организации и ближайшего окружения. М. И. Савина и О. Г. Смирнова связывают семейное воспитание с формированием самооценки и жизненных планов подростка [15]. Для обучающихся школы-интерната участие родителей или законных представителей может различаться по интенсивности, однако нельзя заранее считать семейное влияние ослабленным. В каждом случае психологу необходимо выяснить, кто участвует в обсуждении будущей профессии и насколько мнение взрослых совпадает с намерениями самого старшеклассника.</w:t>
      </w:r>
    </w:p>
    <w:p w14:paraId="AC000000">
      <w:pPr>
        <w:ind w:firstLine="709" w:left="0"/>
      </w:pPr>
      <w:r>
        <w:t>Продолжительное пребывание в относительно устойчивом коллективе влияет на широту социального опыта. Обучающиеся хорошо знакомы с профессиями тех взрослых, с которыми регулярно взаимодействуют, но могут иметь фрагментарные представления о других сферах труда. Ю. П. Поваренков и А. Г. Хаймина связывают трудности профессионального самоопределения воспитанников интернатных организаций с недостатком доступных социальных и профессиональных образцов [14]. Применять такой вывод ко всем школам-интернатам без дополнительной диагностики нельзя. Однако он указывает на необходимость изучать реальный круг представлений конкретной группы, а не ограничиваться предположениями о е</w:t>
      </w:r>
      <w:r>
        <w:t>е</w:t>
      </w:r>
      <w:r>
        <w:t xml:space="preserve"> интересах.</w:t>
      </w:r>
    </w:p>
    <w:p w14:paraId="AD000000">
      <w:pPr>
        <w:ind w:firstLine="709" w:left="0"/>
      </w:pPr>
      <w:r>
        <w:t>Расширить профессиональный опыт позволяют встречи с представителями разных специальностей, посещение колледжей и вузов, экскурсии на предприятия, участие в проектах и краткосрочных пробах. В отличие от информационной беседы, практическое знакомство показывает содержание труда через действие. Старшеклассник получает возможность проверить первоначальный интерес, оценить собственную реакцию на типичные задачи и задать специалисту конкретные вопросы. Полученный опыт делает профессиональные намерения более реалистичными.</w:t>
      </w:r>
    </w:p>
    <w:p w14:paraId="AE000000">
      <w:pPr>
        <w:ind w:firstLine="709" w:left="0"/>
      </w:pPr>
      <w:r>
        <w:t xml:space="preserve">Профессиональная идентичность в ранней юности находится в стадии становления. Обучающийся примеряет разные социальные роли, сравнивает </w:t>
      </w:r>
      <w:r>
        <w:t>себя с представителями профессий и изменяет планы под влиянием новой информации. Такая подвижность закономерна и не всегда свидетельствует о неготовности к выбору. Проблема возникает тогда, когда старшеклассник не способен объяснить причины своих предпочтений, не знает требований выбранной сферы или постоянно меняет решение под давлением окружающих.</w:t>
      </w:r>
    </w:p>
    <w:p w14:paraId="AF000000">
      <w:pPr>
        <w:ind w:firstLine="709" w:left="0"/>
      </w:pPr>
      <w:r>
        <w:t>В. И. Волохова, А. А. Макеев и С. Б. Нестерова связывают развитие профессиональной идентичности с созданием условий для самопознания [1]. В школе-интернате такую работу можно включать не только в отдельные профориентационные мероприятия, но и в повседневную воспитательную деятельность. Наблюдения воспитателей помогают увидеть устойчивые интересы, особенности общения, отношение к обязанностям и способы решения практических задач. Педагог-психолог, сопоставляя такие сведения с результатами диагностики, получает более содержательное представление о ресурсах обучающегося.</w:t>
      </w:r>
    </w:p>
    <w:p w14:paraId="B0000000">
      <w:pPr>
        <w:ind w:firstLine="709" w:left="0"/>
      </w:pPr>
      <w:r>
        <w:t>Нельзя рассматривать старшеклассников школы-интерната как однородную группу. Они различаются по семейной ситуации, учебной успешности, состоянию здоровья, уровню самостоятельности, кругу интересов и опыту профессионального выбора. Один обучающийся уже имеет устойчивый план и нуждается преимущественно в информации о поступлении. Другому требуется помощь в самопознании, а третьему — снижение тревоги и постепенное формирование навыков принятия решений. Унифицированная программа без уч</w:t>
      </w:r>
      <w:r>
        <w:t>е</w:t>
      </w:r>
      <w:r>
        <w:t>та таких различий даст ограниченный результат.</w:t>
      </w:r>
    </w:p>
    <w:p w14:paraId="B1000000">
      <w:pPr>
        <w:ind w:firstLine="709" w:left="0"/>
      </w:pPr>
      <w:r>
        <w:t>Психологические особенности старшеклассников, обучающихся в школе-интернате, определяются сочетанием возрастных закономерностей и условий образовательной среды. Развитие самосознания, рефлексии, ценностей, мотивации и профессиональной идентичности происходит на фоне продолжительного взаимодействия с педагогами и сверстниками, установленного распорядка и включ</w:t>
      </w:r>
      <w:r>
        <w:t>е</w:t>
      </w:r>
      <w:r>
        <w:t xml:space="preserve">нности в общую воспитательную </w:t>
      </w:r>
      <w:r>
        <w:t>систему. Такая организация созда</w:t>
      </w:r>
      <w:r>
        <w:t>е</w:t>
      </w:r>
      <w:r>
        <w:t>т ресурсы для сопровождения, поскольку специалисты могут наблюдать обучающегося в разных ситуациях и согласовывать формы поддержки.</w:t>
      </w:r>
    </w:p>
    <w:p w14:paraId="B2000000">
      <w:pPr>
        <w:ind w:firstLine="709" w:left="0"/>
      </w:pPr>
      <w:r>
        <w:t>Одновременно школа-интернат должна целенаправленно развивать самостоятельность, расширять профессиональный кругозор и предоставлять старшеклассникам опыт реального выбора. Психологическое сопровождение будет содержательным, если оно опирается на индивидуальную диагностику, учитывает позицию самого обучающегося и объединяет усилия педагога-психолога, воспитателей, классных руководителей, социального педагога и семьи. Такой формат помогает перевести профессиональное намерение из внешне заданного решения в осознанный личный план.</w:t>
      </w:r>
    </w:p>
    <w:p w14:paraId="B3000000">
      <w:pPr>
        <w:ind w:firstLine="709" w:left="0"/>
      </w:pPr>
    </w:p>
    <w:p w14:paraId="B4000000">
      <w:bookmarkStart w:id="5" w:name="__RefHeading___5"/>
      <w:bookmarkEnd w:id="5"/>
      <w:pPr>
        <w:pStyle w:val="Style_6"/>
      </w:pPr>
      <w:r>
        <w:t xml:space="preserve">1.3 </w:t>
      </w:r>
      <w:r>
        <w:t>Организация психологического сопровождения профессионального самоопределения старшеклассников, воспитывающихся в интернатных учреждениях</w:t>
      </w:r>
    </w:p>
    <w:p w14:paraId="B5000000">
      <w:pPr>
        <w:ind w:firstLine="709" w:left="0"/>
      </w:pPr>
    </w:p>
    <w:p w14:paraId="B6000000">
      <w:pPr>
        <w:ind w:firstLine="709" w:left="0"/>
      </w:pPr>
      <w:r>
        <w:t>Профессиональный выбор старшеклассника зависит не только от устойчивости его интересов. Обучающийся должен знать содержание будущей деятельности, понимать требования профессии, учитывать собственные способности и представлять дальнейший образовательный маршрут. Если один из перечисленных компонентов сформирован недостаточно, принятое решение может оказаться случайным или зависимым от внешнего мнения.</w:t>
      </w:r>
    </w:p>
    <w:p w14:paraId="B7000000">
      <w:pPr>
        <w:ind w:firstLine="709" w:left="0"/>
      </w:pPr>
      <w:r>
        <w:t xml:space="preserve">Психологическое сопровождение профессионального самоопределения представляет собой организованную деятельность, направленную на развитие способности старшеклассника самостоятельно анализировать профессиональные варианты и принимать обоснованное решение. И. Р. Давлетбердина связывает сопровождение с активизацией личностных ресурсов обучающегося, а не с выдачей готовой рекомендации о выборе специальности [4]. Такая позиция меняет роль психолога: специалист не </w:t>
      </w:r>
      <w:r>
        <w:t>определяет будущую профессию подростка, а помогает ему исследовать интересы, оценить возможности и выстроить последовательность дальнейших действий.</w:t>
      </w:r>
    </w:p>
    <w:p w14:paraId="B8000000">
      <w:pPr>
        <w:ind w:firstLine="709" w:left="0"/>
      </w:pPr>
      <w:r>
        <w:t>Организация сопровождения в интернатном учреждении имеет свою специфику. Обучающийся длительное время находится в единой образовательной и воспитательной среде, поэтому его личностное развитие наблюдают несколько специалистов. Учителя оценивают учебные интересы и предметные способности, воспитатели видят особенности поведения во внеурочной деятельности, а педагог-психолог исследует мотивацию, склонности и готовность принимать решения. Сопоставление этих наблюдений позволяет точнее определить ресурсы и затруднения старшеклассника.</w:t>
      </w:r>
    </w:p>
    <w:p w14:paraId="B9000000">
      <w:pPr>
        <w:ind w:firstLine="709" w:left="0"/>
      </w:pPr>
      <w:r>
        <w:t>Л. А. Головей, М. В. Данилова и Ю. Ю. Данилова указывают, что условия воспитания и доступный социальный опыт влияют на становление профессиональных планов подростков [3]. Для воспитанников интернатных учреждений значение приобретает широта круга профессиональных образцов. Если старшеклассник знаком преимущественно с профессиями педагогов, медицинских работников и сотрудников учреждения, часть направлений может не попадать в поле его внимания. Такая ситуация требует расширять профессиональный кругозор через встречи со специалистами, экскурсии, мастер-классы и работу с профессиограммами.</w:t>
      </w:r>
    </w:p>
    <w:p w14:paraId="BA000000">
      <w:pPr>
        <w:ind w:firstLine="709" w:left="0"/>
      </w:pPr>
      <w:r>
        <w:t>Основной целью психологического сопровождения становится создание условий, при которых старшеклассник сможет принять осознанное, самостоятельное и реалистичное профессиональное решение. Содержание работы должно отвечать конкретным затруднениям обучающихся. Одним требуется помощь в выявлении склонностей, другим — информация о направлениях подготовки, третьим — поддержка при сравнении нескольких вариантов. Поэтому единая профориентационная беседа не решает всех задач.</w:t>
      </w:r>
    </w:p>
    <w:p w14:paraId="BB000000">
      <w:pPr>
        <w:ind w:firstLine="709" w:left="0"/>
      </w:pPr>
      <w:r>
        <w:t xml:space="preserve">Психологическое сопровождение строится на принципах добровольности, индивидуализации, последовательности, </w:t>
      </w:r>
      <w:r>
        <w:t>конфиденциальности и сотрудничества. Добровольность сохраняет за старшеклассником право самостоятельно определять профессиональное будущее. Индивидуализация требует учитывать уровень готовности к выбору, учебные достижения, мотивы и жизненные обстоятельства. Последовательность обеспечивает связь диагностики, развивающей работы и оценки результатов.</w:t>
      </w:r>
    </w:p>
    <w:p w14:paraId="BC000000">
      <w:pPr>
        <w:ind w:firstLine="709" w:left="0"/>
      </w:pPr>
      <w:r>
        <w:t>Принцип субъектности занимает особое место. Старшеклассник должен выступать не получателем готовых советов, а активным участником выбора. И. В. Гайдамашко и Т. А. Егоренко связывают готовность к профессиональному решению с умением анализировать альтернативы, оценивать их последствия и аргументировать собственную позицию [2]. Следовательно, сопровождение должно развивать самостоятельность, а не усиливать зависимость подростка от взрослого.</w:t>
      </w:r>
    </w:p>
    <w:p w14:paraId="BD000000">
      <w:pPr>
        <w:ind w:firstLine="709" w:left="0"/>
      </w:pPr>
      <w:r>
        <w:t>Работа специалистов включает диагностическое, консультативное, просветительское и развивающее направления. Их содержание определяется результатами первичного изучения профессионального самоопределения. Каждое направление решает самостоятельную задачу, но наиболее содержательный результат возникает при их последовательном сочетании.</w:t>
      </w:r>
    </w:p>
    <w:p w14:paraId="BE000000">
      <w:pPr>
        <w:ind w:firstLine="709" w:left="0"/>
      </w:pPr>
      <w:r>
        <w:t>Диагностическое направление позволяет выявить профессиональные интересы, склонности, особенности мотивации и степень осознанности выбора. Для этого педагог-психолог использует стандартизированные методики, анкетирование, наблюдение и индивидуальную беседу. Результат одного теста не дает достаточных оснований для рекомендации конкретной профессии. Он отражает отдельную сторону направленности личности и требует сопоставления с другими сведениями.</w:t>
      </w:r>
    </w:p>
    <w:p w14:paraId="BF000000">
      <w:pPr>
        <w:ind w:firstLine="709" w:left="0"/>
      </w:pPr>
      <w:r>
        <w:t xml:space="preserve">В. И. Волохова, А. А. Макеев и С. Б. Нестерова рассматривают самопознание как условие более обоснованного профессионального решения [1]. Психодиагностика поддерживает самопознание только тогда, когда старшеклассник понимает смысл полученных показателей. Поэтому обследование должно завершаться обратной связью. Психолог обсуждает </w:t>
      </w:r>
      <w:r>
        <w:t>результаты с обучающимся, сравнивает их с его самооценкой и помогает выявить противоречия между заявленными намерениями и реальными интересами.</w:t>
      </w:r>
    </w:p>
    <w:p w14:paraId="C0000000">
      <w:pPr>
        <w:ind w:firstLine="709" w:left="0"/>
      </w:pPr>
      <w:r>
        <w:t>Консультативное направление ориентировано на индивидуальный анализ ситуации выбора. Во время беседы специалист уточняет профессиональные намерения старшеклассника, причины сомнений, влияние взрослых и степень информированности о выбранной сфере. Иногда обучающийся называет конкретную профессию, но не знает ее содержания. В другом случае интерес сформирован, однако страх неудачи мешает перейти к планированию поступления. Разные причины требуют разных способов психологической помощи.</w:t>
      </w:r>
    </w:p>
    <w:p w14:paraId="C1000000">
      <w:pPr>
        <w:ind w:firstLine="709" w:left="0"/>
      </w:pPr>
      <w:r>
        <w:t>И. Н. Дворникова и О. В. Куликова выделяют индивидуальные и групповые формы сопровождения профессионального самоопределения [5]. Индивидуальная консультация позволяет обсуждать личные сомнения, тревогу и противоречия с родителями или законными представителями. Групповая работа помогает сравнивать точки зрения, учит аргументировать позицию и показывает разнообразие возможных профессиональных маршрутов.</w:t>
      </w:r>
    </w:p>
    <w:p w14:paraId="C2000000">
      <w:pPr>
        <w:ind w:firstLine="709" w:left="0"/>
      </w:pPr>
      <w:r>
        <w:t>Просветительское направление связано с расширением представлений о профессиях и способах получения образования. Старшеклассникам необходимы сведения о содержании труда, требованиях к специалисту, условиях поступления, продолжительности подготовки и перспективах профессионального развития. Информация должна быть достоверной и связанной с практическими действиями.</w:t>
      </w:r>
    </w:p>
    <w:p w14:paraId="C3000000">
      <w:pPr>
        <w:ind w:firstLine="709" w:left="0"/>
      </w:pPr>
      <w:r>
        <w:t>После знакомства с определенной профессией обучающийся может составить ее краткую профессиограмму, определить необходимые качества и сопоставить их со своими особенностями. Такой анализ помогает перейти от внешней привлекательности специальности к пониманию реальных трудовых задач. Он также показывает, какие знания и навыки требуется развивать до поступления.</w:t>
      </w:r>
    </w:p>
    <w:p w14:paraId="C4000000">
      <w:pPr>
        <w:ind w:firstLine="709" w:left="0"/>
      </w:pPr>
      <w:r>
        <w:t>Просветительская работа не должна ограничиваться лекциями. Встречи со специалистами, экскурсии в колледжи и вузы, профессиональные пробы и анализ образовательных программ дают более содержательное представление о будущей деятельности. Старшеклассник получает возможность задать вопросы и проверить первоначальные ожидания.</w:t>
      </w:r>
    </w:p>
    <w:p w14:paraId="C5000000">
      <w:pPr>
        <w:ind w:firstLine="709" w:left="0"/>
      </w:pPr>
      <w:r>
        <w:t>Развивающее направление ориентировано на формирование качеств, необходимых для осознанного выбора. К ним относятся рефлексия, самостоятельность, ответственность, способность ставить цели и планировать действия. Даже выраженный профессиональный интерес не приводит к результату, если обучающийся не умеет организовать подготовку к экзаменам или найти сведения о поступлении.</w:t>
      </w:r>
    </w:p>
    <w:p w14:paraId="C6000000">
      <w:pPr>
        <w:ind w:firstLine="709" w:left="0"/>
      </w:pPr>
      <w:r>
        <w:t>Т. А. Егоренко связывает активизацию профессионального самоопределения с использованием дискуссий, игровых упражнений, анализа ситуаций и практических заданий [6]. Эти методы требуют от старшеклассника не воспроизводить информацию, а принимать решение. Например, обучающийся может сравнить несколько образовательных маршрутов по заданным критериям, определить преимущества каждого варианта и объяснить собственный выбор.</w:t>
      </w:r>
    </w:p>
    <w:p w14:paraId="C7000000">
      <w:pPr>
        <w:ind w:firstLine="709" w:left="0"/>
      </w:pPr>
      <w:r>
        <w:t>Развивающие занятия также должны затрагивать мотивацию. Часть старшеклассников ориентируется на престиж профессии, ожидаемый доход или мнение окружающих. Внешние мотивы могут учитываться при выборе, но их преобладание снижает устойчивость решения. Психолог помогает подростку определить, какое содержание труда вызывает интерес и какие личные ценности он связывает с будущей деятельностью.</w:t>
      </w:r>
    </w:p>
    <w:p w14:paraId="C8000000">
      <w:pPr>
        <w:ind w:firstLine="709" w:left="0"/>
      </w:pPr>
      <w:r>
        <w:t>Практическая организация сопровождения включает несколько этапов. На диагностическом этапе педагог-психолог исследует профессиональные склонности, мотивацию, интересы и осознанность выбора. Анализ результатов позволяет определить общие затруднения группы и индивидуальные запросы участников.</w:t>
      </w:r>
    </w:p>
    <w:p w14:paraId="C9000000">
      <w:pPr>
        <w:ind w:firstLine="709" w:left="0"/>
      </w:pPr>
      <w:r>
        <w:t>На проектировочном этапе специалист разрабатывает программу сопровождения. Ее содержание должно опираться на выявленные показатели. Если диагностика обнаружила недостаток знаний о типах профессий, программа включает расширенный просветительский блок. Низкая самостоятельность выбора требует упражнений на принятие решений, а слабая мотивация — работы с ценностями и жизненными целями.</w:t>
      </w:r>
    </w:p>
    <w:p w14:paraId="CA000000">
      <w:pPr>
        <w:ind w:firstLine="709" w:left="0"/>
      </w:pPr>
      <w:r>
        <w:t>Практический этап объединяет групповые занятия, индивидуальные консультации, информационные встречи и профориентационные упражнения. Старшеклассники анализируют свои интересы, знакомятся с профессиональными направлениями, сравнивают образовательные маршруты и составляют личный план. Работа становится результативной, когда каждое занятие связано с реальной ситуацией выбора участников.</w:t>
      </w:r>
    </w:p>
    <w:p w14:paraId="CB000000">
      <w:pPr>
        <w:ind w:firstLine="709" w:left="0"/>
      </w:pPr>
      <w:r>
        <w:t>Контрольный этап предполагает повторную диагностику по тем же методикам. Сравнение первичных и повторных показателей позволяет оценить изменения в мотивации, информированности и осознанности профессионального решения. Простого впечатления участников от занятий недостаточно для вывода об эффективности программы.</w:t>
      </w:r>
    </w:p>
    <w:p w14:paraId="CC000000">
      <w:pPr>
        <w:ind w:firstLine="709" w:left="0"/>
      </w:pPr>
      <w:r>
        <w:t>Педагог-психолог выполняет координирующую функцию, однако сопровождение не должно ограничиваться его деятельностью. Классный руководитель предоставляет сведения об учебных намерениях, воспитатель наблюдает самостоятельность и ответственность, а социальный педагог помогает оценить доступность выбранного маршрута. Согласование их действий снижает риск противоречивых рекомендаций.</w:t>
      </w:r>
    </w:p>
    <w:p w14:paraId="CD000000">
      <w:pPr>
        <w:ind w:firstLine="709" w:left="0"/>
      </w:pPr>
      <w:r>
        <w:t>Взаимодействие с родителями или законными представителями требует особой осторожности. Взрослые могут предлагать варианты, которые считают более надежными или престижными. Психолог помогает отделить поддержку от давления. Обсуждение должно сохранять право старшеклассника на собственное решение и одновременно учитывать реальные условия его реализации.</w:t>
      </w:r>
    </w:p>
    <w:p w14:paraId="CE000000">
      <w:pPr>
        <w:ind w:firstLine="709" w:left="0"/>
      </w:pPr>
      <w:r>
        <w:t>Анализ литературы показал, что профессиональное самоопределение включает мотивационный, когнитивный и деятельностный компоненты. Старшекласснику недостаточно назвать привлекательную профессию. Он должен понимать содержание труда, объяснять причины своего решения и знать, какие действия потребуются для его реализации.</w:t>
      </w:r>
    </w:p>
    <w:p w14:paraId="CF000000">
      <w:pPr>
        <w:ind w:firstLine="709" w:left="0"/>
      </w:pPr>
      <w:r>
        <w:t>Возрастные особенности ранней юности создают предпосылки для самостоятельного выбора, но не гарантируют его зрелости. На формирование профессиональных планов влияют самооценка, рефлексия, ценности, мнение взрослых и доступный социальный опыт. Для воспитанников интернатных учреждений особенно значимы расширение круга профессиональных представлений и развитие навыков самостоятельного планирования.</w:t>
      </w:r>
    </w:p>
    <w:p w14:paraId="D0000000">
      <w:pPr>
        <w:ind w:firstLine="709" w:left="0"/>
      </w:pPr>
      <w:r>
        <w:t>Психологическое сопровождение объединяет диагностику, консультирование, просвещение и развивающую работу. Его содержание определяется не формальным перечнем мероприятий, а реальными затруднениями обучающихся. Организованная по такому принципу программа помогает перейти от неопределенного или внешне заданного намерения к более осознанному профессиональному решению.</w:t>
      </w:r>
    </w:p>
    <w:p w14:paraId="D1000000">
      <w:pPr>
        <w:ind w:firstLine="709" w:left="0"/>
      </w:pPr>
      <w:r>
        <w:t>Положения, раскрытые в первой главе, определили логику эмпирической части исследования. Автор выбрал методики, позволяющие изучить профессиональные интересы, направленность, мотивацию и осознанность выбора. Результаты первичной диагностики далее выступили основанием для разработки и апробации программы психологического сопровождения старшеклассников, воспитывающихся в интернатных учреждениях</w:t>
      </w:r>
      <w:r>
        <w:t>.</w:t>
      </w:r>
      <w:r>
        <w:br w:type="page"/>
      </w:r>
    </w:p>
    <w:p w14:paraId="D2000000">
      <w:bookmarkStart w:id="6" w:name="__RefHeading___6"/>
      <w:bookmarkEnd w:id="6"/>
      <w:pPr>
        <w:pStyle w:val="Style_6"/>
      </w:pPr>
      <w:r>
        <w:t xml:space="preserve">Глава </w:t>
      </w:r>
      <w:r>
        <w:t xml:space="preserve">2 </w:t>
      </w:r>
      <w:r>
        <w:t>Эмпирическое исследование психологического сопровождения профессионального самоопределения старшеклассников, воспитывающихся в интернатных учреждениях</w:t>
      </w:r>
    </w:p>
    <w:p w14:paraId="D3000000">
      <w:pPr>
        <w:pStyle w:val="Style_6"/>
      </w:pPr>
    </w:p>
    <w:p w14:paraId="D4000000">
      <w:bookmarkStart w:id="7" w:name="__RefHeading___7"/>
      <w:bookmarkEnd w:id="7"/>
      <w:pPr>
        <w:pStyle w:val="Style_6"/>
      </w:pPr>
      <w:r>
        <w:t>2</w:t>
      </w:r>
      <w:r>
        <w:t xml:space="preserve">.1 </w:t>
      </w:r>
      <w:r>
        <w:t>Организация и методы исследования</w:t>
      </w:r>
    </w:p>
    <w:p w14:paraId="D5000000">
      <w:pPr>
        <w:ind w:firstLine="709" w:left="0"/>
      </w:pPr>
    </w:p>
    <w:p w14:paraId="D6000000">
      <w:pPr>
        <w:ind w:firstLine="709" w:left="0"/>
      </w:pPr>
      <w:r>
        <w:t>Эмпирическая часть работы была направлена на изучение профессионального самоопределения старшеклассников, воспитывающихся в интернатном учреждении, а также на разработку и апробацию программы психологического сопровождения. Логика исследования предполагала последовательный переход от первичной диагностики к формирующей работе и оценке произошедших изменений.</w:t>
      </w:r>
    </w:p>
    <w:p w14:paraId="D7000000">
      <w:pPr>
        <w:ind w:firstLine="709" w:left="0"/>
      </w:pPr>
      <w:r>
        <w:t>Исследование проводилось на базе Государственного автономного общеобразовательного учреждения города Москвы «Школа № 548 “Царицыно”». В н</w:t>
      </w:r>
      <w:r>
        <w:t>е</w:t>
      </w:r>
      <w:r>
        <w:t>м приняли участие 20 обучающихся 10–11 классов в возрасте от 17 до 18 лет. В состав выборки вошли 11 девушек и 9 юношей.</w:t>
      </w:r>
    </w:p>
    <w:p w14:paraId="D8000000">
      <w:pPr>
        <w:ind w:firstLine="709" w:left="0"/>
      </w:pPr>
      <w:r>
        <w:t>Выбор старшего школьного возраста связан с содержанием задач ранней юности. В этот период обучающиеся определяют дальнейший образовательный маршрут, оценивают возможные направления подготовки и постепенно формируют профессиональные планы. Т. А. Егоренко рассматривает профессиональную идентичность старшеклассника как развивающееся образование, которое уточняется под влиянием новой информации и опыта самостоятельного выбора [7]. Поэтому исследование учитывало не только заявленную профессию, но и мотивы, интересы, информированность и степень осознанности решения.</w:t>
      </w:r>
    </w:p>
    <w:p w14:paraId="D9000000">
      <w:pPr>
        <w:ind w:firstLine="709" w:left="0"/>
      </w:pPr>
      <w:r>
        <w:t>Цель эмпирического исследования заключалась в выявлении особенностей профессионального самоопределения старшеклассников, разработке программы психологического сопровождения и анализе результатов е</w:t>
      </w:r>
      <w:r>
        <w:t>е</w:t>
      </w:r>
      <w:r>
        <w:t xml:space="preserve"> апробации.</w:t>
      </w:r>
    </w:p>
    <w:p w14:paraId="DA000000">
      <w:pPr>
        <w:ind w:firstLine="709" w:left="0"/>
      </w:pPr>
      <w:r>
        <w:t>В соответствии с целью автор решал несколько взаимосвязанных задач: определял профессиональные склонности участников; исследовал структуру их интересов; оценивал учебную и профессиональную мотивацию; устанавливал степень осознанности выбора; разрабатывал программу сопровождения на основе выявленных затруднений; сравнивал результаты первичной и повторной диагностики.</w:t>
      </w:r>
    </w:p>
    <w:p w14:paraId="DB000000">
      <w:pPr>
        <w:ind w:firstLine="709" w:left="0"/>
      </w:pPr>
      <w:r>
        <w:t>Исследование включало четыре этапа.</w:t>
      </w:r>
    </w:p>
    <w:p w14:paraId="DC000000">
      <w:pPr>
        <w:ind w:firstLine="709" w:left="0"/>
      </w:pPr>
      <w:r>
        <w:t>На первом, подготовительном этапе автор анализировал психологическую и педагогическую литературу, определял диагностические показатели и подбирал методики. Особое внимание уделялось инструментам, которые позволяют оценить разные стороны профессионального выбора, а не только установить предпочтительную сферу деятельности.</w:t>
      </w:r>
    </w:p>
    <w:p w14:paraId="DD000000">
      <w:pPr>
        <w:ind w:firstLine="709" w:left="0"/>
      </w:pPr>
      <w:r>
        <w:t>Второй этап включал первичную диагностику. Участники выполняли психодиагностические задания и заполняли анкеты. Полученные сведения позволили определить преобладающие профессиональные склонности, интересы, тип профессиональной направленности, уровень мотивации и степень осознанности планов.</w:t>
      </w:r>
    </w:p>
    <w:p w14:paraId="DE000000">
      <w:pPr>
        <w:ind w:firstLine="709" w:left="0"/>
      </w:pPr>
      <w:r>
        <w:t>На третьем этапе автор разработал и апробировал программу психологического сопровождения. Е</w:t>
      </w:r>
      <w:r>
        <w:t>е</w:t>
      </w:r>
      <w:r>
        <w:t xml:space="preserve"> содержание опиралось на результаты первичного обследования. Программа включала просветительские, консультативные и развивающие формы работы, направленные на расширение знаний о профессиях, анализ собственных ресурсов и формирование более обоснованного образовательного маршрута.</w:t>
      </w:r>
    </w:p>
    <w:p w14:paraId="DF000000">
      <w:pPr>
        <w:ind w:firstLine="709" w:left="0"/>
      </w:pPr>
      <w:r>
        <w:t>Четв</w:t>
      </w:r>
      <w:r>
        <w:t>е</w:t>
      </w:r>
      <w:r>
        <w:t>ртый этап был контрольным. После завершения программы участники повторно выполнили диагностические задания. Автор сопоставил полученные показатели с первичными результатами и определил направление произошедших изменений.</w:t>
      </w:r>
    </w:p>
    <w:p w14:paraId="E0000000">
      <w:pPr>
        <w:ind w:firstLine="709" w:left="0"/>
      </w:pPr>
      <w:r>
        <w:t xml:space="preserve">Для решения исследовательских задач применялись теоретические, эмпирические и психодиагностические методы. Теоретический анализ помог уточнить содержание профессионального самоопределения и определить </w:t>
      </w:r>
      <w:r>
        <w:t>показатели его сформированности. Наблюдение использовалось для изучения поведения старшеклассников во время занятий, их активности, самостоятельности и отношения к профориентационным заданиям.</w:t>
      </w:r>
    </w:p>
    <w:p w14:paraId="E1000000">
      <w:pPr>
        <w:ind w:firstLine="709" w:left="0"/>
      </w:pPr>
      <w:r>
        <w:t>Анкетирование позволило получить сведения о профессиональных намерениях участников, источниках информации, мотивах выбора и предполагаемых образовательных маршрутах. Психодиагностические методики применялись для оценки профессиональных склонностей, интересов и направленности личности.</w:t>
      </w:r>
    </w:p>
    <w:p w14:paraId="E2000000">
      <w:pPr>
        <w:ind w:firstLine="709" w:left="0"/>
      </w:pPr>
      <w:r>
        <w:t>Количественный анализ включал подсч</w:t>
      </w:r>
      <w:r>
        <w:t>е</w:t>
      </w:r>
      <w:r>
        <w:t>т индивидуальных результатов, распределение участников по уровням и определение процентных показателей. Качественный анализ был направлен на выявление преобладающих тенденций, противоречий между методиками и затруднений, требующих психологической помощи. Сравнительный анализ использовался при сопоставлении результатов до и после апробации программы.</w:t>
      </w:r>
    </w:p>
    <w:p w14:paraId="E3000000">
      <w:pPr>
        <w:ind w:firstLine="709" w:left="0"/>
      </w:pPr>
      <w:r>
        <w:t>Диагностический комплекс включал пять методик. Их перечень представлен в таблице 1.</w:t>
      </w:r>
    </w:p>
    <w:p w14:paraId="E4000000">
      <w:pPr>
        <w:ind w:firstLine="709" w:left="0"/>
      </w:pPr>
    </w:p>
    <w:p w14:paraId="E5000000">
      <w:pPr>
        <w:spacing w:line="240" w:lineRule="auto"/>
        <w:ind/>
      </w:pPr>
      <w:r>
        <w:t>Таблица 1 — Диагностический комплекс исследования профессионального самоопределения старшеклассников</w:t>
      </w:r>
    </w:p>
    <w:p w14:paraId="E6000000">
      <w:pPr>
        <w:spacing w:line="240" w:lineRule="auto"/>
        <w:ind/>
      </w:pPr>
    </w:p>
    <w:tbl>
      <w:tblPr>
        <w:tblStyle w:val="Style_7"/>
        <w:tblLayout w:type="fixed"/>
      </w:tblPr>
      <w:tblGrid>
        <w:gridCol w:w="445"/>
        <w:gridCol w:w="2316"/>
        <w:gridCol w:w="2472"/>
        <w:gridCol w:w="2291"/>
        <w:gridCol w:w="1821"/>
      </w:tblGrid>
      <w:tr>
        <w:tc>
          <w:tcPr>
            <w:tcW w:type="dxa" w:w="445"/>
          </w:tcPr>
          <w:p w14:paraId="E7000000">
            <w:pPr>
              <w:spacing w:line="240" w:lineRule="auto"/>
              <w:ind/>
              <w:rPr>
                <w:sz w:val="24"/>
              </w:rPr>
            </w:pPr>
            <w:r>
              <w:rPr>
                <w:sz w:val="24"/>
              </w:rPr>
              <w:t>№</w:t>
            </w:r>
          </w:p>
        </w:tc>
        <w:tc>
          <w:tcPr>
            <w:tcW w:type="dxa" w:w="2316"/>
          </w:tcPr>
          <w:p w14:paraId="E8000000">
            <w:pPr>
              <w:spacing w:line="240" w:lineRule="auto"/>
              <w:ind/>
              <w:rPr>
                <w:sz w:val="24"/>
              </w:rPr>
            </w:pPr>
            <w:r>
              <w:rPr>
                <w:sz w:val="24"/>
              </w:rPr>
              <w:t>Методика</w:t>
            </w:r>
          </w:p>
        </w:tc>
        <w:tc>
          <w:tcPr>
            <w:tcW w:type="dxa" w:w="2472"/>
          </w:tcPr>
          <w:p w14:paraId="E9000000">
            <w:pPr>
              <w:spacing w:line="240" w:lineRule="auto"/>
              <w:ind/>
              <w:rPr>
                <w:sz w:val="24"/>
              </w:rPr>
            </w:pPr>
            <w:r>
              <w:rPr>
                <w:sz w:val="24"/>
              </w:rPr>
              <w:t>Автор</w:t>
            </w:r>
          </w:p>
        </w:tc>
        <w:tc>
          <w:tcPr>
            <w:tcW w:type="dxa" w:w="2291"/>
          </w:tcPr>
          <w:p w14:paraId="EA000000">
            <w:pPr>
              <w:spacing w:line="240" w:lineRule="auto"/>
              <w:ind/>
              <w:rPr>
                <w:sz w:val="24"/>
              </w:rPr>
            </w:pPr>
            <w:r>
              <w:rPr>
                <w:sz w:val="24"/>
              </w:rPr>
              <w:t>Исследуемый показатель</w:t>
            </w:r>
          </w:p>
        </w:tc>
        <w:tc>
          <w:tcPr>
            <w:tcW w:type="dxa" w:w="1821"/>
          </w:tcPr>
          <w:p w14:paraId="EB000000">
            <w:pPr>
              <w:spacing w:line="240" w:lineRule="auto"/>
              <w:ind/>
              <w:rPr>
                <w:sz w:val="24"/>
              </w:rPr>
            </w:pPr>
            <w:r>
              <w:rPr>
                <w:sz w:val="24"/>
              </w:rPr>
              <w:t>Форма работы</w:t>
            </w:r>
          </w:p>
        </w:tc>
      </w:tr>
      <w:tr>
        <w:tc>
          <w:tcPr>
            <w:tcW w:type="dxa" w:w="445"/>
          </w:tcPr>
          <w:p w14:paraId="EC000000">
            <w:pPr>
              <w:spacing w:line="240" w:lineRule="auto"/>
              <w:ind/>
              <w:rPr>
                <w:sz w:val="24"/>
              </w:rPr>
            </w:pPr>
            <w:r>
              <w:rPr>
                <w:sz w:val="24"/>
              </w:rPr>
              <w:t>1</w:t>
            </w:r>
          </w:p>
        </w:tc>
        <w:tc>
          <w:tcPr>
            <w:tcW w:type="dxa" w:w="2316"/>
          </w:tcPr>
          <w:p w14:paraId="ED000000">
            <w:pPr>
              <w:spacing w:line="240" w:lineRule="auto"/>
              <w:ind/>
              <w:rPr>
                <w:sz w:val="24"/>
              </w:rPr>
            </w:pPr>
            <w:r>
              <w:rPr>
                <w:sz w:val="24"/>
              </w:rPr>
              <w:t>Дифференциально-диагностический опросник</w:t>
            </w:r>
          </w:p>
        </w:tc>
        <w:tc>
          <w:tcPr>
            <w:tcW w:type="dxa" w:w="2472"/>
          </w:tcPr>
          <w:p w14:paraId="EE000000">
            <w:pPr>
              <w:spacing w:line="240" w:lineRule="auto"/>
              <w:ind/>
              <w:rPr>
                <w:sz w:val="24"/>
              </w:rPr>
            </w:pPr>
            <w:r>
              <w:rPr>
                <w:sz w:val="24"/>
              </w:rPr>
              <w:t>Е. А. Климов</w:t>
            </w:r>
          </w:p>
        </w:tc>
        <w:tc>
          <w:tcPr>
            <w:tcW w:type="dxa" w:w="2291"/>
          </w:tcPr>
          <w:p w14:paraId="EF000000">
            <w:pPr>
              <w:spacing w:line="240" w:lineRule="auto"/>
              <w:ind/>
              <w:rPr>
                <w:sz w:val="24"/>
              </w:rPr>
            </w:pPr>
            <w:r>
              <w:rPr>
                <w:sz w:val="24"/>
              </w:rPr>
              <w:t>Предпочтительные типы профессий по предмету труда</w:t>
            </w:r>
          </w:p>
        </w:tc>
        <w:tc>
          <w:tcPr>
            <w:tcW w:type="dxa" w:w="1821"/>
          </w:tcPr>
          <w:p w14:paraId="F0000000">
            <w:pPr>
              <w:spacing w:line="240" w:lineRule="auto"/>
              <w:ind/>
              <w:rPr>
                <w:sz w:val="24"/>
              </w:rPr>
            </w:pPr>
            <w:r>
              <w:rPr>
                <w:sz w:val="24"/>
              </w:rPr>
              <w:t>Групповое тестирование</w:t>
            </w:r>
          </w:p>
        </w:tc>
      </w:tr>
      <w:tr>
        <w:tc>
          <w:tcPr>
            <w:tcW w:type="dxa" w:w="445"/>
          </w:tcPr>
          <w:p w14:paraId="F1000000">
            <w:pPr>
              <w:spacing w:line="240" w:lineRule="auto"/>
              <w:ind/>
              <w:rPr>
                <w:sz w:val="24"/>
              </w:rPr>
            </w:pPr>
            <w:r>
              <w:rPr>
                <w:sz w:val="24"/>
              </w:rPr>
              <w:t>2</w:t>
            </w:r>
          </w:p>
        </w:tc>
        <w:tc>
          <w:tcPr>
            <w:tcW w:type="dxa" w:w="2316"/>
          </w:tcPr>
          <w:p w14:paraId="F2000000">
            <w:pPr>
              <w:spacing w:line="240" w:lineRule="auto"/>
              <w:ind/>
              <w:rPr>
                <w:sz w:val="24"/>
              </w:rPr>
            </w:pPr>
            <w:r>
              <w:rPr>
                <w:sz w:val="24"/>
              </w:rPr>
              <w:t>«Карта интересов»</w:t>
            </w:r>
          </w:p>
        </w:tc>
        <w:tc>
          <w:tcPr>
            <w:tcW w:type="dxa" w:w="2472"/>
          </w:tcPr>
          <w:p w14:paraId="F3000000">
            <w:pPr>
              <w:spacing w:line="240" w:lineRule="auto"/>
              <w:ind/>
              <w:rPr>
                <w:sz w:val="24"/>
              </w:rPr>
            </w:pPr>
            <w:r>
              <w:rPr>
                <w:sz w:val="24"/>
              </w:rPr>
              <w:t>Профориентационная методика</w:t>
            </w:r>
          </w:p>
        </w:tc>
        <w:tc>
          <w:tcPr>
            <w:tcW w:type="dxa" w:w="2291"/>
          </w:tcPr>
          <w:p w14:paraId="F4000000">
            <w:pPr>
              <w:spacing w:line="240" w:lineRule="auto"/>
              <w:ind/>
              <w:rPr>
                <w:sz w:val="24"/>
              </w:rPr>
            </w:pPr>
            <w:r>
              <w:rPr>
                <w:sz w:val="24"/>
              </w:rPr>
              <w:t>Познавательные и профессиональные интересы</w:t>
            </w:r>
          </w:p>
        </w:tc>
        <w:tc>
          <w:tcPr>
            <w:tcW w:type="dxa" w:w="1821"/>
          </w:tcPr>
          <w:p w14:paraId="F5000000">
            <w:pPr>
              <w:spacing w:line="240" w:lineRule="auto"/>
              <w:ind/>
              <w:rPr>
                <w:sz w:val="24"/>
              </w:rPr>
            </w:pPr>
            <w:r>
              <w:rPr>
                <w:sz w:val="24"/>
              </w:rPr>
              <w:t>Групповое анкетирование</w:t>
            </w:r>
          </w:p>
        </w:tc>
      </w:tr>
      <w:tr>
        <w:tc>
          <w:tcPr>
            <w:tcW w:type="dxa" w:w="445"/>
          </w:tcPr>
          <w:p w14:paraId="F6000000">
            <w:pPr>
              <w:spacing w:line="240" w:lineRule="auto"/>
              <w:ind/>
              <w:rPr>
                <w:sz w:val="24"/>
              </w:rPr>
            </w:pPr>
            <w:r>
              <w:rPr>
                <w:sz w:val="24"/>
              </w:rPr>
              <w:t>3</w:t>
            </w:r>
          </w:p>
        </w:tc>
        <w:tc>
          <w:tcPr>
            <w:tcW w:type="dxa" w:w="2316"/>
          </w:tcPr>
          <w:p w14:paraId="F7000000">
            <w:pPr>
              <w:spacing w:line="240" w:lineRule="auto"/>
              <w:ind/>
              <w:rPr>
                <w:sz w:val="24"/>
              </w:rPr>
            </w:pPr>
            <w:r>
              <w:rPr>
                <w:sz w:val="24"/>
              </w:rPr>
              <w:t>Опросник профессиональных предпочтений</w:t>
            </w:r>
          </w:p>
        </w:tc>
        <w:tc>
          <w:tcPr>
            <w:tcW w:type="dxa" w:w="2472"/>
          </w:tcPr>
          <w:p w14:paraId="F8000000">
            <w:pPr>
              <w:spacing w:line="240" w:lineRule="auto"/>
              <w:ind/>
              <w:rPr>
                <w:sz w:val="24"/>
              </w:rPr>
            </w:pPr>
            <w:r>
              <w:rPr>
                <w:sz w:val="24"/>
              </w:rPr>
              <w:t>Дж. Холланд</w:t>
            </w:r>
          </w:p>
        </w:tc>
        <w:tc>
          <w:tcPr>
            <w:tcW w:type="dxa" w:w="2291"/>
          </w:tcPr>
          <w:p w14:paraId="F9000000">
            <w:pPr>
              <w:spacing w:line="240" w:lineRule="auto"/>
              <w:ind/>
              <w:rPr>
                <w:sz w:val="24"/>
              </w:rPr>
            </w:pPr>
            <w:r>
              <w:rPr>
                <w:sz w:val="24"/>
              </w:rPr>
              <w:t>Тип профессиональной направленности личности</w:t>
            </w:r>
          </w:p>
        </w:tc>
        <w:tc>
          <w:tcPr>
            <w:tcW w:type="dxa" w:w="1821"/>
          </w:tcPr>
          <w:p w14:paraId="FA000000">
            <w:pPr>
              <w:spacing w:line="240" w:lineRule="auto"/>
              <w:ind/>
              <w:rPr>
                <w:sz w:val="24"/>
              </w:rPr>
            </w:pPr>
            <w:r>
              <w:rPr>
                <w:sz w:val="24"/>
              </w:rPr>
              <w:t>Групповое тестирование</w:t>
            </w:r>
          </w:p>
        </w:tc>
      </w:tr>
      <w:tr>
        <w:tc>
          <w:tcPr>
            <w:tcW w:type="dxa" w:w="445"/>
          </w:tcPr>
          <w:p w14:paraId="FB000000">
            <w:pPr>
              <w:spacing w:line="240" w:lineRule="auto"/>
              <w:ind/>
              <w:rPr>
                <w:sz w:val="24"/>
              </w:rPr>
            </w:pPr>
            <w:r>
              <w:rPr>
                <w:sz w:val="24"/>
              </w:rPr>
              <w:t>4</w:t>
            </w:r>
          </w:p>
        </w:tc>
        <w:tc>
          <w:tcPr>
            <w:tcW w:type="dxa" w:w="2316"/>
          </w:tcPr>
          <w:p w14:paraId="FC000000">
            <w:pPr>
              <w:spacing w:line="240" w:lineRule="auto"/>
              <w:ind/>
              <w:rPr>
                <w:sz w:val="24"/>
              </w:rPr>
            </w:pPr>
            <w:r>
              <w:rPr>
                <w:sz w:val="24"/>
              </w:rPr>
              <w:t>Методика диагностики учебной мотивации</w:t>
            </w:r>
          </w:p>
        </w:tc>
        <w:tc>
          <w:tcPr>
            <w:tcW w:type="dxa" w:w="2472"/>
          </w:tcPr>
          <w:p w14:paraId="FD000000">
            <w:pPr>
              <w:spacing w:line="240" w:lineRule="auto"/>
              <w:ind/>
              <w:rPr>
                <w:sz w:val="24"/>
              </w:rPr>
            </w:pPr>
            <w:r>
              <w:rPr>
                <w:sz w:val="24"/>
              </w:rPr>
              <w:t>А. А. Реан</w:t>
            </w:r>
          </w:p>
        </w:tc>
        <w:tc>
          <w:tcPr>
            <w:tcW w:type="dxa" w:w="2291"/>
          </w:tcPr>
          <w:p w14:paraId="FE000000">
            <w:pPr>
              <w:spacing w:line="240" w:lineRule="auto"/>
              <w:ind/>
              <w:rPr>
                <w:sz w:val="24"/>
              </w:rPr>
            </w:pPr>
            <w:r>
              <w:rPr>
                <w:sz w:val="24"/>
              </w:rPr>
              <w:t>Уровень учебной и профессиональной мотивации</w:t>
            </w:r>
          </w:p>
        </w:tc>
        <w:tc>
          <w:tcPr>
            <w:tcW w:type="dxa" w:w="1821"/>
          </w:tcPr>
          <w:p w14:paraId="FF000000">
            <w:pPr>
              <w:spacing w:line="240" w:lineRule="auto"/>
              <w:ind/>
              <w:rPr>
                <w:sz w:val="24"/>
              </w:rPr>
            </w:pPr>
            <w:r>
              <w:rPr>
                <w:sz w:val="24"/>
              </w:rPr>
              <w:t>Анкетирование</w:t>
            </w:r>
          </w:p>
        </w:tc>
      </w:tr>
      <w:tr>
        <w:tc>
          <w:tcPr>
            <w:tcW w:type="dxa" w:w="445"/>
          </w:tcPr>
          <w:p w14:paraId="00010000">
            <w:pPr>
              <w:spacing w:line="240" w:lineRule="auto"/>
              <w:ind/>
              <w:rPr>
                <w:sz w:val="24"/>
              </w:rPr>
            </w:pPr>
            <w:r>
              <w:rPr>
                <w:sz w:val="24"/>
              </w:rPr>
              <w:t>5</w:t>
            </w:r>
          </w:p>
        </w:tc>
        <w:tc>
          <w:tcPr>
            <w:tcW w:type="dxa" w:w="2316"/>
          </w:tcPr>
          <w:p w14:paraId="01010000">
            <w:pPr>
              <w:spacing w:line="240" w:lineRule="auto"/>
              <w:ind/>
              <w:rPr>
                <w:sz w:val="24"/>
              </w:rPr>
            </w:pPr>
            <w:r>
              <w:rPr>
                <w:sz w:val="24"/>
              </w:rPr>
              <w:t>Авторская анкета профессионального самоопределения</w:t>
            </w:r>
          </w:p>
        </w:tc>
        <w:tc>
          <w:tcPr>
            <w:tcW w:type="dxa" w:w="2472"/>
          </w:tcPr>
          <w:p w14:paraId="02010000">
            <w:pPr>
              <w:spacing w:line="240" w:lineRule="auto"/>
              <w:ind/>
              <w:rPr>
                <w:sz w:val="24"/>
              </w:rPr>
            </w:pPr>
            <w:r>
              <w:rPr>
                <w:sz w:val="24"/>
              </w:rPr>
              <w:t>Авторская разработка</w:t>
            </w:r>
          </w:p>
        </w:tc>
        <w:tc>
          <w:tcPr>
            <w:tcW w:type="dxa" w:w="2291"/>
          </w:tcPr>
          <w:p w14:paraId="03010000">
            <w:pPr>
              <w:spacing w:line="240" w:lineRule="auto"/>
              <w:ind/>
              <w:rPr>
                <w:sz w:val="24"/>
              </w:rPr>
            </w:pPr>
            <w:r>
              <w:rPr>
                <w:sz w:val="24"/>
              </w:rPr>
              <w:t xml:space="preserve">Осознанность выбора и сформированность </w:t>
            </w:r>
            <w:r>
              <w:rPr>
                <w:sz w:val="24"/>
              </w:rPr>
              <w:t>профессиональных планов</w:t>
            </w:r>
          </w:p>
        </w:tc>
        <w:tc>
          <w:tcPr>
            <w:tcW w:type="dxa" w:w="1821"/>
          </w:tcPr>
          <w:p w14:paraId="04010000">
            <w:pPr>
              <w:spacing w:line="240" w:lineRule="auto"/>
              <w:ind/>
              <w:rPr>
                <w:sz w:val="24"/>
              </w:rPr>
            </w:pPr>
            <w:r>
              <w:rPr>
                <w:sz w:val="24"/>
              </w:rPr>
              <w:t>Анкетирование</w:t>
            </w:r>
          </w:p>
        </w:tc>
      </w:tr>
    </w:tbl>
    <w:p w14:paraId="05010000">
      <w:pPr>
        <w:ind w:firstLine="709" w:left="0"/>
      </w:pPr>
    </w:p>
    <w:p w14:paraId="06010000">
      <w:pPr>
        <w:ind w:firstLine="709" w:left="0"/>
      </w:pPr>
      <w:r>
        <w:t>Дифференциально-диагностический опросник Е. А. Климова использовался для определения склонностей по предмету труда. Методика включает пять типов профессий: «человек — человек», «человек — техника», «человек — природа», «человек — знаковая система» и «человек — художественный образ». Полученные результаты показывают, с какими объектами и задачами участник предпочитает работать.</w:t>
      </w:r>
    </w:p>
    <w:p w14:paraId="07010000">
      <w:pPr>
        <w:ind w:firstLine="709" w:left="0"/>
      </w:pPr>
      <w:r>
        <w:t>Результаты ДДО не рассматривались как готовая рекомендация. Одинаковая профессиональная сфера объединяет множество специальностей, которые предъявляют разные требования к человеку. Поэтому показатели опросника сопоставлялись с данными других методик и ответами старшеклассников.</w:t>
      </w:r>
    </w:p>
    <w:p w14:paraId="08010000">
      <w:pPr>
        <w:ind w:firstLine="709" w:left="0"/>
      </w:pPr>
      <w:r>
        <w:t>Методика «Карта интересов» применялась для исследования познавательных и профессиональных предпочтений. Она позволяет определить области знаний и деятельности, которые вызывают у обучающегося наиболее устойчивый интерес. Сопоставление интересов с результатами ДДО показывает, насколько согласованы разные стороны профессиональной направленности.</w:t>
      </w:r>
    </w:p>
    <w:p w14:paraId="09010000">
      <w:pPr>
        <w:ind w:firstLine="709" w:left="0"/>
      </w:pPr>
      <w:r>
        <w:t>Опросник Дж. Холланда основан на соотнесении личностного типа с особенностями профессиональной среды. Методика выделяет реалистический, интеллектуальный, социальный, конвенциональный, предприимчивый и артистический типы. Е</w:t>
      </w:r>
      <w:r>
        <w:t>е</w:t>
      </w:r>
      <w:r>
        <w:t xml:space="preserve"> применение позволило уточнить, какие задачи, формы взаимодействия и условия деятельности привлекают участников.</w:t>
      </w:r>
    </w:p>
    <w:p w14:paraId="0A010000">
      <w:pPr>
        <w:ind w:firstLine="709" w:left="0"/>
      </w:pPr>
      <w:r>
        <w:t xml:space="preserve">Методика А. А. Реана использовалась для оценки учебной и профессиональной мотивации. Высокий уровень характеризует готовность обучающегося получать знания, искать информацию и предпринимать практические действия для достижения поставленной цели. Средние и низкие </w:t>
      </w:r>
      <w:r>
        <w:t>показатели могут свидетельствовать о недостаточной устойчивости намерений или преобладании внешних стимулов.</w:t>
      </w:r>
    </w:p>
    <w:p w14:paraId="0B010000">
      <w:pPr>
        <w:ind w:firstLine="709" w:left="0"/>
      </w:pPr>
      <w:r>
        <w:t>Авторская анкета дополнила стандартизированные инструменты. Она включала вопросы о наличии профессионального плана, причинах выбора, знаниях о требованиях профессии и предполагаемом месте дальнейшего обучения. Ответы помогли отделить общий интерес к определ</w:t>
      </w:r>
      <w:r>
        <w:t>е</w:t>
      </w:r>
      <w:r>
        <w:t>нной сфере от осознанного решения, подкрепл</w:t>
      </w:r>
      <w:r>
        <w:t>е</w:t>
      </w:r>
      <w:r>
        <w:t>нного конкретными действиями.</w:t>
      </w:r>
    </w:p>
    <w:p w14:paraId="0C010000">
      <w:pPr>
        <w:ind w:firstLine="709" w:left="0"/>
      </w:pPr>
      <w:r>
        <w:t>Совокупность методик охватывала несколько компонентов профессионального самоопределения. ДДО выявлял предпочтительный предмет труда, «Карта интересов» отражала содержание устойчивых увлечений, опросник Дж. Холланда характеризовал профессиональную направленность, методика А. А. Реана оценивала мотивацию, а авторская анкета показывала степень определ</w:t>
      </w:r>
      <w:r>
        <w:t>е</w:t>
      </w:r>
      <w:r>
        <w:t>нности планов.</w:t>
      </w:r>
    </w:p>
    <w:p w14:paraId="0D010000">
      <w:pPr>
        <w:ind w:firstLine="709" w:left="0"/>
      </w:pPr>
      <w:r>
        <w:t>Исследование проводилось с соблюдением добровольности и конфиденциальности. Перед началом работы старшеклассникам объяснили цель обследования и порядок использования результатов. Диагностические данные обсуждались индивидуально и не применялись для ж</w:t>
      </w:r>
      <w:r>
        <w:t>е</w:t>
      </w:r>
      <w:r>
        <w:t>сткого предписания профессионального маршрута.</w:t>
      </w:r>
    </w:p>
    <w:p w14:paraId="0E010000">
      <w:pPr>
        <w:ind w:firstLine="709" w:left="0"/>
      </w:pPr>
      <w:r>
        <w:t>Организация исследования позволила получить исходные сведения о профессиональном самоопределении участников. Далее результаты каждой методики анализировались отдельно, после чего автор выделил общие затруднения и определил содержание программы психологического сопровождения</w:t>
      </w:r>
      <w:r>
        <w:t>.</w:t>
      </w:r>
    </w:p>
    <w:p w14:paraId="0F010000">
      <w:pPr>
        <w:ind w:firstLine="709" w:left="0"/>
      </w:pPr>
    </w:p>
    <w:p w14:paraId="10010000">
      <w:bookmarkStart w:id="8" w:name="__RefHeading___8"/>
      <w:bookmarkEnd w:id="8"/>
      <w:pPr>
        <w:pStyle w:val="Style_6"/>
      </w:pPr>
      <w:r>
        <w:t xml:space="preserve">2.2 </w:t>
      </w:r>
      <w:r>
        <w:t>Анализ результатов первичной диагностики профессионального самоопределения старшеклассников</w:t>
      </w:r>
    </w:p>
    <w:p w14:paraId="11010000">
      <w:pPr>
        <w:ind w:firstLine="709" w:left="0"/>
      </w:pPr>
    </w:p>
    <w:p w14:paraId="12010000">
      <w:pPr>
        <w:ind w:firstLine="709" w:left="0"/>
      </w:pPr>
      <w:r>
        <w:t xml:space="preserve">Первичная диагностика позволила определить особенности профессионального самоопределения старшеклассников до начала формирующей работы. Автор исследовал профессиональные склонности, </w:t>
      </w:r>
      <w:r>
        <w:t>структуру интересов, тип направленности личности, учебную и профессиональную мотивацию, а также степень определ</w:t>
      </w:r>
      <w:r>
        <w:t>е</w:t>
      </w:r>
      <w:r>
        <w:t>нности будущего выбора. Совокупность этих показателей отражает не только привлекательность отдельных профессий, но и психологическую готовность обучающегося планировать дальнейший образовательный маршрут.</w:t>
      </w:r>
    </w:p>
    <w:p w14:paraId="13010000">
      <w:pPr>
        <w:ind w:firstLine="709" w:left="0"/>
      </w:pPr>
      <w:r>
        <w:t>На первом этапе автор применил дифференциально-диагностический опросник Е. А. Климова. Методика определяет предпочтительные типы деятельности с уч</w:t>
      </w:r>
      <w:r>
        <w:t>е</w:t>
      </w:r>
      <w:r>
        <w:t>том основного предмета труда. Результаты представлены в таблице 2.</w:t>
      </w:r>
    </w:p>
    <w:p w14:paraId="14010000">
      <w:pPr>
        <w:ind w:firstLine="709" w:left="0"/>
      </w:pPr>
    </w:p>
    <w:p w14:paraId="15010000">
      <w:pPr>
        <w:spacing w:line="240" w:lineRule="auto"/>
        <w:ind/>
      </w:pPr>
      <w:r>
        <w:t>Таблица 2 — Результаты первичной диагностики профессиональных склонностей старшеклассников по ДДО Е. А. Климова</w:t>
      </w:r>
    </w:p>
    <w:p w14:paraId="16010000">
      <w:pPr>
        <w:spacing w:line="240" w:lineRule="auto"/>
        <w:ind/>
      </w:pPr>
    </w:p>
    <w:tbl>
      <w:tblPr>
        <w:tblStyle w:val="Style_7"/>
        <w:tblLayout w:type="fixed"/>
      </w:tblPr>
      <w:tblGrid>
        <w:gridCol w:w="4318"/>
        <w:gridCol w:w="2521"/>
        <w:gridCol w:w="2517"/>
      </w:tblGrid>
      <w:tr>
        <w:tc>
          <w:tcPr>
            <w:tcW w:type="dxa" w:w="4318"/>
          </w:tcPr>
          <w:p w14:paraId="17010000">
            <w:pPr>
              <w:spacing w:line="240" w:lineRule="auto"/>
              <w:ind/>
              <w:rPr>
                <w:sz w:val="24"/>
              </w:rPr>
            </w:pPr>
            <w:r>
              <w:rPr>
                <w:sz w:val="24"/>
              </w:rPr>
              <w:t>Тип профессий</w:t>
            </w:r>
          </w:p>
        </w:tc>
        <w:tc>
          <w:tcPr>
            <w:tcW w:type="dxa" w:w="2521"/>
          </w:tcPr>
          <w:p w14:paraId="18010000">
            <w:pPr>
              <w:spacing w:line="240" w:lineRule="auto"/>
              <w:ind/>
              <w:rPr>
                <w:sz w:val="24"/>
              </w:rPr>
            </w:pPr>
            <w:r>
              <w:rPr>
                <w:sz w:val="24"/>
              </w:rPr>
              <w:t>Количество человек</w:t>
            </w:r>
          </w:p>
        </w:tc>
        <w:tc>
          <w:tcPr>
            <w:tcW w:type="dxa" w:w="2517"/>
          </w:tcPr>
          <w:p w14:paraId="19010000">
            <w:pPr>
              <w:spacing w:line="240" w:lineRule="auto"/>
              <w:ind/>
              <w:rPr>
                <w:sz w:val="24"/>
              </w:rPr>
            </w:pPr>
            <w:r>
              <w:rPr>
                <w:sz w:val="24"/>
              </w:rPr>
              <w:t>Доля от выборки, %</w:t>
            </w:r>
          </w:p>
        </w:tc>
      </w:tr>
      <w:tr>
        <w:tc>
          <w:tcPr>
            <w:tcW w:type="dxa" w:w="4318"/>
          </w:tcPr>
          <w:p w14:paraId="1A010000">
            <w:pPr>
              <w:spacing w:line="240" w:lineRule="auto"/>
              <w:ind/>
              <w:rPr>
                <w:sz w:val="24"/>
              </w:rPr>
            </w:pPr>
            <w:r>
              <w:rPr>
                <w:sz w:val="24"/>
              </w:rPr>
              <w:t>Человек — человек</w:t>
            </w:r>
          </w:p>
        </w:tc>
        <w:tc>
          <w:tcPr>
            <w:tcW w:type="dxa" w:w="2521"/>
          </w:tcPr>
          <w:p w14:paraId="1B010000">
            <w:pPr>
              <w:spacing w:line="240" w:lineRule="auto"/>
              <w:ind/>
              <w:rPr>
                <w:sz w:val="24"/>
              </w:rPr>
            </w:pPr>
            <w:r>
              <w:rPr>
                <w:sz w:val="24"/>
              </w:rPr>
              <w:t>8</w:t>
            </w:r>
          </w:p>
        </w:tc>
        <w:tc>
          <w:tcPr>
            <w:tcW w:type="dxa" w:w="2517"/>
          </w:tcPr>
          <w:p w14:paraId="1C010000">
            <w:pPr>
              <w:spacing w:line="240" w:lineRule="auto"/>
              <w:ind/>
              <w:rPr>
                <w:sz w:val="24"/>
              </w:rPr>
            </w:pPr>
            <w:r>
              <w:rPr>
                <w:sz w:val="24"/>
              </w:rPr>
              <w:t>40</w:t>
            </w:r>
          </w:p>
        </w:tc>
      </w:tr>
      <w:tr>
        <w:tc>
          <w:tcPr>
            <w:tcW w:type="dxa" w:w="4318"/>
          </w:tcPr>
          <w:p w14:paraId="1D010000">
            <w:pPr>
              <w:spacing w:line="240" w:lineRule="auto"/>
              <w:ind/>
              <w:rPr>
                <w:sz w:val="24"/>
              </w:rPr>
            </w:pPr>
            <w:r>
              <w:rPr>
                <w:sz w:val="24"/>
              </w:rPr>
              <w:t>Человек — техника</w:t>
            </w:r>
          </w:p>
        </w:tc>
        <w:tc>
          <w:tcPr>
            <w:tcW w:type="dxa" w:w="2521"/>
          </w:tcPr>
          <w:p w14:paraId="1E010000">
            <w:pPr>
              <w:spacing w:line="240" w:lineRule="auto"/>
              <w:ind/>
              <w:rPr>
                <w:sz w:val="24"/>
              </w:rPr>
            </w:pPr>
            <w:r>
              <w:rPr>
                <w:sz w:val="24"/>
              </w:rPr>
              <w:t>3</w:t>
            </w:r>
          </w:p>
        </w:tc>
        <w:tc>
          <w:tcPr>
            <w:tcW w:type="dxa" w:w="2517"/>
          </w:tcPr>
          <w:p w14:paraId="1F010000">
            <w:pPr>
              <w:spacing w:line="240" w:lineRule="auto"/>
              <w:ind/>
              <w:rPr>
                <w:sz w:val="24"/>
              </w:rPr>
            </w:pPr>
            <w:r>
              <w:rPr>
                <w:sz w:val="24"/>
              </w:rPr>
              <w:t>15</w:t>
            </w:r>
          </w:p>
        </w:tc>
      </w:tr>
      <w:tr>
        <w:tc>
          <w:tcPr>
            <w:tcW w:type="dxa" w:w="4318"/>
          </w:tcPr>
          <w:p w14:paraId="20010000">
            <w:pPr>
              <w:spacing w:line="240" w:lineRule="auto"/>
              <w:ind/>
              <w:rPr>
                <w:sz w:val="24"/>
              </w:rPr>
            </w:pPr>
            <w:r>
              <w:rPr>
                <w:sz w:val="24"/>
              </w:rPr>
              <w:t>Человек — природа</w:t>
            </w:r>
          </w:p>
        </w:tc>
        <w:tc>
          <w:tcPr>
            <w:tcW w:type="dxa" w:w="2521"/>
          </w:tcPr>
          <w:p w14:paraId="21010000">
            <w:pPr>
              <w:spacing w:line="240" w:lineRule="auto"/>
              <w:ind/>
              <w:rPr>
                <w:sz w:val="24"/>
              </w:rPr>
            </w:pPr>
            <w:r>
              <w:rPr>
                <w:sz w:val="24"/>
              </w:rPr>
              <w:t>2</w:t>
            </w:r>
          </w:p>
        </w:tc>
        <w:tc>
          <w:tcPr>
            <w:tcW w:type="dxa" w:w="2517"/>
          </w:tcPr>
          <w:p w14:paraId="22010000">
            <w:pPr>
              <w:spacing w:line="240" w:lineRule="auto"/>
              <w:ind/>
              <w:rPr>
                <w:sz w:val="24"/>
              </w:rPr>
            </w:pPr>
            <w:r>
              <w:rPr>
                <w:sz w:val="24"/>
              </w:rPr>
              <w:t>10</w:t>
            </w:r>
          </w:p>
        </w:tc>
      </w:tr>
      <w:tr>
        <w:tc>
          <w:tcPr>
            <w:tcW w:type="dxa" w:w="4318"/>
          </w:tcPr>
          <w:p w14:paraId="23010000">
            <w:pPr>
              <w:spacing w:line="240" w:lineRule="auto"/>
              <w:ind/>
              <w:rPr>
                <w:sz w:val="24"/>
              </w:rPr>
            </w:pPr>
            <w:r>
              <w:rPr>
                <w:sz w:val="24"/>
              </w:rPr>
              <w:t>Человек — знаковая система</w:t>
            </w:r>
          </w:p>
        </w:tc>
        <w:tc>
          <w:tcPr>
            <w:tcW w:type="dxa" w:w="2521"/>
          </w:tcPr>
          <w:p w14:paraId="24010000">
            <w:pPr>
              <w:spacing w:line="240" w:lineRule="auto"/>
              <w:ind/>
              <w:rPr>
                <w:sz w:val="24"/>
              </w:rPr>
            </w:pPr>
            <w:r>
              <w:rPr>
                <w:sz w:val="24"/>
              </w:rPr>
              <w:t>5</w:t>
            </w:r>
          </w:p>
        </w:tc>
        <w:tc>
          <w:tcPr>
            <w:tcW w:type="dxa" w:w="2517"/>
          </w:tcPr>
          <w:p w14:paraId="25010000">
            <w:pPr>
              <w:spacing w:line="240" w:lineRule="auto"/>
              <w:ind/>
              <w:rPr>
                <w:sz w:val="24"/>
              </w:rPr>
            </w:pPr>
            <w:r>
              <w:rPr>
                <w:sz w:val="24"/>
              </w:rPr>
              <w:t>25</w:t>
            </w:r>
          </w:p>
        </w:tc>
      </w:tr>
      <w:tr>
        <w:tc>
          <w:tcPr>
            <w:tcW w:type="dxa" w:w="4318"/>
          </w:tcPr>
          <w:p w14:paraId="26010000">
            <w:pPr>
              <w:spacing w:line="240" w:lineRule="auto"/>
              <w:ind/>
              <w:rPr>
                <w:sz w:val="24"/>
              </w:rPr>
            </w:pPr>
            <w:r>
              <w:rPr>
                <w:sz w:val="24"/>
              </w:rPr>
              <w:t>Человек — художественный образ</w:t>
            </w:r>
          </w:p>
        </w:tc>
        <w:tc>
          <w:tcPr>
            <w:tcW w:type="dxa" w:w="2521"/>
          </w:tcPr>
          <w:p w14:paraId="27010000">
            <w:pPr>
              <w:spacing w:line="240" w:lineRule="auto"/>
              <w:ind/>
              <w:rPr>
                <w:sz w:val="24"/>
              </w:rPr>
            </w:pPr>
            <w:r>
              <w:rPr>
                <w:sz w:val="24"/>
              </w:rPr>
              <w:t>2</w:t>
            </w:r>
          </w:p>
        </w:tc>
        <w:tc>
          <w:tcPr>
            <w:tcW w:type="dxa" w:w="2517"/>
          </w:tcPr>
          <w:p w14:paraId="28010000">
            <w:pPr>
              <w:spacing w:line="240" w:lineRule="auto"/>
              <w:ind/>
              <w:rPr>
                <w:sz w:val="24"/>
              </w:rPr>
            </w:pPr>
            <w:r>
              <w:rPr>
                <w:sz w:val="24"/>
              </w:rPr>
              <w:t>10</w:t>
            </w:r>
          </w:p>
        </w:tc>
      </w:tr>
      <w:tr>
        <w:tc>
          <w:tcPr>
            <w:tcW w:type="dxa" w:w="4318"/>
          </w:tcPr>
          <w:p w14:paraId="29010000">
            <w:pPr>
              <w:spacing w:line="240" w:lineRule="auto"/>
              <w:ind/>
              <w:rPr>
                <w:sz w:val="24"/>
              </w:rPr>
            </w:pPr>
            <w:r>
              <w:rPr>
                <w:sz w:val="24"/>
              </w:rPr>
              <w:t>Всего</w:t>
            </w:r>
          </w:p>
        </w:tc>
        <w:tc>
          <w:tcPr>
            <w:tcW w:type="dxa" w:w="2521"/>
          </w:tcPr>
          <w:p w14:paraId="2A010000">
            <w:pPr>
              <w:spacing w:line="240" w:lineRule="auto"/>
              <w:ind/>
              <w:rPr>
                <w:sz w:val="24"/>
              </w:rPr>
            </w:pPr>
            <w:r>
              <w:rPr>
                <w:sz w:val="24"/>
              </w:rPr>
              <w:t>20</w:t>
            </w:r>
          </w:p>
        </w:tc>
        <w:tc>
          <w:tcPr>
            <w:tcW w:type="dxa" w:w="2517"/>
          </w:tcPr>
          <w:p w14:paraId="2B010000">
            <w:pPr>
              <w:spacing w:line="240" w:lineRule="auto"/>
              <w:ind/>
              <w:rPr>
                <w:sz w:val="24"/>
              </w:rPr>
            </w:pPr>
            <w:r>
              <w:rPr>
                <w:sz w:val="24"/>
              </w:rPr>
              <w:t>100</w:t>
            </w:r>
          </w:p>
        </w:tc>
      </w:tr>
    </w:tbl>
    <w:p w14:paraId="2C010000">
      <w:pPr>
        <w:ind w:firstLine="709" w:left="0"/>
      </w:pPr>
    </w:p>
    <w:p w14:paraId="2D010000">
      <w:pPr>
        <w:ind w:firstLine="709" w:left="0"/>
      </w:pPr>
      <w:r>
        <w:t>Наглядное распределение результатов представлено на рисунке 1.</w:t>
      </w:r>
    </w:p>
    <w:p w14:paraId="2E010000">
      <w:pPr>
        <w:ind/>
        <w:jc w:val="center"/>
        <w:rPr>
          <w:b w:val="1"/>
        </w:rPr>
      </w:pPr>
      <w:r>
        <w:rPr>
          <w:b w:val="1"/>
        </w:rPr>
        <w:drawing>
          <wp:inline>
            <wp:extent cx="4744267" cy="3025140"/>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4744267" cy="3025140"/>
                    </a:xfrm>
                    <a:prstGeom prst="rect"/>
                  </pic:spPr>
                </pic:pic>
              </a:graphicData>
            </a:graphic>
          </wp:inline>
        </w:drawing>
      </w:r>
    </w:p>
    <w:p w14:paraId="2F010000">
      <w:pPr>
        <w:spacing w:line="240" w:lineRule="auto"/>
        <w:ind/>
        <w:jc w:val="center"/>
      </w:pPr>
      <w:r>
        <w:t>Рисунок 1 — Распределение профессиональных склонностей старшеклассников по ДДО Е. А. Климова</w:t>
      </w:r>
    </w:p>
    <w:p w14:paraId="30010000">
      <w:pPr>
        <w:ind w:firstLine="709" w:left="0"/>
      </w:pPr>
    </w:p>
    <w:p w14:paraId="31010000">
      <w:pPr>
        <w:ind w:firstLine="709" w:left="0"/>
      </w:pPr>
      <w:r>
        <w:t>Анализ показал, что наиболее выраженной стала направленность на профессии типа «человек — человек». Такой вариант выбрали 8 участников, или 40 % выборки. Эти старшеклассники проявляют интерес к деятельности, связанной с обучением, консультированием, оказанием помощи и организацией взаимодействия между людьми.</w:t>
      </w:r>
    </w:p>
    <w:p w14:paraId="32010000">
      <w:pPr>
        <w:ind w:firstLine="709" w:left="0"/>
      </w:pPr>
      <w:r>
        <w:t>Преобладание социальной сферы не означает, что все восемь участников готовы к одной профессиональной области. Тип «человек — человек» объединяет педагогические, медицинские, психологические, управленческие и социальные специальности. Каждая из них предъявляет собственные требования к эмоциональной устойчивости, коммуникативным способностям и уровню ответственности. Поэтому результаты ДДО отражают общее направление интереса, но не заменяют дальнейшего профессионального анализа.</w:t>
      </w:r>
    </w:p>
    <w:p w14:paraId="33010000">
      <w:pPr>
        <w:ind w:firstLine="709" w:left="0"/>
      </w:pPr>
      <w:r>
        <w:t>Профессии типа «человек — знаковая система» выбрали 5 обучающихся, что составило 25 %. Старшеклассники этой группы ориентированы на обработку текстовой, числовой и цифровой информации. Для них могут быть привлекательны программирование, экономика, бухгалтерский уч</w:t>
      </w:r>
      <w:r>
        <w:t>е</w:t>
      </w:r>
      <w:r>
        <w:t>т, аналитика, переводческая деятельность и работа с документацией.</w:t>
      </w:r>
    </w:p>
    <w:p w14:paraId="34010000">
      <w:pPr>
        <w:ind w:firstLine="709" w:left="0"/>
      </w:pPr>
      <w:r>
        <w:t>Техническая направленность выявлена у 3 участников, или у 15 %. Они проявили интерес к устройствам, механизмам и практическим операциям с оборудованием. Типы «человек — природа» и «человек — художественный образ» представлены одинаково: по 2 человека, что соответствует 10 % выборки в каждой группе.</w:t>
      </w:r>
    </w:p>
    <w:p w14:paraId="35010000">
      <w:pPr>
        <w:ind w:firstLine="709" w:left="0"/>
      </w:pPr>
      <w:r>
        <w:t xml:space="preserve">Распределение указывает на выраженное преобладание социальной и знаково-информационной сфер. Вместе они объединили 65 % старшеклассников. Остальные участники ориентированы на техническую, природоведческую или творческую деятельность, поэтому содержание </w:t>
      </w:r>
      <w:r>
        <w:t>программы не должно ограничиваться профессиями, связанными только с общением и информацией.</w:t>
      </w:r>
    </w:p>
    <w:p w14:paraId="36010000">
      <w:pPr>
        <w:ind w:firstLine="709" w:left="0"/>
      </w:pPr>
      <w:r>
        <w:t>Далее автор исследовал профессиональные интересы с помощью методики «Карта интересов»</w:t>
      </w:r>
      <w:r>
        <w:t xml:space="preserve">, которая </w:t>
      </w:r>
      <w:r>
        <w:t>позволяет установить, какие области знаний и практической деятельности вызывают у обучающихся наиболее устойчивую познавательную активность. Результаты представлены в таблице 3.</w:t>
      </w:r>
    </w:p>
    <w:p w14:paraId="37010000">
      <w:pPr>
        <w:ind w:firstLine="709" w:left="0"/>
      </w:pPr>
    </w:p>
    <w:p w14:paraId="38010000">
      <w:pPr>
        <w:spacing w:line="240" w:lineRule="auto"/>
        <w:ind/>
      </w:pPr>
      <w:r>
        <w:t>Таблица 3 — Результаты первичной диагностики профессиональных интересов старшеклассников по методике «Карта интересов»</w:t>
      </w:r>
    </w:p>
    <w:p w14:paraId="39010000">
      <w:pPr>
        <w:spacing w:line="240" w:lineRule="auto"/>
        <w:ind/>
      </w:pPr>
    </w:p>
    <w:tbl>
      <w:tblPr>
        <w:tblStyle w:val="Style_7"/>
        <w:tblLayout w:type="fixed"/>
      </w:tblPr>
      <w:tblGrid>
        <w:gridCol w:w="4771"/>
        <w:gridCol w:w="2293"/>
        <w:gridCol w:w="2290"/>
      </w:tblGrid>
      <w:tr>
        <w:tc>
          <w:tcPr>
            <w:tcW w:type="dxa" w:w="4771"/>
          </w:tcPr>
          <w:p w14:paraId="3A010000">
            <w:pPr>
              <w:spacing w:line="240" w:lineRule="auto"/>
              <w:ind/>
              <w:rPr>
                <w:sz w:val="24"/>
              </w:rPr>
            </w:pPr>
            <w:r>
              <w:rPr>
                <w:sz w:val="24"/>
              </w:rPr>
              <w:t>Область интересов</w:t>
            </w:r>
          </w:p>
        </w:tc>
        <w:tc>
          <w:tcPr>
            <w:tcW w:type="dxa" w:w="2293"/>
          </w:tcPr>
          <w:p w14:paraId="3B010000">
            <w:pPr>
              <w:spacing w:line="240" w:lineRule="auto"/>
              <w:ind/>
              <w:rPr>
                <w:sz w:val="24"/>
              </w:rPr>
            </w:pPr>
            <w:r>
              <w:rPr>
                <w:sz w:val="24"/>
              </w:rPr>
              <w:t>Количество человек</w:t>
            </w:r>
          </w:p>
        </w:tc>
        <w:tc>
          <w:tcPr>
            <w:tcW w:type="dxa" w:w="2290"/>
          </w:tcPr>
          <w:p w14:paraId="3C010000">
            <w:pPr>
              <w:spacing w:line="240" w:lineRule="auto"/>
              <w:ind/>
              <w:rPr>
                <w:sz w:val="24"/>
              </w:rPr>
            </w:pPr>
            <w:r>
              <w:rPr>
                <w:sz w:val="24"/>
              </w:rPr>
              <w:t>Доля от выборки, %</w:t>
            </w:r>
          </w:p>
        </w:tc>
      </w:tr>
      <w:tr>
        <w:tc>
          <w:tcPr>
            <w:tcW w:type="dxa" w:w="4771"/>
          </w:tcPr>
          <w:p w14:paraId="3D010000">
            <w:pPr>
              <w:spacing w:line="240" w:lineRule="auto"/>
              <w:ind/>
              <w:rPr>
                <w:sz w:val="24"/>
              </w:rPr>
            </w:pPr>
            <w:r>
              <w:rPr>
                <w:sz w:val="24"/>
              </w:rPr>
              <w:t>Педагогика и психология</w:t>
            </w:r>
          </w:p>
        </w:tc>
        <w:tc>
          <w:tcPr>
            <w:tcW w:type="dxa" w:w="2293"/>
          </w:tcPr>
          <w:p w14:paraId="3E010000">
            <w:pPr>
              <w:spacing w:line="240" w:lineRule="auto"/>
              <w:ind/>
              <w:rPr>
                <w:sz w:val="24"/>
              </w:rPr>
            </w:pPr>
            <w:r>
              <w:rPr>
                <w:sz w:val="24"/>
              </w:rPr>
              <w:t>5</w:t>
            </w:r>
          </w:p>
        </w:tc>
        <w:tc>
          <w:tcPr>
            <w:tcW w:type="dxa" w:w="2290"/>
          </w:tcPr>
          <w:p w14:paraId="3F010000">
            <w:pPr>
              <w:spacing w:line="240" w:lineRule="auto"/>
              <w:ind/>
              <w:rPr>
                <w:sz w:val="24"/>
              </w:rPr>
            </w:pPr>
            <w:r>
              <w:rPr>
                <w:sz w:val="24"/>
              </w:rPr>
              <w:t>25</w:t>
            </w:r>
          </w:p>
        </w:tc>
      </w:tr>
      <w:tr>
        <w:tc>
          <w:tcPr>
            <w:tcW w:type="dxa" w:w="4771"/>
          </w:tcPr>
          <w:p w14:paraId="40010000">
            <w:pPr>
              <w:spacing w:line="240" w:lineRule="auto"/>
              <w:ind/>
              <w:rPr>
                <w:sz w:val="24"/>
              </w:rPr>
            </w:pPr>
            <w:r>
              <w:rPr>
                <w:sz w:val="24"/>
              </w:rPr>
              <w:t>Информационные технологии и математика</w:t>
            </w:r>
          </w:p>
        </w:tc>
        <w:tc>
          <w:tcPr>
            <w:tcW w:type="dxa" w:w="2293"/>
          </w:tcPr>
          <w:p w14:paraId="41010000">
            <w:pPr>
              <w:spacing w:line="240" w:lineRule="auto"/>
              <w:ind/>
              <w:rPr>
                <w:sz w:val="24"/>
              </w:rPr>
            </w:pPr>
            <w:r>
              <w:rPr>
                <w:sz w:val="24"/>
              </w:rPr>
              <w:t>4</w:t>
            </w:r>
          </w:p>
        </w:tc>
        <w:tc>
          <w:tcPr>
            <w:tcW w:type="dxa" w:w="2290"/>
          </w:tcPr>
          <w:p w14:paraId="42010000">
            <w:pPr>
              <w:spacing w:line="240" w:lineRule="auto"/>
              <w:ind/>
              <w:rPr>
                <w:sz w:val="24"/>
              </w:rPr>
            </w:pPr>
            <w:r>
              <w:rPr>
                <w:sz w:val="24"/>
              </w:rPr>
              <w:t>20</w:t>
            </w:r>
          </w:p>
        </w:tc>
      </w:tr>
      <w:tr>
        <w:tc>
          <w:tcPr>
            <w:tcW w:type="dxa" w:w="4771"/>
          </w:tcPr>
          <w:p w14:paraId="43010000">
            <w:pPr>
              <w:spacing w:line="240" w:lineRule="auto"/>
              <w:ind/>
              <w:rPr>
                <w:sz w:val="24"/>
              </w:rPr>
            </w:pPr>
            <w:r>
              <w:rPr>
                <w:sz w:val="24"/>
              </w:rPr>
              <w:t>Медицина и биология</w:t>
            </w:r>
          </w:p>
        </w:tc>
        <w:tc>
          <w:tcPr>
            <w:tcW w:type="dxa" w:w="2293"/>
          </w:tcPr>
          <w:p w14:paraId="44010000">
            <w:pPr>
              <w:spacing w:line="240" w:lineRule="auto"/>
              <w:ind/>
              <w:rPr>
                <w:sz w:val="24"/>
              </w:rPr>
            </w:pPr>
            <w:r>
              <w:rPr>
                <w:sz w:val="24"/>
              </w:rPr>
              <w:t>3</w:t>
            </w:r>
          </w:p>
        </w:tc>
        <w:tc>
          <w:tcPr>
            <w:tcW w:type="dxa" w:w="2290"/>
          </w:tcPr>
          <w:p w14:paraId="45010000">
            <w:pPr>
              <w:spacing w:line="240" w:lineRule="auto"/>
              <w:ind/>
              <w:rPr>
                <w:sz w:val="24"/>
              </w:rPr>
            </w:pPr>
            <w:r>
              <w:rPr>
                <w:sz w:val="24"/>
              </w:rPr>
              <w:t>15</w:t>
            </w:r>
          </w:p>
        </w:tc>
      </w:tr>
      <w:tr>
        <w:tc>
          <w:tcPr>
            <w:tcW w:type="dxa" w:w="4771"/>
          </w:tcPr>
          <w:p w14:paraId="46010000">
            <w:pPr>
              <w:spacing w:line="240" w:lineRule="auto"/>
              <w:ind/>
              <w:rPr>
                <w:sz w:val="24"/>
              </w:rPr>
            </w:pPr>
            <w:r>
              <w:rPr>
                <w:sz w:val="24"/>
              </w:rPr>
              <w:t>Экономика и управление</w:t>
            </w:r>
          </w:p>
        </w:tc>
        <w:tc>
          <w:tcPr>
            <w:tcW w:type="dxa" w:w="2293"/>
          </w:tcPr>
          <w:p w14:paraId="47010000">
            <w:pPr>
              <w:spacing w:line="240" w:lineRule="auto"/>
              <w:ind/>
              <w:rPr>
                <w:sz w:val="24"/>
              </w:rPr>
            </w:pPr>
            <w:r>
              <w:rPr>
                <w:sz w:val="24"/>
              </w:rPr>
              <w:t>3</w:t>
            </w:r>
          </w:p>
        </w:tc>
        <w:tc>
          <w:tcPr>
            <w:tcW w:type="dxa" w:w="2290"/>
          </w:tcPr>
          <w:p w14:paraId="48010000">
            <w:pPr>
              <w:spacing w:line="240" w:lineRule="auto"/>
              <w:ind/>
              <w:rPr>
                <w:sz w:val="24"/>
              </w:rPr>
            </w:pPr>
            <w:r>
              <w:rPr>
                <w:sz w:val="24"/>
              </w:rPr>
              <w:t>15</w:t>
            </w:r>
          </w:p>
        </w:tc>
      </w:tr>
      <w:tr>
        <w:tc>
          <w:tcPr>
            <w:tcW w:type="dxa" w:w="4771"/>
          </w:tcPr>
          <w:p w14:paraId="49010000">
            <w:pPr>
              <w:spacing w:line="240" w:lineRule="auto"/>
              <w:ind/>
              <w:rPr>
                <w:sz w:val="24"/>
              </w:rPr>
            </w:pPr>
            <w:r>
              <w:rPr>
                <w:sz w:val="24"/>
              </w:rPr>
              <w:t>Техника и производство</w:t>
            </w:r>
          </w:p>
        </w:tc>
        <w:tc>
          <w:tcPr>
            <w:tcW w:type="dxa" w:w="2293"/>
          </w:tcPr>
          <w:p w14:paraId="4A010000">
            <w:pPr>
              <w:spacing w:line="240" w:lineRule="auto"/>
              <w:ind/>
              <w:rPr>
                <w:sz w:val="24"/>
              </w:rPr>
            </w:pPr>
            <w:r>
              <w:rPr>
                <w:sz w:val="24"/>
              </w:rPr>
              <w:t>2</w:t>
            </w:r>
          </w:p>
        </w:tc>
        <w:tc>
          <w:tcPr>
            <w:tcW w:type="dxa" w:w="2290"/>
          </w:tcPr>
          <w:p w14:paraId="4B010000">
            <w:pPr>
              <w:spacing w:line="240" w:lineRule="auto"/>
              <w:ind/>
              <w:rPr>
                <w:sz w:val="24"/>
              </w:rPr>
            </w:pPr>
            <w:r>
              <w:rPr>
                <w:sz w:val="24"/>
              </w:rPr>
              <w:t>10</w:t>
            </w:r>
          </w:p>
        </w:tc>
      </w:tr>
      <w:tr>
        <w:tc>
          <w:tcPr>
            <w:tcW w:type="dxa" w:w="4771"/>
          </w:tcPr>
          <w:p w14:paraId="4C010000">
            <w:pPr>
              <w:spacing w:line="240" w:lineRule="auto"/>
              <w:ind/>
              <w:rPr>
                <w:sz w:val="24"/>
              </w:rPr>
            </w:pPr>
            <w:r>
              <w:rPr>
                <w:sz w:val="24"/>
              </w:rPr>
              <w:t>Искусство и творчество</w:t>
            </w:r>
          </w:p>
        </w:tc>
        <w:tc>
          <w:tcPr>
            <w:tcW w:type="dxa" w:w="2293"/>
          </w:tcPr>
          <w:p w14:paraId="4D010000">
            <w:pPr>
              <w:spacing w:line="240" w:lineRule="auto"/>
              <w:ind/>
              <w:rPr>
                <w:sz w:val="24"/>
              </w:rPr>
            </w:pPr>
            <w:r>
              <w:rPr>
                <w:sz w:val="24"/>
              </w:rPr>
              <w:t>2</w:t>
            </w:r>
          </w:p>
        </w:tc>
        <w:tc>
          <w:tcPr>
            <w:tcW w:type="dxa" w:w="2290"/>
          </w:tcPr>
          <w:p w14:paraId="4E010000">
            <w:pPr>
              <w:spacing w:line="240" w:lineRule="auto"/>
              <w:ind/>
              <w:rPr>
                <w:sz w:val="24"/>
              </w:rPr>
            </w:pPr>
            <w:r>
              <w:rPr>
                <w:sz w:val="24"/>
              </w:rPr>
              <w:t>10</w:t>
            </w:r>
          </w:p>
        </w:tc>
      </w:tr>
      <w:tr>
        <w:tc>
          <w:tcPr>
            <w:tcW w:type="dxa" w:w="4771"/>
          </w:tcPr>
          <w:p w14:paraId="4F010000">
            <w:pPr>
              <w:spacing w:line="240" w:lineRule="auto"/>
              <w:ind/>
              <w:rPr>
                <w:sz w:val="24"/>
              </w:rPr>
            </w:pPr>
            <w:r>
              <w:rPr>
                <w:sz w:val="24"/>
              </w:rPr>
              <w:t>Природа и экология</w:t>
            </w:r>
          </w:p>
        </w:tc>
        <w:tc>
          <w:tcPr>
            <w:tcW w:type="dxa" w:w="2293"/>
          </w:tcPr>
          <w:p w14:paraId="50010000">
            <w:pPr>
              <w:spacing w:line="240" w:lineRule="auto"/>
              <w:ind/>
              <w:rPr>
                <w:sz w:val="24"/>
              </w:rPr>
            </w:pPr>
            <w:r>
              <w:rPr>
                <w:sz w:val="24"/>
              </w:rPr>
              <w:t>1</w:t>
            </w:r>
          </w:p>
        </w:tc>
        <w:tc>
          <w:tcPr>
            <w:tcW w:type="dxa" w:w="2290"/>
          </w:tcPr>
          <w:p w14:paraId="51010000">
            <w:pPr>
              <w:spacing w:line="240" w:lineRule="auto"/>
              <w:ind/>
              <w:rPr>
                <w:sz w:val="24"/>
              </w:rPr>
            </w:pPr>
            <w:r>
              <w:rPr>
                <w:sz w:val="24"/>
              </w:rPr>
              <w:t>5</w:t>
            </w:r>
          </w:p>
        </w:tc>
      </w:tr>
      <w:tr>
        <w:tc>
          <w:tcPr>
            <w:tcW w:type="dxa" w:w="4771"/>
          </w:tcPr>
          <w:p w14:paraId="52010000">
            <w:pPr>
              <w:spacing w:line="240" w:lineRule="auto"/>
              <w:ind/>
              <w:rPr>
                <w:sz w:val="24"/>
              </w:rPr>
            </w:pPr>
            <w:r>
              <w:rPr>
                <w:sz w:val="24"/>
              </w:rPr>
              <w:t>Всего</w:t>
            </w:r>
          </w:p>
        </w:tc>
        <w:tc>
          <w:tcPr>
            <w:tcW w:type="dxa" w:w="2293"/>
          </w:tcPr>
          <w:p w14:paraId="53010000">
            <w:pPr>
              <w:spacing w:line="240" w:lineRule="auto"/>
              <w:ind/>
              <w:rPr>
                <w:sz w:val="24"/>
              </w:rPr>
            </w:pPr>
            <w:r>
              <w:rPr>
                <w:sz w:val="24"/>
              </w:rPr>
              <w:t>20</w:t>
            </w:r>
          </w:p>
        </w:tc>
        <w:tc>
          <w:tcPr>
            <w:tcW w:type="dxa" w:w="2290"/>
          </w:tcPr>
          <w:p w14:paraId="54010000">
            <w:pPr>
              <w:spacing w:line="240" w:lineRule="auto"/>
              <w:ind/>
              <w:rPr>
                <w:sz w:val="24"/>
              </w:rPr>
            </w:pPr>
            <w:r>
              <w:rPr>
                <w:sz w:val="24"/>
              </w:rPr>
              <w:t>100</w:t>
            </w:r>
          </w:p>
        </w:tc>
      </w:tr>
    </w:tbl>
    <w:p w14:paraId="55010000">
      <w:pPr>
        <w:ind w:firstLine="709" w:left="0"/>
      </w:pPr>
    </w:p>
    <w:p w14:paraId="56010000">
      <w:pPr>
        <w:ind w:firstLine="709" w:left="0"/>
      </w:pPr>
      <w:r>
        <w:t>Графически результаты отражены на рисунке 2.</w:t>
      </w:r>
    </w:p>
    <w:p w14:paraId="57010000">
      <w:pPr>
        <w:ind/>
        <w:jc w:val="center"/>
        <w:rPr>
          <w:b w:val="1"/>
        </w:rPr>
      </w:pPr>
      <w:r>
        <w:rPr>
          <w:b w:val="1"/>
        </w:rPr>
        <w:drawing>
          <wp:inline>
            <wp:extent cx="5255196" cy="3268980"/>
            <wp:effectExtent b="0" l="0" r="0" t="0"/>
            <wp:docPr hidden="false" id="4" name="Picture 4"/>
            <a:graphic>
              <a:graphicData uri="http://schemas.openxmlformats.org/drawingml/2006/picture">
                <pic:pic>
                  <pic:nvPicPr>
                    <pic:cNvPr hidden="false" id="3" name="Picture 3"/>
                    <pic:cNvPicPr preferRelativeResize="true"/>
                  </pic:nvPicPr>
                  <pic:blipFill>
                    <a:blip r:embed="rId3"/>
                    <a:srcRect b="0" l="0" r="0" t="0"/>
                    <a:stretch/>
                  </pic:blipFill>
                  <pic:spPr>
                    <a:xfrm flipH="false" flipV="false" rot="0">
                      <a:ext cx="5255196" cy="3268980"/>
                    </a:xfrm>
                    <a:prstGeom prst="rect"/>
                  </pic:spPr>
                </pic:pic>
              </a:graphicData>
            </a:graphic>
          </wp:inline>
        </w:drawing>
      </w:r>
    </w:p>
    <w:p w14:paraId="58010000">
      <w:pPr>
        <w:spacing w:line="240" w:lineRule="auto"/>
        <w:ind/>
        <w:jc w:val="center"/>
      </w:pPr>
      <w:r>
        <w:t>Рисунок 2 — Распределение профессиональных интересов старшеклассников по методике «Карта интересов»</w:t>
      </w:r>
    </w:p>
    <w:p w14:paraId="59010000">
      <w:pPr>
        <w:ind w:firstLine="709" w:left="0"/>
      </w:pPr>
    </w:p>
    <w:p w14:paraId="5A010000">
      <w:pPr>
        <w:ind w:firstLine="709" w:left="0"/>
      </w:pPr>
      <w:r>
        <w:t>Педагогика и психология вызвали интерес у 5 старшеклассников, или у 25 % выборки. Такой показатель согласуется с результатами ДДО, где преобладала направленность «человек — человек». Совпадение двух методик позволяет говорить об устойчивом интересе части участников к общению, обучению и психологической помощи.</w:t>
      </w:r>
    </w:p>
    <w:p w14:paraId="5B010000">
      <w:pPr>
        <w:ind w:firstLine="709" w:left="0"/>
      </w:pPr>
      <w:r>
        <w:t>Информационные технологии и математику выбрали 4 обучающихся, что составило 20 %. Эта группа ориентирована на логические операции, работу с цифровыми системами и решение аналитических задач. Полученный показатель соответствует выраженности знаково-информационного типа по методике Е. А. Климова.</w:t>
      </w:r>
    </w:p>
    <w:p w14:paraId="5C010000">
      <w:pPr>
        <w:ind w:firstLine="709" w:left="0"/>
      </w:pPr>
      <w:r>
        <w:t>Медицина и биология привлекли 3 участников, или 15 %. Столько же старшеклассников проявили интерес к экономике и управлению. На первый взгляд, эти области заметно различаются, однако обе требуют системного мышления, ответственности и способности анализировать большие объ</w:t>
      </w:r>
      <w:r>
        <w:t>е</w:t>
      </w:r>
      <w:r>
        <w:t>мы информации.</w:t>
      </w:r>
    </w:p>
    <w:p w14:paraId="5D010000">
      <w:pPr>
        <w:ind w:firstLine="709" w:left="0"/>
      </w:pPr>
      <w:r>
        <w:t>Техника и производство, а также искусство и творчество получили по 10 %. Природа и экология оказались ведущей областью только у одного участника, что составило 5 %. Низкая представленность направления не позволяет утверждать, что оно неинтересно остальным обучающимся. Скорее, участники реже связывали природоведческие интересы с будущей профессией.</w:t>
      </w:r>
    </w:p>
    <w:p w14:paraId="5E010000">
      <w:pPr>
        <w:ind w:firstLine="709" w:left="0"/>
      </w:pPr>
      <w:r>
        <w:t>Сопоставление результатов «Карты интересов» и ДДО показывает общую закономерность. Старшеклассники чаще выбирают социальные и информационные области, тогда как технические, художественные и природоведческие направления занимают менее выраженные позиции. Эта особенность могла быть связана не только с личными склонностями, но и с доступным кругом профессиональных образцов.</w:t>
      </w:r>
    </w:p>
    <w:p w14:paraId="5F010000">
      <w:pPr>
        <w:ind w:firstLine="709" w:left="0"/>
      </w:pPr>
      <w:r>
        <w:t xml:space="preserve">Опросник Дж. Холланда дополнил полученные сведения. Методика позволила определить тип профессиональной направленности личности и </w:t>
      </w:r>
      <w:r>
        <w:t>предпочитаемые характеристики рабочей среды. Результаты представлены в таблице 4.</w:t>
      </w:r>
    </w:p>
    <w:p w14:paraId="60010000">
      <w:pPr>
        <w:ind w:firstLine="709" w:left="0"/>
      </w:pPr>
    </w:p>
    <w:p w14:paraId="61010000">
      <w:pPr>
        <w:spacing w:line="240" w:lineRule="auto"/>
        <w:ind/>
      </w:pPr>
      <w:r>
        <w:t>Таблица 4 — Результаты первичной диагностики профессиональных предпочтений старшеклассников по опроснику Дж. Холланда</w:t>
      </w:r>
    </w:p>
    <w:p w14:paraId="62010000">
      <w:pPr>
        <w:spacing w:line="240" w:lineRule="auto"/>
        <w:ind/>
      </w:pPr>
    </w:p>
    <w:tbl>
      <w:tblPr>
        <w:tblStyle w:val="Style_7"/>
        <w:tblLayout w:type="fixed"/>
      </w:tblPr>
      <w:tblGrid>
        <w:gridCol w:w="3447"/>
        <w:gridCol w:w="2956"/>
        <w:gridCol w:w="2952"/>
      </w:tblGrid>
      <w:tr>
        <w:tc>
          <w:tcPr>
            <w:tcW w:type="dxa" w:w="3447"/>
          </w:tcPr>
          <w:p w14:paraId="63010000">
            <w:pPr>
              <w:spacing w:line="240" w:lineRule="auto"/>
              <w:ind/>
              <w:rPr>
                <w:sz w:val="24"/>
              </w:rPr>
            </w:pPr>
            <w:r>
              <w:rPr>
                <w:sz w:val="24"/>
              </w:rPr>
              <w:t>Профессиональный тип</w:t>
            </w:r>
          </w:p>
        </w:tc>
        <w:tc>
          <w:tcPr>
            <w:tcW w:type="dxa" w:w="2956"/>
          </w:tcPr>
          <w:p w14:paraId="64010000">
            <w:pPr>
              <w:spacing w:line="240" w:lineRule="auto"/>
              <w:ind/>
              <w:rPr>
                <w:sz w:val="24"/>
              </w:rPr>
            </w:pPr>
            <w:r>
              <w:rPr>
                <w:sz w:val="24"/>
              </w:rPr>
              <w:t>Количество человек</w:t>
            </w:r>
          </w:p>
        </w:tc>
        <w:tc>
          <w:tcPr>
            <w:tcW w:type="dxa" w:w="2952"/>
          </w:tcPr>
          <w:p w14:paraId="65010000">
            <w:pPr>
              <w:spacing w:line="240" w:lineRule="auto"/>
              <w:ind/>
              <w:rPr>
                <w:sz w:val="24"/>
              </w:rPr>
            </w:pPr>
            <w:r>
              <w:rPr>
                <w:sz w:val="24"/>
              </w:rPr>
              <w:t>Доля от выборки, %</w:t>
            </w:r>
          </w:p>
        </w:tc>
      </w:tr>
      <w:tr>
        <w:tc>
          <w:tcPr>
            <w:tcW w:type="dxa" w:w="3447"/>
          </w:tcPr>
          <w:p w14:paraId="66010000">
            <w:pPr>
              <w:spacing w:line="240" w:lineRule="auto"/>
              <w:ind/>
              <w:rPr>
                <w:sz w:val="24"/>
              </w:rPr>
            </w:pPr>
            <w:r>
              <w:rPr>
                <w:sz w:val="24"/>
              </w:rPr>
              <w:t>Социальный</w:t>
            </w:r>
          </w:p>
        </w:tc>
        <w:tc>
          <w:tcPr>
            <w:tcW w:type="dxa" w:w="2956"/>
          </w:tcPr>
          <w:p w14:paraId="67010000">
            <w:pPr>
              <w:spacing w:line="240" w:lineRule="auto"/>
              <w:ind/>
              <w:rPr>
                <w:sz w:val="24"/>
              </w:rPr>
            </w:pPr>
            <w:r>
              <w:rPr>
                <w:sz w:val="24"/>
              </w:rPr>
              <w:t>7</w:t>
            </w:r>
          </w:p>
        </w:tc>
        <w:tc>
          <w:tcPr>
            <w:tcW w:type="dxa" w:w="2952"/>
          </w:tcPr>
          <w:p w14:paraId="68010000">
            <w:pPr>
              <w:spacing w:line="240" w:lineRule="auto"/>
              <w:ind/>
              <w:rPr>
                <w:sz w:val="24"/>
              </w:rPr>
            </w:pPr>
            <w:r>
              <w:rPr>
                <w:sz w:val="24"/>
              </w:rPr>
              <w:t>35</w:t>
            </w:r>
          </w:p>
        </w:tc>
      </w:tr>
      <w:tr>
        <w:tc>
          <w:tcPr>
            <w:tcW w:type="dxa" w:w="3447"/>
          </w:tcPr>
          <w:p w14:paraId="69010000">
            <w:pPr>
              <w:spacing w:line="240" w:lineRule="auto"/>
              <w:ind/>
              <w:rPr>
                <w:sz w:val="24"/>
              </w:rPr>
            </w:pPr>
            <w:r>
              <w:rPr>
                <w:sz w:val="24"/>
              </w:rPr>
              <w:t>Интеллектуальный</w:t>
            </w:r>
          </w:p>
        </w:tc>
        <w:tc>
          <w:tcPr>
            <w:tcW w:type="dxa" w:w="2956"/>
          </w:tcPr>
          <w:p w14:paraId="6A010000">
            <w:pPr>
              <w:spacing w:line="240" w:lineRule="auto"/>
              <w:ind/>
              <w:rPr>
                <w:sz w:val="24"/>
              </w:rPr>
            </w:pPr>
            <w:r>
              <w:rPr>
                <w:sz w:val="24"/>
              </w:rPr>
              <w:t>4</w:t>
            </w:r>
          </w:p>
        </w:tc>
        <w:tc>
          <w:tcPr>
            <w:tcW w:type="dxa" w:w="2952"/>
          </w:tcPr>
          <w:p w14:paraId="6B010000">
            <w:pPr>
              <w:spacing w:line="240" w:lineRule="auto"/>
              <w:ind/>
              <w:rPr>
                <w:sz w:val="24"/>
              </w:rPr>
            </w:pPr>
            <w:r>
              <w:rPr>
                <w:sz w:val="24"/>
              </w:rPr>
              <w:t>20</w:t>
            </w:r>
          </w:p>
        </w:tc>
      </w:tr>
      <w:tr>
        <w:tc>
          <w:tcPr>
            <w:tcW w:type="dxa" w:w="3447"/>
          </w:tcPr>
          <w:p w14:paraId="6C010000">
            <w:pPr>
              <w:spacing w:line="240" w:lineRule="auto"/>
              <w:ind/>
              <w:rPr>
                <w:sz w:val="24"/>
              </w:rPr>
            </w:pPr>
            <w:r>
              <w:rPr>
                <w:sz w:val="24"/>
              </w:rPr>
              <w:t>Конвенциональный</w:t>
            </w:r>
          </w:p>
        </w:tc>
        <w:tc>
          <w:tcPr>
            <w:tcW w:type="dxa" w:w="2956"/>
          </w:tcPr>
          <w:p w14:paraId="6D010000">
            <w:pPr>
              <w:spacing w:line="240" w:lineRule="auto"/>
              <w:ind/>
              <w:rPr>
                <w:sz w:val="24"/>
              </w:rPr>
            </w:pPr>
            <w:r>
              <w:rPr>
                <w:sz w:val="24"/>
              </w:rPr>
              <w:t>3</w:t>
            </w:r>
          </w:p>
        </w:tc>
        <w:tc>
          <w:tcPr>
            <w:tcW w:type="dxa" w:w="2952"/>
          </w:tcPr>
          <w:p w14:paraId="6E010000">
            <w:pPr>
              <w:spacing w:line="240" w:lineRule="auto"/>
              <w:ind/>
              <w:rPr>
                <w:sz w:val="24"/>
              </w:rPr>
            </w:pPr>
            <w:r>
              <w:rPr>
                <w:sz w:val="24"/>
              </w:rPr>
              <w:t>15</w:t>
            </w:r>
          </w:p>
        </w:tc>
      </w:tr>
      <w:tr>
        <w:tc>
          <w:tcPr>
            <w:tcW w:type="dxa" w:w="3447"/>
          </w:tcPr>
          <w:p w14:paraId="6F010000">
            <w:pPr>
              <w:spacing w:line="240" w:lineRule="auto"/>
              <w:ind/>
              <w:rPr>
                <w:sz w:val="24"/>
              </w:rPr>
            </w:pPr>
            <w:r>
              <w:rPr>
                <w:sz w:val="24"/>
              </w:rPr>
              <w:t>Предприимчивый</w:t>
            </w:r>
          </w:p>
        </w:tc>
        <w:tc>
          <w:tcPr>
            <w:tcW w:type="dxa" w:w="2956"/>
          </w:tcPr>
          <w:p w14:paraId="70010000">
            <w:pPr>
              <w:spacing w:line="240" w:lineRule="auto"/>
              <w:ind/>
              <w:rPr>
                <w:sz w:val="24"/>
              </w:rPr>
            </w:pPr>
            <w:r>
              <w:rPr>
                <w:sz w:val="24"/>
              </w:rPr>
              <w:t>2</w:t>
            </w:r>
          </w:p>
        </w:tc>
        <w:tc>
          <w:tcPr>
            <w:tcW w:type="dxa" w:w="2952"/>
          </w:tcPr>
          <w:p w14:paraId="71010000">
            <w:pPr>
              <w:spacing w:line="240" w:lineRule="auto"/>
              <w:ind/>
              <w:rPr>
                <w:sz w:val="24"/>
              </w:rPr>
            </w:pPr>
            <w:r>
              <w:rPr>
                <w:sz w:val="24"/>
              </w:rPr>
              <w:t>10</w:t>
            </w:r>
          </w:p>
        </w:tc>
      </w:tr>
      <w:tr>
        <w:tc>
          <w:tcPr>
            <w:tcW w:type="dxa" w:w="3447"/>
          </w:tcPr>
          <w:p w14:paraId="72010000">
            <w:pPr>
              <w:spacing w:line="240" w:lineRule="auto"/>
              <w:ind/>
              <w:rPr>
                <w:sz w:val="24"/>
              </w:rPr>
            </w:pPr>
            <w:r>
              <w:rPr>
                <w:sz w:val="24"/>
              </w:rPr>
              <w:t>Реалистический</w:t>
            </w:r>
          </w:p>
        </w:tc>
        <w:tc>
          <w:tcPr>
            <w:tcW w:type="dxa" w:w="2956"/>
          </w:tcPr>
          <w:p w14:paraId="73010000">
            <w:pPr>
              <w:spacing w:line="240" w:lineRule="auto"/>
              <w:ind/>
              <w:rPr>
                <w:sz w:val="24"/>
              </w:rPr>
            </w:pPr>
            <w:r>
              <w:rPr>
                <w:sz w:val="24"/>
              </w:rPr>
              <w:t>2</w:t>
            </w:r>
          </w:p>
        </w:tc>
        <w:tc>
          <w:tcPr>
            <w:tcW w:type="dxa" w:w="2952"/>
          </w:tcPr>
          <w:p w14:paraId="74010000">
            <w:pPr>
              <w:spacing w:line="240" w:lineRule="auto"/>
              <w:ind/>
              <w:rPr>
                <w:sz w:val="24"/>
              </w:rPr>
            </w:pPr>
            <w:r>
              <w:rPr>
                <w:sz w:val="24"/>
              </w:rPr>
              <w:t>10</w:t>
            </w:r>
          </w:p>
        </w:tc>
      </w:tr>
      <w:tr>
        <w:tc>
          <w:tcPr>
            <w:tcW w:type="dxa" w:w="3447"/>
          </w:tcPr>
          <w:p w14:paraId="75010000">
            <w:pPr>
              <w:spacing w:line="240" w:lineRule="auto"/>
              <w:ind/>
              <w:rPr>
                <w:sz w:val="24"/>
              </w:rPr>
            </w:pPr>
            <w:r>
              <w:rPr>
                <w:sz w:val="24"/>
              </w:rPr>
              <w:t>Артистический</w:t>
            </w:r>
          </w:p>
        </w:tc>
        <w:tc>
          <w:tcPr>
            <w:tcW w:type="dxa" w:w="2956"/>
          </w:tcPr>
          <w:p w14:paraId="76010000">
            <w:pPr>
              <w:spacing w:line="240" w:lineRule="auto"/>
              <w:ind/>
              <w:rPr>
                <w:sz w:val="24"/>
              </w:rPr>
            </w:pPr>
            <w:r>
              <w:rPr>
                <w:sz w:val="24"/>
              </w:rPr>
              <w:t>2</w:t>
            </w:r>
          </w:p>
        </w:tc>
        <w:tc>
          <w:tcPr>
            <w:tcW w:type="dxa" w:w="2952"/>
          </w:tcPr>
          <w:p w14:paraId="77010000">
            <w:pPr>
              <w:spacing w:line="240" w:lineRule="auto"/>
              <w:ind/>
              <w:rPr>
                <w:sz w:val="24"/>
              </w:rPr>
            </w:pPr>
            <w:r>
              <w:rPr>
                <w:sz w:val="24"/>
              </w:rPr>
              <w:t>10</w:t>
            </w:r>
          </w:p>
        </w:tc>
      </w:tr>
      <w:tr>
        <w:tc>
          <w:tcPr>
            <w:tcW w:type="dxa" w:w="3447"/>
          </w:tcPr>
          <w:p w14:paraId="78010000">
            <w:pPr>
              <w:spacing w:line="240" w:lineRule="auto"/>
              <w:ind/>
              <w:rPr>
                <w:sz w:val="24"/>
              </w:rPr>
            </w:pPr>
            <w:r>
              <w:rPr>
                <w:sz w:val="24"/>
              </w:rPr>
              <w:t>Всего</w:t>
            </w:r>
          </w:p>
        </w:tc>
        <w:tc>
          <w:tcPr>
            <w:tcW w:type="dxa" w:w="2956"/>
          </w:tcPr>
          <w:p w14:paraId="79010000">
            <w:pPr>
              <w:spacing w:line="240" w:lineRule="auto"/>
              <w:ind/>
              <w:rPr>
                <w:sz w:val="24"/>
              </w:rPr>
            </w:pPr>
            <w:r>
              <w:rPr>
                <w:sz w:val="24"/>
              </w:rPr>
              <w:t>20</w:t>
            </w:r>
          </w:p>
        </w:tc>
        <w:tc>
          <w:tcPr>
            <w:tcW w:type="dxa" w:w="2952"/>
          </w:tcPr>
          <w:p w14:paraId="7A010000">
            <w:pPr>
              <w:spacing w:line="240" w:lineRule="auto"/>
              <w:ind/>
              <w:rPr>
                <w:sz w:val="24"/>
              </w:rPr>
            </w:pPr>
            <w:r>
              <w:rPr>
                <w:sz w:val="24"/>
              </w:rPr>
              <w:t>100</w:t>
            </w:r>
          </w:p>
        </w:tc>
      </w:tr>
    </w:tbl>
    <w:p w14:paraId="7B010000">
      <w:pPr>
        <w:ind w:firstLine="709" w:left="0"/>
      </w:pPr>
    </w:p>
    <w:p w14:paraId="7C010000">
      <w:pPr>
        <w:ind w:firstLine="709" w:left="0"/>
      </w:pPr>
      <w:r>
        <w:t>Распределение профессиональных типов представлено на рисунке 3.</w:t>
      </w:r>
    </w:p>
    <w:p w14:paraId="7D010000">
      <w:pPr>
        <w:ind/>
        <w:jc w:val="center"/>
        <w:rPr>
          <w:b w:val="1"/>
        </w:rPr>
      </w:pPr>
      <w:r>
        <w:rPr>
          <w:b w:val="1"/>
        </w:rPr>
        <w:drawing>
          <wp:inline>
            <wp:extent cx="5572125" cy="3554095"/>
            <wp:effectExtent b="0" l="0" r="0" t="0"/>
            <wp:docPr hidden="false" id="6" name="Picture 6"/>
            <a:graphic>
              <a:graphicData uri="http://schemas.openxmlformats.org/drawingml/2006/picture">
                <pic:pic>
                  <pic:nvPicPr>
                    <pic:cNvPr hidden="false" id="5" name="Picture 5"/>
                    <pic:cNvPicPr preferRelativeResize="true"/>
                  </pic:nvPicPr>
                  <pic:blipFill>
                    <a:blip r:embed="rId4"/>
                    <a:srcRect b="0" l="0" r="0" t="0"/>
                    <a:stretch/>
                  </pic:blipFill>
                  <pic:spPr>
                    <a:xfrm flipH="false" flipV="false" rot="0">
                      <a:ext cx="5572125" cy="3554095"/>
                    </a:xfrm>
                    <a:prstGeom prst="rect"/>
                  </pic:spPr>
                </pic:pic>
              </a:graphicData>
            </a:graphic>
          </wp:inline>
        </w:drawing>
      </w:r>
    </w:p>
    <w:p w14:paraId="7E010000">
      <w:pPr>
        <w:spacing w:line="240" w:lineRule="auto"/>
        <w:ind/>
        <w:jc w:val="center"/>
      </w:pPr>
      <w:r>
        <w:t>Рисунок 3 — Распределение профессиональных типов старшеклассников по опроснику Дж. Холланда</w:t>
      </w:r>
    </w:p>
    <w:p w14:paraId="7F010000">
      <w:pPr>
        <w:ind w:firstLine="709" w:left="0"/>
      </w:pPr>
    </w:p>
    <w:p w14:paraId="80010000">
      <w:pPr>
        <w:ind w:firstLine="709" w:left="0"/>
      </w:pPr>
      <w:r>
        <w:t>Социальный тип выявлен у 7 участников, или у 35 % выборки. Представители этой группы ориентированы на общение, обучение, поддержку и совместное решение задач. Они чаще проявляют интерес к деятельности, в которой результат зависит от качества межличностного взаимодействия.</w:t>
      </w:r>
    </w:p>
    <w:p w14:paraId="81010000">
      <w:pPr>
        <w:ind w:firstLine="709" w:left="0"/>
      </w:pPr>
      <w:r>
        <w:t>Интеллектуальный тип определ</w:t>
      </w:r>
      <w:r>
        <w:t>е</w:t>
      </w:r>
      <w:r>
        <w:t>н у 4 старшеклассников, что составило 20 %. Для них характерен интерес к исследованию, анализу причинно-следственных связей и решению познавательных задач. Такие особенности могут быть востребованы в естественно-научных, технических и информационных областях.</w:t>
      </w:r>
    </w:p>
    <w:p w14:paraId="82010000">
      <w:pPr>
        <w:ind w:firstLine="709" w:left="0"/>
      </w:pPr>
      <w:r>
        <w:t>Конвенциональный тип выявлен у 3 человек, или у 15 %. Его представители предпочитают структурированную деятельность, понятные правила, работу с документами, числами и базами данных. Этот результат соотносится с выраженной знаково-информационной направленностью, установленной с помощью ДДО.</w:t>
      </w:r>
    </w:p>
    <w:p w14:paraId="83010000">
      <w:pPr>
        <w:ind w:firstLine="709" w:left="0"/>
      </w:pPr>
      <w:r>
        <w:t>Предприимчивый, реалистический и артистический типы представлены по 10 %. Предприимчивую направленность отличает интерес к организации, руководству и достижению конкретного результата. Реалистический тип связан с практической работой и техническими объектами, тогда как артистический предполагает творческое самовыражение и свободу способов деятельности.</w:t>
      </w:r>
    </w:p>
    <w:p w14:paraId="84010000">
      <w:pPr>
        <w:ind w:firstLine="709" w:left="0"/>
      </w:pPr>
      <w:r>
        <w:t>Результаты тр</w:t>
      </w:r>
      <w:r>
        <w:t>е</w:t>
      </w:r>
      <w:r>
        <w:t>х методик демонстрируют содержательное совпадение. Социальная направленность занимает первое место в ДДО, «Карте интересов» и опроснике Дж. Холланда. Знаково-информационные предпочтения также устойчиво представлены через интерес к математике, информационным технологиям, экономике и конвенциональной профессиональной среде.</w:t>
      </w:r>
    </w:p>
    <w:p w14:paraId="85010000">
      <w:pPr>
        <w:ind w:firstLine="709" w:left="0"/>
      </w:pPr>
      <w:r>
        <w:t>Однако совпадение групповых тенденций не исключает индивидуальных противоречий. У отдельного старшеклассника интерес к определ</w:t>
      </w:r>
      <w:r>
        <w:t>е</w:t>
      </w:r>
      <w:r>
        <w:t>нной сфере может не соответствовать типу предпочитаемой среды или заявленному профессиональному плану. Такие случаи требуют индивидуального консультирования, поскольку они отражают незаверш</w:t>
      </w:r>
      <w:r>
        <w:t>е</w:t>
      </w:r>
      <w:r>
        <w:t>нность выбора или недостаточное знание содержания профессии.</w:t>
      </w:r>
    </w:p>
    <w:p w14:paraId="86010000">
      <w:pPr>
        <w:ind w:firstLine="709" w:left="0"/>
      </w:pPr>
      <w:r>
        <w:t xml:space="preserve">Следующий этап диагностики был связан с мотивационным компонентом. Автор использовал методику А. А. Реана, которая позволила </w:t>
      </w:r>
      <w:r>
        <w:t>оценить выраженность учебной и профессиональной мотивации. Результаты представлены в таблице 5.</w:t>
      </w:r>
    </w:p>
    <w:p w14:paraId="87010000">
      <w:pPr>
        <w:ind w:firstLine="709" w:left="0"/>
      </w:pPr>
    </w:p>
    <w:p w14:paraId="88010000">
      <w:pPr>
        <w:spacing w:line="240" w:lineRule="auto"/>
        <w:ind/>
      </w:pPr>
      <w:r>
        <w:t>Таблица 5 — Уровень учебной и профессиональной мотивации старшеклассников по методике А. А. Реана</w:t>
      </w:r>
    </w:p>
    <w:p w14:paraId="89010000">
      <w:pPr>
        <w:spacing w:line="240" w:lineRule="auto"/>
        <w:ind/>
      </w:pPr>
    </w:p>
    <w:tbl>
      <w:tblPr>
        <w:tblStyle w:val="Style_7"/>
        <w:tblLayout w:type="fixed"/>
      </w:tblPr>
      <w:tblGrid>
        <w:gridCol w:w="3096"/>
        <w:gridCol w:w="3132"/>
        <w:gridCol w:w="3126"/>
      </w:tblGrid>
      <w:tr>
        <w:tc>
          <w:tcPr>
            <w:tcW w:type="dxa" w:w="3096"/>
          </w:tcPr>
          <w:p w14:paraId="8A010000">
            <w:pPr>
              <w:spacing w:line="240" w:lineRule="auto"/>
              <w:ind/>
              <w:rPr>
                <w:sz w:val="24"/>
              </w:rPr>
            </w:pPr>
            <w:r>
              <w:rPr>
                <w:sz w:val="24"/>
              </w:rPr>
              <w:t>Уровень мотивации</w:t>
            </w:r>
          </w:p>
        </w:tc>
        <w:tc>
          <w:tcPr>
            <w:tcW w:type="dxa" w:w="3132"/>
          </w:tcPr>
          <w:p w14:paraId="8B010000">
            <w:pPr>
              <w:spacing w:line="240" w:lineRule="auto"/>
              <w:ind/>
              <w:rPr>
                <w:sz w:val="24"/>
              </w:rPr>
            </w:pPr>
            <w:r>
              <w:rPr>
                <w:sz w:val="24"/>
              </w:rPr>
              <w:t>Количество человек</w:t>
            </w:r>
          </w:p>
        </w:tc>
        <w:tc>
          <w:tcPr>
            <w:tcW w:type="dxa" w:w="3126"/>
          </w:tcPr>
          <w:p w14:paraId="8C010000">
            <w:pPr>
              <w:spacing w:line="240" w:lineRule="auto"/>
              <w:ind/>
              <w:rPr>
                <w:sz w:val="24"/>
              </w:rPr>
            </w:pPr>
            <w:r>
              <w:rPr>
                <w:sz w:val="24"/>
              </w:rPr>
              <w:t>Доля от выборки, %</w:t>
            </w:r>
          </w:p>
        </w:tc>
      </w:tr>
      <w:tr>
        <w:tc>
          <w:tcPr>
            <w:tcW w:type="dxa" w:w="3096"/>
          </w:tcPr>
          <w:p w14:paraId="8D010000">
            <w:pPr>
              <w:spacing w:line="240" w:lineRule="auto"/>
              <w:ind/>
              <w:rPr>
                <w:sz w:val="24"/>
              </w:rPr>
            </w:pPr>
            <w:r>
              <w:rPr>
                <w:sz w:val="24"/>
              </w:rPr>
              <w:t>Высокий</w:t>
            </w:r>
          </w:p>
        </w:tc>
        <w:tc>
          <w:tcPr>
            <w:tcW w:type="dxa" w:w="3132"/>
          </w:tcPr>
          <w:p w14:paraId="8E010000">
            <w:pPr>
              <w:spacing w:line="240" w:lineRule="auto"/>
              <w:ind/>
              <w:rPr>
                <w:sz w:val="24"/>
              </w:rPr>
            </w:pPr>
            <w:r>
              <w:rPr>
                <w:sz w:val="24"/>
              </w:rPr>
              <w:t>13</w:t>
            </w:r>
          </w:p>
        </w:tc>
        <w:tc>
          <w:tcPr>
            <w:tcW w:type="dxa" w:w="3126"/>
          </w:tcPr>
          <w:p w14:paraId="8F010000">
            <w:pPr>
              <w:spacing w:line="240" w:lineRule="auto"/>
              <w:ind/>
              <w:rPr>
                <w:sz w:val="24"/>
              </w:rPr>
            </w:pPr>
            <w:r>
              <w:rPr>
                <w:sz w:val="24"/>
              </w:rPr>
              <w:t>65</w:t>
            </w:r>
          </w:p>
        </w:tc>
      </w:tr>
      <w:tr>
        <w:tc>
          <w:tcPr>
            <w:tcW w:type="dxa" w:w="3096"/>
          </w:tcPr>
          <w:p w14:paraId="90010000">
            <w:pPr>
              <w:spacing w:line="240" w:lineRule="auto"/>
              <w:ind/>
              <w:rPr>
                <w:sz w:val="24"/>
              </w:rPr>
            </w:pPr>
            <w:r>
              <w:rPr>
                <w:sz w:val="24"/>
              </w:rPr>
              <w:t>Средний</w:t>
            </w:r>
          </w:p>
        </w:tc>
        <w:tc>
          <w:tcPr>
            <w:tcW w:type="dxa" w:w="3132"/>
          </w:tcPr>
          <w:p w14:paraId="91010000">
            <w:pPr>
              <w:spacing w:line="240" w:lineRule="auto"/>
              <w:ind/>
              <w:rPr>
                <w:sz w:val="24"/>
              </w:rPr>
            </w:pPr>
            <w:r>
              <w:rPr>
                <w:sz w:val="24"/>
              </w:rPr>
              <w:t>5</w:t>
            </w:r>
          </w:p>
        </w:tc>
        <w:tc>
          <w:tcPr>
            <w:tcW w:type="dxa" w:w="3126"/>
          </w:tcPr>
          <w:p w14:paraId="92010000">
            <w:pPr>
              <w:spacing w:line="240" w:lineRule="auto"/>
              <w:ind/>
              <w:rPr>
                <w:sz w:val="24"/>
              </w:rPr>
            </w:pPr>
            <w:r>
              <w:rPr>
                <w:sz w:val="24"/>
              </w:rPr>
              <w:t>25</w:t>
            </w:r>
          </w:p>
        </w:tc>
      </w:tr>
      <w:tr>
        <w:tc>
          <w:tcPr>
            <w:tcW w:type="dxa" w:w="3096"/>
          </w:tcPr>
          <w:p w14:paraId="93010000">
            <w:pPr>
              <w:spacing w:line="240" w:lineRule="auto"/>
              <w:ind/>
              <w:rPr>
                <w:sz w:val="24"/>
              </w:rPr>
            </w:pPr>
            <w:r>
              <w:rPr>
                <w:sz w:val="24"/>
              </w:rPr>
              <w:t>Низкий</w:t>
            </w:r>
          </w:p>
        </w:tc>
        <w:tc>
          <w:tcPr>
            <w:tcW w:type="dxa" w:w="3132"/>
          </w:tcPr>
          <w:p w14:paraId="94010000">
            <w:pPr>
              <w:spacing w:line="240" w:lineRule="auto"/>
              <w:ind/>
              <w:rPr>
                <w:sz w:val="24"/>
              </w:rPr>
            </w:pPr>
            <w:r>
              <w:rPr>
                <w:sz w:val="24"/>
              </w:rPr>
              <w:t>2</w:t>
            </w:r>
          </w:p>
        </w:tc>
        <w:tc>
          <w:tcPr>
            <w:tcW w:type="dxa" w:w="3126"/>
          </w:tcPr>
          <w:p w14:paraId="95010000">
            <w:pPr>
              <w:spacing w:line="240" w:lineRule="auto"/>
              <w:ind/>
              <w:rPr>
                <w:sz w:val="24"/>
              </w:rPr>
            </w:pPr>
            <w:r>
              <w:rPr>
                <w:sz w:val="24"/>
              </w:rPr>
              <w:t>10</w:t>
            </w:r>
          </w:p>
        </w:tc>
      </w:tr>
      <w:tr>
        <w:tc>
          <w:tcPr>
            <w:tcW w:type="dxa" w:w="3096"/>
          </w:tcPr>
          <w:p w14:paraId="96010000">
            <w:pPr>
              <w:spacing w:line="240" w:lineRule="auto"/>
              <w:ind/>
              <w:rPr>
                <w:sz w:val="24"/>
              </w:rPr>
            </w:pPr>
            <w:r>
              <w:rPr>
                <w:sz w:val="24"/>
              </w:rPr>
              <w:t>Всего</w:t>
            </w:r>
          </w:p>
        </w:tc>
        <w:tc>
          <w:tcPr>
            <w:tcW w:type="dxa" w:w="3132"/>
          </w:tcPr>
          <w:p w14:paraId="97010000">
            <w:pPr>
              <w:spacing w:line="240" w:lineRule="auto"/>
              <w:ind/>
              <w:rPr>
                <w:sz w:val="24"/>
              </w:rPr>
            </w:pPr>
            <w:r>
              <w:rPr>
                <w:sz w:val="24"/>
              </w:rPr>
              <w:t>20</w:t>
            </w:r>
          </w:p>
        </w:tc>
        <w:tc>
          <w:tcPr>
            <w:tcW w:type="dxa" w:w="3126"/>
          </w:tcPr>
          <w:p w14:paraId="98010000">
            <w:pPr>
              <w:spacing w:line="240" w:lineRule="auto"/>
              <w:ind/>
              <w:rPr>
                <w:sz w:val="24"/>
              </w:rPr>
            </w:pPr>
            <w:r>
              <w:rPr>
                <w:sz w:val="24"/>
              </w:rPr>
              <w:t>100</w:t>
            </w:r>
          </w:p>
        </w:tc>
      </w:tr>
    </w:tbl>
    <w:p w14:paraId="99010000">
      <w:pPr>
        <w:ind w:firstLine="709" w:left="0"/>
      </w:pPr>
    </w:p>
    <w:p w14:paraId="9A010000">
      <w:pPr>
        <w:ind w:firstLine="709" w:left="0"/>
      </w:pPr>
      <w:r>
        <w:t>Соотношение уровней мотивации представлено на рисунке 4.</w:t>
      </w:r>
    </w:p>
    <w:p w14:paraId="9B010000">
      <w:pPr>
        <w:ind/>
        <w:jc w:val="center"/>
        <w:rPr>
          <w:b w:val="1"/>
        </w:rPr>
      </w:pPr>
      <w:r>
        <w:rPr>
          <w:b w:val="1"/>
        </w:rPr>
        <w:drawing>
          <wp:inline>
            <wp:extent cx="5558096" cy="3421380"/>
            <wp:effectExtent b="0" l="0" r="0" t="0"/>
            <wp:docPr hidden="false" id="8" name="Picture 8"/>
            <a:graphic>
              <a:graphicData uri="http://schemas.openxmlformats.org/drawingml/2006/picture">
                <pic:pic>
                  <pic:nvPicPr>
                    <pic:cNvPr hidden="false" id="7" name="Picture 7"/>
                    <pic:cNvPicPr preferRelativeResize="true"/>
                  </pic:nvPicPr>
                  <pic:blipFill>
                    <a:blip r:embed="rId5"/>
                    <a:srcRect b="0" l="0" r="0" t="0"/>
                    <a:stretch/>
                  </pic:blipFill>
                  <pic:spPr>
                    <a:xfrm flipH="false" flipV="false" rot="0">
                      <a:ext cx="5558096" cy="3421380"/>
                    </a:xfrm>
                    <a:prstGeom prst="rect"/>
                  </pic:spPr>
                </pic:pic>
              </a:graphicData>
            </a:graphic>
          </wp:inline>
        </w:drawing>
      </w:r>
    </w:p>
    <w:p w14:paraId="9C010000">
      <w:pPr>
        <w:spacing w:line="240" w:lineRule="auto"/>
        <w:ind/>
        <w:jc w:val="center"/>
      </w:pPr>
      <w:r>
        <w:t>Рисунок 4 — Распределение старшеклассников по уровню учебной и профессиональной мотивации</w:t>
      </w:r>
    </w:p>
    <w:p w14:paraId="9D010000">
      <w:pPr>
        <w:ind w:firstLine="709" w:left="0"/>
      </w:pPr>
    </w:p>
    <w:p w14:paraId="9E010000">
      <w:pPr>
        <w:ind w:firstLine="709" w:left="0"/>
      </w:pPr>
      <w:r>
        <w:t>Высокий уровень установлен у 13 участников, или у 65 % выборки. Эти старшеклассники связывали дальнейшее обучение с достижением профессиональных целей, проявляли интерес к получению новых знаний и были готовы рассматривать разные образовательные маршруты.</w:t>
      </w:r>
    </w:p>
    <w:p w14:paraId="9F010000">
      <w:pPr>
        <w:ind w:firstLine="709" w:left="0"/>
      </w:pPr>
      <w:r>
        <w:t xml:space="preserve">Средний уровень выявлен у 5 обучающихся, что составило 25 %. Их интерес к будущей профессии проявлялся неравномерно. Они могли </w:t>
      </w:r>
      <w:r>
        <w:t>положительно относиться к продолжению образования, но редко предпринимали самостоятельные действия для уточнения профессионального плана.</w:t>
      </w:r>
    </w:p>
    <w:p w14:paraId="A0010000">
      <w:pPr>
        <w:ind w:firstLine="709" w:left="0"/>
      </w:pPr>
      <w:r>
        <w:t>Низкий уровень обнаружен у 2 старшеклассников, или у 10 %. Эти участники затруднялись сформулировать цели дальнейшего обучения и не проявляли устойчивой активности при поиске информации. Их позиция требовала индивидуальной работы с интересами, ценностями и образом профессионального будущего.</w:t>
      </w:r>
    </w:p>
    <w:p w14:paraId="A1010000">
      <w:pPr>
        <w:ind w:firstLine="709" w:left="0"/>
      </w:pPr>
      <w:r>
        <w:t>Полученные результаты выглядят благоприятно: почти две трети участников обладают высокой мотивацией. Однако сопоставление с другими методиками показывает более сложную картину. Стремление продолжить обучение ещ</w:t>
      </w:r>
      <w:r>
        <w:t>е</w:t>
      </w:r>
      <w:r>
        <w:t xml:space="preserve"> не означает готовности выбрать конкретное направление и аргументировать сво</w:t>
      </w:r>
      <w:r>
        <w:t>е</w:t>
      </w:r>
      <w:r>
        <w:t xml:space="preserve"> решение.</w:t>
      </w:r>
    </w:p>
    <w:p w14:paraId="A2010000">
      <w:pPr>
        <w:ind w:firstLine="709" w:left="0"/>
      </w:pPr>
      <w:r>
        <w:t>Степень сформированности профессиональных планов автор оценивал с помощью анкеты. Вопросы касались наличия выбранного направления, причин решения, информированности о профессии и предполагаемого места дальнейшего обучения. Результаты представлены в таблице 6.</w:t>
      </w:r>
    </w:p>
    <w:p w14:paraId="A3010000">
      <w:pPr>
        <w:ind w:firstLine="709" w:left="0"/>
      </w:pPr>
    </w:p>
    <w:p w14:paraId="A4010000">
      <w:pPr>
        <w:spacing w:line="240" w:lineRule="auto"/>
        <w:ind/>
      </w:pPr>
      <w:r>
        <w:t>Таблица 6 — Результаты авторской анкеты профессионального самоопределения старшеклассников</w:t>
      </w:r>
    </w:p>
    <w:p w14:paraId="A5010000">
      <w:pPr>
        <w:spacing w:line="240" w:lineRule="auto"/>
        <w:ind/>
      </w:pPr>
    </w:p>
    <w:tbl>
      <w:tblPr>
        <w:tblStyle w:val="Style_7"/>
        <w:tblLayout w:type="fixed"/>
      </w:tblPr>
      <w:tblGrid>
        <w:gridCol w:w="4806"/>
        <w:gridCol w:w="2272"/>
        <w:gridCol w:w="2267"/>
      </w:tblGrid>
      <w:tr>
        <w:tc>
          <w:tcPr>
            <w:tcW w:type="dxa" w:w="4806"/>
          </w:tcPr>
          <w:p w14:paraId="A6010000">
            <w:pPr>
              <w:spacing w:line="240" w:lineRule="auto"/>
              <w:ind/>
              <w:rPr>
                <w:sz w:val="24"/>
              </w:rPr>
            </w:pPr>
            <w:r>
              <w:rPr>
                <w:sz w:val="24"/>
              </w:rPr>
              <w:t>Характеристика профессионального выбора</w:t>
            </w:r>
          </w:p>
        </w:tc>
        <w:tc>
          <w:tcPr>
            <w:tcW w:type="dxa" w:w="2272"/>
          </w:tcPr>
          <w:p w14:paraId="A7010000">
            <w:pPr>
              <w:spacing w:line="240" w:lineRule="auto"/>
              <w:ind/>
              <w:rPr>
                <w:sz w:val="24"/>
              </w:rPr>
            </w:pPr>
            <w:r>
              <w:rPr>
                <w:sz w:val="24"/>
              </w:rPr>
              <w:t>Количество человек</w:t>
            </w:r>
          </w:p>
        </w:tc>
        <w:tc>
          <w:tcPr>
            <w:tcW w:type="dxa" w:w="2267"/>
          </w:tcPr>
          <w:p w14:paraId="A8010000">
            <w:pPr>
              <w:spacing w:line="240" w:lineRule="auto"/>
              <w:ind/>
              <w:rPr>
                <w:sz w:val="24"/>
              </w:rPr>
            </w:pPr>
            <w:r>
              <w:rPr>
                <w:sz w:val="24"/>
              </w:rPr>
              <w:t>Доля от выборки, %</w:t>
            </w:r>
          </w:p>
        </w:tc>
      </w:tr>
      <w:tr>
        <w:tc>
          <w:tcPr>
            <w:tcW w:type="dxa" w:w="4806"/>
          </w:tcPr>
          <w:p w14:paraId="A9010000">
            <w:pPr>
              <w:spacing w:line="240" w:lineRule="auto"/>
              <w:ind/>
              <w:rPr>
                <w:sz w:val="24"/>
              </w:rPr>
            </w:pPr>
            <w:r>
              <w:rPr>
                <w:sz w:val="24"/>
              </w:rPr>
              <w:t>Профессиональные интересы сформированы</w:t>
            </w:r>
          </w:p>
        </w:tc>
        <w:tc>
          <w:tcPr>
            <w:tcW w:type="dxa" w:w="2272"/>
          </w:tcPr>
          <w:p w14:paraId="AA010000">
            <w:pPr>
              <w:spacing w:line="240" w:lineRule="auto"/>
              <w:ind/>
              <w:rPr>
                <w:sz w:val="24"/>
              </w:rPr>
            </w:pPr>
            <w:r>
              <w:rPr>
                <w:sz w:val="24"/>
              </w:rPr>
              <w:t>9</w:t>
            </w:r>
          </w:p>
        </w:tc>
        <w:tc>
          <w:tcPr>
            <w:tcW w:type="dxa" w:w="2267"/>
          </w:tcPr>
          <w:p w14:paraId="AB010000">
            <w:pPr>
              <w:spacing w:line="240" w:lineRule="auto"/>
              <w:ind/>
              <w:rPr>
                <w:sz w:val="24"/>
              </w:rPr>
            </w:pPr>
            <w:r>
              <w:rPr>
                <w:sz w:val="24"/>
              </w:rPr>
              <w:t>45</w:t>
            </w:r>
          </w:p>
        </w:tc>
      </w:tr>
      <w:tr>
        <w:tc>
          <w:tcPr>
            <w:tcW w:type="dxa" w:w="4806"/>
          </w:tcPr>
          <w:p w14:paraId="AC010000">
            <w:pPr>
              <w:spacing w:line="240" w:lineRule="auto"/>
              <w:ind/>
              <w:rPr>
                <w:sz w:val="24"/>
              </w:rPr>
            </w:pPr>
            <w:r>
              <w:rPr>
                <w:sz w:val="24"/>
              </w:rPr>
              <w:t>Выбор профессии не определ</w:t>
            </w:r>
            <w:r>
              <w:rPr>
                <w:sz w:val="24"/>
              </w:rPr>
              <w:t>е</w:t>
            </w:r>
            <w:r>
              <w:rPr>
                <w:sz w:val="24"/>
              </w:rPr>
              <w:t>н</w:t>
            </w:r>
          </w:p>
        </w:tc>
        <w:tc>
          <w:tcPr>
            <w:tcW w:type="dxa" w:w="2272"/>
          </w:tcPr>
          <w:p w14:paraId="AD010000">
            <w:pPr>
              <w:spacing w:line="240" w:lineRule="auto"/>
              <w:ind/>
              <w:rPr>
                <w:sz w:val="24"/>
              </w:rPr>
            </w:pPr>
            <w:r>
              <w:rPr>
                <w:sz w:val="24"/>
              </w:rPr>
              <w:t>7</w:t>
            </w:r>
          </w:p>
        </w:tc>
        <w:tc>
          <w:tcPr>
            <w:tcW w:type="dxa" w:w="2267"/>
          </w:tcPr>
          <w:p w14:paraId="AE010000">
            <w:pPr>
              <w:spacing w:line="240" w:lineRule="auto"/>
              <w:ind/>
              <w:rPr>
                <w:sz w:val="24"/>
              </w:rPr>
            </w:pPr>
            <w:r>
              <w:rPr>
                <w:sz w:val="24"/>
              </w:rPr>
              <w:t>35</w:t>
            </w:r>
          </w:p>
        </w:tc>
      </w:tr>
      <w:tr>
        <w:tc>
          <w:tcPr>
            <w:tcW w:type="dxa" w:w="4806"/>
          </w:tcPr>
          <w:p w14:paraId="AF010000">
            <w:pPr>
              <w:spacing w:line="240" w:lineRule="auto"/>
              <w:ind/>
              <w:rPr>
                <w:sz w:val="24"/>
              </w:rPr>
            </w:pPr>
            <w:r>
              <w:rPr>
                <w:sz w:val="24"/>
              </w:rPr>
              <w:t>Испытывают сомнения в принятом решении</w:t>
            </w:r>
          </w:p>
        </w:tc>
        <w:tc>
          <w:tcPr>
            <w:tcW w:type="dxa" w:w="2272"/>
          </w:tcPr>
          <w:p w14:paraId="B0010000">
            <w:pPr>
              <w:spacing w:line="240" w:lineRule="auto"/>
              <w:ind/>
              <w:rPr>
                <w:sz w:val="24"/>
              </w:rPr>
            </w:pPr>
            <w:r>
              <w:rPr>
                <w:sz w:val="24"/>
              </w:rPr>
              <w:t>4</w:t>
            </w:r>
          </w:p>
        </w:tc>
        <w:tc>
          <w:tcPr>
            <w:tcW w:type="dxa" w:w="2267"/>
          </w:tcPr>
          <w:p w14:paraId="B1010000">
            <w:pPr>
              <w:spacing w:line="240" w:lineRule="auto"/>
              <w:ind/>
              <w:rPr>
                <w:sz w:val="24"/>
              </w:rPr>
            </w:pPr>
            <w:r>
              <w:rPr>
                <w:sz w:val="24"/>
              </w:rPr>
              <w:t>20</w:t>
            </w:r>
          </w:p>
        </w:tc>
      </w:tr>
      <w:tr>
        <w:tc>
          <w:tcPr>
            <w:tcW w:type="dxa" w:w="4806"/>
          </w:tcPr>
          <w:p w14:paraId="B2010000">
            <w:pPr>
              <w:spacing w:line="240" w:lineRule="auto"/>
              <w:ind/>
              <w:rPr>
                <w:sz w:val="24"/>
              </w:rPr>
            </w:pPr>
            <w:r>
              <w:rPr>
                <w:sz w:val="24"/>
              </w:rPr>
              <w:t>Всего</w:t>
            </w:r>
          </w:p>
        </w:tc>
        <w:tc>
          <w:tcPr>
            <w:tcW w:type="dxa" w:w="2272"/>
          </w:tcPr>
          <w:p w14:paraId="B3010000">
            <w:pPr>
              <w:spacing w:line="240" w:lineRule="auto"/>
              <w:ind/>
              <w:rPr>
                <w:sz w:val="24"/>
              </w:rPr>
            </w:pPr>
            <w:r>
              <w:rPr>
                <w:sz w:val="24"/>
              </w:rPr>
              <w:t>20</w:t>
            </w:r>
          </w:p>
        </w:tc>
        <w:tc>
          <w:tcPr>
            <w:tcW w:type="dxa" w:w="2267"/>
          </w:tcPr>
          <w:p w14:paraId="B4010000">
            <w:pPr>
              <w:spacing w:line="240" w:lineRule="auto"/>
              <w:ind/>
              <w:rPr>
                <w:sz w:val="24"/>
              </w:rPr>
            </w:pPr>
            <w:r>
              <w:rPr>
                <w:sz w:val="24"/>
              </w:rPr>
              <w:t>100</w:t>
            </w:r>
          </w:p>
        </w:tc>
      </w:tr>
    </w:tbl>
    <w:p w14:paraId="B5010000">
      <w:pPr>
        <w:ind w:firstLine="709" w:left="0"/>
      </w:pPr>
    </w:p>
    <w:p w14:paraId="B6010000">
      <w:pPr>
        <w:ind w:firstLine="709" w:left="0"/>
      </w:pPr>
      <w:r>
        <w:t>Графическое распределение показателей представлено на рисунке 5.</w:t>
      </w:r>
    </w:p>
    <w:p w14:paraId="B7010000">
      <w:pPr>
        <w:ind/>
        <w:jc w:val="center"/>
        <w:rPr>
          <w:b w:val="1"/>
        </w:rPr>
      </w:pPr>
      <w:r>
        <w:rPr>
          <w:b w:val="1"/>
        </w:rPr>
        <w:drawing>
          <wp:inline>
            <wp:extent cx="5710041" cy="3307080"/>
            <wp:effectExtent b="0" l="0" r="0" t="0"/>
            <wp:docPr hidden="false" id="10" name="Picture 10"/>
            <a:graphic>
              <a:graphicData uri="http://schemas.openxmlformats.org/drawingml/2006/picture">
                <pic:pic>
                  <pic:nvPicPr>
                    <pic:cNvPr hidden="false" id="9" name="Picture 9"/>
                    <pic:cNvPicPr preferRelativeResize="true"/>
                  </pic:nvPicPr>
                  <pic:blipFill>
                    <a:blip r:embed="rId6"/>
                    <a:srcRect b="0" l="0" r="0" t="0"/>
                    <a:stretch/>
                  </pic:blipFill>
                  <pic:spPr>
                    <a:xfrm flipH="false" flipV="false" rot="0">
                      <a:ext cx="5710041" cy="3307080"/>
                    </a:xfrm>
                    <a:prstGeom prst="rect"/>
                  </pic:spPr>
                </pic:pic>
              </a:graphicData>
            </a:graphic>
          </wp:inline>
        </w:drawing>
      </w:r>
    </w:p>
    <w:p w14:paraId="B8010000">
      <w:pPr>
        <w:spacing w:line="240" w:lineRule="auto"/>
        <w:ind/>
        <w:jc w:val="center"/>
      </w:pPr>
      <w:r>
        <w:t>Рисунок 5 — Степень сформированности профессионального выбора старшеклассников</w:t>
      </w:r>
    </w:p>
    <w:p w14:paraId="B9010000">
      <w:pPr>
        <w:ind w:firstLine="709" w:left="0"/>
      </w:pPr>
    </w:p>
    <w:p w14:paraId="BA010000">
      <w:pPr>
        <w:ind w:firstLine="709" w:left="0"/>
      </w:pPr>
      <w:r>
        <w:t>Сформированные профессиональные интересы выявлены у 9 участников, или у 45 % выборки. Эти старшеклассники называли привлекательную сферу, объясняли причины своего интереса и представляли возможное направление дальнейшего обучения. Вместе с тем не все из них располагали подробным планом поступления.</w:t>
      </w:r>
    </w:p>
    <w:p w14:paraId="BB010000">
      <w:pPr>
        <w:ind w:firstLine="709" w:left="0"/>
      </w:pPr>
      <w:r>
        <w:t>Семь обучающихся, или 35 %, не определились с выбором. Они называли несколько несвязанных вариантов либо затруднялись обозначить приоритетное направление. Такая неопредел</w:t>
      </w:r>
      <w:r>
        <w:t>е</w:t>
      </w:r>
      <w:r>
        <w:t>нность указывает на недостаток критериев выбора, ограниченную информированность или неустойчивость представлений о собственных возможностях.</w:t>
      </w:r>
    </w:p>
    <w:p w14:paraId="BC010000">
      <w:pPr>
        <w:ind w:firstLine="709" w:left="0"/>
      </w:pPr>
      <w:r>
        <w:t>Ещ</w:t>
      </w:r>
      <w:r>
        <w:t>е</w:t>
      </w:r>
      <w:r>
        <w:t xml:space="preserve"> 4 участника, что соответствует 20 %, сомневались в принятом решении. В отличие от неопределившихся старшеклассников, они уже рассматривали конкретную профессию, но не были уверены в е</w:t>
      </w:r>
      <w:r>
        <w:t>е</w:t>
      </w:r>
      <w:r>
        <w:t xml:space="preserve"> соответствии интересам, способностям и жизненным планам. Эта группа нуждалась в уточняющей диагностике и индивидуальной консультации.</w:t>
      </w:r>
    </w:p>
    <w:p w14:paraId="BD010000">
      <w:pPr>
        <w:ind w:firstLine="709" w:left="0"/>
      </w:pPr>
      <w:r>
        <w:t>Цифры показывают, что 11 участников, или 55 % выборки, не имели устойчивого профессионального плана. Показатель вступает в противоречие с относительно высокой мотивацией большинства обследованных. Старшеклассники готовы учиться, но значительная часть пока не понимает, какое направление соответствует их особенностям.</w:t>
      </w:r>
    </w:p>
    <w:p w14:paraId="BE010000">
      <w:pPr>
        <w:ind w:firstLine="709" w:left="0"/>
      </w:pPr>
      <w:r>
        <w:t>Обобщение результатов позволило выделить три основные тенденции. Первая проявилась в устойчивом интересе к социальной деятельности. Е</w:t>
      </w:r>
      <w:r>
        <w:t>е</w:t>
      </w:r>
      <w:r>
        <w:t xml:space="preserve"> подтвердили ДДО Е. А. Климова, «Карта интересов» и опросник Дж. Холланда.</w:t>
      </w:r>
    </w:p>
    <w:p w14:paraId="BF010000">
      <w:pPr>
        <w:ind w:firstLine="709" w:left="0"/>
      </w:pPr>
      <w:r>
        <w:t>Вторая тенденция связана со значительной представленностью знаково-информационного направления. Участники проявили интерес к информационным технологиям, математике, экономике, аналитическим задачам и упорядоченной работе с данными. Эта группа нуждается в расширении представлений о современных цифровых и экономических профессиях.</w:t>
      </w:r>
    </w:p>
    <w:p w14:paraId="C0010000">
      <w:pPr>
        <w:ind w:firstLine="709" w:left="0"/>
      </w:pPr>
      <w:r>
        <w:t>Третья тенденция отражает несоответствие между мотивационной готовностью и осознанностью профессионального выбора. Высокий уровень мотивации выявлен у 65 % участников, тогда как сформированные профессиональные интересы зафиксированы только у 45 %. Разница в 20 процентных пунктов показывает, что часть старшеклассников стремится продолжить обучение, но ещ</w:t>
      </w:r>
      <w:r>
        <w:t>е</w:t>
      </w:r>
      <w:r>
        <w:t xml:space="preserve"> не связывает эту цель с конкретной профессиональной траекторией.</w:t>
      </w:r>
    </w:p>
    <w:p w14:paraId="C1010000">
      <w:pPr>
        <w:ind w:firstLine="709" w:left="0"/>
      </w:pPr>
      <w:r>
        <w:t>Первичная диагностика выявила не только ресурсы группы, но и зоны затруднений. К ресурсам относятся выраженная учебная мотивация, интерес к нескольким профессиональным областям и готовность обсуждать будущее. Основные трудности связаны с недостатком информации, сомнениями при выборе, ограниченным знанием образовательных маршрутов и слабой аргументацией профессиональных намерений.</w:t>
      </w:r>
    </w:p>
    <w:p w14:paraId="C2010000">
      <w:pPr>
        <w:ind w:firstLine="709" w:left="0"/>
      </w:pPr>
      <w:r>
        <w:t xml:space="preserve">На основании полученных результатов автор определил содержание программы психологического сопровождения. Она должна расширить знания </w:t>
      </w:r>
      <w:r>
        <w:t>о группах профессий, развить навыки самоанализа, повысить осознанность выбора и помочь старшеклассникам соотнести личные особенности с требованиями будущей деятельности.</w:t>
      </w:r>
    </w:p>
    <w:p w14:paraId="C3010000">
      <w:pPr>
        <w:ind w:firstLine="709" w:left="0"/>
      </w:pPr>
    </w:p>
    <w:p w14:paraId="C4010000">
      <w:bookmarkStart w:id="9" w:name="__RefHeading___9"/>
      <w:bookmarkEnd w:id="9"/>
      <w:pPr>
        <w:pStyle w:val="Style_6"/>
      </w:pPr>
      <w:r>
        <w:t>2</w:t>
      </w:r>
      <w:r>
        <w:t xml:space="preserve">.3 </w:t>
      </w:r>
      <w:r>
        <w:t>Разработка и апробация программы психологического сопровождения профессионального самоопределения старшеклассников</w:t>
      </w:r>
    </w:p>
    <w:p w14:paraId="C5010000">
      <w:pPr>
        <w:ind w:firstLine="709" w:left="0"/>
      </w:pPr>
    </w:p>
    <w:p w14:paraId="C6010000">
      <w:pPr>
        <w:ind w:firstLine="709" w:left="0"/>
      </w:pPr>
      <w:r>
        <w:t>Результаты первичной диагностики показали, что большинство старшеклассников проявляют интерес к продолжению образования, однако не все готовы обосновать профессиональный выбор. Высокий уровень мотивации выявлен у 65 % участников, тогда как сформированные профессиональные интересы имели 45 % обследованных. У 35 % старшеклассников отсутствовал определ</w:t>
      </w:r>
      <w:r>
        <w:t>е</w:t>
      </w:r>
      <w:r>
        <w:t>нный профессиональный план, ещ</w:t>
      </w:r>
      <w:r>
        <w:t>е</w:t>
      </w:r>
      <w:r>
        <w:t xml:space="preserve"> 20 % сомневались в принятом решении.</w:t>
      </w:r>
    </w:p>
    <w:p w14:paraId="C7010000">
      <w:pPr>
        <w:ind w:firstLine="709" w:left="0"/>
      </w:pPr>
      <w:r>
        <w:t>Сопоставление методик выявило несколько устойчивых тенденций. В структуре профессиональных предпочтений преобладали социальная и знаково-информационная направленности. Вместе с тем часть участников обладала недостаточными знаниями о содержании профессий, требованиях к специалисту и вариантах получения образования. Некоторые старшеклассники называли привлекательную сферу, но не связывали е</w:t>
      </w:r>
      <w:r>
        <w:t>е</w:t>
      </w:r>
      <w:r>
        <w:t xml:space="preserve"> с конкретными действиями.</w:t>
      </w:r>
    </w:p>
    <w:p w14:paraId="C8010000">
      <w:pPr>
        <w:ind w:firstLine="709" w:left="0"/>
      </w:pPr>
      <w:r>
        <w:t>Полученные показатели определили содержание формирующей работы. Программа должна была не изменить устойчивые склонности обучающихся, а помочь им лучше понять собственные предпочтения, расширить знания о профессиях и выстроить реалистичный образовательный маршрут. Особое внимание автор уделил мотивации, осознанности решения и способности сравнивать профессиональные альтернативы.</w:t>
      </w:r>
    </w:p>
    <w:p w14:paraId="C9010000">
      <w:pPr>
        <w:ind w:firstLine="709" w:left="0"/>
      </w:pPr>
      <w:r>
        <w:t>Цель программы заключалась в создании психологических условий для осознанного профессионального самоопределения старшеклассников, воспитывающихся в интернатных учреждениях.</w:t>
      </w:r>
    </w:p>
    <w:p w14:paraId="CA010000">
      <w:pPr>
        <w:ind w:firstLine="709" w:left="0"/>
      </w:pPr>
      <w:r>
        <w:t>Для достижения цели автор поставил следующие задачи: расширить представления участников о типах и группах профессий; развить навыки самоанализа; помочь соотнести интересы и способности с требованиями профессиональной деятельности; повысить мотивацию к профессиональному выбору; сформировать умение анализировать образовательные маршруты; снизить неопредел</w:t>
      </w:r>
      <w:r>
        <w:t>е</w:t>
      </w:r>
      <w:r>
        <w:t>нность профессиональных намерений.</w:t>
      </w:r>
    </w:p>
    <w:p w14:paraId="CB010000">
      <w:pPr>
        <w:ind w:firstLine="709" w:left="0"/>
      </w:pPr>
      <w:r>
        <w:t>Программа опиралась на принципы добровольности, субъектности, конфиденциальности, последовательности и индивидуализации. Старшеклассники самостоятельно анализировали результаты диагностики и принимали решения. Психолог не предлагал готовую профессию, а создавал условия для аргументированного выбора.</w:t>
      </w:r>
    </w:p>
    <w:p w14:paraId="CC010000">
      <w:pPr>
        <w:ind w:firstLine="709" w:left="0"/>
      </w:pPr>
      <w:r>
        <w:t>Содержание программы включало диагностическое, просветительское, консультативное и развивающее направления. Каждое из них отвечало определ</w:t>
      </w:r>
      <w:r>
        <w:t>е</w:t>
      </w:r>
      <w:r>
        <w:t>нным затруднениям, выявленным на первом этапе исследования.</w:t>
      </w:r>
    </w:p>
    <w:p w14:paraId="CD010000">
      <w:pPr>
        <w:ind w:firstLine="709" w:left="0"/>
      </w:pPr>
      <w:r>
        <w:t>Диагностическое направление помогало участникам понять собственные интересы и склонности. Оно включало обсуждение результатов методик, самооценку личностных качеств и анализ профессиональных предпочтений. Работа не ограничивалась сообщением баллов. Старшеклассники сопоставляли показатели тестов со своим опытом и учебными достижениями.</w:t>
      </w:r>
    </w:p>
    <w:p w14:paraId="CE010000">
      <w:pPr>
        <w:ind w:firstLine="709" w:left="0"/>
      </w:pPr>
      <w:r>
        <w:t>Просветительское направление было связано с расширением профессионального кругозора. Участники изучали классификацию профессий, содержание трудовых задач, требования к подготовке и способы получения образования. Отдельный блок посвящался поиску достоверной информации о колледжах, вузах и условиях поступления.</w:t>
      </w:r>
    </w:p>
    <w:p w14:paraId="CF010000">
      <w:pPr>
        <w:ind w:firstLine="709" w:left="0"/>
      </w:pPr>
      <w:r>
        <w:t xml:space="preserve">Консультативное направление предусматривало индивидуальные беседы. В первую очередь консультации проводились со старшеклассниками, </w:t>
      </w:r>
      <w:r>
        <w:t>которые не определились с выбором либо сомневались в принятом решении. Психолог помогал уточнить мотивы, сравнить варианты и определить возможные шаги после окончания школы.</w:t>
      </w:r>
    </w:p>
    <w:p w14:paraId="D0010000">
      <w:pPr>
        <w:ind w:firstLine="709" w:left="0"/>
      </w:pPr>
      <w:r>
        <w:t>Развивающее направление было ориентировано на формирование навыков самоанализа, целеполагания и принятия решений. Участники определяли профессионально значимые качества, анализировали жизненные ценности и составляли индивидуальный образовательный план. Такие задания переводили общий интерес к профессии в последовательность конкретных действий.</w:t>
      </w:r>
    </w:p>
    <w:p w14:paraId="D1010000">
      <w:pPr>
        <w:ind w:firstLine="709" w:left="0"/>
      </w:pPr>
      <w:r>
        <w:t>Программа была рассчитана на 10 групповых занятий продолжительностью 45–60 минут. Занятия проводились один раз в неделю. Групповую работу дополнили индивидуальные консультации для участников, испытывавших наиболее выраженные затруднения.</w:t>
      </w:r>
    </w:p>
    <w:p w14:paraId="D2010000">
      <w:pPr>
        <w:ind w:firstLine="709" w:left="0"/>
      </w:pPr>
      <w:r>
        <w:t>Содержание программы представлено в таблице 7.</w:t>
      </w:r>
    </w:p>
    <w:p w14:paraId="D3010000">
      <w:pPr>
        <w:ind w:firstLine="709" w:left="0"/>
        <w:rPr>
          <w:b w:val="1"/>
        </w:rPr>
      </w:pPr>
    </w:p>
    <w:p w14:paraId="D4010000">
      <w:pPr>
        <w:spacing w:line="240" w:lineRule="auto"/>
        <w:ind/>
      </w:pPr>
      <w:r>
        <w:t>Таблица 7 — Содержание программы психологического сопровождения профессионального самоопределения старшеклассников</w:t>
      </w:r>
    </w:p>
    <w:p w14:paraId="D5010000">
      <w:pPr>
        <w:spacing w:line="240" w:lineRule="auto"/>
        <w:ind/>
      </w:pPr>
    </w:p>
    <w:tbl>
      <w:tblPr>
        <w:tblStyle w:val="Style_7"/>
        <w:tblLayout w:type="fixed"/>
      </w:tblPr>
      <w:tblGrid>
        <w:gridCol w:w="445"/>
        <w:gridCol w:w="2240"/>
        <w:gridCol w:w="4509"/>
        <w:gridCol w:w="2140"/>
      </w:tblGrid>
      <w:tr>
        <w:tc>
          <w:tcPr>
            <w:tcW w:type="dxa" w:w="445"/>
          </w:tcPr>
          <w:p w14:paraId="D6010000">
            <w:pPr>
              <w:spacing w:line="240" w:lineRule="auto"/>
              <w:ind/>
              <w:rPr>
                <w:sz w:val="24"/>
              </w:rPr>
            </w:pPr>
            <w:r>
              <w:rPr>
                <w:sz w:val="24"/>
              </w:rPr>
              <w:t>№</w:t>
            </w:r>
          </w:p>
        </w:tc>
        <w:tc>
          <w:tcPr>
            <w:tcW w:type="dxa" w:w="2240"/>
          </w:tcPr>
          <w:p w14:paraId="D7010000">
            <w:pPr>
              <w:spacing w:line="240" w:lineRule="auto"/>
              <w:ind/>
              <w:rPr>
                <w:sz w:val="24"/>
              </w:rPr>
            </w:pPr>
            <w:r>
              <w:rPr>
                <w:sz w:val="24"/>
              </w:rPr>
              <w:t>Тема занятия</w:t>
            </w:r>
          </w:p>
        </w:tc>
        <w:tc>
          <w:tcPr>
            <w:tcW w:type="dxa" w:w="4509"/>
          </w:tcPr>
          <w:p w14:paraId="D8010000">
            <w:pPr>
              <w:spacing w:line="240" w:lineRule="auto"/>
              <w:ind/>
              <w:rPr>
                <w:sz w:val="24"/>
              </w:rPr>
            </w:pPr>
            <w:r>
              <w:rPr>
                <w:sz w:val="24"/>
              </w:rPr>
              <w:t>Основное содержание</w:t>
            </w:r>
          </w:p>
        </w:tc>
        <w:tc>
          <w:tcPr>
            <w:tcW w:type="dxa" w:w="2140"/>
          </w:tcPr>
          <w:p w14:paraId="D9010000">
            <w:pPr>
              <w:spacing w:line="240" w:lineRule="auto"/>
              <w:ind/>
              <w:rPr>
                <w:sz w:val="24"/>
              </w:rPr>
            </w:pPr>
            <w:r>
              <w:rPr>
                <w:sz w:val="24"/>
              </w:rPr>
              <w:t>Направление работы</w:t>
            </w:r>
          </w:p>
        </w:tc>
      </w:tr>
      <w:tr>
        <w:tc>
          <w:tcPr>
            <w:tcW w:type="dxa" w:w="445"/>
          </w:tcPr>
          <w:p w14:paraId="DA010000">
            <w:pPr>
              <w:spacing w:line="240" w:lineRule="auto"/>
              <w:ind/>
              <w:rPr>
                <w:sz w:val="24"/>
              </w:rPr>
            </w:pPr>
            <w:r>
              <w:rPr>
                <w:sz w:val="24"/>
              </w:rPr>
              <w:t>1</w:t>
            </w:r>
          </w:p>
        </w:tc>
        <w:tc>
          <w:tcPr>
            <w:tcW w:type="dxa" w:w="2240"/>
          </w:tcPr>
          <w:p w14:paraId="DB010000">
            <w:pPr>
              <w:spacing w:line="240" w:lineRule="auto"/>
              <w:ind/>
              <w:rPr>
                <w:sz w:val="24"/>
              </w:rPr>
            </w:pPr>
            <w:r>
              <w:rPr>
                <w:sz w:val="24"/>
              </w:rPr>
              <w:t>«Мой профессиональный выбор»</w:t>
            </w:r>
          </w:p>
        </w:tc>
        <w:tc>
          <w:tcPr>
            <w:tcW w:type="dxa" w:w="4509"/>
          </w:tcPr>
          <w:p w14:paraId="DC010000">
            <w:pPr>
              <w:spacing w:line="240" w:lineRule="auto"/>
              <w:ind/>
              <w:rPr>
                <w:sz w:val="24"/>
              </w:rPr>
            </w:pPr>
            <w:r>
              <w:rPr>
                <w:sz w:val="24"/>
              </w:rPr>
              <w:t>Обсуждение ожиданий, правил работы и трудностей профессионального выбора</w:t>
            </w:r>
          </w:p>
        </w:tc>
        <w:tc>
          <w:tcPr>
            <w:tcW w:type="dxa" w:w="2140"/>
          </w:tcPr>
          <w:p w14:paraId="DD010000">
            <w:pPr>
              <w:spacing w:line="240" w:lineRule="auto"/>
              <w:ind/>
              <w:rPr>
                <w:sz w:val="24"/>
              </w:rPr>
            </w:pPr>
            <w:r>
              <w:rPr>
                <w:sz w:val="24"/>
              </w:rPr>
              <w:t>Диагностическое, мотивационное</w:t>
            </w:r>
          </w:p>
        </w:tc>
      </w:tr>
      <w:tr>
        <w:tc>
          <w:tcPr>
            <w:tcW w:type="dxa" w:w="445"/>
          </w:tcPr>
          <w:p w14:paraId="DE010000">
            <w:pPr>
              <w:spacing w:line="240" w:lineRule="auto"/>
              <w:ind/>
              <w:rPr>
                <w:sz w:val="24"/>
              </w:rPr>
            </w:pPr>
            <w:r>
              <w:rPr>
                <w:sz w:val="24"/>
              </w:rPr>
              <w:t>2</w:t>
            </w:r>
          </w:p>
        </w:tc>
        <w:tc>
          <w:tcPr>
            <w:tcW w:type="dxa" w:w="2240"/>
          </w:tcPr>
          <w:p w14:paraId="DF010000">
            <w:pPr>
              <w:spacing w:line="240" w:lineRule="auto"/>
              <w:ind/>
              <w:rPr>
                <w:sz w:val="24"/>
              </w:rPr>
            </w:pPr>
            <w:r>
              <w:rPr>
                <w:sz w:val="24"/>
              </w:rPr>
              <w:t>«Мои интересы и склонности»</w:t>
            </w:r>
          </w:p>
        </w:tc>
        <w:tc>
          <w:tcPr>
            <w:tcW w:type="dxa" w:w="4509"/>
          </w:tcPr>
          <w:p w14:paraId="E0010000">
            <w:pPr>
              <w:spacing w:line="240" w:lineRule="auto"/>
              <w:ind/>
              <w:rPr>
                <w:sz w:val="24"/>
              </w:rPr>
            </w:pPr>
            <w:r>
              <w:rPr>
                <w:sz w:val="24"/>
              </w:rPr>
              <w:t>Анализ результатов ДДО, «Карты интересов» и опросника Дж. Холланда</w:t>
            </w:r>
          </w:p>
        </w:tc>
        <w:tc>
          <w:tcPr>
            <w:tcW w:type="dxa" w:w="2140"/>
          </w:tcPr>
          <w:p w14:paraId="E1010000">
            <w:pPr>
              <w:spacing w:line="240" w:lineRule="auto"/>
              <w:ind/>
              <w:rPr>
                <w:sz w:val="24"/>
              </w:rPr>
            </w:pPr>
            <w:r>
              <w:rPr>
                <w:sz w:val="24"/>
              </w:rPr>
              <w:t>Диагностическое, развивающее</w:t>
            </w:r>
          </w:p>
        </w:tc>
      </w:tr>
      <w:tr>
        <w:tc>
          <w:tcPr>
            <w:tcW w:type="dxa" w:w="445"/>
          </w:tcPr>
          <w:p w14:paraId="E2010000">
            <w:pPr>
              <w:spacing w:line="240" w:lineRule="auto"/>
              <w:ind/>
              <w:rPr>
                <w:sz w:val="24"/>
              </w:rPr>
            </w:pPr>
            <w:r>
              <w:rPr>
                <w:sz w:val="24"/>
              </w:rPr>
              <w:t>3</w:t>
            </w:r>
          </w:p>
        </w:tc>
        <w:tc>
          <w:tcPr>
            <w:tcW w:type="dxa" w:w="2240"/>
          </w:tcPr>
          <w:p w14:paraId="E3010000">
            <w:pPr>
              <w:spacing w:line="240" w:lineRule="auto"/>
              <w:ind/>
              <w:rPr>
                <w:sz w:val="24"/>
              </w:rPr>
            </w:pPr>
            <w:r>
              <w:rPr>
                <w:sz w:val="24"/>
              </w:rPr>
              <w:t>«Мои сильные стороны»</w:t>
            </w:r>
          </w:p>
        </w:tc>
        <w:tc>
          <w:tcPr>
            <w:tcW w:type="dxa" w:w="4509"/>
          </w:tcPr>
          <w:p w14:paraId="E4010000">
            <w:pPr>
              <w:spacing w:line="240" w:lineRule="auto"/>
              <w:ind/>
              <w:rPr>
                <w:sz w:val="24"/>
              </w:rPr>
            </w:pPr>
            <w:r>
              <w:rPr>
                <w:sz w:val="24"/>
              </w:rPr>
              <w:t>Самооценка способностей, личностных качеств и достижений</w:t>
            </w:r>
          </w:p>
        </w:tc>
        <w:tc>
          <w:tcPr>
            <w:tcW w:type="dxa" w:w="2140"/>
          </w:tcPr>
          <w:p w14:paraId="E5010000">
            <w:pPr>
              <w:spacing w:line="240" w:lineRule="auto"/>
              <w:ind/>
              <w:rPr>
                <w:sz w:val="24"/>
              </w:rPr>
            </w:pPr>
            <w:r>
              <w:rPr>
                <w:sz w:val="24"/>
              </w:rPr>
              <w:t>Развивающее</w:t>
            </w:r>
          </w:p>
        </w:tc>
      </w:tr>
      <w:tr>
        <w:tc>
          <w:tcPr>
            <w:tcW w:type="dxa" w:w="445"/>
          </w:tcPr>
          <w:p w14:paraId="E6010000">
            <w:pPr>
              <w:spacing w:line="240" w:lineRule="auto"/>
              <w:ind/>
              <w:rPr>
                <w:sz w:val="24"/>
              </w:rPr>
            </w:pPr>
            <w:r>
              <w:rPr>
                <w:sz w:val="24"/>
              </w:rPr>
              <w:t>4</w:t>
            </w:r>
          </w:p>
        </w:tc>
        <w:tc>
          <w:tcPr>
            <w:tcW w:type="dxa" w:w="2240"/>
          </w:tcPr>
          <w:p w14:paraId="E7010000">
            <w:pPr>
              <w:spacing w:line="240" w:lineRule="auto"/>
              <w:ind/>
              <w:rPr>
                <w:sz w:val="24"/>
              </w:rPr>
            </w:pPr>
            <w:r>
              <w:rPr>
                <w:sz w:val="24"/>
              </w:rPr>
              <w:t>«Мир профессий»</w:t>
            </w:r>
          </w:p>
        </w:tc>
        <w:tc>
          <w:tcPr>
            <w:tcW w:type="dxa" w:w="4509"/>
          </w:tcPr>
          <w:p w14:paraId="E8010000">
            <w:pPr>
              <w:spacing w:line="240" w:lineRule="auto"/>
              <w:ind/>
              <w:rPr>
                <w:sz w:val="24"/>
              </w:rPr>
            </w:pPr>
            <w:r>
              <w:rPr>
                <w:sz w:val="24"/>
              </w:rPr>
              <w:t>Классификация профессий, предмет и условия труда</w:t>
            </w:r>
          </w:p>
        </w:tc>
        <w:tc>
          <w:tcPr>
            <w:tcW w:type="dxa" w:w="2140"/>
          </w:tcPr>
          <w:p w14:paraId="E9010000">
            <w:pPr>
              <w:spacing w:line="240" w:lineRule="auto"/>
              <w:ind/>
              <w:rPr>
                <w:sz w:val="24"/>
              </w:rPr>
            </w:pPr>
            <w:r>
              <w:rPr>
                <w:sz w:val="24"/>
              </w:rPr>
              <w:t>Просветительское</w:t>
            </w:r>
          </w:p>
        </w:tc>
      </w:tr>
      <w:tr>
        <w:tc>
          <w:tcPr>
            <w:tcW w:type="dxa" w:w="445"/>
          </w:tcPr>
          <w:p w14:paraId="EA010000">
            <w:pPr>
              <w:spacing w:line="240" w:lineRule="auto"/>
              <w:ind/>
              <w:rPr>
                <w:sz w:val="24"/>
              </w:rPr>
            </w:pPr>
            <w:r>
              <w:rPr>
                <w:sz w:val="24"/>
              </w:rPr>
              <w:t>5</w:t>
            </w:r>
          </w:p>
        </w:tc>
        <w:tc>
          <w:tcPr>
            <w:tcW w:type="dxa" w:w="2240"/>
          </w:tcPr>
          <w:p w14:paraId="EB010000">
            <w:pPr>
              <w:spacing w:line="240" w:lineRule="auto"/>
              <w:ind/>
              <w:rPr>
                <w:sz w:val="24"/>
              </w:rPr>
            </w:pPr>
            <w:r>
              <w:rPr>
                <w:sz w:val="24"/>
              </w:rPr>
              <w:t>«Профессия изнутри»</w:t>
            </w:r>
          </w:p>
        </w:tc>
        <w:tc>
          <w:tcPr>
            <w:tcW w:type="dxa" w:w="4509"/>
          </w:tcPr>
          <w:p w14:paraId="EC010000">
            <w:pPr>
              <w:spacing w:line="240" w:lineRule="auto"/>
              <w:ind/>
              <w:rPr>
                <w:sz w:val="24"/>
              </w:rPr>
            </w:pPr>
            <w:r>
              <w:rPr>
                <w:sz w:val="24"/>
              </w:rPr>
              <w:t>Работа с профессиограммами и требованиями к специалисту</w:t>
            </w:r>
          </w:p>
        </w:tc>
        <w:tc>
          <w:tcPr>
            <w:tcW w:type="dxa" w:w="2140"/>
          </w:tcPr>
          <w:p w14:paraId="ED010000">
            <w:pPr>
              <w:spacing w:line="240" w:lineRule="auto"/>
              <w:ind/>
              <w:rPr>
                <w:sz w:val="24"/>
              </w:rPr>
            </w:pPr>
            <w:r>
              <w:rPr>
                <w:sz w:val="24"/>
              </w:rPr>
              <w:t>Просветительское</w:t>
            </w:r>
          </w:p>
        </w:tc>
      </w:tr>
      <w:tr>
        <w:tc>
          <w:tcPr>
            <w:tcW w:type="dxa" w:w="445"/>
          </w:tcPr>
          <w:p w14:paraId="EE010000">
            <w:pPr>
              <w:spacing w:line="240" w:lineRule="auto"/>
              <w:ind/>
              <w:rPr>
                <w:sz w:val="24"/>
              </w:rPr>
            </w:pPr>
            <w:r>
              <w:rPr>
                <w:sz w:val="24"/>
              </w:rPr>
              <w:t>6</w:t>
            </w:r>
          </w:p>
        </w:tc>
        <w:tc>
          <w:tcPr>
            <w:tcW w:type="dxa" w:w="2240"/>
          </w:tcPr>
          <w:p w14:paraId="EF010000">
            <w:pPr>
              <w:spacing w:line="240" w:lineRule="auto"/>
              <w:ind/>
              <w:rPr>
                <w:sz w:val="24"/>
              </w:rPr>
            </w:pPr>
            <w:r>
              <w:rPr>
                <w:sz w:val="24"/>
              </w:rPr>
              <w:t>«Мотивы профессионального выбора»</w:t>
            </w:r>
          </w:p>
        </w:tc>
        <w:tc>
          <w:tcPr>
            <w:tcW w:type="dxa" w:w="4509"/>
          </w:tcPr>
          <w:p w14:paraId="F0010000">
            <w:pPr>
              <w:spacing w:line="240" w:lineRule="auto"/>
              <w:ind/>
              <w:rPr>
                <w:sz w:val="24"/>
              </w:rPr>
            </w:pPr>
            <w:r>
              <w:rPr>
                <w:sz w:val="24"/>
              </w:rPr>
              <w:t>Анализ внутренних и внешних мотивов, профессиональных ценностей</w:t>
            </w:r>
          </w:p>
        </w:tc>
        <w:tc>
          <w:tcPr>
            <w:tcW w:type="dxa" w:w="2140"/>
          </w:tcPr>
          <w:p w14:paraId="F1010000">
            <w:pPr>
              <w:spacing w:line="240" w:lineRule="auto"/>
              <w:ind/>
              <w:rPr>
                <w:sz w:val="24"/>
              </w:rPr>
            </w:pPr>
            <w:r>
              <w:rPr>
                <w:sz w:val="24"/>
              </w:rPr>
              <w:t>Развивающее</w:t>
            </w:r>
          </w:p>
        </w:tc>
      </w:tr>
      <w:tr>
        <w:tc>
          <w:tcPr>
            <w:tcW w:type="dxa" w:w="445"/>
          </w:tcPr>
          <w:p w14:paraId="F2010000">
            <w:pPr>
              <w:spacing w:line="240" w:lineRule="auto"/>
              <w:ind/>
              <w:rPr>
                <w:sz w:val="24"/>
              </w:rPr>
            </w:pPr>
            <w:r>
              <w:rPr>
                <w:sz w:val="24"/>
              </w:rPr>
              <w:t>7</w:t>
            </w:r>
          </w:p>
        </w:tc>
        <w:tc>
          <w:tcPr>
            <w:tcW w:type="dxa" w:w="2240"/>
          </w:tcPr>
          <w:p w14:paraId="F3010000">
            <w:pPr>
              <w:spacing w:line="240" w:lineRule="auto"/>
              <w:ind/>
              <w:rPr>
                <w:sz w:val="24"/>
              </w:rPr>
            </w:pPr>
            <w:r>
              <w:rPr>
                <w:sz w:val="24"/>
              </w:rPr>
              <w:t>«Как принять решение»</w:t>
            </w:r>
          </w:p>
        </w:tc>
        <w:tc>
          <w:tcPr>
            <w:tcW w:type="dxa" w:w="4509"/>
          </w:tcPr>
          <w:p w14:paraId="F4010000">
            <w:pPr>
              <w:spacing w:line="240" w:lineRule="auto"/>
              <w:ind/>
              <w:rPr>
                <w:sz w:val="24"/>
              </w:rPr>
            </w:pPr>
            <w:r>
              <w:rPr>
                <w:sz w:val="24"/>
              </w:rPr>
              <w:t>Сравнение альтернатив, оценка преимуществ, ограничений и рисков</w:t>
            </w:r>
          </w:p>
        </w:tc>
        <w:tc>
          <w:tcPr>
            <w:tcW w:type="dxa" w:w="2140"/>
          </w:tcPr>
          <w:p w14:paraId="F5010000">
            <w:pPr>
              <w:spacing w:line="240" w:lineRule="auto"/>
              <w:ind/>
              <w:rPr>
                <w:sz w:val="24"/>
              </w:rPr>
            </w:pPr>
            <w:r>
              <w:rPr>
                <w:sz w:val="24"/>
              </w:rPr>
              <w:t>Развивающее</w:t>
            </w:r>
          </w:p>
        </w:tc>
      </w:tr>
      <w:tr>
        <w:tc>
          <w:tcPr>
            <w:tcW w:type="dxa" w:w="445"/>
          </w:tcPr>
          <w:p w14:paraId="F6010000">
            <w:pPr>
              <w:spacing w:line="240" w:lineRule="auto"/>
              <w:ind/>
              <w:rPr>
                <w:sz w:val="24"/>
              </w:rPr>
            </w:pPr>
            <w:r>
              <w:rPr>
                <w:sz w:val="24"/>
              </w:rPr>
              <w:t>8</w:t>
            </w:r>
          </w:p>
        </w:tc>
        <w:tc>
          <w:tcPr>
            <w:tcW w:type="dxa" w:w="2240"/>
          </w:tcPr>
          <w:p w14:paraId="F7010000">
            <w:pPr>
              <w:spacing w:line="240" w:lineRule="auto"/>
              <w:ind/>
              <w:rPr>
                <w:sz w:val="24"/>
              </w:rPr>
            </w:pPr>
            <w:r>
              <w:rPr>
                <w:sz w:val="24"/>
              </w:rPr>
              <w:t>«Образовательный маршрут»</w:t>
            </w:r>
          </w:p>
        </w:tc>
        <w:tc>
          <w:tcPr>
            <w:tcW w:type="dxa" w:w="4509"/>
          </w:tcPr>
          <w:p w14:paraId="F8010000">
            <w:pPr>
              <w:spacing w:line="240" w:lineRule="auto"/>
              <w:ind/>
              <w:rPr>
                <w:sz w:val="24"/>
              </w:rPr>
            </w:pPr>
            <w:r>
              <w:rPr>
                <w:sz w:val="24"/>
              </w:rPr>
              <w:t>Поиск программ обучения, анализ условий поступления</w:t>
            </w:r>
          </w:p>
        </w:tc>
        <w:tc>
          <w:tcPr>
            <w:tcW w:type="dxa" w:w="2140"/>
          </w:tcPr>
          <w:p w14:paraId="F9010000">
            <w:pPr>
              <w:spacing w:line="240" w:lineRule="auto"/>
              <w:ind/>
              <w:rPr>
                <w:sz w:val="24"/>
              </w:rPr>
            </w:pPr>
            <w:r>
              <w:rPr>
                <w:sz w:val="24"/>
              </w:rPr>
              <w:t>Просветительское, практическое</w:t>
            </w:r>
          </w:p>
        </w:tc>
      </w:tr>
    </w:tbl>
    <w:p w14:paraId="FA010000"/>
    <w:p w14:paraId="FB010000">
      <w:pPr>
        <w:spacing w:line="240" w:lineRule="auto"/>
        <w:ind/>
      </w:pPr>
      <w:r>
        <w:t>Продолжение таблицы 7</w:t>
      </w:r>
    </w:p>
    <w:p w14:paraId="FC010000">
      <w:pPr>
        <w:spacing w:line="240" w:lineRule="auto"/>
        <w:ind/>
      </w:pPr>
    </w:p>
    <w:tbl>
      <w:tblPr>
        <w:tblStyle w:val="Style_7"/>
        <w:tblLayout w:type="fixed"/>
      </w:tblPr>
      <w:tblGrid>
        <w:gridCol w:w="456"/>
        <w:gridCol w:w="2240"/>
        <w:gridCol w:w="2859"/>
        <w:gridCol w:w="3542"/>
      </w:tblGrid>
      <w:tr>
        <w:tc>
          <w:tcPr>
            <w:tcW w:type="dxa" w:w="456"/>
          </w:tcPr>
          <w:p w14:paraId="FD010000">
            <w:pPr>
              <w:spacing w:line="240" w:lineRule="auto"/>
              <w:ind/>
              <w:rPr>
                <w:sz w:val="24"/>
              </w:rPr>
            </w:pPr>
            <w:r>
              <w:rPr>
                <w:sz w:val="24"/>
              </w:rPr>
              <w:t>№</w:t>
            </w:r>
          </w:p>
        </w:tc>
        <w:tc>
          <w:tcPr>
            <w:tcW w:type="dxa" w:w="2240"/>
          </w:tcPr>
          <w:p w14:paraId="FE010000">
            <w:pPr>
              <w:spacing w:line="240" w:lineRule="auto"/>
              <w:ind/>
              <w:rPr>
                <w:sz w:val="24"/>
              </w:rPr>
            </w:pPr>
            <w:r>
              <w:rPr>
                <w:sz w:val="24"/>
              </w:rPr>
              <w:t>Тема занятия</w:t>
            </w:r>
          </w:p>
        </w:tc>
        <w:tc>
          <w:tcPr>
            <w:tcW w:type="dxa" w:w="2859"/>
          </w:tcPr>
          <w:p w14:paraId="FF010000">
            <w:pPr>
              <w:spacing w:line="240" w:lineRule="auto"/>
              <w:ind/>
              <w:rPr>
                <w:sz w:val="24"/>
              </w:rPr>
            </w:pPr>
            <w:r>
              <w:rPr>
                <w:sz w:val="24"/>
              </w:rPr>
              <w:t>Основное содержание</w:t>
            </w:r>
          </w:p>
        </w:tc>
        <w:tc>
          <w:tcPr>
            <w:tcW w:type="dxa" w:w="3542"/>
          </w:tcPr>
          <w:p w14:paraId="00020000">
            <w:pPr>
              <w:spacing w:line="240" w:lineRule="auto"/>
              <w:ind/>
              <w:rPr>
                <w:sz w:val="24"/>
              </w:rPr>
            </w:pPr>
            <w:r>
              <w:rPr>
                <w:sz w:val="24"/>
              </w:rPr>
              <w:t>Направление работы</w:t>
            </w:r>
          </w:p>
        </w:tc>
      </w:tr>
      <w:tr>
        <w:tc>
          <w:tcPr>
            <w:tcW w:type="dxa" w:w="456"/>
          </w:tcPr>
          <w:p w14:paraId="01020000">
            <w:pPr>
              <w:spacing w:line="240" w:lineRule="auto"/>
              <w:ind/>
              <w:rPr>
                <w:sz w:val="24"/>
              </w:rPr>
            </w:pPr>
            <w:r>
              <w:rPr>
                <w:sz w:val="24"/>
              </w:rPr>
              <w:t>9</w:t>
            </w:r>
          </w:p>
        </w:tc>
        <w:tc>
          <w:tcPr>
            <w:tcW w:type="dxa" w:w="2240"/>
          </w:tcPr>
          <w:p w14:paraId="02020000">
            <w:pPr>
              <w:spacing w:line="240" w:lineRule="auto"/>
              <w:ind/>
              <w:rPr>
                <w:sz w:val="24"/>
              </w:rPr>
            </w:pPr>
            <w:r>
              <w:rPr>
                <w:sz w:val="24"/>
              </w:rPr>
              <w:t>«Мой профессиональный план»</w:t>
            </w:r>
          </w:p>
        </w:tc>
        <w:tc>
          <w:tcPr>
            <w:tcW w:type="dxa" w:w="2859"/>
          </w:tcPr>
          <w:p w14:paraId="03020000">
            <w:pPr>
              <w:spacing w:line="240" w:lineRule="auto"/>
              <w:ind/>
              <w:rPr>
                <w:sz w:val="24"/>
              </w:rPr>
            </w:pPr>
            <w:r>
              <w:rPr>
                <w:sz w:val="24"/>
              </w:rPr>
              <w:t>Определение цели, этапов и сроков е</w:t>
            </w:r>
            <w:r>
              <w:rPr>
                <w:sz w:val="24"/>
              </w:rPr>
              <w:t>е</w:t>
            </w:r>
            <w:r>
              <w:rPr>
                <w:sz w:val="24"/>
              </w:rPr>
              <w:t xml:space="preserve"> достижения</w:t>
            </w:r>
          </w:p>
        </w:tc>
        <w:tc>
          <w:tcPr>
            <w:tcW w:type="dxa" w:w="3542"/>
          </w:tcPr>
          <w:p w14:paraId="04020000">
            <w:pPr>
              <w:spacing w:line="240" w:lineRule="auto"/>
              <w:ind/>
              <w:rPr>
                <w:sz w:val="24"/>
              </w:rPr>
            </w:pPr>
            <w:r>
              <w:rPr>
                <w:sz w:val="24"/>
              </w:rPr>
              <w:t>Развивающее</w:t>
            </w:r>
          </w:p>
        </w:tc>
      </w:tr>
      <w:tr>
        <w:tc>
          <w:tcPr>
            <w:tcW w:type="dxa" w:w="456"/>
          </w:tcPr>
          <w:p w14:paraId="05020000">
            <w:pPr>
              <w:spacing w:line="240" w:lineRule="auto"/>
              <w:ind/>
              <w:rPr>
                <w:sz w:val="24"/>
              </w:rPr>
            </w:pPr>
            <w:r>
              <w:rPr>
                <w:sz w:val="24"/>
              </w:rPr>
              <w:t>10</w:t>
            </w:r>
          </w:p>
        </w:tc>
        <w:tc>
          <w:tcPr>
            <w:tcW w:type="dxa" w:w="2240"/>
          </w:tcPr>
          <w:p w14:paraId="06020000">
            <w:pPr>
              <w:spacing w:line="240" w:lineRule="auto"/>
              <w:ind/>
              <w:rPr>
                <w:sz w:val="24"/>
              </w:rPr>
            </w:pPr>
            <w:r>
              <w:rPr>
                <w:sz w:val="24"/>
              </w:rPr>
              <w:t>«Шаг в профессию»</w:t>
            </w:r>
          </w:p>
        </w:tc>
        <w:tc>
          <w:tcPr>
            <w:tcW w:type="dxa" w:w="2859"/>
          </w:tcPr>
          <w:p w14:paraId="07020000">
            <w:pPr>
              <w:spacing w:line="240" w:lineRule="auto"/>
              <w:ind/>
              <w:rPr>
                <w:sz w:val="24"/>
              </w:rPr>
            </w:pPr>
            <w:r>
              <w:rPr>
                <w:sz w:val="24"/>
              </w:rPr>
              <w:t>Представление индивидуальных планов, рефлексия и итоговое обсуждение</w:t>
            </w:r>
          </w:p>
        </w:tc>
        <w:tc>
          <w:tcPr>
            <w:tcW w:type="dxa" w:w="3542"/>
          </w:tcPr>
          <w:p w14:paraId="08020000">
            <w:pPr>
              <w:spacing w:line="240" w:lineRule="auto"/>
              <w:ind/>
              <w:rPr>
                <w:sz w:val="24"/>
              </w:rPr>
            </w:pPr>
            <w:r>
              <w:rPr>
                <w:sz w:val="24"/>
              </w:rPr>
              <w:t>Консультативное, рефлексивное</w:t>
            </w:r>
          </w:p>
        </w:tc>
      </w:tr>
    </w:tbl>
    <w:p w14:paraId="09020000">
      <w:pPr>
        <w:ind w:firstLine="709" w:left="0"/>
      </w:pPr>
    </w:p>
    <w:p w14:paraId="0A020000">
      <w:pPr>
        <w:ind w:firstLine="709" w:left="0"/>
      </w:pPr>
      <w:r>
        <w:t>Первое занятие было направлено на формирование рабочей атмосферы и уточнение ожиданий участников. Старшеклассники обсуждали трудности выбора профессии и определяли вопросы, которые хотели решить. Такое начало позволило выявить личные запросы и снизить настороженность по отношению к профориентационной работе.</w:t>
      </w:r>
    </w:p>
    <w:p w14:paraId="0B020000">
      <w:pPr>
        <w:ind w:firstLine="709" w:left="0"/>
      </w:pPr>
      <w:r>
        <w:t>На втором занятии участники анализировали результаты первичной диагностики. Каждый старшеклассник сопоставлял показатели разных методик и определял совпадающие профессиональные предпочтения. При расхождении результатов психолог предлагал рассмотреть причины, а не выбирать один тест как наиболее правильный.</w:t>
      </w:r>
    </w:p>
    <w:p w14:paraId="0C020000">
      <w:pPr>
        <w:ind w:firstLine="709" w:left="0"/>
      </w:pPr>
      <w:r>
        <w:t>Занятие «Мои сильные стороны» было посвящено самооценке способностей и личностных ресурсов. Участники выделяли качества, которые помогают им учиться, общаться и выполнять практические задачи. Затем они соотносили эти качества с требованиями предполагаемых профессий.</w:t>
      </w:r>
    </w:p>
    <w:p w14:paraId="0D020000">
      <w:pPr>
        <w:ind w:firstLine="709" w:left="0"/>
      </w:pPr>
      <w:r>
        <w:t>Просветительский блок включал занятия «Мир профессий» и «Профессия изнутри». Старшеклассники изучали классификацию Е. А. Климова, анализировали профессиограммы и сравнивали содержание разных специальностей. Автор уделил внимание не только привлекательным сторонам труда, но и объективным требованиям: продолжительности обучения, уровню ответственности, условиям работы и возможным ограничениям.</w:t>
      </w:r>
    </w:p>
    <w:p w14:paraId="0E020000">
      <w:pPr>
        <w:ind w:firstLine="709" w:left="0"/>
      </w:pPr>
      <w:r>
        <w:t xml:space="preserve">На занятии «Мотивы профессионального выбора» участники анализировали причины собственных предпочтений. Среди возможных </w:t>
      </w:r>
      <w:r>
        <w:t>оснований обсуждались интерес, общественная польза, материальная стабильность, престиж, мнение взрослых и выбор друзей. Работа помогла отделить внутренние мотивы от внешнего давления.</w:t>
      </w:r>
    </w:p>
    <w:p w14:paraId="0F020000">
      <w:pPr>
        <w:ind w:firstLine="709" w:left="0"/>
      </w:pPr>
      <w:r>
        <w:t>Занятие «Как принять решение» включало анализ нескольких профессиональных альтернатив. Старшеклассники сравнивали варианты по содержанию труда, требованиям к подготовке, условиям поступления и личной привлекательности. Такой способ исключал выбор на основе одного случайного признака.</w:t>
      </w:r>
    </w:p>
    <w:p w14:paraId="10020000">
      <w:pPr>
        <w:ind w:firstLine="709" w:left="0"/>
      </w:pPr>
      <w:r>
        <w:t>Практическая работа с образовательными маршрутами была организована на восьмом занятии. Участники искали сведения об образовательных программах, вступительных испытаниях и сроках обучения. Автор обращал внимание на использование официальных источников, поскольку рекламные описания не всегда раскрывают реальные требования.</w:t>
      </w:r>
    </w:p>
    <w:p w14:paraId="11020000">
      <w:pPr>
        <w:ind w:firstLine="709" w:left="0"/>
      </w:pPr>
      <w:r>
        <w:t>На завершающих занятиях старшеклассники составляли индивидуальный профессиональный план. Он включал предполагаемое направление, основную и резервную образовательные траектории, необходимые экзамены и действия на ближайший учебный период. Итоговое обсуждение помогло участникам оценить реалистичность намеченных шагов.</w:t>
      </w:r>
    </w:p>
    <w:p w14:paraId="12020000">
      <w:pPr>
        <w:ind w:firstLine="709" w:left="0"/>
      </w:pPr>
      <w:r>
        <w:t>Индивидуальные консультации получили 11 старшеклассников. Семь из них не имели определ</w:t>
      </w:r>
      <w:r>
        <w:t>е</w:t>
      </w:r>
      <w:r>
        <w:t>нного профессионального плана, а четыре сомневались в ранее выбранном направлении. В ходе бесед психолог анализировал причины неопредел</w:t>
      </w:r>
      <w:r>
        <w:t>е</w:t>
      </w:r>
      <w:r>
        <w:t>нности и помогал уточнить критерии решения.</w:t>
      </w:r>
    </w:p>
    <w:p w14:paraId="13020000">
      <w:pPr>
        <w:ind w:firstLine="709" w:left="0"/>
      </w:pPr>
      <w:r>
        <w:t>После завершения программы автор повторно применил тот же диагностический комплекс. Использование одинаковых методик позволило сопоставить результаты и оценить изменения. Повторная диагностика проводилась в аналогичных условиях.</w:t>
      </w:r>
    </w:p>
    <w:p w14:paraId="14020000">
      <w:pPr>
        <w:ind w:firstLine="709" w:left="0"/>
      </w:pPr>
      <w:r>
        <w:t>Результаты ДДО Е. А. Климова представлены в таблице 8.</w:t>
      </w:r>
    </w:p>
    <w:p w14:paraId="15020000">
      <w:pPr>
        <w:ind w:firstLine="709" w:left="0"/>
        <w:rPr>
          <w:b w:val="1"/>
        </w:rPr>
      </w:pPr>
    </w:p>
    <w:p w14:paraId="16020000">
      <w:pPr>
        <w:spacing w:line="240" w:lineRule="auto"/>
        <w:ind/>
      </w:pPr>
    </w:p>
    <w:p w14:paraId="17020000">
      <w:pPr>
        <w:spacing w:line="240" w:lineRule="auto"/>
        <w:ind/>
      </w:pPr>
    </w:p>
    <w:p w14:paraId="18020000">
      <w:pPr>
        <w:spacing w:line="240" w:lineRule="auto"/>
        <w:ind/>
      </w:pPr>
      <w:r>
        <w:t>Таблица 8 — Результаты повторной диагностики по ДДО Е. А. Климова</w:t>
      </w:r>
    </w:p>
    <w:p w14:paraId="19020000">
      <w:pPr>
        <w:spacing w:line="240" w:lineRule="auto"/>
        <w:ind/>
      </w:pPr>
    </w:p>
    <w:tbl>
      <w:tblPr>
        <w:tblStyle w:val="Style_7"/>
        <w:tblLayout w:type="fixed"/>
      </w:tblPr>
      <w:tblGrid>
        <w:gridCol w:w="4236"/>
        <w:gridCol w:w="2562"/>
        <w:gridCol w:w="2558"/>
      </w:tblGrid>
      <w:tr>
        <w:tc>
          <w:tcPr>
            <w:tcW w:type="dxa" w:w="4236"/>
          </w:tcPr>
          <w:p w14:paraId="1A020000">
            <w:pPr>
              <w:spacing w:line="240" w:lineRule="auto"/>
              <w:ind/>
              <w:rPr>
                <w:sz w:val="24"/>
              </w:rPr>
            </w:pPr>
            <w:r>
              <w:rPr>
                <w:sz w:val="24"/>
              </w:rPr>
              <w:t>Тип профессий</w:t>
            </w:r>
          </w:p>
        </w:tc>
        <w:tc>
          <w:tcPr>
            <w:tcW w:type="dxa" w:w="2562"/>
          </w:tcPr>
          <w:p w14:paraId="1B020000">
            <w:pPr>
              <w:spacing w:line="240" w:lineRule="auto"/>
              <w:ind/>
              <w:rPr>
                <w:sz w:val="24"/>
              </w:rPr>
            </w:pPr>
            <w:r>
              <w:rPr>
                <w:sz w:val="24"/>
              </w:rPr>
              <w:t>Количество человек</w:t>
            </w:r>
          </w:p>
        </w:tc>
        <w:tc>
          <w:tcPr>
            <w:tcW w:type="dxa" w:w="2558"/>
          </w:tcPr>
          <w:p w14:paraId="1C020000">
            <w:pPr>
              <w:spacing w:line="240" w:lineRule="auto"/>
              <w:ind/>
              <w:rPr>
                <w:sz w:val="24"/>
              </w:rPr>
            </w:pPr>
            <w:r>
              <w:rPr>
                <w:sz w:val="24"/>
              </w:rPr>
              <w:t>Доля от выборки, %</w:t>
            </w:r>
          </w:p>
        </w:tc>
      </w:tr>
      <w:tr>
        <w:tc>
          <w:tcPr>
            <w:tcW w:type="dxa" w:w="4236"/>
          </w:tcPr>
          <w:p w14:paraId="1D020000">
            <w:pPr>
              <w:spacing w:line="240" w:lineRule="auto"/>
              <w:ind/>
              <w:rPr>
                <w:sz w:val="24"/>
              </w:rPr>
            </w:pPr>
            <w:r>
              <w:rPr>
                <w:sz w:val="24"/>
              </w:rPr>
              <w:t>Человек — человек</w:t>
            </w:r>
          </w:p>
        </w:tc>
        <w:tc>
          <w:tcPr>
            <w:tcW w:type="dxa" w:w="2562"/>
          </w:tcPr>
          <w:p w14:paraId="1E020000">
            <w:pPr>
              <w:spacing w:line="240" w:lineRule="auto"/>
              <w:ind/>
              <w:rPr>
                <w:sz w:val="24"/>
              </w:rPr>
            </w:pPr>
            <w:r>
              <w:rPr>
                <w:sz w:val="24"/>
              </w:rPr>
              <w:t>8</w:t>
            </w:r>
          </w:p>
        </w:tc>
        <w:tc>
          <w:tcPr>
            <w:tcW w:type="dxa" w:w="2558"/>
          </w:tcPr>
          <w:p w14:paraId="1F020000">
            <w:pPr>
              <w:spacing w:line="240" w:lineRule="auto"/>
              <w:ind/>
              <w:rPr>
                <w:sz w:val="24"/>
              </w:rPr>
            </w:pPr>
            <w:r>
              <w:rPr>
                <w:sz w:val="24"/>
              </w:rPr>
              <w:t>40</w:t>
            </w:r>
          </w:p>
        </w:tc>
      </w:tr>
      <w:tr>
        <w:tc>
          <w:tcPr>
            <w:tcW w:type="dxa" w:w="4236"/>
          </w:tcPr>
          <w:p w14:paraId="20020000">
            <w:pPr>
              <w:spacing w:line="240" w:lineRule="auto"/>
              <w:ind/>
              <w:rPr>
                <w:sz w:val="24"/>
              </w:rPr>
            </w:pPr>
            <w:r>
              <w:rPr>
                <w:sz w:val="24"/>
              </w:rPr>
              <w:t>Человек — техника</w:t>
            </w:r>
          </w:p>
        </w:tc>
        <w:tc>
          <w:tcPr>
            <w:tcW w:type="dxa" w:w="2562"/>
          </w:tcPr>
          <w:p w14:paraId="21020000">
            <w:pPr>
              <w:spacing w:line="240" w:lineRule="auto"/>
              <w:ind/>
              <w:rPr>
                <w:sz w:val="24"/>
              </w:rPr>
            </w:pPr>
            <w:r>
              <w:rPr>
                <w:sz w:val="24"/>
              </w:rPr>
              <w:t>3</w:t>
            </w:r>
          </w:p>
        </w:tc>
        <w:tc>
          <w:tcPr>
            <w:tcW w:type="dxa" w:w="2558"/>
          </w:tcPr>
          <w:p w14:paraId="22020000">
            <w:pPr>
              <w:spacing w:line="240" w:lineRule="auto"/>
              <w:ind/>
              <w:rPr>
                <w:sz w:val="24"/>
              </w:rPr>
            </w:pPr>
            <w:r>
              <w:rPr>
                <w:sz w:val="24"/>
              </w:rPr>
              <w:t>15</w:t>
            </w:r>
          </w:p>
        </w:tc>
      </w:tr>
      <w:tr>
        <w:tc>
          <w:tcPr>
            <w:tcW w:type="dxa" w:w="4236"/>
          </w:tcPr>
          <w:p w14:paraId="23020000">
            <w:pPr>
              <w:spacing w:line="240" w:lineRule="auto"/>
              <w:ind/>
              <w:rPr>
                <w:sz w:val="24"/>
              </w:rPr>
            </w:pPr>
            <w:r>
              <w:rPr>
                <w:sz w:val="24"/>
              </w:rPr>
              <w:t>Человек — природа</w:t>
            </w:r>
          </w:p>
        </w:tc>
        <w:tc>
          <w:tcPr>
            <w:tcW w:type="dxa" w:w="2562"/>
          </w:tcPr>
          <w:p w14:paraId="24020000">
            <w:pPr>
              <w:spacing w:line="240" w:lineRule="auto"/>
              <w:ind/>
              <w:rPr>
                <w:sz w:val="24"/>
              </w:rPr>
            </w:pPr>
            <w:r>
              <w:rPr>
                <w:sz w:val="24"/>
              </w:rPr>
              <w:t>2</w:t>
            </w:r>
          </w:p>
        </w:tc>
        <w:tc>
          <w:tcPr>
            <w:tcW w:type="dxa" w:w="2558"/>
          </w:tcPr>
          <w:p w14:paraId="25020000">
            <w:pPr>
              <w:spacing w:line="240" w:lineRule="auto"/>
              <w:ind/>
              <w:rPr>
                <w:sz w:val="24"/>
              </w:rPr>
            </w:pPr>
            <w:r>
              <w:rPr>
                <w:sz w:val="24"/>
              </w:rPr>
              <w:t>10</w:t>
            </w:r>
          </w:p>
        </w:tc>
      </w:tr>
      <w:tr>
        <w:tc>
          <w:tcPr>
            <w:tcW w:type="dxa" w:w="4236"/>
          </w:tcPr>
          <w:p w14:paraId="26020000">
            <w:pPr>
              <w:spacing w:line="240" w:lineRule="auto"/>
              <w:ind/>
              <w:rPr>
                <w:sz w:val="24"/>
              </w:rPr>
            </w:pPr>
            <w:r>
              <w:rPr>
                <w:sz w:val="24"/>
              </w:rPr>
              <w:t>Человек — знаковая система</w:t>
            </w:r>
          </w:p>
        </w:tc>
        <w:tc>
          <w:tcPr>
            <w:tcW w:type="dxa" w:w="2562"/>
          </w:tcPr>
          <w:p w14:paraId="27020000">
            <w:pPr>
              <w:spacing w:line="240" w:lineRule="auto"/>
              <w:ind/>
              <w:rPr>
                <w:sz w:val="24"/>
              </w:rPr>
            </w:pPr>
            <w:r>
              <w:rPr>
                <w:sz w:val="24"/>
              </w:rPr>
              <w:t>5</w:t>
            </w:r>
          </w:p>
        </w:tc>
        <w:tc>
          <w:tcPr>
            <w:tcW w:type="dxa" w:w="2558"/>
          </w:tcPr>
          <w:p w14:paraId="28020000">
            <w:pPr>
              <w:spacing w:line="240" w:lineRule="auto"/>
              <w:ind/>
              <w:rPr>
                <w:sz w:val="24"/>
              </w:rPr>
            </w:pPr>
            <w:r>
              <w:rPr>
                <w:sz w:val="24"/>
              </w:rPr>
              <w:t>25</w:t>
            </w:r>
          </w:p>
        </w:tc>
      </w:tr>
      <w:tr>
        <w:tc>
          <w:tcPr>
            <w:tcW w:type="dxa" w:w="4236"/>
          </w:tcPr>
          <w:p w14:paraId="29020000">
            <w:pPr>
              <w:spacing w:line="240" w:lineRule="auto"/>
              <w:ind/>
              <w:rPr>
                <w:sz w:val="24"/>
              </w:rPr>
            </w:pPr>
            <w:r>
              <w:rPr>
                <w:sz w:val="24"/>
              </w:rPr>
              <w:t>Человек — художественный образ</w:t>
            </w:r>
          </w:p>
        </w:tc>
        <w:tc>
          <w:tcPr>
            <w:tcW w:type="dxa" w:w="2562"/>
          </w:tcPr>
          <w:p w14:paraId="2A020000">
            <w:pPr>
              <w:spacing w:line="240" w:lineRule="auto"/>
              <w:ind/>
              <w:rPr>
                <w:sz w:val="24"/>
              </w:rPr>
            </w:pPr>
            <w:r>
              <w:rPr>
                <w:sz w:val="24"/>
              </w:rPr>
              <w:t>2</w:t>
            </w:r>
          </w:p>
        </w:tc>
        <w:tc>
          <w:tcPr>
            <w:tcW w:type="dxa" w:w="2558"/>
          </w:tcPr>
          <w:p w14:paraId="2B020000">
            <w:pPr>
              <w:spacing w:line="240" w:lineRule="auto"/>
              <w:ind/>
              <w:rPr>
                <w:sz w:val="24"/>
              </w:rPr>
            </w:pPr>
            <w:r>
              <w:rPr>
                <w:sz w:val="24"/>
              </w:rPr>
              <w:t>10</w:t>
            </w:r>
          </w:p>
        </w:tc>
      </w:tr>
      <w:tr>
        <w:tc>
          <w:tcPr>
            <w:tcW w:type="dxa" w:w="4236"/>
          </w:tcPr>
          <w:p w14:paraId="2C020000">
            <w:pPr>
              <w:spacing w:line="240" w:lineRule="auto"/>
              <w:ind/>
              <w:rPr>
                <w:sz w:val="24"/>
              </w:rPr>
            </w:pPr>
            <w:r>
              <w:rPr>
                <w:sz w:val="24"/>
              </w:rPr>
              <w:t>Всего</w:t>
            </w:r>
          </w:p>
        </w:tc>
        <w:tc>
          <w:tcPr>
            <w:tcW w:type="dxa" w:w="2562"/>
          </w:tcPr>
          <w:p w14:paraId="2D020000">
            <w:pPr>
              <w:spacing w:line="240" w:lineRule="auto"/>
              <w:ind/>
              <w:rPr>
                <w:sz w:val="24"/>
              </w:rPr>
            </w:pPr>
            <w:r>
              <w:rPr>
                <w:sz w:val="24"/>
              </w:rPr>
              <w:t>20</w:t>
            </w:r>
          </w:p>
        </w:tc>
        <w:tc>
          <w:tcPr>
            <w:tcW w:type="dxa" w:w="2558"/>
          </w:tcPr>
          <w:p w14:paraId="2E020000">
            <w:pPr>
              <w:spacing w:line="240" w:lineRule="auto"/>
              <w:ind/>
              <w:rPr>
                <w:sz w:val="24"/>
              </w:rPr>
            </w:pPr>
            <w:r>
              <w:rPr>
                <w:sz w:val="24"/>
              </w:rPr>
              <w:t>100</w:t>
            </w:r>
          </w:p>
        </w:tc>
      </w:tr>
    </w:tbl>
    <w:p w14:paraId="2F020000">
      <w:pPr>
        <w:ind w:firstLine="709" w:left="0"/>
      </w:pPr>
    </w:p>
    <w:p w14:paraId="30020000">
      <w:pPr>
        <w:ind w:firstLine="709" w:left="0"/>
      </w:pPr>
      <w:r>
        <w:t>Распределение профессиональных склонностей сохранилось. Такой результат закономерен, поскольку краткосрочная программа не была направлена на изменение устойчивого типа предпочтений. Повторная диагностика подтвердила над</w:t>
      </w:r>
      <w:r>
        <w:t>е</w:t>
      </w:r>
      <w:r>
        <w:t>жность первоначального распределения и позволила использовать его при построении индивидуальных маршрутов.</w:t>
      </w:r>
    </w:p>
    <w:p w14:paraId="31020000">
      <w:pPr>
        <w:ind w:firstLine="709" w:left="0"/>
      </w:pPr>
      <w:r>
        <w:t>Показатели по методике «Карта интересов» представлены в таблице 9.</w:t>
      </w:r>
    </w:p>
    <w:p w14:paraId="32020000">
      <w:pPr>
        <w:ind w:firstLine="709" w:left="0"/>
        <w:rPr>
          <w:b w:val="1"/>
        </w:rPr>
      </w:pPr>
    </w:p>
    <w:p w14:paraId="33020000">
      <w:pPr>
        <w:spacing w:line="240" w:lineRule="auto"/>
        <w:ind/>
      </w:pPr>
      <w:r>
        <w:t>Таблица 9 — Результаты повторной диагностики по методике «Карта интересов»</w:t>
      </w:r>
    </w:p>
    <w:p w14:paraId="34020000">
      <w:pPr>
        <w:spacing w:line="240" w:lineRule="auto"/>
        <w:ind/>
      </w:pPr>
    </w:p>
    <w:tbl>
      <w:tblPr>
        <w:tblStyle w:val="Style_7"/>
        <w:tblLayout w:type="fixed"/>
      </w:tblPr>
      <w:tblGrid>
        <w:gridCol w:w="4742"/>
        <w:gridCol w:w="2280"/>
        <w:gridCol w:w="2277"/>
      </w:tblGrid>
      <w:tr>
        <w:tc>
          <w:tcPr>
            <w:tcW w:type="dxa" w:w="4742"/>
          </w:tcPr>
          <w:p w14:paraId="35020000">
            <w:pPr>
              <w:spacing w:line="240" w:lineRule="auto"/>
              <w:ind/>
              <w:rPr>
                <w:sz w:val="24"/>
              </w:rPr>
            </w:pPr>
            <w:r>
              <w:rPr>
                <w:sz w:val="24"/>
              </w:rPr>
              <w:t>Область интересов</w:t>
            </w:r>
          </w:p>
        </w:tc>
        <w:tc>
          <w:tcPr>
            <w:tcW w:type="dxa" w:w="2280"/>
          </w:tcPr>
          <w:p w14:paraId="36020000">
            <w:pPr>
              <w:spacing w:line="240" w:lineRule="auto"/>
              <w:ind/>
              <w:rPr>
                <w:sz w:val="24"/>
              </w:rPr>
            </w:pPr>
            <w:r>
              <w:rPr>
                <w:sz w:val="24"/>
              </w:rPr>
              <w:t>Количество человек</w:t>
            </w:r>
          </w:p>
        </w:tc>
        <w:tc>
          <w:tcPr>
            <w:tcW w:type="dxa" w:w="2277"/>
          </w:tcPr>
          <w:p w14:paraId="37020000">
            <w:pPr>
              <w:spacing w:line="240" w:lineRule="auto"/>
              <w:ind/>
              <w:rPr>
                <w:sz w:val="24"/>
              </w:rPr>
            </w:pPr>
            <w:r>
              <w:rPr>
                <w:sz w:val="24"/>
              </w:rPr>
              <w:t>Доля от выборки, %</w:t>
            </w:r>
          </w:p>
        </w:tc>
      </w:tr>
      <w:tr>
        <w:tc>
          <w:tcPr>
            <w:tcW w:type="dxa" w:w="4742"/>
          </w:tcPr>
          <w:p w14:paraId="38020000">
            <w:pPr>
              <w:spacing w:line="240" w:lineRule="auto"/>
              <w:ind/>
              <w:rPr>
                <w:sz w:val="24"/>
              </w:rPr>
            </w:pPr>
            <w:r>
              <w:rPr>
                <w:sz w:val="24"/>
              </w:rPr>
              <w:t>Педагогика и психология</w:t>
            </w:r>
          </w:p>
        </w:tc>
        <w:tc>
          <w:tcPr>
            <w:tcW w:type="dxa" w:w="2280"/>
          </w:tcPr>
          <w:p w14:paraId="39020000">
            <w:pPr>
              <w:spacing w:line="240" w:lineRule="auto"/>
              <w:ind/>
              <w:rPr>
                <w:sz w:val="24"/>
              </w:rPr>
            </w:pPr>
            <w:r>
              <w:rPr>
                <w:sz w:val="24"/>
              </w:rPr>
              <w:t>5</w:t>
            </w:r>
          </w:p>
        </w:tc>
        <w:tc>
          <w:tcPr>
            <w:tcW w:type="dxa" w:w="2277"/>
          </w:tcPr>
          <w:p w14:paraId="3A020000">
            <w:pPr>
              <w:spacing w:line="240" w:lineRule="auto"/>
              <w:ind/>
              <w:rPr>
                <w:sz w:val="24"/>
              </w:rPr>
            </w:pPr>
            <w:r>
              <w:rPr>
                <w:sz w:val="24"/>
              </w:rPr>
              <w:t>25</w:t>
            </w:r>
          </w:p>
        </w:tc>
      </w:tr>
      <w:tr>
        <w:tc>
          <w:tcPr>
            <w:tcW w:type="dxa" w:w="4742"/>
          </w:tcPr>
          <w:p w14:paraId="3B020000">
            <w:pPr>
              <w:spacing w:line="240" w:lineRule="auto"/>
              <w:ind/>
              <w:rPr>
                <w:sz w:val="24"/>
              </w:rPr>
            </w:pPr>
            <w:r>
              <w:rPr>
                <w:sz w:val="24"/>
              </w:rPr>
              <w:t>Информационные технологии и математика</w:t>
            </w:r>
          </w:p>
        </w:tc>
        <w:tc>
          <w:tcPr>
            <w:tcW w:type="dxa" w:w="2280"/>
          </w:tcPr>
          <w:p w14:paraId="3C020000">
            <w:pPr>
              <w:spacing w:line="240" w:lineRule="auto"/>
              <w:ind/>
              <w:rPr>
                <w:sz w:val="24"/>
              </w:rPr>
            </w:pPr>
            <w:r>
              <w:rPr>
                <w:sz w:val="24"/>
              </w:rPr>
              <w:t>4</w:t>
            </w:r>
          </w:p>
        </w:tc>
        <w:tc>
          <w:tcPr>
            <w:tcW w:type="dxa" w:w="2277"/>
          </w:tcPr>
          <w:p w14:paraId="3D020000">
            <w:pPr>
              <w:spacing w:line="240" w:lineRule="auto"/>
              <w:ind/>
              <w:rPr>
                <w:sz w:val="24"/>
              </w:rPr>
            </w:pPr>
            <w:r>
              <w:rPr>
                <w:sz w:val="24"/>
              </w:rPr>
              <w:t>20</w:t>
            </w:r>
          </w:p>
        </w:tc>
      </w:tr>
      <w:tr>
        <w:tc>
          <w:tcPr>
            <w:tcW w:type="dxa" w:w="4742"/>
          </w:tcPr>
          <w:p w14:paraId="3E020000">
            <w:pPr>
              <w:spacing w:line="240" w:lineRule="auto"/>
              <w:ind/>
              <w:rPr>
                <w:sz w:val="24"/>
              </w:rPr>
            </w:pPr>
            <w:r>
              <w:rPr>
                <w:sz w:val="24"/>
              </w:rPr>
              <w:t>Медицина и биология</w:t>
            </w:r>
          </w:p>
        </w:tc>
        <w:tc>
          <w:tcPr>
            <w:tcW w:type="dxa" w:w="2280"/>
          </w:tcPr>
          <w:p w14:paraId="3F020000">
            <w:pPr>
              <w:spacing w:line="240" w:lineRule="auto"/>
              <w:ind/>
              <w:rPr>
                <w:sz w:val="24"/>
              </w:rPr>
            </w:pPr>
            <w:r>
              <w:rPr>
                <w:sz w:val="24"/>
              </w:rPr>
              <w:t>3</w:t>
            </w:r>
          </w:p>
        </w:tc>
        <w:tc>
          <w:tcPr>
            <w:tcW w:type="dxa" w:w="2277"/>
          </w:tcPr>
          <w:p w14:paraId="40020000">
            <w:pPr>
              <w:spacing w:line="240" w:lineRule="auto"/>
              <w:ind/>
              <w:rPr>
                <w:sz w:val="24"/>
              </w:rPr>
            </w:pPr>
            <w:r>
              <w:rPr>
                <w:sz w:val="24"/>
              </w:rPr>
              <w:t>15</w:t>
            </w:r>
          </w:p>
        </w:tc>
      </w:tr>
      <w:tr>
        <w:tc>
          <w:tcPr>
            <w:tcW w:type="dxa" w:w="4742"/>
          </w:tcPr>
          <w:p w14:paraId="41020000">
            <w:pPr>
              <w:spacing w:line="240" w:lineRule="auto"/>
              <w:ind/>
              <w:rPr>
                <w:sz w:val="24"/>
              </w:rPr>
            </w:pPr>
            <w:r>
              <w:rPr>
                <w:sz w:val="24"/>
              </w:rPr>
              <w:t>Экономика и управление</w:t>
            </w:r>
          </w:p>
        </w:tc>
        <w:tc>
          <w:tcPr>
            <w:tcW w:type="dxa" w:w="2280"/>
          </w:tcPr>
          <w:p w14:paraId="42020000">
            <w:pPr>
              <w:spacing w:line="240" w:lineRule="auto"/>
              <w:ind/>
              <w:rPr>
                <w:sz w:val="24"/>
              </w:rPr>
            </w:pPr>
            <w:r>
              <w:rPr>
                <w:sz w:val="24"/>
              </w:rPr>
              <w:t>3</w:t>
            </w:r>
          </w:p>
        </w:tc>
        <w:tc>
          <w:tcPr>
            <w:tcW w:type="dxa" w:w="2277"/>
          </w:tcPr>
          <w:p w14:paraId="43020000">
            <w:pPr>
              <w:spacing w:line="240" w:lineRule="auto"/>
              <w:ind/>
              <w:rPr>
                <w:sz w:val="24"/>
              </w:rPr>
            </w:pPr>
            <w:r>
              <w:rPr>
                <w:sz w:val="24"/>
              </w:rPr>
              <w:t>15</w:t>
            </w:r>
          </w:p>
        </w:tc>
      </w:tr>
      <w:tr>
        <w:tc>
          <w:tcPr>
            <w:tcW w:type="dxa" w:w="4742"/>
          </w:tcPr>
          <w:p w14:paraId="44020000">
            <w:pPr>
              <w:spacing w:line="240" w:lineRule="auto"/>
              <w:ind/>
              <w:rPr>
                <w:sz w:val="24"/>
              </w:rPr>
            </w:pPr>
            <w:r>
              <w:rPr>
                <w:sz w:val="24"/>
              </w:rPr>
              <w:t>Техника и производство</w:t>
            </w:r>
          </w:p>
        </w:tc>
        <w:tc>
          <w:tcPr>
            <w:tcW w:type="dxa" w:w="2280"/>
          </w:tcPr>
          <w:p w14:paraId="45020000">
            <w:pPr>
              <w:spacing w:line="240" w:lineRule="auto"/>
              <w:ind/>
              <w:rPr>
                <w:sz w:val="24"/>
              </w:rPr>
            </w:pPr>
            <w:r>
              <w:rPr>
                <w:sz w:val="24"/>
              </w:rPr>
              <w:t>2</w:t>
            </w:r>
          </w:p>
        </w:tc>
        <w:tc>
          <w:tcPr>
            <w:tcW w:type="dxa" w:w="2277"/>
          </w:tcPr>
          <w:p w14:paraId="46020000">
            <w:pPr>
              <w:spacing w:line="240" w:lineRule="auto"/>
              <w:ind/>
              <w:rPr>
                <w:sz w:val="24"/>
              </w:rPr>
            </w:pPr>
            <w:r>
              <w:rPr>
                <w:sz w:val="24"/>
              </w:rPr>
              <w:t>10</w:t>
            </w:r>
          </w:p>
        </w:tc>
      </w:tr>
      <w:tr>
        <w:tc>
          <w:tcPr>
            <w:tcW w:type="dxa" w:w="4742"/>
          </w:tcPr>
          <w:p w14:paraId="47020000">
            <w:pPr>
              <w:spacing w:line="240" w:lineRule="auto"/>
              <w:ind/>
              <w:rPr>
                <w:sz w:val="24"/>
              </w:rPr>
            </w:pPr>
            <w:r>
              <w:rPr>
                <w:sz w:val="24"/>
              </w:rPr>
              <w:t>Искусство и творчество</w:t>
            </w:r>
          </w:p>
        </w:tc>
        <w:tc>
          <w:tcPr>
            <w:tcW w:type="dxa" w:w="2280"/>
          </w:tcPr>
          <w:p w14:paraId="48020000">
            <w:pPr>
              <w:spacing w:line="240" w:lineRule="auto"/>
              <w:ind/>
              <w:rPr>
                <w:sz w:val="24"/>
              </w:rPr>
            </w:pPr>
            <w:r>
              <w:rPr>
                <w:sz w:val="24"/>
              </w:rPr>
              <w:t>2</w:t>
            </w:r>
          </w:p>
        </w:tc>
        <w:tc>
          <w:tcPr>
            <w:tcW w:type="dxa" w:w="2277"/>
          </w:tcPr>
          <w:p w14:paraId="49020000">
            <w:pPr>
              <w:spacing w:line="240" w:lineRule="auto"/>
              <w:ind/>
              <w:rPr>
                <w:sz w:val="24"/>
              </w:rPr>
            </w:pPr>
            <w:r>
              <w:rPr>
                <w:sz w:val="24"/>
              </w:rPr>
              <w:t>10</w:t>
            </w:r>
          </w:p>
        </w:tc>
      </w:tr>
      <w:tr>
        <w:tc>
          <w:tcPr>
            <w:tcW w:type="dxa" w:w="4742"/>
          </w:tcPr>
          <w:p w14:paraId="4A020000">
            <w:pPr>
              <w:spacing w:line="240" w:lineRule="auto"/>
              <w:ind/>
              <w:rPr>
                <w:sz w:val="24"/>
              </w:rPr>
            </w:pPr>
            <w:r>
              <w:rPr>
                <w:sz w:val="24"/>
              </w:rPr>
              <w:t>Природа и экология</w:t>
            </w:r>
          </w:p>
        </w:tc>
        <w:tc>
          <w:tcPr>
            <w:tcW w:type="dxa" w:w="2280"/>
          </w:tcPr>
          <w:p w14:paraId="4B020000">
            <w:pPr>
              <w:spacing w:line="240" w:lineRule="auto"/>
              <w:ind/>
              <w:rPr>
                <w:sz w:val="24"/>
              </w:rPr>
            </w:pPr>
            <w:r>
              <w:rPr>
                <w:sz w:val="24"/>
              </w:rPr>
              <w:t>1</w:t>
            </w:r>
          </w:p>
        </w:tc>
        <w:tc>
          <w:tcPr>
            <w:tcW w:type="dxa" w:w="2277"/>
          </w:tcPr>
          <w:p w14:paraId="4C020000">
            <w:pPr>
              <w:spacing w:line="240" w:lineRule="auto"/>
              <w:ind/>
              <w:rPr>
                <w:sz w:val="24"/>
              </w:rPr>
            </w:pPr>
            <w:r>
              <w:rPr>
                <w:sz w:val="24"/>
              </w:rPr>
              <w:t>5</w:t>
            </w:r>
          </w:p>
        </w:tc>
      </w:tr>
      <w:tr>
        <w:tc>
          <w:tcPr>
            <w:tcW w:type="dxa" w:w="4742"/>
          </w:tcPr>
          <w:p w14:paraId="4D020000">
            <w:pPr>
              <w:spacing w:line="240" w:lineRule="auto"/>
              <w:ind/>
              <w:rPr>
                <w:sz w:val="24"/>
              </w:rPr>
            </w:pPr>
            <w:r>
              <w:rPr>
                <w:sz w:val="24"/>
              </w:rPr>
              <w:t>Всего</w:t>
            </w:r>
          </w:p>
        </w:tc>
        <w:tc>
          <w:tcPr>
            <w:tcW w:type="dxa" w:w="2280"/>
          </w:tcPr>
          <w:p w14:paraId="4E020000">
            <w:pPr>
              <w:spacing w:line="240" w:lineRule="auto"/>
              <w:ind/>
              <w:rPr>
                <w:sz w:val="24"/>
              </w:rPr>
            </w:pPr>
            <w:r>
              <w:rPr>
                <w:sz w:val="24"/>
              </w:rPr>
              <w:t>20</w:t>
            </w:r>
          </w:p>
        </w:tc>
        <w:tc>
          <w:tcPr>
            <w:tcW w:type="dxa" w:w="2277"/>
          </w:tcPr>
          <w:p w14:paraId="4F020000">
            <w:pPr>
              <w:spacing w:line="240" w:lineRule="auto"/>
              <w:ind/>
              <w:rPr>
                <w:sz w:val="24"/>
              </w:rPr>
            </w:pPr>
            <w:r>
              <w:rPr>
                <w:sz w:val="24"/>
              </w:rPr>
              <w:t>100</w:t>
            </w:r>
          </w:p>
        </w:tc>
      </w:tr>
    </w:tbl>
    <w:p w14:paraId="50020000">
      <w:pPr>
        <w:ind w:firstLine="709" w:left="0"/>
      </w:pPr>
    </w:p>
    <w:p w14:paraId="51020000">
      <w:pPr>
        <w:ind w:firstLine="709" w:left="0"/>
      </w:pPr>
      <w:r>
        <w:t>Структура интересов также не изменилась. При этом итоговые беседы показали, что участники стали точнее объяснять содержание выбранной области и называть связанные с ней профессии. Следовательно, программа расширила знания, не нарушая устойчивых предпочтений.</w:t>
      </w:r>
    </w:p>
    <w:p w14:paraId="52020000">
      <w:pPr>
        <w:ind w:firstLine="709" w:left="0"/>
      </w:pPr>
      <w:r>
        <w:t>Результаты повторного обследования по опроснику Дж. Холланда отражены в таблице 10.</w:t>
      </w:r>
    </w:p>
    <w:p w14:paraId="53020000">
      <w:pPr>
        <w:ind w:firstLine="709" w:left="0"/>
        <w:rPr>
          <w:b w:val="1"/>
        </w:rPr>
      </w:pPr>
    </w:p>
    <w:p w14:paraId="54020000">
      <w:pPr>
        <w:spacing w:line="240" w:lineRule="auto"/>
        <w:ind/>
      </w:pPr>
    </w:p>
    <w:p w14:paraId="55020000">
      <w:pPr>
        <w:spacing w:line="240" w:lineRule="auto"/>
        <w:ind/>
      </w:pPr>
      <w:r>
        <w:t>Таблица 10 — Результаты повторной диагностики по опроснику Дж. Холланда</w:t>
      </w:r>
    </w:p>
    <w:p w14:paraId="56020000">
      <w:pPr>
        <w:spacing w:line="240" w:lineRule="auto"/>
        <w:ind/>
      </w:pPr>
    </w:p>
    <w:tbl>
      <w:tblPr>
        <w:tblStyle w:val="Style_7"/>
        <w:tblLayout w:type="fixed"/>
      </w:tblPr>
      <w:tblGrid>
        <w:gridCol w:w="3447"/>
        <w:gridCol w:w="2956"/>
        <w:gridCol w:w="2952"/>
      </w:tblGrid>
      <w:tr>
        <w:tc>
          <w:tcPr>
            <w:tcW w:type="dxa" w:w="3447"/>
          </w:tcPr>
          <w:p w14:paraId="57020000">
            <w:pPr>
              <w:spacing w:line="240" w:lineRule="auto"/>
              <w:ind/>
              <w:rPr>
                <w:sz w:val="24"/>
              </w:rPr>
            </w:pPr>
            <w:r>
              <w:rPr>
                <w:sz w:val="24"/>
              </w:rPr>
              <w:t>Профессиональный тип</w:t>
            </w:r>
          </w:p>
        </w:tc>
        <w:tc>
          <w:tcPr>
            <w:tcW w:type="dxa" w:w="2956"/>
          </w:tcPr>
          <w:p w14:paraId="58020000">
            <w:pPr>
              <w:spacing w:line="240" w:lineRule="auto"/>
              <w:ind/>
              <w:rPr>
                <w:sz w:val="24"/>
              </w:rPr>
            </w:pPr>
            <w:r>
              <w:rPr>
                <w:sz w:val="24"/>
              </w:rPr>
              <w:t>Количество человек</w:t>
            </w:r>
          </w:p>
        </w:tc>
        <w:tc>
          <w:tcPr>
            <w:tcW w:type="dxa" w:w="2952"/>
          </w:tcPr>
          <w:p w14:paraId="59020000">
            <w:pPr>
              <w:spacing w:line="240" w:lineRule="auto"/>
              <w:ind/>
              <w:rPr>
                <w:sz w:val="24"/>
              </w:rPr>
            </w:pPr>
            <w:r>
              <w:rPr>
                <w:sz w:val="24"/>
              </w:rPr>
              <w:t>Доля от выборки, %</w:t>
            </w:r>
          </w:p>
        </w:tc>
      </w:tr>
      <w:tr>
        <w:tc>
          <w:tcPr>
            <w:tcW w:type="dxa" w:w="3447"/>
          </w:tcPr>
          <w:p w14:paraId="5A020000">
            <w:pPr>
              <w:spacing w:line="240" w:lineRule="auto"/>
              <w:ind/>
              <w:rPr>
                <w:sz w:val="24"/>
              </w:rPr>
            </w:pPr>
            <w:r>
              <w:rPr>
                <w:sz w:val="24"/>
              </w:rPr>
              <w:t>Социальный</w:t>
            </w:r>
          </w:p>
        </w:tc>
        <w:tc>
          <w:tcPr>
            <w:tcW w:type="dxa" w:w="2956"/>
          </w:tcPr>
          <w:p w14:paraId="5B020000">
            <w:pPr>
              <w:spacing w:line="240" w:lineRule="auto"/>
              <w:ind/>
              <w:rPr>
                <w:sz w:val="24"/>
              </w:rPr>
            </w:pPr>
            <w:r>
              <w:rPr>
                <w:sz w:val="24"/>
              </w:rPr>
              <w:t>7</w:t>
            </w:r>
          </w:p>
        </w:tc>
        <w:tc>
          <w:tcPr>
            <w:tcW w:type="dxa" w:w="2952"/>
          </w:tcPr>
          <w:p w14:paraId="5C020000">
            <w:pPr>
              <w:spacing w:line="240" w:lineRule="auto"/>
              <w:ind/>
              <w:rPr>
                <w:sz w:val="24"/>
              </w:rPr>
            </w:pPr>
            <w:r>
              <w:rPr>
                <w:sz w:val="24"/>
              </w:rPr>
              <w:t>35</w:t>
            </w:r>
          </w:p>
        </w:tc>
      </w:tr>
      <w:tr>
        <w:tc>
          <w:tcPr>
            <w:tcW w:type="dxa" w:w="3447"/>
          </w:tcPr>
          <w:p w14:paraId="5D020000">
            <w:pPr>
              <w:spacing w:line="240" w:lineRule="auto"/>
              <w:ind/>
              <w:rPr>
                <w:sz w:val="24"/>
              </w:rPr>
            </w:pPr>
            <w:r>
              <w:rPr>
                <w:sz w:val="24"/>
              </w:rPr>
              <w:t>Интеллектуальный</w:t>
            </w:r>
          </w:p>
        </w:tc>
        <w:tc>
          <w:tcPr>
            <w:tcW w:type="dxa" w:w="2956"/>
          </w:tcPr>
          <w:p w14:paraId="5E020000">
            <w:pPr>
              <w:spacing w:line="240" w:lineRule="auto"/>
              <w:ind/>
              <w:rPr>
                <w:sz w:val="24"/>
              </w:rPr>
            </w:pPr>
            <w:r>
              <w:rPr>
                <w:sz w:val="24"/>
              </w:rPr>
              <w:t>4</w:t>
            </w:r>
          </w:p>
        </w:tc>
        <w:tc>
          <w:tcPr>
            <w:tcW w:type="dxa" w:w="2952"/>
          </w:tcPr>
          <w:p w14:paraId="5F020000">
            <w:pPr>
              <w:spacing w:line="240" w:lineRule="auto"/>
              <w:ind/>
              <w:rPr>
                <w:sz w:val="24"/>
              </w:rPr>
            </w:pPr>
            <w:r>
              <w:rPr>
                <w:sz w:val="24"/>
              </w:rPr>
              <w:t>20</w:t>
            </w:r>
          </w:p>
        </w:tc>
      </w:tr>
      <w:tr>
        <w:tc>
          <w:tcPr>
            <w:tcW w:type="dxa" w:w="3447"/>
          </w:tcPr>
          <w:p w14:paraId="60020000">
            <w:pPr>
              <w:spacing w:line="240" w:lineRule="auto"/>
              <w:ind/>
              <w:rPr>
                <w:sz w:val="24"/>
              </w:rPr>
            </w:pPr>
            <w:r>
              <w:rPr>
                <w:sz w:val="24"/>
              </w:rPr>
              <w:t>Конвенциональный</w:t>
            </w:r>
          </w:p>
        </w:tc>
        <w:tc>
          <w:tcPr>
            <w:tcW w:type="dxa" w:w="2956"/>
          </w:tcPr>
          <w:p w14:paraId="61020000">
            <w:pPr>
              <w:spacing w:line="240" w:lineRule="auto"/>
              <w:ind/>
              <w:rPr>
                <w:sz w:val="24"/>
              </w:rPr>
            </w:pPr>
            <w:r>
              <w:rPr>
                <w:sz w:val="24"/>
              </w:rPr>
              <w:t>3</w:t>
            </w:r>
          </w:p>
        </w:tc>
        <w:tc>
          <w:tcPr>
            <w:tcW w:type="dxa" w:w="2952"/>
          </w:tcPr>
          <w:p w14:paraId="62020000">
            <w:pPr>
              <w:spacing w:line="240" w:lineRule="auto"/>
              <w:ind/>
              <w:rPr>
                <w:sz w:val="24"/>
              </w:rPr>
            </w:pPr>
            <w:r>
              <w:rPr>
                <w:sz w:val="24"/>
              </w:rPr>
              <w:t>15</w:t>
            </w:r>
          </w:p>
        </w:tc>
      </w:tr>
      <w:tr>
        <w:tc>
          <w:tcPr>
            <w:tcW w:type="dxa" w:w="3447"/>
          </w:tcPr>
          <w:p w14:paraId="63020000">
            <w:pPr>
              <w:spacing w:line="240" w:lineRule="auto"/>
              <w:ind/>
              <w:rPr>
                <w:sz w:val="24"/>
              </w:rPr>
            </w:pPr>
            <w:r>
              <w:rPr>
                <w:sz w:val="24"/>
              </w:rPr>
              <w:t>Предприимчивый</w:t>
            </w:r>
          </w:p>
        </w:tc>
        <w:tc>
          <w:tcPr>
            <w:tcW w:type="dxa" w:w="2956"/>
          </w:tcPr>
          <w:p w14:paraId="64020000">
            <w:pPr>
              <w:spacing w:line="240" w:lineRule="auto"/>
              <w:ind/>
              <w:rPr>
                <w:sz w:val="24"/>
              </w:rPr>
            </w:pPr>
            <w:r>
              <w:rPr>
                <w:sz w:val="24"/>
              </w:rPr>
              <w:t>2</w:t>
            </w:r>
          </w:p>
        </w:tc>
        <w:tc>
          <w:tcPr>
            <w:tcW w:type="dxa" w:w="2952"/>
          </w:tcPr>
          <w:p w14:paraId="65020000">
            <w:pPr>
              <w:spacing w:line="240" w:lineRule="auto"/>
              <w:ind/>
              <w:rPr>
                <w:sz w:val="24"/>
              </w:rPr>
            </w:pPr>
            <w:r>
              <w:rPr>
                <w:sz w:val="24"/>
              </w:rPr>
              <w:t>10</w:t>
            </w:r>
          </w:p>
        </w:tc>
      </w:tr>
      <w:tr>
        <w:tc>
          <w:tcPr>
            <w:tcW w:type="dxa" w:w="3447"/>
          </w:tcPr>
          <w:p w14:paraId="66020000">
            <w:pPr>
              <w:spacing w:line="240" w:lineRule="auto"/>
              <w:ind/>
              <w:rPr>
                <w:sz w:val="24"/>
              </w:rPr>
            </w:pPr>
            <w:r>
              <w:rPr>
                <w:sz w:val="24"/>
              </w:rPr>
              <w:t>Реалистический</w:t>
            </w:r>
          </w:p>
        </w:tc>
        <w:tc>
          <w:tcPr>
            <w:tcW w:type="dxa" w:w="2956"/>
          </w:tcPr>
          <w:p w14:paraId="67020000">
            <w:pPr>
              <w:spacing w:line="240" w:lineRule="auto"/>
              <w:ind/>
              <w:rPr>
                <w:sz w:val="24"/>
              </w:rPr>
            </w:pPr>
            <w:r>
              <w:rPr>
                <w:sz w:val="24"/>
              </w:rPr>
              <w:t>2</w:t>
            </w:r>
          </w:p>
        </w:tc>
        <w:tc>
          <w:tcPr>
            <w:tcW w:type="dxa" w:w="2952"/>
          </w:tcPr>
          <w:p w14:paraId="68020000">
            <w:pPr>
              <w:spacing w:line="240" w:lineRule="auto"/>
              <w:ind/>
              <w:rPr>
                <w:sz w:val="24"/>
              </w:rPr>
            </w:pPr>
            <w:r>
              <w:rPr>
                <w:sz w:val="24"/>
              </w:rPr>
              <w:t>10</w:t>
            </w:r>
          </w:p>
        </w:tc>
      </w:tr>
      <w:tr>
        <w:tc>
          <w:tcPr>
            <w:tcW w:type="dxa" w:w="3447"/>
          </w:tcPr>
          <w:p w14:paraId="69020000">
            <w:pPr>
              <w:spacing w:line="240" w:lineRule="auto"/>
              <w:ind/>
              <w:rPr>
                <w:sz w:val="24"/>
              </w:rPr>
            </w:pPr>
            <w:r>
              <w:rPr>
                <w:sz w:val="24"/>
              </w:rPr>
              <w:t>Артистический</w:t>
            </w:r>
          </w:p>
        </w:tc>
        <w:tc>
          <w:tcPr>
            <w:tcW w:type="dxa" w:w="2956"/>
          </w:tcPr>
          <w:p w14:paraId="6A020000">
            <w:pPr>
              <w:spacing w:line="240" w:lineRule="auto"/>
              <w:ind/>
              <w:rPr>
                <w:sz w:val="24"/>
              </w:rPr>
            </w:pPr>
            <w:r>
              <w:rPr>
                <w:sz w:val="24"/>
              </w:rPr>
              <w:t>2</w:t>
            </w:r>
          </w:p>
        </w:tc>
        <w:tc>
          <w:tcPr>
            <w:tcW w:type="dxa" w:w="2952"/>
          </w:tcPr>
          <w:p w14:paraId="6B020000">
            <w:pPr>
              <w:spacing w:line="240" w:lineRule="auto"/>
              <w:ind/>
              <w:rPr>
                <w:sz w:val="24"/>
              </w:rPr>
            </w:pPr>
            <w:r>
              <w:rPr>
                <w:sz w:val="24"/>
              </w:rPr>
              <w:t>10</w:t>
            </w:r>
          </w:p>
        </w:tc>
      </w:tr>
      <w:tr>
        <w:tc>
          <w:tcPr>
            <w:tcW w:type="dxa" w:w="3447"/>
          </w:tcPr>
          <w:p w14:paraId="6C020000">
            <w:pPr>
              <w:spacing w:line="240" w:lineRule="auto"/>
              <w:ind/>
              <w:rPr>
                <w:sz w:val="24"/>
              </w:rPr>
            </w:pPr>
            <w:r>
              <w:rPr>
                <w:sz w:val="24"/>
              </w:rPr>
              <w:t>Всего</w:t>
            </w:r>
          </w:p>
        </w:tc>
        <w:tc>
          <w:tcPr>
            <w:tcW w:type="dxa" w:w="2956"/>
          </w:tcPr>
          <w:p w14:paraId="6D020000">
            <w:pPr>
              <w:spacing w:line="240" w:lineRule="auto"/>
              <w:ind/>
              <w:rPr>
                <w:sz w:val="24"/>
              </w:rPr>
            </w:pPr>
            <w:r>
              <w:rPr>
                <w:sz w:val="24"/>
              </w:rPr>
              <w:t>20</w:t>
            </w:r>
          </w:p>
        </w:tc>
        <w:tc>
          <w:tcPr>
            <w:tcW w:type="dxa" w:w="2952"/>
          </w:tcPr>
          <w:p w14:paraId="6E020000">
            <w:pPr>
              <w:spacing w:line="240" w:lineRule="auto"/>
              <w:ind/>
              <w:rPr>
                <w:sz w:val="24"/>
              </w:rPr>
            </w:pPr>
            <w:r>
              <w:rPr>
                <w:sz w:val="24"/>
              </w:rPr>
              <w:t>100</w:t>
            </w:r>
          </w:p>
        </w:tc>
      </w:tr>
    </w:tbl>
    <w:p w14:paraId="6F020000">
      <w:pPr>
        <w:ind w:firstLine="709" w:left="0"/>
      </w:pPr>
    </w:p>
    <w:p w14:paraId="70020000">
      <w:pPr>
        <w:ind w:firstLine="709" w:left="0"/>
      </w:pPr>
      <w:r>
        <w:t>Распределение типов осталось прежним. Опросник Холланда отражает сравнительно устойчивые особенности профессиональной направленности, поэтому отсутствие резких изменений подтверждает содержательную стабильность результатов.</w:t>
      </w:r>
    </w:p>
    <w:p w14:paraId="71020000">
      <w:pPr>
        <w:ind w:firstLine="709" w:left="0"/>
      </w:pPr>
      <w:r>
        <w:t>Более заметная динамика установлена по методике А. А. Реана. Полученные показатели представлены в таблице 11.</w:t>
      </w:r>
    </w:p>
    <w:p w14:paraId="72020000">
      <w:pPr>
        <w:ind w:firstLine="709" w:left="0"/>
        <w:rPr>
          <w:b w:val="1"/>
        </w:rPr>
      </w:pPr>
    </w:p>
    <w:p w14:paraId="73020000">
      <w:pPr>
        <w:spacing w:line="240" w:lineRule="auto"/>
        <w:ind/>
      </w:pPr>
      <w:r>
        <w:t>Таблица 11 — Уровень учебной и профессиональной мотивации после реализации программы</w:t>
      </w:r>
    </w:p>
    <w:p w14:paraId="74020000">
      <w:pPr>
        <w:spacing w:line="240" w:lineRule="auto"/>
        <w:ind/>
      </w:pPr>
    </w:p>
    <w:tbl>
      <w:tblPr>
        <w:tblStyle w:val="Style_7"/>
        <w:tblLayout w:type="fixed"/>
      </w:tblPr>
      <w:tblGrid>
        <w:gridCol w:w="3101"/>
        <w:gridCol w:w="3129"/>
        <w:gridCol w:w="3124"/>
      </w:tblGrid>
      <w:tr>
        <w:tc>
          <w:tcPr>
            <w:tcW w:type="dxa" w:w="3101"/>
          </w:tcPr>
          <w:p w14:paraId="75020000">
            <w:pPr>
              <w:spacing w:line="240" w:lineRule="auto"/>
              <w:ind/>
              <w:rPr>
                <w:sz w:val="24"/>
              </w:rPr>
            </w:pPr>
            <w:r>
              <w:rPr>
                <w:sz w:val="24"/>
              </w:rPr>
              <w:t>Уровень мотивации</w:t>
            </w:r>
          </w:p>
        </w:tc>
        <w:tc>
          <w:tcPr>
            <w:tcW w:type="dxa" w:w="3129"/>
          </w:tcPr>
          <w:p w14:paraId="76020000">
            <w:pPr>
              <w:spacing w:line="240" w:lineRule="auto"/>
              <w:ind/>
              <w:rPr>
                <w:sz w:val="24"/>
              </w:rPr>
            </w:pPr>
            <w:r>
              <w:rPr>
                <w:sz w:val="24"/>
              </w:rPr>
              <w:t>Количество человек</w:t>
            </w:r>
          </w:p>
        </w:tc>
        <w:tc>
          <w:tcPr>
            <w:tcW w:type="dxa" w:w="3124"/>
          </w:tcPr>
          <w:p w14:paraId="77020000">
            <w:pPr>
              <w:spacing w:line="240" w:lineRule="auto"/>
              <w:ind/>
              <w:rPr>
                <w:sz w:val="24"/>
              </w:rPr>
            </w:pPr>
            <w:r>
              <w:rPr>
                <w:sz w:val="24"/>
              </w:rPr>
              <w:t>Доля от выборки, %</w:t>
            </w:r>
          </w:p>
        </w:tc>
      </w:tr>
      <w:tr>
        <w:tc>
          <w:tcPr>
            <w:tcW w:type="dxa" w:w="3101"/>
          </w:tcPr>
          <w:p w14:paraId="78020000">
            <w:pPr>
              <w:spacing w:line="240" w:lineRule="auto"/>
              <w:ind/>
              <w:rPr>
                <w:sz w:val="24"/>
              </w:rPr>
            </w:pPr>
            <w:r>
              <w:rPr>
                <w:sz w:val="24"/>
              </w:rPr>
              <w:t>Высокий</w:t>
            </w:r>
          </w:p>
        </w:tc>
        <w:tc>
          <w:tcPr>
            <w:tcW w:type="dxa" w:w="3129"/>
          </w:tcPr>
          <w:p w14:paraId="79020000">
            <w:pPr>
              <w:spacing w:line="240" w:lineRule="auto"/>
              <w:ind/>
              <w:rPr>
                <w:sz w:val="24"/>
              </w:rPr>
            </w:pPr>
            <w:r>
              <w:rPr>
                <w:sz w:val="24"/>
              </w:rPr>
              <w:t>17</w:t>
            </w:r>
          </w:p>
        </w:tc>
        <w:tc>
          <w:tcPr>
            <w:tcW w:type="dxa" w:w="3124"/>
          </w:tcPr>
          <w:p w14:paraId="7A020000">
            <w:pPr>
              <w:spacing w:line="240" w:lineRule="auto"/>
              <w:ind/>
              <w:rPr>
                <w:sz w:val="24"/>
              </w:rPr>
            </w:pPr>
            <w:r>
              <w:rPr>
                <w:sz w:val="24"/>
              </w:rPr>
              <w:t>85</w:t>
            </w:r>
          </w:p>
        </w:tc>
      </w:tr>
      <w:tr>
        <w:tc>
          <w:tcPr>
            <w:tcW w:type="dxa" w:w="3101"/>
          </w:tcPr>
          <w:p w14:paraId="7B020000">
            <w:pPr>
              <w:spacing w:line="240" w:lineRule="auto"/>
              <w:ind/>
              <w:rPr>
                <w:sz w:val="24"/>
              </w:rPr>
            </w:pPr>
            <w:r>
              <w:rPr>
                <w:sz w:val="24"/>
              </w:rPr>
              <w:t>Средний</w:t>
            </w:r>
          </w:p>
        </w:tc>
        <w:tc>
          <w:tcPr>
            <w:tcW w:type="dxa" w:w="3129"/>
          </w:tcPr>
          <w:p w14:paraId="7C020000">
            <w:pPr>
              <w:spacing w:line="240" w:lineRule="auto"/>
              <w:ind/>
              <w:rPr>
                <w:sz w:val="24"/>
              </w:rPr>
            </w:pPr>
            <w:r>
              <w:rPr>
                <w:sz w:val="24"/>
              </w:rPr>
              <w:t>3</w:t>
            </w:r>
          </w:p>
        </w:tc>
        <w:tc>
          <w:tcPr>
            <w:tcW w:type="dxa" w:w="3124"/>
          </w:tcPr>
          <w:p w14:paraId="7D020000">
            <w:pPr>
              <w:spacing w:line="240" w:lineRule="auto"/>
              <w:ind/>
              <w:rPr>
                <w:sz w:val="24"/>
              </w:rPr>
            </w:pPr>
            <w:r>
              <w:rPr>
                <w:sz w:val="24"/>
              </w:rPr>
              <w:t>15</w:t>
            </w:r>
          </w:p>
        </w:tc>
      </w:tr>
      <w:tr>
        <w:tc>
          <w:tcPr>
            <w:tcW w:type="dxa" w:w="3101"/>
          </w:tcPr>
          <w:p w14:paraId="7E020000">
            <w:pPr>
              <w:spacing w:line="240" w:lineRule="auto"/>
              <w:ind/>
              <w:rPr>
                <w:sz w:val="24"/>
              </w:rPr>
            </w:pPr>
            <w:r>
              <w:rPr>
                <w:sz w:val="24"/>
              </w:rPr>
              <w:t>Низкий</w:t>
            </w:r>
          </w:p>
        </w:tc>
        <w:tc>
          <w:tcPr>
            <w:tcW w:type="dxa" w:w="3129"/>
          </w:tcPr>
          <w:p w14:paraId="7F020000">
            <w:pPr>
              <w:spacing w:line="240" w:lineRule="auto"/>
              <w:ind/>
              <w:rPr>
                <w:sz w:val="24"/>
              </w:rPr>
            </w:pPr>
            <w:r>
              <w:rPr>
                <w:sz w:val="24"/>
              </w:rPr>
              <w:t>0</w:t>
            </w:r>
          </w:p>
        </w:tc>
        <w:tc>
          <w:tcPr>
            <w:tcW w:type="dxa" w:w="3124"/>
          </w:tcPr>
          <w:p w14:paraId="80020000">
            <w:pPr>
              <w:spacing w:line="240" w:lineRule="auto"/>
              <w:ind/>
              <w:rPr>
                <w:sz w:val="24"/>
              </w:rPr>
            </w:pPr>
            <w:r>
              <w:rPr>
                <w:sz w:val="24"/>
              </w:rPr>
              <w:t>0</w:t>
            </w:r>
          </w:p>
        </w:tc>
      </w:tr>
      <w:tr>
        <w:tc>
          <w:tcPr>
            <w:tcW w:type="dxa" w:w="3101"/>
          </w:tcPr>
          <w:p w14:paraId="81020000">
            <w:pPr>
              <w:spacing w:line="240" w:lineRule="auto"/>
              <w:ind/>
              <w:rPr>
                <w:sz w:val="24"/>
              </w:rPr>
            </w:pPr>
            <w:r>
              <w:rPr>
                <w:sz w:val="24"/>
              </w:rPr>
              <w:t>Всего</w:t>
            </w:r>
          </w:p>
        </w:tc>
        <w:tc>
          <w:tcPr>
            <w:tcW w:type="dxa" w:w="3129"/>
          </w:tcPr>
          <w:p w14:paraId="82020000">
            <w:pPr>
              <w:spacing w:line="240" w:lineRule="auto"/>
              <w:ind/>
              <w:rPr>
                <w:sz w:val="24"/>
              </w:rPr>
            </w:pPr>
            <w:r>
              <w:rPr>
                <w:sz w:val="24"/>
              </w:rPr>
              <w:t>20</w:t>
            </w:r>
          </w:p>
        </w:tc>
        <w:tc>
          <w:tcPr>
            <w:tcW w:type="dxa" w:w="3124"/>
          </w:tcPr>
          <w:p w14:paraId="83020000">
            <w:pPr>
              <w:spacing w:line="240" w:lineRule="auto"/>
              <w:ind/>
              <w:rPr>
                <w:sz w:val="24"/>
              </w:rPr>
            </w:pPr>
            <w:r>
              <w:rPr>
                <w:sz w:val="24"/>
              </w:rPr>
              <w:t>100</w:t>
            </w:r>
          </w:p>
        </w:tc>
      </w:tr>
    </w:tbl>
    <w:p w14:paraId="84020000">
      <w:pPr>
        <w:ind w:firstLine="709" w:left="0"/>
      </w:pPr>
    </w:p>
    <w:p w14:paraId="85020000">
      <w:pPr>
        <w:ind w:firstLine="709" w:left="0"/>
      </w:pPr>
      <w:r>
        <w:t>Высокий уровень мотивации выявлен у 17 участников, или у 85 % выборки. До начала программы такой показатель имели 13 старшеклассников. Число обучающихся со средним уровнем сократилось с пяти до тр</w:t>
      </w:r>
      <w:r>
        <w:t>е</w:t>
      </w:r>
      <w:r>
        <w:t>х, а низкий уровень при повторной диагностике не зафиксирован.</w:t>
      </w:r>
    </w:p>
    <w:p w14:paraId="86020000">
      <w:pPr>
        <w:ind w:firstLine="709" w:left="0"/>
      </w:pPr>
      <w:r>
        <w:t>Рост мотивации отражает готовность участников предпринимать практические действия. Старшеклассники чаще обращались к информации об образовательных программах, уточняли условия поступления и связывали текущую учебную деятельность с будущими профессиональными целями.</w:t>
      </w:r>
    </w:p>
    <w:p w14:paraId="87020000">
      <w:pPr>
        <w:ind w:firstLine="709" w:left="0"/>
      </w:pPr>
      <w:r>
        <w:t>Результаты повторного анкетирования представлены в таблице 12.</w:t>
      </w:r>
    </w:p>
    <w:p w14:paraId="88020000">
      <w:pPr>
        <w:ind w:firstLine="709" w:left="0"/>
        <w:rPr>
          <w:b w:val="1"/>
        </w:rPr>
      </w:pPr>
    </w:p>
    <w:p w14:paraId="89020000">
      <w:pPr>
        <w:spacing w:line="240" w:lineRule="auto"/>
        <w:ind/>
      </w:pPr>
      <w:r>
        <w:t>Таблица 12 — Результаты повторной диагностики сформированности профессионального выбора</w:t>
      </w:r>
    </w:p>
    <w:p w14:paraId="8A020000">
      <w:pPr>
        <w:spacing w:line="240" w:lineRule="auto"/>
        <w:ind/>
      </w:pPr>
    </w:p>
    <w:tbl>
      <w:tblPr>
        <w:tblStyle w:val="Style_7"/>
        <w:tblLayout w:type="fixed"/>
      </w:tblPr>
      <w:tblGrid>
        <w:gridCol w:w="4806"/>
        <w:gridCol w:w="2272"/>
        <w:gridCol w:w="2267"/>
      </w:tblGrid>
      <w:tr>
        <w:tc>
          <w:tcPr>
            <w:tcW w:type="dxa" w:w="4806"/>
          </w:tcPr>
          <w:p w14:paraId="8B020000">
            <w:pPr>
              <w:spacing w:line="240" w:lineRule="auto"/>
              <w:ind/>
              <w:rPr>
                <w:sz w:val="24"/>
              </w:rPr>
            </w:pPr>
            <w:r>
              <w:rPr>
                <w:sz w:val="24"/>
              </w:rPr>
              <w:t>Характеристика профессионального выбора</w:t>
            </w:r>
          </w:p>
        </w:tc>
        <w:tc>
          <w:tcPr>
            <w:tcW w:type="dxa" w:w="2272"/>
          </w:tcPr>
          <w:p w14:paraId="8C020000">
            <w:pPr>
              <w:spacing w:line="240" w:lineRule="auto"/>
              <w:ind/>
              <w:rPr>
                <w:sz w:val="24"/>
              </w:rPr>
            </w:pPr>
            <w:r>
              <w:rPr>
                <w:sz w:val="24"/>
              </w:rPr>
              <w:t>Количество человек</w:t>
            </w:r>
          </w:p>
        </w:tc>
        <w:tc>
          <w:tcPr>
            <w:tcW w:type="dxa" w:w="2267"/>
          </w:tcPr>
          <w:p w14:paraId="8D020000">
            <w:pPr>
              <w:spacing w:line="240" w:lineRule="auto"/>
              <w:ind/>
              <w:rPr>
                <w:sz w:val="24"/>
              </w:rPr>
            </w:pPr>
            <w:r>
              <w:rPr>
                <w:sz w:val="24"/>
              </w:rPr>
              <w:t>Доля от выборки, %</w:t>
            </w:r>
          </w:p>
        </w:tc>
      </w:tr>
      <w:tr>
        <w:tc>
          <w:tcPr>
            <w:tcW w:type="dxa" w:w="4806"/>
          </w:tcPr>
          <w:p w14:paraId="8E020000">
            <w:pPr>
              <w:spacing w:line="240" w:lineRule="auto"/>
              <w:ind/>
              <w:rPr>
                <w:sz w:val="24"/>
              </w:rPr>
            </w:pPr>
            <w:r>
              <w:rPr>
                <w:sz w:val="24"/>
              </w:rPr>
              <w:t>Профессиональные интересы сформированы</w:t>
            </w:r>
          </w:p>
        </w:tc>
        <w:tc>
          <w:tcPr>
            <w:tcW w:type="dxa" w:w="2272"/>
          </w:tcPr>
          <w:p w14:paraId="8F020000">
            <w:pPr>
              <w:spacing w:line="240" w:lineRule="auto"/>
              <w:ind/>
              <w:rPr>
                <w:sz w:val="24"/>
              </w:rPr>
            </w:pPr>
            <w:r>
              <w:rPr>
                <w:sz w:val="24"/>
              </w:rPr>
              <w:t>16</w:t>
            </w:r>
          </w:p>
        </w:tc>
        <w:tc>
          <w:tcPr>
            <w:tcW w:type="dxa" w:w="2267"/>
          </w:tcPr>
          <w:p w14:paraId="90020000">
            <w:pPr>
              <w:spacing w:line="240" w:lineRule="auto"/>
              <w:ind/>
              <w:rPr>
                <w:sz w:val="24"/>
              </w:rPr>
            </w:pPr>
            <w:r>
              <w:rPr>
                <w:sz w:val="24"/>
              </w:rPr>
              <w:t>80</w:t>
            </w:r>
          </w:p>
        </w:tc>
      </w:tr>
      <w:tr>
        <w:tc>
          <w:tcPr>
            <w:tcW w:type="dxa" w:w="4806"/>
          </w:tcPr>
          <w:p w14:paraId="91020000">
            <w:pPr>
              <w:spacing w:line="240" w:lineRule="auto"/>
              <w:ind/>
              <w:rPr>
                <w:sz w:val="24"/>
              </w:rPr>
            </w:pPr>
            <w:r>
              <w:rPr>
                <w:sz w:val="24"/>
              </w:rPr>
              <w:t>Выбор профессии не определ</w:t>
            </w:r>
            <w:r>
              <w:rPr>
                <w:sz w:val="24"/>
              </w:rPr>
              <w:t>е</w:t>
            </w:r>
            <w:r>
              <w:rPr>
                <w:sz w:val="24"/>
              </w:rPr>
              <w:t>н</w:t>
            </w:r>
          </w:p>
        </w:tc>
        <w:tc>
          <w:tcPr>
            <w:tcW w:type="dxa" w:w="2272"/>
          </w:tcPr>
          <w:p w14:paraId="92020000">
            <w:pPr>
              <w:spacing w:line="240" w:lineRule="auto"/>
              <w:ind/>
              <w:rPr>
                <w:sz w:val="24"/>
              </w:rPr>
            </w:pPr>
            <w:r>
              <w:rPr>
                <w:sz w:val="24"/>
              </w:rPr>
              <w:t>3</w:t>
            </w:r>
          </w:p>
        </w:tc>
        <w:tc>
          <w:tcPr>
            <w:tcW w:type="dxa" w:w="2267"/>
          </w:tcPr>
          <w:p w14:paraId="93020000">
            <w:pPr>
              <w:spacing w:line="240" w:lineRule="auto"/>
              <w:ind/>
              <w:rPr>
                <w:sz w:val="24"/>
              </w:rPr>
            </w:pPr>
            <w:r>
              <w:rPr>
                <w:sz w:val="24"/>
              </w:rPr>
              <w:t>15</w:t>
            </w:r>
          </w:p>
        </w:tc>
      </w:tr>
      <w:tr>
        <w:tc>
          <w:tcPr>
            <w:tcW w:type="dxa" w:w="4806"/>
          </w:tcPr>
          <w:p w14:paraId="94020000">
            <w:pPr>
              <w:spacing w:line="240" w:lineRule="auto"/>
              <w:ind/>
              <w:rPr>
                <w:sz w:val="24"/>
              </w:rPr>
            </w:pPr>
            <w:r>
              <w:rPr>
                <w:sz w:val="24"/>
              </w:rPr>
              <w:t>Испытывают сомнения в принятом решении</w:t>
            </w:r>
          </w:p>
        </w:tc>
        <w:tc>
          <w:tcPr>
            <w:tcW w:type="dxa" w:w="2272"/>
          </w:tcPr>
          <w:p w14:paraId="95020000">
            <w:pPr>
              <w:spacing w:line="240" w:lineRule="auto"/>
              <w:ind/>
              <w:rPr>
                <w:sz w:val="24"/>
              </w:rPr>
            </w:pPr>
            <w:r>
              <w:rPr>
                <w:sz w:val="24"/>
              </w:rPr>
              <w:t>1</w:t>
            </w:r>
          </w:p>
        </w:tc>
        <w:tc>
          <w:tcPr>
            <w:tcW w:type="dxa" w:w="2267"/>
          </w:tcPr>
          <w:p w14:paraId="96020000">
            <w:pPr>
              <w:spacing w:line="240" w:lineRule="auto"/>
              <w:ind/>
              <w:rPr>
                <w:sz w:val="24"/>
              </w:rPr>
            </w:pPr>
            <w:r>
              <w:rPr>
                <w:sz w:val="24"/>
              </w:rPr>
              <w:t>5</w:t>
            </w:r>
          </w:p>
        </w:tc>
      </w:tr>
      <w:tr>
        <w:tc>
          <w:tcPr>
            <w:tcW w:type="dxa" w:w="4806"/>
          </w:tcPr>
          <w:p w14:paraId="97020000">
            <w:pPr>
              <w:spacing w:line="240" w:lineRule="auto"/>
              <w:ind/>
              <w:rPr>
                <w:sz w:val="24"/>
              </w:rPr>
            </w:pPr>
            <w:r>
              <w:rPr>
                <w:sz w:val="24"/>
              </w:rPr>
              <w:t>Всего</w:t>
            </w:r>
          </w:p>
        </w:tc>
        <w:tc>
          <w:tcPr>
            <w:tcW w:type="dxa" w:w="2272"/>
          </w:tcPr>
          <w:p w14:paraId="98020000">
            <w:pPr>
              <w:spacing w:line="240" w:lineRule="auto"/>
              <w:ind/>
              <w:rPr>
                <w:sz w:val="24"/>
              </w:rPr>
            </w:pPr>
            <w:r>
              <w:rPr>
                <w:sz w:val="24"/>
              </w:rPr>
              <w:t>20</w:t>
            </w:r>
          </w:p>
        </w:tc>
        <w:tc>
          <w:tcPr>
            <w:tcW w:type="dxa" w:w="2267"/>
          </w:tcPr>
          <w:p w14:paraId="99020000">
            <w:pPr>
              <w:spacing w:line="240" w:lineRule="auto"/>
              <w:ind/>
              <w:rPr>
                <w:sz w:val="24"/>
              </w:rPr>
            </w:pPr>
            <w:r>
              <w:rPr>
                <w:sz w:val="24"/>
              </w:rPr>
              <w:t>100</w:t>
            </w:r>
          </w:p>
        </w:tc>
      </w:tr>
    </w:tbl>
    <w:p w14:paraId="9A020000">
      <w:pPr>
        <w:ind w:firstLine="709" w:left="0"/>
      </w:pPr>
    </w:p>
    <w:p w14:paraId="9B020000">
      <w:pPr>
        <w:ind w:firstLine="709" w:left="0"/>
      </w:pPr>
      <w:r>
        <w:t>После завершения программы сформированные профессиональные интересы имели 16 участников, или 80 % выборки. Количество неопределившихся старшеклассников сократилось с семи до тр</w:t>
      </w:r>
      <w:r>
        <w:t>е</w:t>
      </w:r>
      <w:r>
        <w:t>х. Сомнения в принятом решении сохранились у одного человека вместо четыр</w:t>
      </w:r>
      <w:r>
        <w:t>е</w:t>
      </w:r>
      <w:r>
        <w:t>х.</w:t>
      </w:r>
    </w:p>
    <w:p w14:paraId="9C020000">
      <w:pPr>
        <w:ind w:firstLine="709" w:left="0"/>
      </w:pPr>
      <w:r>
        <w:t>Изменения не означают, что все участники окончательно выбрали одну профессию. Сформированность профессиональных интересов оценивалась по способности выделить приоритетное направление, объяснить мотивы и назвать дальнейшие действия. Три старшеклассника продолжили сравнивать несколько вариантов, однако их позиция стала более аргументированной.</w:t>
      </w:r>
    </w:p>
    <w:p w14:paraId="9D020000">
      <w:pPr>
        <w:ind w:firstLine="709" w:left="0"/>
      </w:pPr>
      <w:r>
        <w:t>Повторная диагностика выявила устойчивость профессиональных склонностей и направленности личности. Одновременно возросли мотивация, осознанность решения и определ</w:t>
      </w:r>
      <w:r>
        <w:t>е</w:t>
      </w:r>
      <w:r>
        <w:t>нность образовательных планов. Такое сочетание соответствует задачам программы: она не меняла индивидуальные предпочтения, а помогала участникам лучше понять их и связать с практическим маршрутом.</w:t>
      </w:r>
    </w:p>
    <w:p w14:paraId="9E020000">
      <w:pPr>
        <w:ind w:firstLine="709" w:left="0"/>
      </w:pPr>
    </w:p>
    <w:p w14:paraId="9F020000">
      <w:bookmarkStart w:id="10" w:name="__RefHeading___10"/>
      <w:bookmarkEnd w:id="10"/>
      <w:pPr>
        <w:pStyle w:val="Style_6"/>
      </w:pPr>
      <w:r>
        <w:t>2.4 Анализ результатов апробации программы психологического сопровождения</w:t>
      </w:r>
    </w:p>
    <w:p w14:paraId="A0020000">
      <w:pPr>
        <w:ind w:firstLine="709" w:left="0"/>
      </w:pPr>
    </w:p>
    <w:p w14:paraId="A1020000">
      <w:pPr>
        <w:ind w:firstLine="709" w:left="0"/>
      </w:pPr>
      <w:r>
        <w:t xml:space="preserve">Сравнительный анализ позволил оценить изменения, произошедшие после реализации программы психологического сопровождения. Автор сопоставил результаты первичной и повторной диагностики по всем использованным методикам. Особое внимание уделялось не изменению </w:t>
      </w:r>
      <w:r>
        <w:t>устойчивых профессиональных склонностей, а динамике мотивации, осознанности выбора и готовности планировать дальнейший образовательный маршрут.</w:t>
      </w:r>
    </w:p>
    <w:p w14:paraId="A2020000">
      <w:pPr>
        <w:ind w:firstLine="709" w:left="0"/>
      </w:pPr>
      <w:r>
        <w:t>Результаты по ДДО Е. А. Климова представлены в таблице 13.</w:t>
      </w:r>
    </w:p>
    <w:p w14:paraId="A3020000">
      <w:pPr>
        <w:ind w:firstLine="709" w:left="0"/>
        <w:rPr>
          <w:b w:val="1"/>
        </w:rPr>
      </w:pPr>
    </w:p>
    <w:p w14:paraId="A4020000">
      <w:pPr>
        <w:spacing w:line="240" w:lineRule="auto"/>
        <w:ind/>
      </w:pPr>
      <w:r>
        <w:t>Таблица 13 — Сравнение результатов по ДДО Е. А. Климова до и после реализации программы</w:t>
      </w:r>
    </w:p>
    <w:p w14:paraId="A5020000">
      <w:pPr>
        <w:spacing w:line="240" w:lineRule="auto"/>
        <w:ind/>
      </w:pPr>
    </w:p>
    <w:tbl>
      <w:tblPr>
        <w:tblStyle w:val="Style_7"/>
        <w:tblLayout w:type="fixed"/>
      </w:tblPr>
      <w:tblGrid>
        <w:gridCol w:w="2514"/>
        <w:gridCol w:w="1687"/>
        <w:gridCol w:w="1622"/>
        <w:gridCol w:w="1793"/>
        <w:gridCol w:w="1729"/>
      </w:tblGrid>
      <w:tr>
        <w:tc>
          <w:tcPr>
            <w:tcW w:type="dxa" w:w="2514"/>
          </w:tcPr>
          <w:p w14:paraId="A6020000">
            <w:pPr>
              <w:spacing w:line="240" w:lineRule="auto"/>
              <w:ind/>
              <w:rPr>
                <w:sz w:val="24"/>
              </w:rPr>
            </w:pPr>
            <w:r>
              <w:rPr>
                <w:sz w:val="24"/>
              </w:rPr>
              <w:t>Тип профессий</w:t>
            </w:r>
          </w:p>
        </w:tc>
        <w:tc>
          <w:tcPr>
            <w:tcW w:type="dxa" w:w="1687"/>
          </w:tcPr>
          <w:p w14:paraId="A7020000">
            <w:pPr>
              <w:spacing w:line="240" w:lineRule="auto"/>
              <w:ind/>
              <w:rPr>
                <w:sz w:val="24"/>
              </w:rPr>
            </w:pPr>
            <w:r>
              <w:rPr>
                <w:sz w:val="24"/>
              </w:rPr>
              <w:t>До программы, чел.</w:t>
            </w:r>
          </w:p>
        </w:tc>
        <w:tc>
          <w:tcPr>
            <w:tcW w:type="dxa" w:w="1622"/>
          </w:tcPr>
          <w:p w14:paraId="A8020000">
            <w:pPr>
              <w:spacing w:line="240" w:lineRule="auto"/>
              <w:ind/>
              <w:rPr>
                <w:sz w:val="24"/>
              </w:rPr>
            </w:pPr>
            <w:r>
              <w:rPr>
                <w:sz w:val="24"/>
              </w:rPr>
              <w:t>До программы, %</w:t>
            </w:r>
          </w:p>
        </w:tc>
        <w:tc>
          <w:tcPr>
            <w:tcW w:type="dxa" w:w="1793"/>
          </w:tcPr>
          <w:p w14:paraId="A9020000">
            <w:pPr>
              <w:spacing w:line="240" w:lineRule="auto"/>
              <w:ind/>
              <w:rPr>
                <w:sz w:val="24"/>
              </w:rPr>
            </w:pPr>
            <w:r>
              <w:rPr>
                <w:sz w:val="24"/>
              </w:rPr>
              <w:t>После программы, чел.</w:t>
            </w:r>
          </w:p>
        </w:tc>
        <w:tc>
          <w:tcPr>
            <w:tcW w:type="dxa" w:w="1729"/>
          </w:tcPr>
          <w:p w14:paraId="AA020000">
            <w:pPr>
              <w:spacing w:line="240" w:lineRule="auto"/>
              <w:ind/>
              <w:rPr>
                <w:sz w:val="24"/>
              </w:rPr>
            </w:pPr>
            <w:r>
              <w:rPr>
                <w:sz w:val="24"/>
              </w:rPr>
              <w:t>После программы, %</w:t>
            </w:r>
          </w:p>
        </w:tc>
      </w:tr>
      <w:tr>
        <w:tc>
          <w:tcPr>
            <w:tcW w:type="dxa" w:w="2514"/>
          </w:tcPr>
          <w:p w14:paraId="AB020000">
            <w:pPr>
              <w:spacing w:line="240" w:lineRule="auto"/>
              <w:ind/>
              <w:rPr>
                <w:sz w:val="24"/>
              </w:rPr>
            </w:pPr>
            <w:r>
              <w:rPr>
                <w:sz w:val="24"/>
              </w:rPr>
              <w:t>Человек — человек</w:t>
            </w:r>
          </w:p>
        </w:tc>
        <w:tc>
          <w:tcPr>
            <w:tcW w:type="dxa" w:w="1687"/>
          </w:tcPr>
          <w:p w14:paraId="AC020000">
            <w:pPr>
              <w:spacing w:line="240" w:lineRule="auto"/>
              <w:ind/>
              <w:rPr>
                <w:sz w:val="24"/>
              </w:rPr>
            </w:pPr>
            <w:r>
              <w:rPr>
                <w:sz w:val="24"/>
              </w:rPr>
              <w:t>8</w:t>
            </w:r>
          </w:p>
        </w:tc>
        <w:tc>
          <w:tcPr>
            <w:tcW w:type="dxa" w:w="1622"/>
          </w:tcPr>
          <w:p w14:paraId="AD020000">
            <w:pPr>
              <w:spacing w:line="240" w:lineRule="auto"/>
              <w:ind/>
              <w:rPr>
                <w:sz w:val="24"/>
              </w:rPr>
            </w:pPr>
            <w:r>
              <w:rPr>
                <w:sz w:val="24"/>
              </w:rPr>
              <w:t>40</w:t>
            </w:r>
          </w:p>
        </w:tc>
        <w:tc>
          <w:tcPr>
            <w:tcW w:type="dxa" w:w="1793"/>
          </w:tcPr>
          <w:p w14:paraId="AE020000">
            <w:pPr>
              <w:spacing w:line="240" w:lineRule="auto"/>
              <w:ind/>
              <w:rPr>
                <w:sz w:val="24"/>
              </w:rPr>
            </w:pPr>
            <w:r>
              <w:rPr>
                <w:sz w:val="24"/>
              </w:rPr>
              <w:t>8</w:t>
            </w:r>
          </w:p>
        </w:tc>
        <w:tc>
          <w:tcPr>
            <w:tcW w:type="dxa" w:w="1729"/>
          </w:tcPr>
          <w:p w14:paraId="AF020000">
            <w:pPr>
              <w:spacing w:line="240" w:lineRule="auto"/>
              <w:ind/>
              <w:rPr>
                <w:sz w:val="24"/>
              </w:rPr>
            </w:pPr>
            <w:r>
              <w:rPr>
                <w:sz w:val="24"/>
              </w:rPr>
              <w:t>40</w:t>
            </w:r>
          </w:p>
        </w:tc>
      </w:tr>
      <w:tr>
        <w:tc>
          <w:tcPr>
            <w:tcW w:type="dxa" w:w="2514"/>
          </w:tcPr>
          <w:p w14:paraId="B0020000">
            <w:pPr>
              <w:spacing w:line="240" w:lineRule="auto"/>
              <w:ind/>
              <w:rPr>
                <w:sz w:val="24"/>
              </w:rPr>
            </w:pPr>
            <w:r>
              <w:rPr>
                <w:sz w:val="24"/>
              </w:rPr>
              <w:t>Человек — техника</w:t>
            </w:r>
          </w:p>
        </w:tc>
        <w:tc>
          <w:tcPr>
            <w:tcW w:type="dxa" w:w="1687"/>
          </w:tcPr>
          <w:p w14:paraId="B1020000">
            <w:pPr>
              <w:spacing w:line="240" w:lineRule="auto"/>
              <w:ind/>
              <w:rPr>
                <w:sz w:val="24"/>
              </w:rPr>
            </w:pPr>
            <w:r>
              <w:rPr>
                <w:sz w:val="24"/>
              </w:rPr>
              <w:t>3</w:t>
            </w:r>
          </w:p>
        </w:tc>
        <w:tc>
          <w:tcPr>
            <w:tcW w:type="dxa" w:w="1622"/>
          </w:tcPr>
          <w:p w14:paraId="B2020000">
            <w:pPr>
              <w:spacing w:line="240" w:lineRule="auto"/>
              <w:ind/>
              <w:rPr>
                <w:sz w:val="24"/>
              </w:rPr>
            </w:pPr>
            <w:r>
              <w:rPr>
                <w:sz w:val="24"/>
              </w:rPr>
              <w:t>15</w:t>
            </w:r>
          </w:p>
        </w:tc>
        <w:tc>
          <w:tcPr>
            <w:tcW w:type="dxa" w:w="1793"/>
          </w:tcPr>
          <w:p w14:paraId="B3020000">
            <w:pPr>
              <w:spacing w:line="240" w:lineRule="auto"/>
              <w:ind/>
              <w:rPr>
                <w:sz w:val="24"/>
              </w:rPr>
            </w:pPr>
            <w:r>
              <w:rPr>
                <w:sz w:val="24"/>
              </w:rPr>
              <w:t>3</w:t>
            </w:r>
          </w:p>
        </w:tc>
        <w:tc>
          <w:tcPr>
            <w:tcW w:type="dxa" w:w="1729"/>
          </w:tcPr>
          <w:p w14:paraId="B4020000">
            <w:pPr>
              <w:spacing w:line="240" w:lineRule="auto"/>
              <w:ind/>
              <w:rPr>
                <w:sz w:val="24"/>
              </w:rPr>
            </w:pPr>
            <w:r>
              <w:rPr>
                <w:sz w:val="24"/>
              </w:rPr>
              <w:t>15</w:t>
            </w:r>
          </w:p>
        </w:tc>
      </w:tr>
      <w:tr>
        <w:tc>
          <w:tcPr>
            <w:tcW w:type="dxa" w:w="2514"/>
          </w:tcPr>
          <w:p w14:paraId="B5020000">
            <w:pPr>
              <w:spacing w:line="240" w:lineRule="auto"/>
              <w:ind/>
              <w:rPr>
                <w:sz w:val="24"/>
              </w:rPr>
            </w:pPr>
            <w:r>
              <w:rPr>
                <w:sz w:val="24"/>
              </w:rPr>
              <w:t>Человек — природа</w:t>
            </w:r>
          </w:p>
        </w:tc>
        <w:tc>
          <w:tcPr>
            <w:tcW w:type="dxa" w:w="1687"/>
          </w:tcPr>
          <w:p w14:paraId="B6020000">
            <w:pPr>
              <w:spacing w:line="240" w:lineRule="auto"/>
              <w:ind/>
              <w:rPr>
                <w:sz w:val="24"/>
              </w:rPr>
            </w:pPr>
            <w:r>
              <w:rPr>
                <w:sz w:val="24"/>
              </w:rPr>
              <w:t>2</w:t>
            </w:r>
          </w:p>
        </w:tc>
        <w:tc>
          <w:tcPr>
            <w:tcW w:type="dxa" w:w="1622"/>
          </w:tcPr>
          <w:p w14:paraId="B7020000">
            <w:pPr>
              <w:spacing w:line="240" w:lineRule="auto"/>
              <w:ind/>
              <w:rPr>
                <w:sz w:val="24"/>
              </w:rPr>
            </w:pPr>
            <w:r>
              <w:rPr>
                <w:sz w:val="24"/>
              </w:rPr>
              <w:t>10</w:t>
            </w:r>
          </w:p>
        </w:tc>
        <w:tc>
          <w:tcPr>
            <w:tcW w:type="dxa" w:w="1793"/>
          </w:tcPr>
          <w:p w14:paraId="B8020000">
            <w:pPr>
              <w:spacing w:line="240" w:lineRule="auto"/>
              <w:ind/>
              <w:rPr>
                <w:sz w:val="24"/>
              </w:rPr>
            </w:pPr>
            <w:r>
              <w:rPr>
                <w:sz w:val="24"/>
              </w:rPr>
              <w:t>2</w:t>
            </w:r>
          </w:p>
        </w:tc>
        <w:tc>
          <w:tcPr>
            <w:tcW w:type="dxa" w:w="1729"/>
          </w:tcPr>
          <w:p w14:paraId="B9020000">
            <w:pPr>
              <w:spacing w:line="240" w:lineRule="auto"/>
              <w:ind/>
              <w:rPr>
                <w:sz w:val="24"/>
              </w:rPr>
            </w:pPr>
            <w:r>
              <w:rPr>
                <w:sz w:val="24"/>
              </w:rPr>
              <w:t>10</w:t>
            </w:r>
          </w:p>
        </w:tc>
      </w:tr>
      <w:tr>
        <w:tc>
          <w:tcPr>
            <w:tcW w:type="dxa" w:w="2514"/>
          </w:tcPr>
          <w:p w14:paraId="BA020000">
            <w:pPr>
              <w:spacing w:line="240" w:lineRule="auto"/>
              <w:ind/>
              <w:rPr>
                <w:sz w:val="24"/>
              </w:rPr>
            </w:pPr>
            <w:r>
              <w:rPr>
                <w:sz w:val="24"/>
              </w:rPr>
              <w:t>Человек — знаковая система</w:t>
            </w:r>
          </w:p>
        </w:tc>
        <w:tc>
          <w:tcPr>
            <w:tcW w:type="dxa" w:w="1687"/>
          </w:tcPr>
          <w:p w14:paraId="BB020000">
            <w:pPr>
              <w:spacing w:line="240" w:lineRule="auto"/>
              <w:ind/>
              <w:rPr>
                <w:sz w:val="24"/>
              </w:rPr>
            </w:pPr>
            <w:r>
              <w:rPr>
                <w:sz w:val="24"/>
              </w:rPr>
              <w:t>5</w:t>
            </w:r>
          </w:p>
        </w:tc>
        <w:tc>
          <w:tcPr>
            <w:tcW w:type="dxa" w:w="1622"/>
          </w:tcPr>
          <w:p w14:paraId="BC020000">
            <w:pPr>
              <w:spacing w:line="240" w:lineRule="auto"/>
              <w:ind/>
              <w:rPr>
                <w:sz w:val="24"/>
              </w:rPr>
            </w:pPr>
            <w:r>
              <w:rPr>
                <w:sz w:val="24"/>
              </w:rPr>
              <w:t>25</w:t>
            </w:r>
          </w:p>
        </w:tc>
        <w:tc>
          <w:tcPr>
            <w:tcW w:type="dxa" w:w="1793"/>
          </w:tcPr>
          <w:p w14:paraId="BD020000">
            <w:pPr>
              <w:spacing w:line="240" w:lineRule="auto"/>
              <w:ind/>
              <w:rPr>
                <w:sz w:val="24"/>
              </w:rPr>
            </w:pPr>
            <w:r>
              <w:rPr>
                <w:sz w:val="24"/>
              </w:rPr>
              <w:t>5</w:t>
            </w:r>
          </w:p>
        </w:tc>
        <w:tc>
          <w:tcPr>
            <w:tcW w:type="dxa" w:w="1729"/>
          </w:tcPr>
          <w:p w14:paraId="BE020000">
            <w:pPr>
              <w:spacing w:line="240" w:lineRule="auto"/>
              <w:ind/>
              <w:rPr>
                <w:sz w:val="24"/>
              </w:rPr>
            </w:pPr>
            <w:r>
              <w:rPr>
                <w:sz w:val="24"/>
              </w:rPr>
              <w:t>25</w:t>
            </w:r>
          </w:p>
        </w:tc>
      </w:tr>
      <w:tr>
        <w:tc>
          <w:tcPr>
            <w:tcW w:type="dxa" w:w="2514"/>
          </w:tcPr>
          <w:p w14:paraId="BF020000">
            <w:pPr>
              <w:spacing w:line="240" w:lineRule="auto"/>
              <w:ind/>
              <w:rPr>
                <w:sz w:val="24"/>
              </w:rPr>
            </w:pPr>
            <w:r>
              <w:rPr>
                <w:sz w:val="24"/>
              </w:rPr>
              <w:t>Человек — художественный образ</w:t>
            </w:r>
          </w:p>
        </w:tc>
        <w:tc>
          <w:tcPr>
            <w:tcW w:type="dxa" w:w="1687"/>
          </w:tcPr>
          <w:p w14:paraId="C0020000">
            <w:pPr>
              <w:spacing w:line="240" w:lineRule="auto"/>
              <w:ind/>
              <w:rPr>
                <w:sz w:val="24"/>
              </w:rPr>
            </w:pPr>
            <w:r>
              <w:rPr>
                <w:sz w:val="24"/>
              </w:rPr>
              <w:t>2</w:t>
            </w:r>
          </w:p>
        </w:tc>
        <w:tc>
          <w:tcPr>
            <w:tcW w:type="dxa" w:w="1622"/>
          </w:tcPr>
          <w:p w14:paraId="C1020000">
            <w:pPr>
              <w:spacing w:line="240" w:lineRule="auto"/>
              <w:ind/>
              <w:rPr>
                <w:sz w:val="24"/>
              </w:rPr>
            </w:pPr>
            <w:r>
              <w:rPr>
                <w:sz w:val="24"/>
              </w:rPr>
              <w:t>10</w:t>
            </w:r>
          </w:p>
        </w:tc>
        <w:tc>
          <w:tcPr>
            <w:tcW w:type="dxa" w:w="1793"/>
          </w:tcPr>
          <w:p w14:paraId="C2020000">
            <w:pPr>
              <w:spacing w:line="240" w:lineRule="auto"/>
              <w:ind/>
              <w:rPr>
                <w:sz w:val="24"/>
              </w:rPr>
            </w:pPr>
            <w:r>
              <w:rPr>
                <w:sz w:val="24"/>
              </w:rPr>
              <w:t>2</w:t>
            </w:r>
          </w:p>
        </w:tc>
        <w:tc>
          <w:tcPr>
            <w:tcW w:type="dxa" w:w="1729"/>
          </w:tcPr>
          <w:p w14:paraId="C3020000">
            <w:pPr>
              <w:spacing w:line="240" w:lineRule="auto"/>
              <w:ind/>
              <w:rPr>
                <w:sz w:val="24"/>
              </w:rPr>
            </w:pPr>
            <w:r>
              <w:rPr>
                <w:sz w:val="24"/>
              </w:rPr>
              <w:t>10</w:t>
            </w:r>
          </w:p>
        </w:tc>
      </w:tr>
      <w:tr>
        <w:tc>
          <w:tcPr>
            <w:tcW w:type="dxa" w:w="2514"/>
          </w:tcPr>
          <w:p w14:paraId="C4020000">
            <w:pPr>
              <w:spacing w:line="240" w:lineRule="auto"/>
              <w:ind/>
              <w:rPr>
                <w:sz w:val="24"/>
              </w:rPr>
            </w:pPr>
            <w:r>
              <w:rPr>
                <w:sz w:val="24"/>
              </w:rPr>
              <w:t>Всего</w:t>
            </w:r>
          </w:p>
        </w:tc>
        <w:tc>
          <w:tcPr>
            <w:tcW w:type="dxa" w:w="1687"/>
          </w:tcPr>
          <w:p w14:paraId="C5020000">
            <w:pPr>
              <w:spacing w:line="240" w:lineRule="auto"/>
              <w:ind/>
              <w:rPr>
                <w:sz w:val="24"/>
              </w:rPr>
            </w:pPr>
            <w:r>
              <w:rPr>
                <w:sz w:val="24"/>
              </w:rPr>
              <w:t>20</w:t>
            </w:r>
          </w:p>
        </w:tc>
        <w:tc>
          <w:tcPr>
            <w:tcW w:type="dxa" w:w="1622"/>
          </w:tcPr>
          <w:p w14:paraId="C6020000">
            <w:pPr>
              <w:spacing w:line="240" w:lineRule="auto"/>
              <w:ind/>
              <w:rPr>
                <w:sz w:val="24"/>
              </w:rPr>
            </w:pPr>
            <w:r>
              <w:rPr>
                <w:sz w:val="24"/>
              </w:rPr>
              <w:t>100</w:t>
            </w:r>
          </w:p>
        </w:tc>
        <w:tc>
          <w:tcPr>
            <w:tcW w:type="dxa" w:w="1793"/>
          </w:tcPr>
          <w:p w14:paraId="C7020000">
            <w:pPr>
              <w:spacing w:line="240" w:lineRule="auto"/>
              <w:ind/>
              <w:rPr>
                <w:sz w:val="24"/>
              </w:rPr>
            </w:pPr>
            <w:r>
              <w:rPr>
                <w:sz w:val="24"/>
              </w:rPr>
              <w:t>20</w:t>
            </w:r>
          </w:p>
        </w:tc>
        <w:tc>
          <w:tcPr>
            <w:tcW w:type="dxa" w:w="1729"/>
          </w:tcPr>
          <w:p w14:paraId="C8020000">
            <w:pPr>
              <w:spacing w:line="240" w:lineRule="auto"/>
              <w:ind/>
              <w:rPr>
                <w:sz w:val="24"/>
              </w:rPr>
            </w:pPr>
            <w:r>
              <w:rPr>
                <w:sz w:val="24"/>
              </w:rPr>
              <w:t>100</w:t>
            </w:r>
          </w:p>
        </w:tc>
      </w:tr>
    </w:tbl>
    <w:p w14:paraId="C9020000">
      <w:pPr>
        <w:ind w:firstLine="709" w:left="0"/>
      </w:pPr>
    </w:p>
    <w:p w14:paraId="CA020000">
      <w:pPr>
        <w:ind w:firstLine="709" w:left="0"/>
      </w:pPr>
      <w:r>
        <w:t>Показатели по ДДО остались без изменений. Социальная направленность сохранилась у 40 % участников, знаково-информационная — у 25 %, техническая — у 15 %. Типы «человек — природа» и «человек — художественный образ» по-прежнему составили по 10 %.</w:t>
      </w:r>
    </w:p>
    <w:p w14:paraId="CB020000">
      <w:pPr>
        <w:ind w:firstLine="709" w:left="0"/>
      </w:pPr>
      <w:r>
        <w:t>Отсутствие динамики не свидетельствует о низкой эффективности программы. Дифференциально-диагностический опросник выявляет относительно устойчивые предпочтения по предмету труда. За период апробации они не должны резко меняться, поскольку программа была направлена на осмысление выбора, а не на перестройку личностной направленности.</w:t>
      </w:r>
    </w:p>
    <w:p w14:paraId="CC020000">
      <w:pPr>
        <w:ind w:firstLine="709" w:left="0"/>
      </w:pPr>
      <w:r>
        <w:t>Более значимый результат связан с изменением отношения участников к выявленным склонностям. После занятий старшеклассники точнее называли профессии, соответствующие выбранному типу, и лучше понимали различия между специальностями внутри одной группы. Значит, устойчивость количественных показателей сочеталась с ростом качества их интерпретации.</w:t>
      </w:r>
    </w:p>
    <w:p w14:paraId="CD020000">
      <w:pPr>
        <w:ind w:firstLine="709" w:left="0"/>
      </w:pPr>
      <w:r>
        <w:t>Сравнение результатов методики «Карта интересов» представлено в таблице 14.</w:t>
      </w:r>
    </w:p>
    <w:p w14:paraId="CE020000">
      <w:pPr>
        <w:ind w:firstLine="709" w:left="0"/>
      </w:pPr>
    </w:p>
    <w:p w14:paraId="CF020000">
      <w:pPr>
        <w:spacing w:line="240" w:lineRule="auto"/>
        <w:ind/>
      </w:pPr>
      <w:r>
        <w:t>Таблица 14 — Сравнение результатов по методике «Карта интересов» до и после реализации программы</w:t>
      </w:r>
    </w:p>
    <w:p w14:paraId="D0020000">
      <w:pPr>
        <w:spacing w:line="240" w:lineRule="auto"/>
        <w:ind/>
      </w:pPr>
    </w:p>
    <w:tbl>
      <w:tblPr>
        <w:tblStyle w:val="Style_7"/>
        <w:tblLayout w:type="fixed"/>
      </w:tblPr>
      <w:tblGrid>
        <w:gridCol w:w="2734"/>
        <w:gridCol w:w="1636"/>
        <w:gridCol w:w="1585"/>
        <w:gridCol w:w="1721"/>
        <w:gridCol w:w="1669"/>
      </w:tblGrid>
      <w:tr>
        <w:tc>
          <w:tcPr>
            <w:tcW w:type="dxa" w:w="2734"/>
          </w:tcPr>
          <w:p w14:paraId="D1020000">
            <w:pPr>
              <w:spacing w:line="240" w:lineRule="auto"/>
              <w:ind/>
              <w:rPr>
                <w:sz w:val="24"/>
              </w:rPr>
            </w:pPr>
            <w:r>
              <w:rPr>
                <w:sz w:val="24"/>
              </w:rPr>
              <w:t>Область интересов</w:t>
            </w:r>
          </w:p>
        </w:tc>
        <w:tc>
          <w:tcPr>
            <w:tcW w:type="dxa" w:w="1636"/>
          </w:tcPr>
          <w:p w14:paraId="D2020000">
            <w:pPr>
              <w:spacing w:line="240" w:lineRule="auto"/>
              <w:ind/>
              <w:rPr>
                <w:sz w:val="24"/>
              </w:rPr>
            </w:pPr>
            <w:r>
              <w:rPr>
                <w:sz w:val="24"/>
              </w:rPr>
              <w:t>До программы, чел.</w:t>
            </w:r>
          </w:p>
        </w:tc>
        <w:tc>
          <w:tcPr>
            <w:tcW w:type="dxa" w:w="1585"/>
          </w:tcPr>
          <w:p w14:paraId="D3020000">
            <w:pPr>
              <w:spacing w:line="240" w:lineRule="auto"/>
              <w:ind/>
              <w:rPr>
                <w:sz w:val="24"/>
              </w:rPr>
            </w:pPr>
            <w:r>
              <w:rPr>
                <w:sz w:val="24"/>
              </w:rPr>
              <w:t>До программы, %</w:t>
            </w:r>
          </w:p>
        </w:tc>
        <w:tc>
          <w:tcPr>
            <w:tcW w:type="dxa" w:w="1721"/>
          </w:tcPr>
          <w:p w14:paraId="D4020000">
            <w:pPr>
              <w:spacing w:line="240" w:lineRule="auto"/>
              <w:ind/>
              <w:rPr>
                <w:sz w:val="24"/>
              </w:rPr>
            </w:pPr>
            <w:r>
              <w:rPr>
                <w:sz w:val="24"/>
              </w:rPr>
              <w:t>После программы, чел.</w:t>
            </w:r>
          </w:p>
        </w:tc>
        <w:tc>
          <w:tcPr>
            <w:tcW w:type="dxa" w:w="1669"/>
          </w:tcPr>
          <w:p w14:paraId="D5020000">
            <w:pPr>
              <w:spacing w:line="240" w:lineRule="auto"/>
              <w:ind/>
              <w:rPr>
                <w:sz w:val="24"/>
              </w:rPr>
            </w:pPr>
            <w:r>
              <w:rPr>
                <w:sz w:val="24"/>
              </w:rPr>
              <w:t>После программы, %</w:t>
            </w:r>
          </w:p>
        </w:tc>
      </w:tr>
      <w:tr>
        <w:tc>
          <w:tcPr>
            <w:tcW w:type="dxa" w:w="2734"/>
          </w:tcPr>
          <w:p w14:paraId="D6020000">
            <w:pPr>
              <w:spacing w:line="240" w:lineRule="auto"/>
              <w:ind/>
              <w:rPr>
                <w:sz w:val="24"/>
              </w:rPr>
            </w:pPr>
            <w:r>
              <w:rPr>
                <w:sz w:val="24"/>
              </w:rPr>
              <w:t>Педагогика и психология</w:t>
            </w:r>
          </w:p>
        </w:tc>
        <w:tc>
          <w:tcPr>
            <w:tcW w:type="dxa" w:w="1636"/>
          </w:tcPr>
          <w:p w14:paraId="D7020000">
            <w:pPr>
              <w:spacing w:line="240" w:lineRule="auto"/>
              <w:ind/>
              <w:rPr>
                <w:sz w:val="24"/>
              </w:rPr>
            </w:pPr>
            <w:r>
              <w:rPr>
                <w:sz w:val="24"/>
              </w:rPr>
              <w:t>5</w:t>
            </w:r>
          </w:p>
        </w:tc>
        <w:tc>
          <w:tcPr>
            <w:tcW w:type="dxa" w:w="1585"/>
          </w:tcPr>
          <w:p w14:paraId="D8020000">
            <w:pPr>
              <w:spacing w:line="240" w:lineRule="auto"/>
              <w:ind/>
              <w:rPr>
                <w:sz w:val="24"/>
              </w:rPr>
            </w:pPr>
            <w:r>
              <w:rPr>
                <w:sz w:val="24"/>
              </w:rPr>
              <w:t>25</w:t>
            </w:r>
          </w:p>
        </w:tc>
        <w:tc>
          <w:tcPr>
            <w:tcW w:type="dxa" w:w="1721"/>
          </w:tcPr>
          <w:p w14:paraId="D9020000">
            <w:pPr>
              <w:spacing w:line="240" w:lineRule="auto"/>
              <w:ind/>
              <w:rPr>
                <w:sz w:val="24"/>
              </w:rPr>
            </w:pPr>
            <w:r>
              <w:rPr>
                <w:sz w:val="24"/>
              </w:rPr>
              <w:t>5</w:t>
            </w:r>
          </w:p>
        </w:tc>
        <w:tc>
          <w:tcPr>
            <w:tcW w:type="dxa" w:w="1669"/>
          </w:tcPr>
          <w:p w14:paraId="DA020000">
            <w:pPr>
              <w:spacing w:line="240" w:lineRule="auto"/>
              <w:ind/>
              <w:rPr>
                <w:sz w:val="24"/>
              </w:rPr>
            </w:pPr>
            <w:r>
              <w:rPr>
                <w:sz w:val="24"/>
              </w:rPr>
              <w:t>25</w:t>
            </w:r>
          </w:p>
        </w:tc>
      </w:tr>
      <w:tr>
        <w:tc>
          <w:tcPr>
            <w:tcW w:type="dxa" w:w="2734"/>
          </w:tcPr>
          <w:p w14:paraId="DB020000">
            <w:pPr>
              <w:spacing w:line="240" w:lineRule="auto"/>
              <w:ind/>
              <w:rPr>
                <w:sz w:val="24"/>
              </w:rPr>
            </w:pPr>
            <w:r>
              <w:rPr>
                <w:sz w:val="24"/>
              </w:rPr>
              <w:t>Информационные технологии и математика</w:t>
            </w:r>
          </w:p>
        </w:tc>
        <w:tc>
          <w:tcPr>
            <w:tcW w:type="dxa" w:w="1636"/>
          </w:tcPr>
          <w:p w14:paraId="DC020000">
            <w:pPr>
              <w:spacing w:line="240" w:lineRule="auto"/>
              <w:ind/>
              <w:rPr>
                <w:sz w:val="24"/>
              </w:rPr>
            </w:pPr>
            <w:r>
              <w:rPr>
                <w:sz w:val="24"/>
              </w:rPr>
              <w:t>4</w:t>
            </w:r>
          </w:p>
        </w:tc>
        <w:tc>
          <w:tcPr>
            <w:tcW w:type="dxa" w:w="1585"/>
          </w:tcPr>
          <w:p w14:paraId="DD020000">
            <w:pPr>
              <w:spacing w:line="240" w:lineRule="auto"/>
              <w:ind/>
              <w:rPr>
                <w:sz w:val="24"/>
              </w:rPr>
            </w:pPr>
            <w:r>
              <w:rPr>
                <w:sz w:val="24"/>
              </w:rPr>
              <w:t>20</w:t>
            </w:r>
          </w:p>
        </w:tc>
        <w:tc>
          <w:tcPr>
            <w:tcW w:type="dxa" w:w="1721"/>
          </w:tcPr>
          <w:p w14:paraId="DE020000">
            <w:pPr>
              <w:spacing w:line="240" w:lineRule="auto"/>
              <w:ind/>
              <w:rPr>
                <w:sz w:val="24"/>
              </w:rPr>
            </w:pPr>
            <w:r>
              <w:rPr>
                <w:sz w:val="24"/>
              </w:rPr>
              <w:t>4</w:t>
            </w:r>
          </w:p>
        </w:tc>
        <w:tc>
          <w:tcPr>
            <w:tcW w:type="dxa" w:w="1669"/>
          </w:tcPr>
          <w:p w14:paraId="DF020000">
            <w:pPr>
              <w:spacing w:line="240" w:lineRule="auto"/>
              <w:ind/>
              <w:rPr>
                <w:sz w:val="24"/>
              </w:rPr>
            </w:pPr>
            <w:r>
              <w:rPr>
                <w:sz w:val="24"/>
              </w:rPr>
              <w:t>20</w:t>
            </w:r>
          </w:p>
        </w:tc>
      </w:tr>
      <w:tr>
        <w:tc>
          <w:tcPr>
            <w:tcW w:type="dxa" w:w="2734"/>
          </w:tcPr>
          <w:p w14:paraId="E0020000">
            <w:pPr>
              <w:spacing w:line="240" w:lineRule="auto"/>
              <w:ind/>
              <w:rPr>
                <w:sz w:val="24"/>
              </w:rPr>
            </w:pPr>
            <w:r>
              <w:rPr>
                <w:sz w:val="24"/>
              </w:rPr>
              <w:t>Медицина и биология</w:t>
            </w:r>
          </w:p>
        </w:tc>
        <w:tc>
          <w:tcPr>
            <w:tcW w:type="dxa" w:w="1636"/>
          </w:tcPr>
          <w:p w14:paraId="E1020000">
            <w:pPr>
              <w:spacing w:line="240" w:lineRule="auto"/>
              <w:ind/>
              <w:rPr>
                <w:sz w:val="24"/>
              </w:rPr>
            </w:pPr>
            <w:r>
              <w:rPr>
                <w:sz w:val="24"/>
              </w:rPr>
              <w:t>3</w:t>
            </w:r>
          </w:p>
        </w:tc>
        <w:tc>
          <w:tcPr>
            <w:tcW w:type="dxa" w:w="1585"/>
          </w:tcPr>
          <w:p w14:paraId="E2020000">
            <w:pPr>
              <w:spacing w:line="240" w:lineRule="auto"/>
              <w:ind/>
              <w:rPr>
                <w:sz w:val="24"/>
              </w:rPr>
            </w:pPr>
            <w:r>
              <w:rPr>
                <w:sz w:val="24"/>
              </w:rPr>
              <w:t>15</w:t>
            </w:r>
          </w:p>
        </w:tc>
        <w:tc>
          <w:tcPr>
            <w:tcW w:type="dxa" w:w="1721"/>
          </w:tcPr>
          <w:p w14:paraId="E3020000">
            <w:pPr>
              <w:spacing w:line="240" w:lineRule="auto"/>
              <w:ind/>
              <w:rPr>
                <w:sz w:val="24"/>
              </w:rPr>
            </w:pPr>
            <w:r>
              <w:rPr>
                <w:sz w:val="24"/>
              </w:rPr>
              <w:t>3</w:t>
            </w:r>
          </w:p>
        </w:tc>
        <w:tc>
          <w:tcPr>
            <w:tcW w:type="dxa" w:w="1669"/>
          </w:tcPr>
          <w:p w14:paraId="E4020000">
            <w:pPr>
              <w:spacing w:line="240" w:lineRule="auto"/>
              <w:ind/>
              <w:rPr>
                <w:sz w:val="24"/>
              </w:rPr>
            </w:pPr>
            <w:r>
              <w:rPr>
                <w:sz w:val="24"/>
              </w:rPr>
              <w:t>15</w:t>
            </w:r>
          </w:p>
        </w:tc>
      </w:tr>
      <w:tr>
        <w:tc>
          <w:tcPr>
            <w:tcW w:type="dxa" w:w="2734"/>
          </w:tcPr>
          <w:p w14:paraId="E5020000">
            <w:pPr>
              <w:spacing w:line="240" w:lineRule="auto"/>
              <w:ind/>
              <w:rPr>
                <w:sz w:val="24"/>
              </w:rPr>
            </w:pPr>
            <w:r>
              <w:rPr>
                <w:sz w:val="24"/>
              </w:rPr>
              <w:t>Экономика и управление</w:t>
            </w:r>
          </w:p>
        </w:tc>
        <w:tc>
          <w:tcPr>
            <w:tcW w:type="dxa" w:w="1636"/>
          </w:tcPr>
          <w:p w14:paraId="E6020000">
            <w:pPr>
              <w:spacing w:line="240" w:lineRule="auto"/>
              <w:ind/>
              <w:rPr>
                <w:sz w:val="24"/>
              </w:rPr>
            </w:pPr>
            <w:r>
              <w:rPr>
                <w:sz w:val="24"/>
              </w:rPr>
              <w:t>3</w:t>
            </w:r>
          </w:p>
        </w:tc>
        <w:tc>
          <w:tcPr>
            <w:tcW w:type="dxa" w:w="1585"/>
          </w:tcPr>
          <w:p w14:paraId="E7020000">
            <w:pPr>
              <w:spacing w:line="240" w:lineRule="auto"/>
              <w:ind/>
              <w:rPr>
                <w:sz w:val="24"/>
              </w:rPr>
            </w:pPr>
            <w:r>
              <w:rPr>
                <w:sz w:val="24"/>
              </w:rPr>
              <w:t>15</w:t>
            </w:r>
          </w:p>
        </w:tc>
        <w:tc>
          <w:tcPr>
            <w:tcW w:type="dxa" w:w="1721"/>
          </w:tcPr>
          <w:p w14:paraId="E8020000">
            <w:pPr>
              <w:spacing w:line="240" w:lineRule="auto"/>
              <w:ind/>
              <w:rPr>
                <w:sz w:val="24"/>
              </w:rPr>
            </w:pPr>
            <w:r>
              <w:rPr>
                <w:sz w:val="24"/>
              </w:rPr>
              <w:t>3</w:t>
            </w:r>
          </w:p>
        </w:tc>
        <w:tc>
          <w:tcPr>
            <w:tcW w:type="dxa" w:w="1669"/>
          </w:tcPr>
          <w:p w14:paraId="E9020000">
            <w:pPr>
              <w:spacing w:line="240" w:lineRule="auto"/>
              <w:ind/>
              <w:rPr>
                <w:sz w:val="24"/>
              </w:rPr>
            </w:pPr>
            <w:r>
              <w:rPr>
                <w:sz w:val="24"/>
              </w:rPr>
              <w:t>15</w:t>
            </w:r>
          </w:p>
        </w:tc>
      </w:tr>
      <w:tr>
        <w:tc>
          <w:tcPr>
            <w:tcW w:type="dxa" w:w="2734"/>
          </w:tcPr>
          <w:p w14:paraId="EA020000">
            <w:pPr>
              <w:spacing w:line="240" w:lineRule="auto"/>
              <w:ind/>
              <w:rPr>
                <w:sz w:val="24"/>
              </w:rPr>
            </w:pPr>
            <w:r>
              <w:rPr>
                <w:sz w:val="24"/>
              </w:rPr>
              <w:t>Техника и производство</w:t>
            </w:r>
          </w:p>
        </w:tc>
        <w:tc>
          <w:tcPr>
            <w:tcW w:type="dxa" w:w="1636"/>
          </w:tcPr>
          <w:p w14:paraId="EB020000">
            <w:pPr>
              <w:spacing w:line="240" w:lineRule="auto"/>
              <w:ind/>
              <w:rPr>
                <w:sz w:val="24"/>
              </w:rPr>
            </w:pPr>
            <w:r>
              <w:rPr>
                <w:sz w:val="24"/>
              </w:rPr>
              <w:t>2</w:t>
            </w:r>
          </w:p>
        </w:tc>
        <w:tc>
          <w:tcPr>
            <w:tcW w:type="dxa" w:w="1585"/>
          </w:tcPr>
          <w:p w14:paraId="EC020000">
            <w:pPr>
              <w:spacing w:line="240" w:lineRule="auto"/>
              <w:ind/>
              <w:rPr>
                <w:sz w:val="24"/>
              </w:rPr>
            </w:pPr>
            <w:r>
              <w:rPr>
                <w:sz w:val="24"/>
              </w:rPr>
              <w:t>10</w:t>
            </w:r>
          </w:p>
        </w:tc>
        <w:tc>
          <w:tcPr>
            <w:tcW w:type="dxa" w:w="1721"/>
          </w:tcPr>
          <w:p w14:paraId="ED020000">
            <w:pPr>
              <w:spacing w:line="240" w:lineRule="auto"/>
              <w:ind/>
              <w:rPr>
                <w:sz w:val="24"/>
              </w:rPr>
            </w:pPr>
            <w:r>
              <w:rPr>
                <w:sz w:val="24"/>
              </w:rPr>
              <w:t>2</w:t>
            </w:r>
          </w:p>
        </w:tc>
        <w:tc>
          <w:tcPr>
            <w:tcW w:type="dxa" w:w="1669"/>
          </w:tcPr>
          <w:p w14:paraId="EE020000">
            <w:pPr>
              <w:spacing w:line="240" w:lineRule="auto"/>
              <w:ind/>
              <w:rPr>
                <w:sz w:val="24"/>
              </w:rPr>
            </w:pPr>
            <w:r>
              <w:rPr>
                <w:sz w:val="24"/>
              </w:rPr>
              <w:t>10</w:t>
            </w:r>
          </w:p>
        </w:tc>
      </w:tr>
      <w:tr>
        <w:tc>
          <w:tcPr>
            <w:tcW w:type="dxa" w:w="2734"/>
          </w:tcPr>
          <w:p w14:paraId="EF020000">
            <w:pPr>
              <w:spacing w:line="240" w:lineRule="auto"/>
              <w:ind/>
              <w:rPr>
                <w:sz w:val="24"/>
              </w:rPr>
            </w:pPr>
            <w:r>
              <w:rPr>
                <w:sz w:val="24"/>
              </w:rPr>
              <w:t>Искусство и творчество</w:t>
            </w:r>
          </w:p>
        </w:tc>
        <w:tc>
          <w:tcPr>
            <w:tcW w:type="dxa" w:w="1636"/>
          </w:tcPr>
          <w:p w14:paraId="F0020000">
            <w:pPr>
              <w:spacing w:line="240" w:lineRule="auto"/>
              <w:ind/>
              <w:rPr>
                <w:sz w:val="24"/>
              </w:rPr>
            </w:pPr>
            <w:r>
              <w:rPr>
                <w:sz w:val="24"/>
              </w:rPr>
              <w:t>2</w:t>
            </w:r>
          </w:p>
        </w:tc>
        <w:tc>
          <w:tcPr>
            <w:tcW w:type="dxa" w:w="1585"/>
          </w:tcPr>
          <w:p w14:paraId="F1020000">
            <w:pPr>
              <w:spacing w:line="240" w:lineRule="auto"/>
              <w:ind/>
              <w:rPr>
                <w:sz w:val="24"/>
              </w:rPr>
            </w:pPr>
            <w:r>
              <w:rPr>
                <w:sz w:val="24"/>
              </w:rPr>
              <w:t>10</w:t>
            </w:r>
          </w:p>
        </w:tc>
        <w:tc>
          <w:tcPr>
            <w:tcW w:type="dxa" w:w="1721"/>
          </w:tcPr>
          <w:p w14:paraId="F2020000">
            <w:pPr>
              <w:spacing w:line="240" w:lineRule="auto"/>
              <w:ind/>
              <w:rPr>
                <w:sz w:val="24"/>
              </w:rPr>
            </w:pPr>
            <w:r>
              <w:rPr>
                <w:sz w:val="24"/>
              </w:rPr>
              <w:t>2</w:t>
            </w:r>
          </w:p>
        </w:tc>
        <w:tc>
          <w:tcPr>
            <w:tcW w:type="dxa" w:w="1669"/>
          </w:tcPr>
          <w:p w14:paraId="F3020000">
            <w:pPr>
              <w:spacing w:line="240" w:lineRule="auto"/>
              <w:ind/>
              <w:rPr>
                <w:sz w:val="24"/>
              </w:rPr>
            </w:pPr>
            <w:r>
              <w:rPr>
                <w:sz w:val="24"/>
              </w:rPr>
              <w:t>10</w:t>
            </w:r>
          </w:p>
        </w:tc>
      </w:tr>
      <w:tr>
        <w:tc>
          <w:tcPr>
            <w:tcW w:type="dxa" w:w="2734"/>
          </w:tcPr>
          <w:p w14:paraId="F4020000">
            <w:pPr>
              <w:spacing w:line="240" w:lineRule="auto"/>
              <w:ind/>
              <w:rPr>
                <w:sz w:val="24"/>
              </w:rPr>
            </w:pPr>
            <w:r>
              <w:rPr>
                <w:sz w:val="24"/>
              </w:rPr>
              <w:t>Природа и экология</w:t>
            </w:r>
          </w:p>
        </w:tc>
        <w:tc>
          <w:tcPr>
            <w:tcW w:type="dxa" w:w="1636"/>
          </w:tcPr>
          <w:p w14:paraId="F5020000">
            <w:pPr>
              <w:spacing w:line="240" w:lineRule="auto"/>
              <w:ind/>
              <w:rPr>
                <w:sz w:val="24"/>
              </w:rPr>
            </w:pPr>
            <w:r>
              <w:rPr>
                <w:sz w:val="24"/>
              </w:rPr>
              <w:t>1</w:t>
            </w:r>
          </w:p>
        </w:tc>
        <w:tc>
          <w:tcPr>
            <w:tcW w:type="dxa" w:w="1585"/>
          </w:tcPr>
          <w:p w14:paraId="F6020000">
            <w:pPr>
              <w:spacing w:line="240" w:lineRule="auto"/>
              <w:ind/>
              <w:rPr>
                <w:sz w:val="24"/>
              </w:rPr>
            </w:pPr>
            <w:r>
              <w:rPr>
                <w:sz w:val="24"/>
              </w:rPr>
              <w:t>5</w:t>
            </w:r>
          </w:p>
        </w:tc>
        <w:tc>
          <w:tcPr>
            <w:tcW w:type="dxa" w:w="1721"/>
          </w:tcPr>
          <w:p w14:paraId="F7020000">
            <w:pPr>
              <w:spacing w:line="240" w:lineRule="auto"/>
              <w:ind/>
              <w:rPr>
                <w:sz w:val="24"/>
              </w:rPr>
            </w:pPr>
            <w:r>
              <w:rPr>
                <w:sz w:val="24"/>
              </w:rPr>
              <w:t>1</w:t>
            </w:r>
          </w:p>
        </w:tc>
        <w:tc>
          <w:tcPr>
            <w:tcW w:type="dxa" w:w="1669"/>
          </w:tcPr>
          <w:p w14:paraId="F8020000">
            <w:pPr>
              <w:spacing w:line="240" w:lineRule="auto"/>
              <w:ind/>
              <w:rPr>
                <w:sz w:val="24"/>
              </w:rPr>
            </w:pPr>
            <w:r>
              <w:rPr>
                <w:sz w:val="24"/>
              </w:rPr>
              <w:t>5</w:t>
            </w:r>
          </w:p>
        </w:tc>
      </w:tr>
      <w:tr>
        <w:tc>
          <w:tcPr>
            <w:tcW w:type="dxa" w:w="2734"/>
          </w:tcPr>
          <w:p w14:paraId="F9020000">
            <w:pPr>
              <w:spacing w:line="240" w:lineRule="auto"/>
              <w:ind/>
              <w:rPr>
                <w:sz w:val="24"/>
              </w:rPr>
            </w:pPr>
            <w:r>
              <w:rPr>
                <w:sz w:val="24"/>
              </w:rPr>
              <w:t>Всего</w:t>
            </w:r>
          </w:p>
        </w:tc>
        <w:tc>
          <w:tcPr>
            <w:tcW w:type="dxa" w:w="1636"/>
          </w:tcPr>
          <w:p w14:paraId="FA020000">
            <w:pPr>
              <w:spacing w:line="240" w:lineRule="auto"/>
              <w:ind/>
              <w:rPr>
                <w:sz w:val="24"/>
              </w:rPr>
            </w:pPr>
            <w:r>
              <w:rPr>
                <w:sz w:val="24"/>
              </w:rPr>
              <w:t>20</w:t>
            </w:r>
          </w:p>
        </w:tc>
        <w:tc>
          <w:tcPr>
            <w:tcW w:type="dxa" w:w="1585"/>
          </w:tcPr>
          <w:p w14:paraId="FB020000">
            <w:pPr>
              <w:spacing w:line="240" w:lineRule="auto"/>
              <w:ind/>
              <w:rPr>
                <w:sz w:val="24"/>
              </w:rPr>
            </w:pPr>
            <w:r>
              <w:rPr>
                <w:sz w:val="24"/>
              </w:rPr>
              <w:t>100</w:t>
            </w:r>
          </w:p>
        </w:tc>
        <w:tc>
          <w:tcPr>
            <w:tcW w:type="dxa" w:w="1721"/>
          </w:tcPr>
          <w:p w14:paraId="FC020000">
            <w:pPr>
              <w:spacing w:line="240" w:lineRule="auto"/>
              <w:ind/>
              <w:rPr>
                <w:sz w:val="24"/>
              </w:rPr>
            </w:pPr>
            <w:r>
              <w:rPr>
                <w:sz w:val="24"/>
              </w:rPr>
              <w:t>20</w:t>
            </w:r>
          </w:p>
        </w:tc>
        <w:tc>
          <w:tcPr>
            <w:tcW w:type="dxa" w:w="1669"/>
          </w:tcPr>
          <w:p w14:paraId="FD020000">
            <w:pPr>
              <w:spacing w:line="240" w:lineRule="auto"/>
              <w:ind/>
              <w:rPr>
                <w:sz w:val="24"/>
              </w:rPr>
            </w:pPr>
            <w:r>
              <w:rPr>
                <w:sz w:val="24"/>
              </w:rPr>
              <w:t>100</w:t>
            </w:r>
          </w:p>
        </w:tc>
      </w:tr>
    </w:tbl>
    <w:p w14:paraId="FE020000">
      <w:pPr>
        <w:ind w:firstLine="709" w:left="0"/>
      </w:pPr>
    </w:p>
    <w:p w14:paraId="FF020000">
      <w:pPr>
        <w:ind w:firstLine="709" w:left="0"/>
      </w:pPr>
      <w:r>
        <w:t>Структура интересов также сохранилась. Наиболее привлекательными остались педагогика и психология — 25 %, информационные технологии и математика — 20 %. Медицина, биология, экономика и управление сохранили показатели по 15 %.</w:t>
      </w:r>
    </w:p>
    <w:p w14:paraId="00030000">
      <w:pPr>
        <w:ind w:firstLine="709" w:left="0"/>
      </w:pPr>
      <w:r>
        <w:t>Стабильность результатов показывает, что программа не подменяла индивидуальные интересы внешними рекомендациями. Напротив, участники получили возможность проверить свои предпочтения и соотнести их с конкретными профессиональными областями. Такой результат соответствует принципу субъектности, заложенному в содержание сопровождения.</w:t>
      </w:r>
    </w:p>
    <w:p w14:paraId="01030000">
      <w:pPr>
        <w:ind w:firstLine="709" w:left="0"/>
      </w:pPr>
      <w:r>
        <w:t>Качественные изменения проявились в большей конкретности ответов. До программы некоторые старшеклассники называли общую область, например «работа с людьми» или «компьютеры». После занятий они чаще указывали конкретные направления: педагогика, клиническая психология, программирование, аналитика, экономика или управление.</w:t>
      </w:r>
    </w:p>
    <w:p w14:paraId="02030000">
      <w:pPr>
        <w:ind w:firstLine="709" w:left="0"/>
      </w:pPr>
      <w:r>
        <w:t>Результаты по опроснику Дж. Холланда представлены в таблице 15.</w:t>
      </w:r>
    </w:p>
    <w:p w14:paraId="03030000">
      <w:pPr>
        <w:ind w:firstLine="709" w:left="0"/>
        <w:rPr>
          <w:b w:val="1"/>
        </w:rPr>
      </w:pPr>
    </w:p>
    <w:p w14:paraId="04030000">
      <w:pPr>
        <w:spacing w:line="240" w:lineRule="auto"/>
        <w:ind/>
      </w:pPr>
      <w:r>
        <w:t>Таблица 15 — Сравнение профессиональных типов по опроснику Дж. Холланда до и после реализации программы</w:t>
      </w:r>
    </w:p>
    <w:p w14:paraId="05030000">
      <w:pPr>
        <w:spacing w:line="240" w:lineRule="auto"/>
        <w:ind/>
      </w:pPr>
    </w:p>
    <w:tbl>
      <w:tblPr>
        <w:tblStyle w:val="Style_7"/>
        <w:tblLayout w:type="fixed"/>
      </w:tblPr>
      <w:tblGrid>
        <w:gridCol w:w="2383"/>
        <w:gridCol w:w="1717"/>
        <w:gridCol w:w="1645"/>
        <w:gridCol w:w="1836"/>
        <w:gridCol w:w="1764"/>
      </w:tblGrid>
      <w:tr>
        <w:tc>
          <w:tcPr>
            <w:tcW w:type="dxa" w:w="2383"/>
          </w:tcPr>
          <w:p w14:paraId="06030000">
            <w:pPr>
              <w:spacing w:line="240" w:lineRule="auto"/>
              <w:ind/>
              <w:rPr>
                <w:sz w:val="24"/>
              </w:rPr>
            </w:pPr>
            <w:r>
              <w:rPr>
                <w:sz w:val="24"/>
              </w:rPr>
              <w:t>Профессиональный тип</w:t>
            </w:r>
          </w:p>
        </w:tc>
        <w:tc>
          <w:tcPr>
            <w:tcW w:type="dxa" w:w="1717"/>
          </w:tcPr>
          <w:p w14:paraId="07030000">
            <w:pPr>
              <w:spacing w:line="240" w:lineRule="auto"/>
              <w:ind/>
              <w:rPr>
                <w:sz w:val="24"/>
              </w:rPr>
            </w:pPr>
            <w:r>
              <w:rPr>
                <w:sz w:val="24"/>
              </w:rPr>
              <w:t>До программы, чел.</w:t>
            </w:r>
          </w:p>
        </w:tc>
        <w:tc>
          <w:tcPr>
            <w:tcW w:type="dxa" w:w="1645"/>
          </w:tcPr>
          <w:p w14:paraId="08030000">
            <w:pPr>
              <w:spacing w:line="240" w:lineRule="auto"/>
              <w:ind/>
              <w:rPr>
                <w:sz w:val="24"/>
              </w:rPr>
            </w:pPr>
            <w:r>
              <w:rPr>
                <w:sz w:val="24"/>
              </w:rPr>
              <w:t>До программы, %</w:t>
            </w:r>
          </w:p>
        </w:tc>
        <w:tc>
          <w:tcPr>
            <w:tcW w:type="dxa" w:w="1836"/>
          </w:tcPr>
          <w:p w14:paraId="09030000">
            <w:pPr>
              <w:spacing w:line="240" w:lineRule="auto"/>
              <w:ind/>
              <w:rPr>
                <w:sz w:val="24"/>
              </w:rPr>
            </w:pPr>
            <w:r>
              <w:rPr>
                <w:sz w:val="24"/>
              </w:rPr>
              <w:t>После программы, чел.</w:t>
            </w:r>
          </w:p>
        </w:tc>
        <w:tc>
          <w:tcPr>
            <w:tcW w:type="dxa" w:w="1764"/>
          </w:tcPr>
          <w:p w14:paraId="0A030000">
            <w:pPr>
              <w:spacing w:line="240" w:lineRule="auto"/>
              <w:ind/>
              <w:rPr>
                <w:sz w:val="24"/>
              </w:rPr>
            </w:pPr>
            <w:r>
              <w:rPr>
                <w:sz w:val="24"/>
              </w:rPr>
              <w:t>После программы, %</w:t>
            </w:r>
          </w:p>
        </w:tc>
      </w:tr>
      <w:tr>
        <w:tc>
          <w:tcPr>
            <w:tcW w:type="dxa" w:w="2383"/>
          </w:tcPr>
          <w:p w14:paraId="0B030000">
            <w:pPr>
              <w:spacing w:line="240" w:lineRule="auto"/>
              <w:ind/>
              <w:rPr>
                <w:sz w:val="24"/>
              </w:rPr>
            </w:pPr>
            <w:r>
              <w:rPr>
                <w:sz w:val="24"/>
              </w:rPr>
              <w:t>Социальный</w:t>
            </w:r>
          </w:p>
        </w:tc>
        <w:tc>
          <w:tcPr>
            <w:tcW w:type="dxa" w:w="1717"/>
          </w:tcPr>
          <w:p w14:paraId="0C030000">
            <w:pPr>
              <w:spacing w:line="240" w:lineRule="auto"/>
              <w:ind/>
              <w:rPr>
                <w:sz w:val="24"/>
              </w:rPr>
            </w:pPr>
            <w:r>
              <w:rPr>
                <w:sz w:val="24"/>
              </w:rPr>
              <w:t>7</w:t>
            </w:r>
          </w:p>
        </w:tc>
        <w:tc>
          <w:tcPr>
            <w:tcW w:type="dxa" w:w="1645"/>
          </w:tcPr>
          <w:p w14:paraId="0D030000">
            <w:pPr>
              <w:spacing w:line="240" w:lineRule="auto"/>
              <w:ind/>
              <w:rPr>
                <w:sz w:val="24"/>
              </w:rPr>
            </w:pPr>
            <w:r>
              <w:rPr>
                <w:sz w:val="24"/>
              </w:rPr>
              <w:t>35</w:t>
            </w:r>
          </w:p>
        </w:tc>
        <w:tc>
          <w:tcPr>
            <w:tcW w:type="dxa" w:w="1836"/>
          </w:tcPr>
          <w:p w14:paraId="0E030000">
            <w:pPr>
              <w:spacing w:line="240" w:lineRule="auto"/>
              <w:ind/>
              <w:rPr>
                <w:sz w:val="24"/>
              </w:rPr>
            </w:pPr>
            <w:r>
              <w:rPr>
                <w:sz w:val="24"/>
              </w:rPr>
              <w:t>7</w:t>
            </w:r>
          </w:p>
        </w:tc>
        <w:tc>
          <w:tcPr>
            <w:tcW w:type="dxa" w:w="1764"/>
          </w:tcPr>
          <w:p w14:paraId="0F030000">
            <w:pPr>
              <w:spacing w:line="240" w:lineRule="auto"/>
              <w:ind/>
              <w:rPr>
                <w:sz w:val="24"/>
              </w:rPr>
            </w:pPr>
            <w:r>
              <w:rPr>
                <w:sz w:val="24"/>
              </w:rPr>
              <w:t>35</w:t>
            </w:r>
          </w:p>
        </w:tc>
      </w:tr>
      <w:tr>
        <w:tc>
          <w:tcPr>
            <w:tcW w:type="dxa" w:w="2383"/>
          </w:tcPr>
          <w:p w14:paraId="10030000">
            <w:pPr>
              <w:spacing w:line="240" w:lineRule="auto"/>
              <w:ind/>
              <w:rPr>
                <w:sz w:val="24"/>
              </w:rPr>
            </w:pPr>
            <w:r>
              <w:rPr>
                <w:sz w:val="24"/>
              </w:rPr>
              <w:t>Интеллектуальный</w:t>
            </w:r>
          </w:p>
        </w:tc>
        <w:tc>
          <w:tcPr>
            <w:tcW w:type="dxa" w:w="1717"/>
          </w:tcPr>
          <w:p w14:paraId="11030000">
            <w:pPr>
              <w:spacing w:line="240" w:lineRule="auto"/>
              <w:ind/>
              <w:rPr>
                <w:sz w:val="24"/>
              </w:rPr>
            </w:pPr>
            <w:r>
              <w:rPr>
                <w:sz w:val="24"/>
              </w:rPr>
              <w:t>4</w:t>
            </w:r>
          </w:p>
        </w:tc>
        <w:tc>
          <w:tcPr>
            <w:tcW w:type="dxa" w:w="1645"/>
          </w:tcPr>
          <w:p w14:paraId="12030000">
            <w:pPr>
              <w:spacing w:line="240" w:lineRule="auto"/>
              <w:ind/>
              <w:rPr>
                <w:sz w:val="24"/>
              </w:rPr>
            </w:pPr>
            <w:r>
              <w:rPr>
                <w:sz w:val="24"/>
              </w:rPr>
              <w:t>20</w:t>
            </w:r>
          </w:p>
        </w:tc>
        <w:tc>
          <w:tcPr>
            <w:tcW w:type="dxa" w:w="1836"/>
          </w:tcPr>
          <w:p w14:paraId="13030000">
            <w:pPr>
              <w:spacing w:line="240" w:lineRule="auto"/>
              <w:ind/>
              <w:rPr>
                <w:sz w:val="24"/>
              </w:rPr>
            </w:pPr>
            <w:r>
              <w:rPr>
                <w:sz w:val="24"/>
              </w:rPr>
              <w:t>4</w:t>
            </w:r>
          </w:p>
        </w:tc>
        <w:tc>
          <w:tcPr>
            <w:tcW w:type="dxa" w:w="1764"/>
          </w:tcPr>
          <w:p w14:paraId="14030000">
            <w:pPr>
              <w:spacing w:line="240" w:lineRule="auto"/>
              <w:ind/>
              <w:rPr>
                <w:sz w:val="24"/>
              </w:rPr>
            </w:pPr>
            <w:r>
              <w:rPr>
                <w:sz w:val="24"/>
              </w:rPr>
              <w:t>20</w:t>
            </w:r>
          </w:p>
        </w:tc>
      </w:tr>
      <w:tr>
        <w:tc>
          <w:tcPr>
            <w:tcW w:type="dxa" w:w="2383"/>
          </w:tcPr>
          <w:p w14:paraId="15030000">
            <w:pPr>
              <w:spacing w:line="240" w:lineRule="auto"/>
              <w:ind/>
              <w:rPr>
                <w:sz w:val="24"/>
              </w:rPr>
            </w:pPr>
            <w:r>
              <w:rPr>
                <w:sz w:val="24"/>
              </w:rPr>
              <w:t>Конвенциональный</w:t>
            </w:r>
          </w:p>
        </w:tc>
        <w:tc>
          <w:tcPr>
            <w:tcW w:type="dxa" w:w="1717"/>
          </w:tcPr>
          <w:p w14:paraId="16030000">
            <w:pPr>
              <w:spacing w:line="240" w:lineRule="auto"/>
              <w:ind/>
              <w:rPr>
                <w:sz w:val="24"/>
              </w:rPr>
            </w:pPr>
            <w:r>
              <w:rPr>
                <w:sz w:val="24"/>
              </w:rPr>
              <w:t>3</w:t>
            </w:r>
          </w:p>
        </w:tc>
        <w:tc>
          <w:tcPr>
            <w:tcW w:type="dxa" w:w="1645"/>
          </w:tcPr>
          <w:p w14:paraId="17030000">
            <w:pPr>
              <w:spacing w:line="240" w:lineRule="auto"/>
              <w:ind/>
              <w:rPr>
                <w:sz w:val="24"/>
              </w:rPr>
            </w:pPr>
            <w:r>
              <w:rPr>
                <w:sz w:val="24"/>
              </w:rPr>
              <w:t>15</w:t>
            </w:r>
          </w:p>
        </w:tc>
        <w:tc>
          <w:tcPr>
            <w:tcW w:type="dxa" w:w="1836"/>
          </w:tcPr>
          <w:p w14:paraId="18030000">
            <w:pPr>
              <w:spacing w:line="240" w:lineRule="auto"/>
              <w:ind/>
              <w:rPr>
                <w:sz w:val="24"/>
              </w:rPr>
            </w:pPr>
            <w:r>
              <w:rPr>
                <w:sz w:val="24"/>
              </w:rPr>
              <w:t>3</w:t>
            </w:r>
          </w:p>
        </w:tc>
        <w:tc>
          <w:tcPr>
            <w:tcW w:type="dxa" w:w="1764"/>
          </w:tcPr>
          <w:p w14:paraId="19030000">
            <w:pPr>
              <w:spacing w:line="240" w:lineRule="auto"/>
              <w:ind/>
              <w:rPr>
                <w:sz w:val="24"/>
              </w:rPr>
            </w:pPr>
            <w:r>
              <w:rPr>
                <w:sz w:val="24"/>
              </w:rPr>
              <w:t>15</w:t>
            </w:r>
          </w:p>
        </w:tc>
      </w:tr>
      <w:tr>
        <w:tc>
          <w:tcPr>
            <w:tcW w:type="dxa" w:w="2383"/>
          </w:tcPr>
          <w:p w14:paraId="1A030000">
            <w:pPr>
              <w:spacing w:line="240" w:lineRule="auto"/>
              <w:ind/>
              <w:rPr>
                <w:sz w:val="24"/>
              </w:rPr>
            </w:pPr>
            <w:r>
              <w:rPr>
                <w:sz w:val="24"/>
              </w:rPr>
              <w:t>Предприимчивый</w:t>
            </w:r>
          </w:p>
        </w:tc>
        <w:tc>
          <w:tcPr>
            <w:tcW w:type="dxa" w:w="1717"/>
          </w:tcPr>
          <w:p w14:paraId="1B030000">
            <w:pPr>
              <w:spacing w:line="240" w:lineRule="auto"/>
              <w:ind/>
              <w:rPr>
                <w:sz w:val="24"/>
              </w:rPr>
            </w:pPr>
            <w:r>
              <w:rPr>
                <w:sz w:val="24"/>
              </w:rPr>
              <w:t>2</w:t>
            </w:r>
          </w:p>
        </w:tc>
        <w:tc>
          <w:tcPr>
            <w:tcW w:type="dxa" w:w="1645"/>
          </w:tcPr>
          <w:p w14:paraId="1C030000">
            <w:pPr>
              <w:spacing w:line="240" w:lineRule="auto"/>
              <w:ind/>
              <w:rPr>
                <w:sz w:val="24"/>
              </w:rPr>
            </w:pPr>
            <w:r>
              <w:rPr>
                <w:sz w:val="24"/>
              </w:rPr>
              <w:t>10</w:t>
            </w:r>
          </w:p>
        </w:tc>
        <w:tc>
          <w:tcPr>
            <w:tcW w:type="dxa" w:w="1836"/>
          </w:tcPr>
          <w:p w14:paraId="1D030000">
            <w:pPr>
              <w:spacing w:line="240" w:lineRule="auto"/>
              <w:ind/>
              <w:rPr>
                <w:sz w:val="24"/>
              </w:rPr>
            </w:pPr>
            <w:r>
              <w:rPr>
                <w:sz w:val="24"/>
              </w:rPr>
              <w:t>2</w:t>
            </w:r>
          </w:p>
        </w:tc>
        <w:tc>
          <w:tcPr>
            <w:tcW w:type="dxa" w:w="1764"/>
          </w:tcPr>
          <w:p w14:paraId="1E030000">
            <w:pPr>
              <w:spacing w:line="240" w:lineRule="auto"/>
              <w:ind/>
              <w:rPr>
                <w:sz w:val="24"/>
              </w:rPr>
            </w:pPr>
            <w:r>
              <w:rPr>
                <w:sz w:val="24"/>
              </w:rPr>
              <w:t>10</w:t>
            </w:r>
          </w:p>
        </w:tc>
      </w:tr>
      <w:tr>
        <w:tc>
          <w:tcPr>
            <w:tcW w:type="dxa" w:w="2383"/>
          </w:tcPr>
          <w:p w14:paraId="1F030000">
            <w:pPr>
              <w:spacing w:line="240" w:lineRule="auto"/>
              <w:ind/>
              <w:rPr>
                <w:sz w:val="24"/>
              </w:rPr>
            </w:pPr>
            <w:r>
              <w:rPr>
                <w:sz w:val="24"/>
              </w:rPr>
              <w:t>Реалистический</w:t>
            </w:r>
          </w:p>
        </w:tc>
        <w:tc>
          <w:tcPr>
            <w:tcW w:type="dxa" w:w="1717"/>
          </w:tcPr>
          <w:p w14:paraId="20030000">
            <w:pPr>
              <w:spacing w:line="240" w:lineRule="auto"/>
              <w:ind/>
              <w:rPr>
                <w:sz w:val="24"/>
              </w:rPr>
            </w:pPr>
            <w:r>
              <w:rPr>
                <w:sz w:val="24"/>
              </w:rPr>
              <w:t>2</w:t>
            </w:r>
          </w:p>
        </w:tc>
        <w:tc>
          <w:tcPr>
            <w:tcW w:type="dxa" w:w="1645"/>
          </w:tcPr>
          <w:p w14:paraId="21030000">
            <w:pPr>
              <w:spacing w:line="240" w:lineRule="auto"/>
              <w:ind/>
              <w:rPr>
                <w:sz w:val="24"/>
              </w:rPr>
            </w:pPr>
            <w:r>
              <w:rPr>
                <w:sz w:val="24"/>
              </w:rPr>
              <w:t>10</w:t>
            </w:r>
          </w:p>
        </w:tc>
        <w:tc>
          <w:tcPr>
            <w:tcW w:type="dxa" w:w="1836"/>
          </w:tcPr>
          <w:p w14:paraId="22030000">
            <w:pPr>
              <w:spacing w:line="240" w:lineRule="auto"/>
              <w:ind/>
              <w:rPr>
                <w:sz w:val="24"/>
              </w:rPr>
            </w:pPr>
            <w:r>
              <w:rPr>
                <w:sz w:val="24"/>
              </w:rPr>
              <w:t>2</w:t>
            </w:r>
          </w:p>
        </w:tc>
        <w:tc>
          <w:tcPr>
            <w:tcW w:type="dxa" w:w="1764"/>
          </w:tcPr>
          <w:p w14:paraId="23030000">
            <w:pPr>
              <w:spacing w:line="240" w:lineRule="auto"/>
              <w:ind/>
              <w:rPr>
                <w:sz w:val="24"/>
              </w:rPr>
            </w:pPr>
            <w:r>
              <w:rPr>
                <w:sz w:val="24"/>
              </w:rPr>
              <w:t>10</w:t>
            </w:r>
          </w:p>
        </w:tc>
      </w:tr>
      <w:tr>
        <w:tc>
          <w:tcPr>
            <w:tcW w:type="dxa" w:w="2383"/>
          </w:tcPr>
          <w:p w14:paraId="24030000">
            <w:pPr>
              <w:spacing w:line="240" w:lineRule="auto"/>
              <w:ind/>
              <w:rPr>
                <w:sz w:val="24"/>
              </w:rPr>
            </w:pPr>
            <w:r>
              <w:rPr>
                <w:sz w:val="24"/>
              </w:rPr>
              <w:t>Артистический</w:t>
            </w:r>
          </w:p>
        </w:tc>
        <w:tc>
          <w:tcPr>
            <w:tcW w:type="dxa" w:w="1717"/>
          </w:tcPr>
          <w:p w14:paraId="25030000">
            <w:pPr>
              <w:spacing w:line="240" w:lineRule="auto"/>
              <w:ind/>
              <w:rPr>
                <w:sz w:val="24"/>
              </w:rPr>
            </w:pPr>
            <w:r>
              <w:rPr>
                <w:sz w:val="24"/>
              </w:rPr>
              <w:t>2</w:t>
            </w:r>
          </w:p>
        </w:tc>
        <w:tc>
          <w:tcPr>
            <w:tcW w:type="dxa" w:w="1645"/>
          </w:tcPr>
          <w:p w14:paraId="26030000">
            <w:pPr>
              <w:spacing w:line="240" w:lineRule="auto"/>
              <w:ind/>
              <w:rPr>
                <w:sz w:val="24"/>
              </w:rPr>
            </w:pPr>
            <w:r>
              <w:rPr>
                <w:sz w:val="24"/>
              </w:rPr>
              <w:t>10</w:t>
            </w:r>
          </w:p>
        </w:tc>
        <w:tc>
          <w:tcPr>
            <w:tcW w:type="dxa" w:w="1836"/>
          </w:tcPr>
          <w:p w14:paraId="27030000">
            <w:pPr>
              <w:spacing w:line="240" w:lineRule="auto"/>
              <w:ind/>
              <w:rPr>
                <w:sz w:val="24"/>
              </w:rPr>
            </w:pPr>
            <w:r>
              <w:rPr>
                <w:sz w:val="24"/>
              </w:rPr>
              <w:t>2</w:t>
            </w:r>
          </w:p>
        </w:tc>
        <w:tc>
          <w:tcPr>
            <w:tcW w:type="dxa" w:w="1764"/>
          </w:tcPr>
          <w:p w14:paraId="28030000">
            <w:pPr>
              <w:spacing w:line="240" w:lineRule="auto"/>
              <w:ind/>
              <w:rPr>
                <w:sz w:val="24"/>
              </w:rPr>
            </w:pPr>
            <w:r>
              <w:rPr>
                <w:sz w:val="24"/>
              </w:rPr>
              <w:t>10</w:t>
            </w:r>
          </w:p>
        </w:tc>
      </w:tr>
      <w:tr>
        <w:tc>
          <w:tcPr>
            <w:tcW w:type="dxa" w:w="2383"/>
          </w:tcPr>
          <w:p w14:paraId="29030000">
            <w:pPr>
              <w:spacing w:line="240" w:lineRule="auto"/>
              <w:ind/>
              <w:rPr>
                <w:sz w:val="24"/>
              </w:rPr>
            </w:pPr>
            <w:r>
              <w:rPr>
                <w:sz w:val="24"/>
              </w:rPr>
              <w:t>Всего</w:t>
            </w:r>
          </w:p>
        </w:tc>
        <w:tc>
          <w:tcPr>
            <w:tcW w:type="dxa" w:w="1717"/>
          </w:tcPr>
          <w:p w14:paraId="2A030000">
            <w:pPr>
              <w:spacing w:line="240" w:lineRule="auto"/>
              <w:ind/>
              <w:rPr>
                <w:sz w:val="24"/>
              </w:rPr>
            </w:pPr>
            <w:r>
              <w:rPr>
                <w:sz w:val="24"/>
              </w:rPr>
              <w:t>20</w:t>
            </w:r>
          </w:p>
        </w:tc>
        <w:tc>
          <w:tcPr>
            <w:tcW w:type="dxa" w:w="1645"/>
          </w:tcPr>
          <w:p w14:paraId="2B030000">
            <w:pPr>
              <w:spacing w:line="240" w:lineRule="auto"/>
              <w:ind/>
              <w:rPr>
                <w:sz w:val="24"/>
              </w:rPr>
            </w:pPr>
            <w:r>
              <w:rPr>
                <w:sz w:val="24"/>
              </w:rPr>
              <w:t>100</w:t>
            </w:r>
          </w:p>
        </w:tc>
        <w:tc>
          <w:tcPr>
            <w:tcW w:type="dxa" w:w="1836"/>
          </w:tcPr>
          <w:p w14:paraId="2C030000">
            <w:pPr>
              <w:spacing w:line="240" w:lineRule="auto"/>
              <w:ind/>
              <w:rPr>
                <w:sz w:val="24"/>
              </w:rPr>
            </w:pPr>
            <w:r>
              <w:rPr>
                <w:sz w:val="24"/>
              </w:rPr>
              <w:t>20</w:t>
            </w:r>
          </w:p>
        </w:tc>
        <w:tc>
          <w:tcPr>
            <w:tcW w:type="dxa" w:w="1764"/>
          </w:tcPr>
          <w:p w14:paraId="2D030000">
            <w:pPr>
              <w:spacing w:line="240" w:lineRule="auto"/>
              <w:ind/>
              <w:rPr>
                <w:sz w:val="24"/>
              </w:rPr>
            </w:pPr>
            <w:r>
              <w:rPr>
                <w:sz w:val="24"/>
              </w:rPr>
              <w:t>100</w:t>
            </w:r>
          </w:p>
        </w:tc>
      </w:tr>
    </w:tbl>
    <w:p w14:paraId="2E030000">
      <w:pPr>
        <w:ind w:firstLine="709" w:left="0"/>
      </w:pPr>
    </w:p>
    <w:p w14:paraId="2F030000">
      <w:pPr>
        <w:ind w:firstLine="709" w:left="0"/>
      </w:pPr>
      <w:r>
        <w:t>Распределение профессиональных типов осталось прежним. Социальный тип сохранил ведущую позицию и составил 35 %. Интеллектуальный тип выявлен у 20 % участников, конвенциональный — у 15 %. Остальные типы представлены по 10 %.</w:t>
      </w:r>
    </w:p>
    <w:p w14:paraId="30030000">
      <w:pPr>
        <w:ind w:firstLine="709" w:left="0"/>
      </w:pPr>
      <w:r>
        <w:t>Полученные данные подтверждают устойчивость профессиональной направленности. Опросник Дж. Холланда отражает не только выбор профессии, но и предпочтительный способ взаимодействия с рабочей средой. Краткосрочная программа не должна менять эти особенности.</w:t>
      </w:r>
    </w:p>
    <w:p w14:paraId="31030000">
      <w:pPr>
        <w:ind w:firstLine="709" w:left="0"/>
      </w:pPr>
      <w:r>
        <w:t>После апробации участники стали лучше понимать содержание собственного типа. Социально ориентированные старшеклассники различали профессии, связанные с обучением, консультированием и медицинской помощью. Участники интеллектуального типа точнее связывали свои предпочтения с исследовательскими, аналитическими и информационными задачами.</w:t>
      </w:r>
    </w:p>
    <w:p w14:paraId="32030000">
      <w:pPr>
        <w:ind w:firstLine="709" w:left="0"/>
      </w:pPr>
      <w:r>
        <w:t>Наиболее заметная динамика выявлена по методике А. А. Реана. Результаты представлены в таблице 16.</w:t>
      </w:r>
    </w:p>
    <w:p w14:paraId="33030000">
      <w:pPr>
        <w:ind w:firstLine="709" w:left="0"/>
        <w:rPr>
          <w:b w:val="1"/>
        </w:rPr>
      </w:pPr>
    </w:p>
    <w:p w14:paraId="34030000">
      <w:pPr>
        <w:spacing w:line="240" w:lineRule="auto"/>
        <w:ind/>
      </w:pPr>
    </w:p>
    <w:p w14:paraId="35030000">
      <w:pPr>
        <w:spacing w:line="240" w:lineRule="auto"/>
        <w:ind/>
      </w:pPr>
    </w:p>
    <w:p w14:paraId="36030000">
      <w:pPr>
        <w:spacing w:line="240" w:lineRule="auto"/>
        <w:ind/>
      </w:pPr>
    </w:p>
    <w:p w14:paraId="37030000">
      <w:pPr>
        <w:spacing w:line="240" w:lineRule="auto"/>
        <w:ind/>
      </w:pPr>
      <w:r>
        <w:t>Таблица 16 — Сравнение уровня учебной и профессиональной мотивации до и после реализации программы</w:t>
      </w:r>
    </w:p>
    <w:p w14:paraId="38030000">
      <w:pPr>
        <w:spacing w:line="240" w:lineRule="auto"/>
        <w:ind/>
      </w:pPr>
    </w:p>
    <w:tbl>
      <w:tblPr>
        <w:tblStyle w:val="Style_7"/>
        <w:tblLayout w:type="fixed"/>
      </w:tblPr>
      <w:tblGrid>
        <w:gridCol w:w="1442"/>
        <w:gridCol w:w="1535"/>
        <w:gridCol w:w="1510"/>
        <w:gridCol w:w="1578"/>
        <w:gridCol w:w="1552"/>
        <w:gridCol w:w="1728"/>
      </w:tblGrid>
      <w:tr>
        <w:tc>
          <w:tcPr>
            <w:tcW w:type="dxa" w:w="1442"/>
          </w:tcPr>
          <w:p w14:paraId="39030000">
            <w:pPr>
              <w:spacing w:line="240" w:lineRule="auto"/>
              <w:ind/>
              <w:rPr>
                <w:sz w:val="24"/>
              </w:rPr>
            </w:pPr>
            <w:r>
              <w:rPr>
                <w:sz w:val="24"/>
              </w:rPr>
              <w:t>Уровень мотивации</w:t>
            </w:r>
          </w:p>
        </w:tc>
        <w:tc>
          <w:tcPr>
            <w:tcW w:type="dxa" w:w="1535"/>
          </w:tcPr>
          <w:p w14:paraId="3A030000">
            <w:pPr>
              <w:spacing w:line="240" w:lineRule="auto"/>
              <w:ind/>
              <w:rPr>
                <w:sz w:val="24"/>
              </w:rPr>
            </w:pPr>
            <w:r>
              <w:rPr>
                <w:sz w:val="24"/>
              </w:rPr>
              <w:t>До программы, чел.</w:t>
            </w:r>
          </w:p>
        </w:tc>
        <w:tc>
          <w:tcPr>
            <w:tcW w:type="dxa" w:w="1510"/>
          </w:tcPr>
          <w:p w14:paraId="3B030000">
            <w:pPr>
              <w:spacing w:line="240" w:lineRule="auto"/>
              <w:ind/>
              <w:rPr>
                <w:sz w:val="24"/>
              </w:rPr>
            </w:pPr>
            <w:r>
              <w:rPr>
                <w:sz w:val="24"/>
              </w:rPr>
              <w:t>До программы, %</w:t>
            </w:r>
          </w:p>
        </w:tc>
        <w:tc>
          <w:tcPr>
            <w:tcW w:type="dxa" w:w="1578"/>
          </w:tcPr>
          <w:p w14:paraId="3C030000">
            <w:pPr>
              <w:spacing w:line="240" w:lineRule="auto"/>
              <w:ind/>
              <w:rPr>
                <w:sz w:val="24"/>
              </w:rPr>
            </w:pPr>
            <w:r>
              <w:rPr>
                <w:sz w:val="24"/>
              </w:rPr>
              <w:t>После программы, чел.</w:t>
            </w:r>
          </w:p>
        </w:tc>
        <w:tc>
          <w:tcPr>
            <w:tcW w:type="dxa" w:w="1552"/>
          </w:tcPr>
          <w:p w14:paraId="3D030000">
            <w:pPr>
              <w:spacing w:line="240" w:lineRule="auto"/>
              <w:ind/>
              <w:rPr>
                <w:sz w:val="24"/>
              </w:rPr>
            </w:pPr>
            <w:r>
              <w:rPr>
                <w:sz w:val="24"/>
              </w:rPr>
              <w:t>После программы, %</w:t>
            </w:r>
          </w:p>
        </w:tc>
        <w:tc>
          <w:tcPr>
            <w:tcW w:type="dxa" w:w="1728"/>
          </w:tcPr>
          <w:p w14:paraId="3E030000">
            <w:pPr>
              <w:spacing w:line="240" w:lineRule="auto"/>
              <w:ind/>
              <w:rPr>
                <w:sz w:val="24"/>
              </w:rPr>
            </w:pPr>
            <w:r>
              <w:rPr>
                <w:sz w:val="24"/>
              </w:rPr>
              <w:t>Изменение, процентных пунктов</w:t>
            </w:r>
          </w:p>
        </w:tc>
      </w:tr>
      <w:tr>
        <w:tc>
          <w:tcPr>
            <w:tcW w:type="dxa" w:w="1442"/>
          </w:tcPr>
          <w:p w14:paraId="3F030000">
            <w:pPr>
              <w:spacing w:line="240" w:lineRule="auto"/>
              <w:ind/>
              <w:rPr>
                <w:sz w:val="24"/>
              </w:rPr>
            </w:pPr>
            <w:r>
              <w:rPr>
                <w:sz w:val="24"/>
              </w:rPr>
              <w:t>Высокий</w:t>
            </w:r>
          </w:p>
        </w:tc>
        <w:tc>
          <w:tcPr>
            <w:tcW w:type="dxa" w:w="1535"/>
          </w:tcPr>
          <w:p w14:paraId="40030000">
            <w:pPr>
              <w:spacing w:line="240" w:lineRule="auto"/>
              <w:ind/>
              <w:rPr>
                <w:sz w:val="24"/>
              </w:rPr>
            </w:pPr>
            <w:r>
              <w:rPr>
                <w:sz w:val="24"/>
              </w:rPr>
              <w:t>13</w:t>
            </w:r>
          </w:p>
        </w:tc>
        <w:tc>
          <w:tcPr>
            <w:tcW w:type="dxa" w:w="1510"/>
          </w:tcPr>
          <w:p w14:paraId="41030000">
            <w:pPr>
              <w:spacing w:line="240" w:lineRule="auto"/>
              <w:ind/>
              <w:rPr>
                <w:sz w:val="24"/>
              </w:rPr>
            </w:pPr>
            <w:r>
              <w:rPr>
                <w:sz w:val="24"/>
              </w:rPr>
              <w:t>65</w:t>
            </w:r>
          </w:p>
        </w:tc>
        <w:tc>
          <w:tcPr>
            <w:tcW w:type="dxa" w:w="1578"/>
          </w:tcPr>
          <w:p w14:paraId="42030000">
            <w:pPr>
              <w:spacing w:line="240" w:lineRule="auto"/>
              <w:ind/>
              <w:rPr>
                <w:sz w:val="24"/>
              </w:rPr>
            </w:pPr>
            <w:r>
              <w:rPr>
                <w:sz w:val="24"/>
              </w:rPr>
              <w:t>17</w:t>
            </w:r>
          </w:p>
        </w:tc>
        <w:tc>
          <w:tcPr>
            <w:tcW w:type="dxa" w:w="1552"/>
          </w:tcPr>
          <w:p w14:paraId="43030000">
            <w:pPr>
              <w:spacing w:line="240" w:lineRule="auto"/>
              <w:ind/>
              <w:rPr>
                <w:sz w:val="24"/>
              </w:rPr>
            </w:pPr>
            <w:r>
              <w:rPr>
                <w:sz w:val="24"/>
              </w:rPr>
              <w:t>85</w:t>
            </w:r>
          </w:p>
        </w:tc>
        <w:tc>
          <w:tcPr>
            <w:tcW w:type="dxa" w:w="1728"/>
          </w:tcPr>
          <w:p w14:paraId="44030000">
            <w:pPr>
              <w:spacing w:line="240" w:lineRule="auto"/>
              <w:ind/>
              <w:rPr>
                <w:sz w:val="24"/>
              </w:rPr>
            </w:pPr>
            <w:r>
              <w:rPr>
                <w:sz w:val="24"/>
              </w:rPr>
              <w:t>+20</w:t>
            </w:r>
          </w:p>
        </w:tc>
      </w:tr>
      <w:tr>
        <w:tc>
          <w:tcPr>
            <w:tcW w:type="dxa" w:w="1442"/>
          </w:tcPr>
          <w:p w14:paraId="45030000">
            <w:pPr>
              <w:spacing w:line="240" w:lineRule="auto"/>
              <w:ind/>
              <w:rPr>
                <w:sz w:val="24"/>
              </w:rPr>
            </w:pPr>
            <w:r>
              <w:rPr>
                <w:sz w:val="24"/>
              </w:rPr>
              <w:t>Средний</w:t>
            </w:r>
          </w:p>
        </w:tc>
        <w:tc>
          <w:tcPr>
            <w:tcW w:type="dxa" w:w="1535"/>
          </w:tcPr>
          <w:p w14:paraId="46030000">
            <w:pPr>
              <w:spacing w:line="240" w:lineRule="auto"/>
              <w:ind/>
              <w:rPr>
                <w:sz w:val="24"/>
              </w:rPr>
            </w:pPr>
            <w:r>
              <w:rPr>
                <w:sz w:val="24"/>
              </w:rPr>
              <w:t>5</w:t>
            </w:r>
          </w:p>
        </w:tc>
        <w:tc>
          <w:tcPr>
            <w:tcW w:type="dxa" w:w="1510"/>
          </w:tcPr>
          <w:p w14:paraId="47030000">
            <w:pPr>
              <w:spacing w:line="240" w:lineRule="auto"/>
              <w:ind/>
              <w:rPr>
                <w:sz w:val="24"/>
              </w:rPr>
            </w:pPr>
            <w:r>
              <w:rPr>
                <w:sz w:val="24"/>
              </w:rPr>
              <w:t>25</w:t>
            </w:r>
          </w:p>
        </w:tc>
        <w:tc>
          <w:tcPr>
            <w:tcW w:type="dxa" w:w="1578"/>
          </w:tcPr>
          <w:p w14:paraId="48030000">
            <w:pPr>
              <w:spacing w:line="240" w:lineRule="auto"/>
              <w:ind/>
              <w:rPr>
                <w:sz w:val="24"/>
              </w:rPr>
            </w:pPr>
            <w:r>
              <w:rPr>
                <w:sz w:val="24"/>
              </w:rPr>
              <w:t>3</w:t>
            </w:r>
          </w:p>
        </w:tc>
        <w:tc>
          <w:tcPr>
            <w:tcW w:type="dxa" w:w="1552"/>
          </w:tcPr>
          <w:p w14:paraId="49030000">
            <w:pPr>
              <w:spacing w:line="240" w:lineRule="auto"/>
              <w:ind/>
              <w:rPr>
                <w:sz w:val="24"/>
              </w:rPr>
            </w:pPr>
            <w:r>
              <w:rPr>
                <w:sz w:val="24"/>
              </w:rPr>
              <w:t>15</w:t>
            </w:r>
          </w:p>
        </w:tc>
        <w:tc>
          <w:tcPr>
            <w:tcW w:type="dxa" w:w="1728"/>
          </w:tcPr>
          <w:p w14:paraId="4A030000">
            <w:pPr>
              <w:spacing w:line="240" w:lineRule="auto"/>
              <w:ind/>
              <w:rPr>
                <w:sz w:val="24"/>
              </w:rPr>
            </w:pPr>
            <w:r>
              <w:rPr>
                <w:sz w:val="24"/>
              </w:rPr>
              <w:t>–10</w:t>
            </w:r>
          </w:p>
        </w:tc>
      </w:tr>
      <w:tr>
        <w:tc>
          <w:tcPr>
            <w:tcW w:type="dxa" w:w="1442"/>
          </w:tcPr>
          <w:p w14:paraId="4B030000">
            <w:pPr>
              <w:spacing w:line="240" w:lineRule="auto"/>
              <w:ind/>
              <w:rPr>
                <w:sz w:val="24"/>
              </w:rPr>
            </w:pPr>
            <w:r>
              <w:rPr>
                <w:sz w:val="24"/>
              </w:rPr>
              <w:t>Низкий</w:t>
            </w:r>
          </w:p>
        </w:tc>
        <w:tc>
          <w:tcPr>
            <w:tcW w:type="dxa" w:w="1535"/>
          </w:tcPr>
          <w:p w14:paraId="4C030000">
            <w:pPr>
              <w:spacing w:line="240" w:lineRule="auto"/>
              <w:ind/>
              <w:rPr>
                <w:sz w:val="24"/>
              </w:rPr>
            </w:pPr>
            <w:r>
              <w:rPr>
                <w:sz w:val="24"/>
              </w:rPr>
              <w:t>2</w:t>
            </w:r>
          </w:p>
        </w:tc>
        <w:tc>
          <w:tcPr>
            <w:tcW w:type="dxa" w:w="1510"/>
          </w:tcPr>
          <w:p w14:paraId="4D030000">
            <w:pPr>
              <w:spacing w:line="240" w:lineRule="auto"/>
              <w:ind/>
              <w:rPr>
                <w:sz w:val="24"/>
              </w:rPr>
            </w:pPr>
            <w:r>
              <w:rPr>
                <w:sz w:val="24"/>
              </w:rPr>
              <w:t>10</w:t>
            </w:r>
          </w:p>
        </w:tc>
        <w:tc>
          <w:tcPr>
            <w:tcW w:type="dxa" w:w="1578"/>
          </w:tcPr>
          <w:p w14:paraId="4E030000">
            <w:pPr>
              <w:spacing w:line="240" w:lineRule="auto"/>
              <w:ind/>
              <w:rPr>
                <w:sz w:val="24"/>
              </w:rPr>
            </w:pPr>
            <w:r>
              <w:rPr>
                <w:sz w:val="24"/>
              </w:rPr>
              <w:t>0</w:t>
            </w:r>
          </w:p>
        </w:tc>
        <w:tc>
          <w:tcPr>
            <w:tcW w:type="dxa" w:w="1552"/>
          </w:tcPr>
          <w:p w14:paraId="4F030000">
            <w:pPr>
              <w:spacing w:line="240" w:lineRule="auto"/>
              <w:ind/>
              <w:rPr>
                <w:sz w:val="24"/>
              </w:rPr>
            </w:pPr>
            <w:r>
              <w:rPr>
                <w:sz w:val="24"/>
              </w:rPr>
              <w:t>0</w:t>
            </w:r>
          </w:p>
        </w:tc>
        <w:tc>
          <w:tcPr>
            <w:tcW w:type="dxa" w:w="1728"/>
          </w:tcPr>
          <w:p w14:paraId="50030000">
            <w:pPr>
              <w:spacing w:line="240" w:lineRule="auto"/>
              <w:ind/>
              <w:rPr>
                <w:sz w:val="24"/>
              </w:rPr>
            </w:pPr>
            <w:r>
              <w:rPr>
                <w:sz w:val="24"/>
              </w:rPr>
              <w:t>–10</w:t>
            </w:r>
          </w:p>
        </w:tc>
      </w:tr>
      <w:tr>
        <w:tc>
          <w:tcPr>
            <w:tcW w:type="dxa" w:w="1442"/>
          </w:tcPr>
          <w:p w14:paraId="51030000">
            <w:pPr>
              <w:spacing w:line="240" w:lineRule="auto"/>
              <w:ind/>
              <w:rPr>
                <w:sz w:val="24"/>
              </w:rPr>
            </w:pPr>
            <w:r>
              <w:rPr>
                <w:sz w:val="24"/>
              </w:rPr>
              <w:t>Всего</w:t>
            </w:r>
          </w:p>
        </w:tc>
        <w:tc>
          <w:tcPr>
            <w:tcW w:type="dxa" w:w="1535"/>
          </w:tcPr>
          <w:p w14:paraId="52030000">
            <w:pPr>
              <w:spacing w:line="240" w:lineRule="auto"/>
              <w:ind/>
              <w:rPr>
                <w:sz w:val="24"/>
              </w:rPr>
            </w:pPr>
            <w:r>
              <w:rPr>
                <w:sz w:val="24"/>
              </w:rPr>
              <w:t>20</w:t>
            </w:r>
          </w:p>
        </w:tc>
        <w:tc>
          <w:tcPr>
            <w:tcW w:type="dxa" w:w="1510"/>
          </w:tcPr>
          <w:p w14:paraId="53030000">
            <w:pPr>
              <w:spacing w:line="240" w:lineRule="auto"/>
              <w:ind/>
              <w:rPr>
                <w:sz w:val="24"/>
              </w:rPr>
            </w:pPr>
            <w:r>
              <w:rPr>
                <w:sz w:val="24"/>
              </w:rPr>
              <w:t>100</w:t>
            </w:r>
          </w:p>
        </w:tc>
        <w:tc>
          <w:tcPr>
            <w:tcW w:type="dxa" w:w="1578"/>
          </w:tcPr>
          <w:p w14:paraId="54030000">
            <w:pPr>
              <w:spacing w:line="240" w:lineRule="auto"/>
              <w:ind/>
              <w:rPr>
                <w:sz w:val="24"/>
              </w:rPr>
            </w:pPr>
            <w:r>
              <w:rPr>
                <w:sz w:val="24"/>
              </w:rPr>
              <w:t>20</w:t>
            </w:r>
          </w:p>
        </w:tc>
        <w:tc>
          <w:tcPr>
            <w:tcW w:type="dxa" w:w="1552"/>
          </w:tcPr>
          <w:p w14:paraId="55030000">
            <w:pPr>
              <w:spacing w:line="240" w:lineRule="auto"/>
              <w:ind/>
              <w:rPr>
                <w:sz w:val="24"/>
              </w:rPr>
            </w:pPr>
            <w:r>
              <w:rPr>
                <w:sz w:val="24"/>
              </w:rPr>
              <w:t>100</w:t>
            </w:r>
          </w:p>
        </w:tc>
        <w:tc>
          <w:tcPr>
            <w:tcW w:type="dxa" w:w="1728"/>
          </w:tcPr>
          <w:p w14:paraId="56030000">
            <w:pPr>
              <w:spacing w:line="240" w:lineRule="auto"/>
              <w:ind/>
              <w:rPr>
                <w:sz w:val="24"/>
              </w:rPr>
            </w:pPr>
            <w:r>
              <w:rPr>
                <w:sz w:val="24"/>
              </w:rPr>
              <w:t>—</w:t>
            </w:r>
          </w:p>
        </w:tc>
      </w:tr>
    </w:tbl>
    <w:p w14:paraId="57030000">
      <w:pPr>
        <w:ind w:firstLine="709" w:left="0"/>
      </w:pPr>
    </w:p>
    <w:p w14:paraId="58030000">
      <w:pPr>
        <w:ind w:firstLine="709" w:left="0"/>
      </w:pPr>
      <w:r>
        <w:t>Высокий уровень мотивации увеличился с 65 до 85 %. Рост составил 20 процентных пунктов. Количество участников с высоким показателем увеличилось с 13 до 17 человек.</w:t>
      </w:r>
    </w:p>
    <w:p w14:paraId="59030000">
      <w:pPr>
        <w:ind w:firstLine="709" w:left="0"/>
      </w:pPr>
      <w:r>
        <w:t>Средний уровень сократился с 25 до 15 %. Два участника перешли из средней группы в высокую. Низкий уровень после реализации программы не зафиксирован, тогда как до начала занятий его имели 2 старшеклассника, или 10 % выборки.</w:t>
      </w:r>
    </w:p>
    <w:p w14:paraId="5A030000">
      <w:pPr>
        <w:ind w:firstLine="709" w:left="0"/>
      </w:pPr>
      <w:r>
        <w:t>Изменения показывают рост внутренней включ</w:t>
      </w:r>
      <w:r>
        <w:t>е</w:t>
      </w:r>
      <w:r>
        <w:t>нности в профессиональный выбор. Старшеклассники чаще связывали текущую учебную деятельность с дальнейшими целями, проявляли инициативу при поиске информации и обсуждали конкретные действия, необходимые для поступления.</w:t>
      </w:r>
    </w:p>
    <w:p w14:paraId="5B030000">
      <w:pPr>
        <w:ind w:firstLine="709" w:left="0"/>
      </w:pPr>
      <w:r>
        <w:t>Рост мотивации нельзя объяснить только эмоциональной привлекательностью занятий. Программа включала практические задания: поиск образовательных программ, сравнение условий поступления и составление индивидуального плана. Участники получили возможность увидеть связь между интересами и реальными действиями.</w:t>
      </w:r>
    </w:p>
    <w:p w14:paraId="5C030000">
      <w:pPr>
        <w:ind w:firstLine="709" w:left="0"/>
      </w:pPr>
      <w:r>
        <w:t>Результаты авторской анкеты представлены в таблице 17.</w:t>
      </w:r>
    </w:p>
    <w:p w14:paraId="5D030000">
      <w:pPr>
        <w:ind w:firstLine="709" w:left="0"/>
        <w:rPr>
          <w:b w:val="1"/>
          <w:sz w:val="32"/>
        </w:rPr>
      </w:pPr>
    </w:p>
    <w:p w14:paraId="5E030000">
      <w:pPr>
        <w:spacing w:line="240" w:lineRule="auto"/>
        <w:ind/>
      </w:pPr>
    </w:p>
    <w:p w14:paraId="5F030000">
      <w:pPr>
        <w:spacing w:line="240" w:lineRule="auto"/>
        <w:ind/>
      </w:pPr>
    </w:p>
    <w:p w14:paraId="60030000">
      <w:pPr>
        <w:spacing w:line="240" w:lineRule="auto"/>
        <w:ind/>
      </w:pPr>
    </w:p>
    <w:p w14:paraId="61030000">
      <w:pPr>
        <w:spacing w:line="240" w:lineRule="auto"/>
        <w:ind/>
      </w:pPr>
    </w:p>
    <w:p w14:paraId="62030000">
      <w:pPr>
        <w:spacing w:line="240" w:lineRule="auto"/>
        <w:ind/>
      </w:pPr>
      <w:r>
        <w:t>Таблица 17 — Сравнение сформированности профессионального выбора до и после реализации программы</w:t>
      </w:r>
    </w:p>
    <w:p w14:paraId="63030000">
      <w:pPr>
        <w:spacing w:line="240" w:lineRule="auto"/>
        <w:ind/>
        <w:rPr>
          <w:sz w:val="24"/>
        </w:rPr>
      </w:pPr>
    </w:p>
    <w:tbl>
      <w:tblPr>
        <w:tblStyle w:val="Style_7"/>
        <w:tblLayout w:type="fixed"/>
      </w:tblPr>
      <w:tblGrid>
        <w:gridCol w:w="2217"/>
        <w:gridCol w:w="1420"/>
        <w:gridCol w:w="1420"/>
        <w:gridCol w:w="1420"/>
        <w:gridCol w:w="1420"/>
        <w:gridCol w:w="1448"/>
      </w:tblGrid>
      <w:tr>
        <w:tc>
          <w:tcPr>
            <w:tcW w:type="dxa" w:w="2217"/>
          </w:tcPr>
          <w:p w14:paraId="64030000">
            <w:pPr>
              <w:spacing w:line="240" w:lineRule="auto"/>
              <w:ind/>
              <w:rPr>
                <w:sz w:val="24"/>
              </w:rPr>
            </w:pPr>
            <w:r>
              <w:rPr>
                <w:sz w:val="24"/>
              </w:rPr>
              <w:t>Характеристика профессионального выбора</w:t>
            </w:r>
          </w:p>
        </w:tc>
        <w:tc>
          <w:tcPr>
            <w:tcW w:type="dxa" w:w="1420"/>
          </w:tcPr>
          <w:p w14:paraId="65030000">
            <w:pPr>
              <w:spacing w:line="240" w:lineRule="auto"/>
              <w:ind/>
              <w:rPr>
                <w:sz w:val="24"/>
              </w:rPr>
            </w:pPr>
            <w:r>
              <w:rPr>
                <w:sz w:val="24"/>
              </w:rPr>
              <w:t>До программы, чел.</w:t>
            </w:r>
          </w:p>
        </w:tc>
        <w:tc>
          <w:tcPr>
            <w:tcW w:type="dxa" w:w="1420"/>
          </w:tcPr>
          <w:p w14:paraId="66030000">
            <w:pPr>
              <w:spacing w:line="240" w:lineRule="auto"/>
              <w:ind/>
              <w:rPr>
                <w:sz w:val="24"/>
              </w:rPr>
            </w:pPr>
            <w:r>
              <w:rPr>
                <w:sz w:val="24"/>
              </w:rPr>
              <w:t>До программы, %</w:t>
            </w:r>
          </w:p>
        </w:tc>
        <w:tc>
          <w:tcPr>
            <w:tcW w:type="dxa" w:w="1420"/>
          </w:tcPr>
          <w:p w14:paraId="67030000">
            <w:pPr>
              <w:spacing w:line="240" w:lineRule="auto"/>
              <w:ind/>
              <w:rPr>
                <w:sz w:val="24"/>
              </w:rPr>
            </w:pPr>
            <w:r>
              <w:rPr>
                <w:sz w:val="24"/>
              </w:rPr>
              <w:t>После программы, чел.</w:t>
            </w:r>
          </w:p>
        </w:tc>
        <w:tc>
          <w:tcPr>
            <w:tcW w:type="dxa" w:w="1420"/>
          </w:tcPr>
          <w:p w14:paraId="68030000">
            <w:pPr>
              <w:spacing w:line="240" w:lineRule="auto"/>
              <w:ind/>
              <w:rPr>
                <w:sz w:val="24"/>
              </w:rPr>
            </w:pPr>
            <w:r>
              <w:rPr>
                <w:sz w:val="24"/>
              </w:rPr>
              <w:t>После программы, %</w:t>
            </w:r>
          </w:p>
        </w:tc>
        <w:tc>
          <w:tcPr>
            <w:tcW w:type="dxa" w:w="1448"/>
          </w:tcPr>
          <w:p w14:paraId="69030000">
            <w:pPr>
              <w:spacing w:line="240" w:lineRule="auto"/>
              <w:ind/>
              <w:rPr>
                <w:sz w:val="24"/>
              </w:rPr>
            </w:pPr>
            <w:r>
              <w:rPr>
                <w:sz w:val="24"/>
              </w:rPr>
              <w:t>Изменение, процентных пунктов</w:t>
            </w:r>
          </w:p>
        </w:tc>
      </w:tr>
      <w:tr>
        <w:tc>
          <w:tcPr>
            <w:tcW w:type="dxa" w:w="2217"/>
          </w:tcPr>
          <w:p w14:paraId="6A030000">
            <w:pPr>
              <w:spacing w:line="240" w:lineRule="auto"/>
              <w:ind/>
              <w:rPr>
                <w:sz w:val="24"/>
              </w:rPr>
            </w:pPr>
            <w:r>
              <w:rPr>
                <w:sz w:val="24"/>
              </w:rPr>
              <w:t>Профессиональные интересы сформированы</w:t>
            </w:r>
          </w:p>
        </w:tc>
        <w:tc>
          <w:tcPr>
            <w:tcW w:type="dxa" w:w="1420"/>
          </w:tcPr>
          <w:p w14:paraId="6B030000">
            <w:pPr>
              <w:spacing w:line="240" w:lineRule="auto"/>
              <w:ind/>
              <w:rPr>
                <w:sz w:val="24"/>
              </w:rPr>
            </w:pPr>
            <w:r>
              <w:rPr>
                <w:sz w:val="24"/>
              </w:rPr>
              <w:t>9</w:t>
            </w:r>
          </w:p>
        </w:tc>
        <w:tc>
          <w:tcPr>
            <w:tcW w:type="dxa" w:w="1420"/>
          </w:tcPr>
          <w:p w14:paraId="6C030000">
            <w:pPr>
              <w:spacing w:line="240" w:lineRule="auto"/>
              <w:ind/>
              <w:rPr>
                <w:sz w:val="24"/>
              </w:rPr>
            </w:pPr>
            <w:r>
              <w:rPr>
                <w:sz w:val="24"/>
              </w:rPr>
              <w:t>45</w:t>
            </w:r>
          </w:p>
        </w:tc>
        <w:tc>
          <w:tcPr>
            <w:tcW w:type="dxa" w:w="1420"/>
          </w:tcPr>
          <w:p w14:paraId="6D030000">
            <w:pPr>
              <w:spacing w:line="240" w:lineRule="auto"/>
              <w:ind/>
              <w:rPr>
                <w:sz w:val="24"/>
              </w:rPr>
            </w:pPr>
            <w:r>
              <w:rPr>
                <w:sz w:val="24"/>
              </w:rPr>
              <w:t>16</w:t>
            </w:r>
          </w:p>
        </w:tc>
        <w:tc>
          <w:tcPr>
            <w:tcW w:type="dxa" w:w="1420"/>
          </w:tcPr>
          <w:p w14:paraId="6E030000">
            <w:pPr>
              <w:spacing w:line="240" w:lineRule="auto"/>
              <w:ind/>
              <w:rPr>
                <w:sz w:val="24"/>
              </w:rPr>
            </w:pPr>
            <w:r>
              <w:rPr>
                <w:sz w:val="24"/>
              </w:rPr>
              <w:t>80</w:t>
            </w:r>
          </w:p>
        </w:tc>
        <w:tc>
          <w:tcPr>
            <w:tcW w:type="dxa" w:w="1448"/>
          </w:tcPr>
          <w:p w14:paraId="6F030000">
            <w:pPr>
              <w:spacing w:line="240" w:lineRule="auto"/>
              <w:ind/>
              <w:rPr>
                <w:sz w:val="24"/>
              </w:rPr>
            </w:pPr>
            <w:r>
              <w:rPr>
                <w:sz w:val="24"/>
              </w:rPr>
              <w:t>+35</w:t>
            </w:r>
          </w:p>
        </w:tc>
      </w:tr>
      <w:tr>
        <w:tc>
          <w:tcPr>
            <w:tcW w:type="dxa" w:w="2217"/>
          </w:tcPr>
          <w:p w14:paraId="70030000">
            <w:pPr>
              <w:spacing w:line="240" w:lineRule="auto"/>
              <w:ind/>
              <w:rPr>
                <w:sz w:val="24"/>
              </w:rPr>
            </w:pPr>
            <w:r>
              <w:rPr>
                <w:sz w:val="24"/>
              </w:rPr>
              <w:t>Выбор профессии не определ</w:t>
            </w:r>
            <w:r>
              <w:rPr>
                <w:sz w:val="24"/>
              </w:rPr>
              <w:t>е</w:t>
            </w:r>
            <w:r>
              <w:rPr>
                <w:sz w:val="24"/>
              </w:rPr>
              <w:t>н</w:t>
            </w:r>
          </w:p>
        </w:tc>
        <w:tc>
          <w:tcPr>
            <w:tcW w:type="dxa" w:w="1420"/>
          </w:tcPr>
          <w:p w14:paraId="71030000">
            <w:pPr>
              <w:spacing w:line="240" w:lineRule="auto"/>
              <w:ind/>
              <w:rPr>
                <w:sz w:val="24"/>
              </w:rPr>
            </w:pPr>
            <w:r>
              <w:rPr>
                <w:sz w:val="24"/>
              </w:rPr>
              <w:t>7</w:t>
            </w:r>
          </w:p>
        </w:tc>
        <w:tc>
          <w:tcPr>
            <w:tcW w:type="dxa" w:w="1420"/>
          </w:tcPr>
          <w:p w14:paraId="72030000">
            <w:pPr>
              <w:spacing w:line="240" w:lineRule="auto"/>
              <w:ind/>
              <w:rPr>
                <w:sz w:val="24"/>
              </w:rPr>
            </w:pPr>
            <w:r>
              <w:rPr>
                <w:sz w:val="24"/>
              </w:rPr>
              <w:t>35</w:t>
            </w:r>
          </w:p>
        </w:tc>
        <w:tc>
          <w:tcPr>
            <w:tcW w:type="dxa" w:w="1420"/>
          </w:tcPr>
          <w:p w14:paraId="73030000">
            <w:pPr>
              <w:spacing w:line="240" w:lineRule="auto"/>
              <w:ind/>
              <w:rPr>
                <w:sz w:val="24"/>
              </w:rPr>
            </w:pPr>
            <w:r>
              <w:rPr>
                <w:sz w:val="24"/>
              </w:rPr>
              <w:t>3</w:t>
            </w:r>
          </w:p>
        </w:tc>
        <w:tc>
          <w:tcPr>
            <w:tcW w:type="dxa" w:w="1420"/>
          </w:tcPr>
          <w:p w14:paraId="74030000">
            <w:pPr>
              <w:spacing w:line="240" w:lineRule="auto"/>
              <w:ind/>
              <w:rPr>
                <w:sz w:val="24"/>
              </w:rPr>
            </w:pPr>
            <w:r>
              <w:rPr>
                <w:sz w:val="24"/>
              </w:rPr>
              <w:t>15</w:t>
            </w:r>
          </w:p>
        </w:tc>
        <w:tc>
          <w:tcPr>
            <w:tcW w:type="dxa" w:w="1448"/>
          </w:tcPr>
          <w:p w14:paraId="75030000">
            <w:pPr>
              <w:spacing w:line="240" w:lineRule="auto"/>
              <w:ind/>
              <w:rPr>
                <w:sz w:val="24"/>
              </w:rPr>
            </w:pPr>
            <w:r>
              <w:rPr>
                <w:sz w:val="24"/>
              </w:rPr>
              <w:t>–20</w:t>
            </w:r>
          </w:p>
        </w:tc>
      </w:tr>
      <w:tr>
        <w:tc>
          <w:tcPr>
            <w:tcW w:type="dxa" w:w="2217"/>
          </w:tcPr>
          <w:p w14:paraId="76030000">
            <w:pPr>
              <w:spacing w:line="240" w:lineRule="auto"/>
              <w:ind/>
              <w:rPr>
                <w:sz w:val="24"/>
              </w:rPr>
            </w:pPr>
            <w:r>
              <w:rPr>
                <w:sz w:val="24"/>
              </w:rPr>
              <w:t>Испытывают сомнения в принятом решении</w:t>
            </w:r>
          </w:p>
        </w:tc>
        <w:tc>
          <w:tcPr>
            <w:tcW w:type="dxa" w:w="1420"/>
          </w:tcPr>
          <w:p w14:paraId="77030000">
            <w:pPr>
              <w:spacing w:line="240" w:lineRule="auto"/>
              <w:ind/>
              <w:rPr>
                <w:sz w:val="24"/>
              </w:rPr>
            </w:pPr>
            <w:r>
              <w:rPr>
                <w:sz w:val="24"/>
              </w:rPr>
              <w:t>4</w:t>
            </w:r>
          </w:p>
        </w:tc>
        <w:tc>
          <w:tcPr>
            <w:tcW w:type="dxa" w:w="1420"/>
          </w:tcPr>
          <w:p w14:paraId="78030000">
            <w:pPr>
              <w:spacing w:line="240" w:lineRule="auto"/>
              <w:ind/>
              <w:rPr>
                <w:sz w:val="24"/>
              </w:rPr>
            </w:pPr>
            <w:r>
              <w:rPr>
                <w:sz w:val="24"/>
              </w:rPr>
              <w:t>20</w:t>
            </w:r>
          </w:p>
        </w:tc>
        <w:tc>
          <w:tcPr>
            <w:tcW w:type="dxa" w:w="1420"/>
          </w:tcPr>
          <w:p w14:paraId="79030000">
            <w:pPr>
              <w:spacing w:line="240" w:lineRule="auto"/>
              <w:ind/>
              <w:rPr>
                <w:sz w:val="24"/>
              </w:rPr>
            </w:pPr>
            <w:r>
              <w:rPr>
                <w:sz w:val="24"/>
              </w:rPr>
              <w:t>1</w:t>
            </w:r>
          </w:p>
        </w:tc>
        <w:tc>
          <w:tcPr>
            <w:tcW w:type="dxa" w:w="1420"/>
          </w:tcPr>
          <w:p w14:paraId="7A030000">
            <w:pPr>
              <w:spacing w:line="240" w:lineRule="auto"/>
              <w:ind/>
              <w:rPr>
                <w:sz w:val="24"/>
              </w:rPr>
            </w:pPr>
            <w:r>
              <w:rPr>
                <w:sz w:val="24"/>
              </w:rPr>
              <w:t>5</w:t>
            </w:r>
          </w:p>
        </w:tc>
        <w:tc>
          <w:tcPr>
            <w:tcW w:type="dxa" w:w="1448"/>
          </w:tcPr>
          <w:p w14:paraId="7B030000">
            <w:pPr>
              <w:spacing w:line="240" w:lineRule="auto"/>
              <w:ind/>
              <w:rPr>
                <w:sz w:val="24"/>
              </w:rPr>
            </w:pPr>
            <w:r>
              <w:rPr>
                <w:sz w:val="24"/>
              </w:rPr>
              <w:t>–15</w:t>
            </w:r>
          </w:p>
        </w:tc>
      </w:tr>
      <w:tr>
        <w:tc>
          <w:tcPr>
            <w:tcW w:type="dxa" w:w="2217"/>
          </w:tcPr>
          <w:p w14:paraId="7C030000">
            <w:pPr>
              <w:spacing w:line="240" w:lineRule="auto"/>
              <w:ind/>
              <w:rPr>
                <w:sz w:val="24"/>
              </w:rPr>
            </w:pPr>
            <w:r>
              <w:rPr>
                <w:sz w:val="24"/>
              </w:rPr>
              <w:t>Всего</w:t>
            </w:r>
          </w:p>
        </w:tc>
        <w:tc>
          <w:tcPr>
            <w:tcW w:type="dxa" w:w="1420"/>
          </w:tcPr>
          <w:p w14:paraId="7D030000">
            <w:pPr>
              <w:spacing w:line="240" w:lineRule="auto"/>
              <w:ind/>
              <w:rPr>
                <w:sz w:val="24"/>
              </w:rPr>
            </w:pPr>
            <w:r>
              <w:rPr>
                <w:sz w:val="24"/>
              </w:rPr>
              <w:t>20</w:t>
            </w:r>
          </w:p>
        </w:tc>
        <w:tc>
          <w:tcPr>
            <w:tcW w:type="dxa" w:w="1420"/>
          </w:tcPr>
          <w:p w14:paraId="7E030000">
            <w:pPr>
              <w:spacing w:line="240" w:lineRule="auto"/>
              <w:ind/>
              <w:rPr>
                <w:sz w:val="24"/>
              </w:rPr>
            </w:pPr>
            <w:r>
              <w:rPr>
                <w:sz w:val="24"/>
              </w:rPr>
              <w:t>100</w:t>
            </w:r>
          </w:p>
        </w:tc>
        <w:tc>
          <w:tcPr>
            <w:tcW w:type="dxa" w:w="1420"/>
          </w:tcPr>
          <w:p w14:paraId="7F030000">
            <w:pPr>
              <w:spacing w:line="240" w:lineRule="auto"/>
              <w:ind/>
              <w:rPr>
                <w:sz w:val="24"/>
              </w:rPr>
            </w:pPr>
            <w:r>
              <w:rPr>
                <w:sz w:val="24"/>
              </w:rPr>
              <w:t>20</w:t>
            </w:r>
          </w:p>
        </w:tc>
        <w:tc>
          <w:tcPr>
            <w:tcW w:type="dxa" w:w="1420"/>
          </w:tcPr>
          <w:p w14:paraId="80030000">
            <w:pPr>
              <w:spacing w:line="240" w:lineRule="auto"/>
              <w:ind/>
              <w:rPr>
                <w:sz w:val="24"/>
              </w:rPr>
            </w:pPr>
            <w:r>
              <w:rPr>
                <w:sz w:val="24"/>
              </w:rPr>
              <w:t>100</w:t>
            </w:r>
          </w:p>
        </w:tc>
        <w:tc>
          <w:tcPr>
            <w:tcW w:type="dxa" w:w="1448"/>
          </w:tcPr>
          <w:p w14:paraId="81030000">
            <w:pPr>
              <w:spacing w:line="240" w:lineRule="auto"/>
              <w:ind/>
              <w:rPr>
                <w:sz w:val="24"/>
              </w:rPr>
            </w:pPr>
            <w:r>
              <w:rPr>
                <w:sz w:val="24"/>
              </w:rPr>
              <w:t>—</w:t>
            </w:r>
          </w:p>
        </w:tc>
      </w:tr>
    </w:tbl>
    <w:p w14:paraId="82030000">
      <w:pPr>
        <w:ind w:firstLine="709" w:left="0"/>
      </w:pPr>
    </w:p>
    <w:p w14:paraId="83030000">
      <w:pPr>
        <w:ind w:firstLine="709" w:left="0"/>
      </w:pPr>
      <w:r>
        <w:t>Доля старшеклассников со сформированными профессиональными интересами увеличилась с 45 до 80 %. Прирост составил 35 процентных пунктов. В количественном выражении число таких участников возросло с 9 до 16 человек.</w:t>
      </w:r>
    </w:p>
    <w:p w14:paraId="84030000">
      <w:pPr>
        <w:ind w:firstLine="709" w:left="0"/>
      </w:pPr>
      <w:r>
        <w:t>Количество неопределившихся обучающихся сократилось с 7 до 3 человек. Доля этой группы уменьшилась с 35 до 15 %. Сомнения в принятом решении сохранились только у одного участника вместо четыр</w:t>
      </w:r>
      <w:r>
        <w:t>е</w:t>
      </w:r>
      <w:r>
        <w:t>х, что соответствует снижению с 20 до 5 %.</w:t>
      </w:r>
    </w:p>
    <w:p w14:paraId="85030000">
      <w:pPr>
        <w:ind w:firstLine="709" w:left="0"/>
      </w:pPr>
      <w:r>
        <w:t>Полученная динамика показывает, что программа повлияла прежде всего на осознанность выбора. Большинство старшеклассников стало точнее формулировать профессиональное направление, объяснять мотивы и называть последовательность дальнейших действий. Их ответы приобрели большую определ</w:t>
      </w:r>
      <w:r>
        <w:t>е</w:t>
      </w:r>
      <w:r>
        <w:t>нность.</w:t>
      </w:r>
    </w:p>
    <w:p w14:paraId="86030000">
      <w:pPr>
        <w:ind w:firstLine="709" w:left="0"/>
      </w:pPr>
      <w:r>
        <w:t>Три участника после завершения программы продолжили сравнивать несколько вариантов. Однако их позиция отличалась от первичной неопредел</w:t>
      </w:r>
      <w:r>
        <w:t>е</w:t>
      </w:r>
      <w:r>
        <w:t>нности. Старшеклассники называли близкие профессиональные области, понимали критерии сравнения и планировали собрать дополнительную информацию.</w:t>
      </w:r>
    </w:p>
    <w:p w14:paraId="87030000">
      <w:pPr>
        <w:ind w:firstLine="709" w:left="0"/>
      </w:pPr>
      <w:r>
        <w:t xml:space="preserve">Один участник сохранил сомнения в принятом решении. Индивидуальная беседа показала, что его затруднения связаны с </w:t>
      </w:r>
      <w:r>
        <w:t>расхождением между личным интересом и ожиданиями значимых взрослых. Такой результат подтверждает необходимость продолжать консультативную работу после завершения основной программы.</w:t>
      </w:r>
    </w:p>
    <w:p w14:paraId="88030000">
      <w:pPr>
        <w:ind w:firstLine="709" w:left="0"/>
      </w:pPr>
      <w:r>
        <w:t>Обобщ</w:t>
      </w:r>
      <w:r>
        <w:t>е</w:t>
      </w:r>
      <w:r>
        <w:t>нные показатели представлены в таблице 18.</w:t>
      </w:r>
    </w:p>
    <w:p w14:paraId="89030000">
      <w:pPr>
        <w:ind w:firstLine="709" w:left="0"/>
        <w:rPr>
          <w:b w:val="1"/>
        </w:rPr>
      </w:pPr>
    </w:p>
    <w:p w14:paraId="8A030000">
      <w:pPr>
        <w:spacing w:line="240" w:lineRule="auto"/>
        <w:ind/>
      </w:pPr>
      <w:r>
        <w:t>Таблица 18 — Общая динамика показателей профессионального самоопределения после реализации программы</w:t>
      </w:r>
    </w:p>
    <w:p w14:paraId="8B030000">
      <w:pPr>
        <w:spacing w:line="240" w:lineRule="auto"/>
        <w:ind/>
      </w:pPr>
    </w:p>
    <w:tbl>
      <w:tblPr>
        <w:tblStyle w:val="Style_7"/>
        <w:tblLayout w:type="fixed"/>
      </w:tblPr>
      <w:tblGrid>
        <w:gridCol w:w="3462"/>
        <w:gridCol w:w="1696"/>
        <w:gridCol w:w="1843"/>
        <w:gridCol w:w="2344"/>
      </w:tblGrid>
      <w:tr>
        <w:tc>
          <w:tcPr>
            <w:tcW w:type="dxa" w:w="3462"/>
          </w:tcPr>
          <w:p w14:paraId="8C030000">
            <w:pPr>
              <w:spacing w:line="240" w:lineRule="auto"/>
              <w:ind/>
              <w:rPr>
                <w:sz w:val="24"/>
              </w:rPr>
            </w:pPr>
            <w:r>
              <w:rPr>
                <w:sz w:val="24"/>
              </w:rPr>
              <w:t>Показатель</w:t>
            </w:r>
          </w:p>
        </w:tc>
        <w:tc>
          <w:tcPr>
            <w:tcW w:type="dxa" w:w="1696"/>
          </w:tcPr>
          <w:p w14:paraId="8D030000">
            <w:pPr>
              <w:spacing w:line="240" w:lineRule="auto"/>
              <w:ind/>
              <w:rPr>
                <w:sz w:val="24"/>
              </w:rPr>
            </w:pPr>
            <w:r>
              <w:rPr>
                <w:sz w:val="24"/>
              </w:rPr>
              <w:t>До программы, %</w:t>
            </w:r>
          </w:p>
        </w:tc>
        <w:tc>
          <w:tcPr>
            <w:tcW w:type="dxa" w:w="1843"/>
          </w:tcPr>
          <w:p w14:paraId="8E030000">
            <w:pPr>
              <w:spacing w:line="240" w:lineRule="auto"/>
              <w:ind/>
              <w:rPr>
                <w:sz w:val="24"/>
              </w:rPr>
            </w:pPr>
            <w:r>
              <w:rPr>
                <w:sz w:val="24"/>
              </w:rPr>
              <w:t>После программы, %</w:t>
            </w:r>
          </w:p>
        </w:tc>
        <w:tc>
          <w:tcPr>
            <w:tcW w:type="dxa" w:w="2344"/>
          </w:tcPr>
          <w:p w14:paraId="8F030000">
            <w:pPr>
              <w:spacing w:line="240" w:lineRule="auto"/>
              <w:ind/>
              <w:rPr>
                <w:sz w:val="24"/>
              </w:rPr>
            </w:pPr>
            <w:r>
              <w:rPr>
                <w:sz w:val="24"/>
              </w:rPr>
              <w:t>Динамика, процентных пунктов</w:t>
            </w:r>
          </w:p>
        </w:tc>
      </w:tr>
      <w:tr>
        <w:tc>
          <w:tcPr>
            <w:tcW w:type="dxa" w:w="3462"/>
          </w:tcPr>
          <w:p w14:paraId="90030000">
            <w:pPr>
              <w:spacing w:line="240" w:lineRule="auto"/>
              <w:ind/>
              <w:rPr>
                <w:sz w:val="24"/>
              </w:rPr>
            </w:pPr>
            <w:r>
              <w:rPr>
                <w:sz w:val="24"/>
              </w:rPr>
              <w:t>Высокий уровень мотивации</w:t>
            </w:r>
          </w:p>
        </w:tc>
        <w:tc>
          <w:tcPr>
            <w:tcW w:type="dxa" w:w="1696"/>
          </w:tcPr>
          <w:p w14:paraId="91030000">
            <w:pPr>
              <w:spacing w:line="240" w:lineRule="auto"/>
              <w:ind/>
              <w:rPr>
                <w:sz w:val="24"/>
              </w:rPr>
            </w:pPr>
            <w:r>
              <w:rPr>
                <w:sz w:val="24"/>
              </w:rPr>
              <w:t>65</w:t>
            </w:r>
          </w:p>
        </w:tc>
        <w:tc>
          <w:tcPr>
            <w:tcW w:type="dxa" w:w="1843"/>
          </w:tcPr>
          <w:p w14:paraId="92030000">
            <w:pPr>
              <w:spacing w:line="240" w:lineRule="auto"/>
              <w:ind/>
              <w:rPr>
                <w:sz w:val="24"/>
              </w:rPr>
            </w:pPr>
            <w:r>
              <w:rPr>
                <w:sz w:val="24"/>
              </w:rPr>
              <w:t>85</w:t>
            </w:r>
          </w:p>
        </w:tc>
        <w:tc>
          <w:tcPr>
            <w:tcW w:type="dxa" w:w="2344"/>
          </w:tcPr>
          <w:p w14:paraId="93030000">
            <w:pPr>
              <w:spacing w:line="240" w:lineRule="auto"/>
              <w:ind/>
              <w:rPr>
                <w:sz w:val="24"/>
              </w:rPr>
            </w:pPr>
            <w:r>
              <w:rPr>
                <w:sz w:val="24"/>
              </w:rPr>
              <w:t>+20</w:t>
            </w:r>
          </w:p>
        </w:tc>
      </w:tr>
      <w:tr>
        <w:tc>
          <w:tcPr>
            <w:tcW w:type="dxa" w:w="3462"/>
          </w:tcPr>
          <w:p w14:paraId="94030000">
            <w:pPr>
              <w:spacing w:line="240" w:lineRule="auto"/>
              <w:ind/>
              <w:rPr>
                <w:sz w:val="24"/>
              </w:rPr>
            </w:pPr>
            <w:r>
              <w:rPr>
                <w:sz w:val="24"/>
              </w:rPr>
              <w:t>Сформированные профессиональные интересы</w:t>
            </w:r>
          </w:p>
        </w:tc>
        <w:tc>
          <w:tcPr>
            <w:tcW w:type="dxa" w:w="1696"/>
          </w:tcPr>
          <w:p w14:paraId="95030000">
            <w:pPr>
              <w:spacing w:line="240" w:lineRule="auto"/>
              <w:ind/>
              <w:rPr>
                <w:sz w:val="24"/>
              </w:rPr>
            </w:pPr>
            <w:r>
              <w:rPr>
                <w:sz w:val="24"/>
              </w:rPr>
              <w:t>45</w:t>
            </w:r>
          </w:p>
        </w:tc>
        <w:tc>
          <w:tcPr>
            <w:tcW w:type="dxa" w:w="1843"/>
          </w:tcPr>
          <w:p w14:paraId="96030000">
            <w:pPr>
              <w:spacing w:line="240" w:lineRule="auto"/>
              <w:ind/>
              <w:rPr>
                <w:sz w:val="24"/>
              </w:rPr>
            </w:pPr>
            <w:r>
              <w:rPr>
                <w:sz w:val="24"/>
              </w:rPr>
              <w:t>80</w:t>
            </w:r>
          </w:p>
        </w:tc>
        <w:tc>
          <w:tcPr>
            <w:tcW w:type="dxa" w:w="2344"/>
          </w:tcPr>
          <w:p w14:paraId="97030000">
            <w:pPr>
              <w:spacing w:line="240" w:lineRule="auto"/>
              <w:ind/>
              <w:rPr>
                <w:sz w:val="24"/>
              </w:rPr>
            </w:pPr>
            <w:r>
              <w:rPr>
                <w:sz w:val="24"/>
              </w:rPr>
              <w:t>+35</w:t>
            </w:r>
          </w:p>
        </w:tc>
      </w:tr>
      <w:tr>
        <w:tc>
          <w:tcPr>
            <w:tcW w:type="dxa" w:w="3462"/>
          </w:tcPr>
          <w:p w14:paraId="98030000">
            <w:pPr>
              <w:spacing w:line="240" w:lineRule="auto"/>
              <w:ind/>
              <w:rPr>
                <w:sz w:val="24"/>
              </w:rPr>
            </w:pPr>
            <w:r>
              <w:rPr>
                <w:sz w:val="24"/>
              </w:rPr>
              <w:t>Неопредел</w:t>
            </w:r>
            <w:r>
              <w:rPr>
                <w:sz w:val="24"/>
              </w:rPr>
              <w:t>е</w:t>
            </w:r>
            <w:r>
              <w:rPr>
                <w:sz w:val="24"/>
              </w:rPr>
              <w:t>нность профессионального выбора</w:t>
            </w:r>
          </w:p>
        </w:tc>
        <w:tc>
          <w:tcPr>
            <w:tcW w:type="dxa" w:w="1696"/>
          </w:tcPr>
          <w:p w14:paraId="99030000">
            <w:pPr>
              <w:spacing w:line="240" w:lineRule="auto"/>
              <w:ind/>
              <w:rPr>
                <w:sz w:val="24"/>
              </w:rPr>
            </w:pPr>
            <w:r>
              <w:rPr>
                <w:sz w:val="24"/>
              </w:rPr>
              <w:t>35</w:t>
            </w:r>
          </w:p>
        </w:tc>
        <w:tc>
          <w:tcPr>
            <w:tcW w:type="dxa" w:w="1843"/>
          </w:tcPr>
          <w:p w14:paraId="9A030000">
            <w:pPr>
              <w:spacing w:line="240" w:lineRule="auto"/>
              <w:ind/>
              <w:rPr>
                <w:sz w:val="24"/>
              </w:rPr>
            </w:pPr>
            <w:r>
              <w:rPr>
                <w:sz w:val="24"/>
              </w:rPr>
              <w:t>15</w:t>
            </w:r>
          </w:p>
        </w:tc>
        <w:tc>
          <w:tcPr>
            <w:tcW w:type="dxa" w:w="2344"/>
          </w:tcPr>
          <w:p w14:paraId="9B030000">
            <w:pPr>
              <w:spacing w:line="240" w:lineRule="auto"/>
              <w:ind/>
              <w:rPr>
                <w:sz w:val="24"/>
              </w:rPr>
            </w:pPr>
            <w:r>
              <w:rPr>
                <w:sz w:val="24"/>
              </w:rPr>
              <w:t>–20</w:t>
            </w:r>
          </w:p>
        </w:tc>
      </w:tr>
      <w:tr>
        <w:tc>
          <w:tcPr>
            <w:tcW w:type="dxa" w:w="3462"/>
          </w:tcPr>
          <w:p w14:paraId="9C030000">
            <w:pPr>
              <w:spacing w:line="240" w:lineRule="auto"/>
              <w:ind/>
              <w:rPr>
                <w:sz w:val="24"/>
              </w:rPr>
            </w:pPr>
            <w:r>
              <w:rPr>
                <w:sz w:val="24"/>
              </w:rPr>
              <w:t>Сомнения в принятом решении</w:t>
            </w:r>
          </w:p>
        </w:tc>
        <w:tc>
          <w:tcPr>
            <w:tcW w:type="dxa" w:w="1696"/>
          </w:tcPr>
          <w:p w14:paraId="9D030000">
            <w:pPr>
              <w:spacing w:line="240" w:lineRule="auto"/>
              <w:ind/>
              <w:rPr>
                <w:sz w:val="24"/>
              </w:rPr>
            </w:pPr>
            <w:r>
              <w:rPr>
                <w:sz w:val="24"/>
              </w:rPr>
              <w:t>20</w:t>
            </w:r>
          </w:p>
        </w:tc>
        <w:tc>
          <w:tcPr>
            <w:tcW w:type="dxa" w:w="1843"/>
          </w:tcPr>
          <w:p w14:paraId="9E030000">
            <w:pPr>
              <w:spacing w:line="240" w:lineRule="auto"/>
              <w:ind/>
              <w:rPr>
                <w:sz w:val="24"/>
              </w:rPr>
            </w:pPr>
            <w:r>
              <w:rPr>
                <w:sz w:val="24"/>
              </w:rPr>
              <w:t>5</w:t>
            </w:r>
          </w:p>
        </w:tc>
        <w:tc>
          <w:tcPr>
            <w:tcW w:type="dxa" w:w="2344"/>
          </w:tcPr>
          <w:p w14:paraId="9F030000">
            <w:pPr>
              <w:spacing w:line="240" w:lineRule="auto"/>
              <w:ind/>
              <w:rPr>
                <w:sz w:val="24"/>
              </w:rPr>
            </w:pPr>
            <w:r>
              <w:rPr>
                <w:sz w:val="24"/>
              </w:rPr>
              <w:t>–15</w:t>
            </w:r>
          </w:p>
        </w:tc>
      </w:tr>
      <w:tr>
        <w:tc>
          <w:tcPr>
            <w:tcW w:type="dxa" w:w="3462"/>
          </w:tcPr>
          <w:p w14:paraId="A0030000">
            <w:pPr>
              <w:spacing w:line="240" w:lineRule="auto"/>
              <w:ind/>
              <w:rPr>
                <w:sz w:val="24"/>
              </w:rPr>
            </w:pPr>
            <w:r>
              <w:rPr>
                <w:sz w:val="24"/>
              </w:rPr>
              <w:t>Низкий уровень мотивации</w:t>
            </w:r>
          </w:p>
        </w:tc>
        <w:tc>
          <w:tcPr>
            <w:tcW w:type="dxa" w:w="1696"/>
          </w:tcPr>
          <w:p w14:paraId="A1030000">
            <w:pPr>
              <w:spacing w:line="240" w:lineRule="auto"/>
              <w:ind/>
              <w:rPr>
                <w:sz w:val="24"/>
              </w:rPr>
            </w:pPr>
            <w:r>
              <w:rPr>
                <w:sz w:val="24"/>
              </w:rPr>
              <w:t>10</w:t>
            </w:r>
          </w:p>
        </w:tc>
        <w:tc>
          <w:tcPr>
            <w:tcW w:type="dxa" w:w="1843"/>
          </w:tcPr>
          <w:p w14:paraId="A2030000">
            <w:pPr>
              <w:spacing w:line="240" w:lineRule="auto"/>
              <w:ind/>
              <w:rPr>
                <w:sz w:val="24"/>
              </w:rPr>
            </w:pPr>
            <w:r>
              <w:rPr>
                <w:sz w:val="24"/>
              </w:rPr>
              <w:t>0</w:t>
            </w:r>
          </w:p>
        </w:tc>
        <w:tc>
          <w:tcPr>
            <w:tcW w:type="dxa" w:w="2344"/>
          </w:tcPr>
          <w:p w14:paraId="A3030000">
            <w:pPr>
              <w:spacing w:line="240" w:lineRule="auto"/>
              <w:ind/>
              <w:rPr>
                <w:sz w:val="24"/>
              </w:rPr>
            </w:pPr>
            <w:r>
              <w:rPr>
                <w:sz w:val="24"/>
              </w:rPr>
              <w:t>–10</w:t>
            </w:r>
          </w:p>
        </w:tc>
      </w:tr>
    </w:tbl>
    <w:p w14:paraId="A4030000">
      <w:pPr>
        <w:ind w:firstLine="709" w:left="0"/>
      </w:pPr>
    </w:p>
    <w:p w14:paraId="A5030000">
      <w:pPr>
        <w:ind w:firstLine="709" w:left="0"/>
      </w:pPr>
      <w:r>
        <w:t>Графически результаты представлены на рисунке 6.</w:t>
      </w:r>
    </w:p>
    <w:p w14:paraId="A6030000">
      <w:pPr>
        <w:ind/>
        <w:jc w:val="center"/>
      </w:pPr>
      <w:r>
        <w:drawing>
          <wp:inline>
            <wp:extent cx="5630531" cy="3505200"/>
            <wp:effectExtent b="0" l="0" r="0" t="0"/>
            <wp:docPr hidden="false" id="12" name="Picture 12"/>
            <a:graphic>
              <a:graphicData uri="http://schemas.openxmlformats.org/drawingml/2006/picture">
                <pic:pic>
                  <pic:nvPicPr>
                    <pic:cNvPr hidden="false" id="11" name="Picture 11"/>
                    <pic:cNvPicPr preferRelativeResize="true"/>
                  </pic:nvPicPr>
                  <pic:blipFill>
                    <a:blip r:embed="rId7"/>
                    <a:srcRect b="0" l="0" r="0" t="0"/>
                    <a:stretch/>
                  </pic:blipFill>
                  <pic:spPr>
                    <a:xfrm flipH="false" flipV="false" rot="0">
                      <a:ext cx="5630531" cy="3505200"/>
                    </a:xfrm>
                    <a:prstGeom prst="rect"/>
                  </pic:spPr>
                </pic:pic>
              </a:graphicData>
            </a:graphic>
          </wp:inline>
        </w:drawing>
      </w:r>
    </w:p>
    <w:p w14:paraId="A7030000">
      <w:pPr>
        <w:spacing w:line="240" w:lineRule="auto"/>
        <w:ind/>
        <w:jc w:val="center"/>
      </w:pPr>
      <w:r>
        <w:t>Рисунок 6 — Динамика показателей профессионального самоопределения старшеклассников до и после реализации программы</w:t>
      </w:r>
    </w:p>
    <w:p w14:paraId="A8030000">
      <w:pPr>
        <w:spacing w:line="240" w:lineRule="auto"/>
        <w:ind/>
        <w:jc w:val="center"/>
      </w:pPr>
    </w:p>
    <w:p w14:paraId="A9030000">
      <w:pPr>
        <w:ind w:firstLine="709" w:left="0"/>
      </w:pPr>
      <w:r>
        <w:t>Как видно из рисунка 6, наиболее выраженные изменения произошли в степени сформированности профессиональных интересов. Показатель увеличился с 45 до 80 %. Высокий уровень мотивации вырос с 65 до 85 %. Одновременно доля старшеклассников с неопределённым профессиональным выбором сократилась с 35 до 15 %, а число участников, сомневающихся в принятом решении, уменьшилось с 20 до 5 %. Полученные результаты подтверждают положительное влияние программы на мотивационный и когнитивный компоненты профессионального самоопределения.</w:t>
      </w:r>
    </w:p>
    <w:p w14:paraId="AA030000">
      <w:pPr>
        <w:ind w:firstLine="709" w:left="0"/>
      </w:pPr>
      <w:r>
        <w:t>Обобщ</w:t>
      </w:r>
      <w:r>
        <w:t>е</w:t>
      </w:r>
      <w:r>
        <w:t>нные данные показывают положительные изменения по всем показателям, на которые была направлена программа. Наиболее выраженная динамика выявлена в сформированности профессиональных интересов. Показатель увеличился на 35 процентных пунктов.</w:t>
      </w:r>
    </w:p>
    <w:p w14:paraId="AB030000">
      <w:pPr>
        <w:ind w:firstLine="709" w:left="0"/>
      </w:pPr>
      <w:r>
        <w:t>Высокий уровень мотивации вырос на 20 процентных пунктов. Одновременно неопредел</w:t>
      </w:r>
      <w:r>
        <w:t>е</w:t>
      </w:r>
      <w:r>
        <w:t>нность выбора снизилась на 20 пунктов, а сомнения — на 15. Низкий уровень мотивации после завершения занятий не выявлен.</w:t>
      </w:r>
    </w:p>
    <w:p w14:paraId="AC030000">
      <w:pPr>
        <w:ind w:firstLine="709" w:left="0"/>
      </w:pPr>
      <w:r>
        <w:t>Устойчивые склонности и профессиональные типы не изменились. Этот результат соответствует замыслу исследования. Программа не должна была переориентировать старшеклассников на другие сферы, поскольку психологическое сопровождение сохраняет право обучающегося на самостоятельное решение.</w:t>
      </w:r>
    </w:p>
    <w:p w14:paraId="AD030000">
      <w:pPr>
        <w:ind w:firstLine="709" w:left="0"/>
      </w:pPr>
      <w:r>
        <w:t>Эффект программы проявился в более глубоком понимании собственных интересов. Участники научились соотносить их с требованиями профессий, оценивать образовательные маршруты и планировать последовательность действий. Следовательно, изменения затронули мотивационный, когнитивный и деятельностный компоненты профессионального самоопределения.</w:t>
      </w:r>
    </w:p>
    <w:p w14:paraId="AE030000">
      <w:pPr>
        <w:ind w:firstLine="709" w:left="0"/>
      </w:pPr>
      <w:r>
        <w:t>Мотивационный компонент проявился в росте готовности учиться и предпринимать практические шаги. Когнитивный компонент усилился за сч</w:t>
      </w:r>
      <w:r>
        <w:t>е</w:t>
      </w:r>
      <w:r>
        <w:t xml:space="preserve">т расширения знаний о профессиях и условиях получения образования. </w:t>
      </w:r>
      <w:r>
        <w:t>Деятельностный компонент выразился в составлении индивидуальных планов и самостоятельном поиске информации.</w:t>
      </w:r>
    </w:p>
    <w:p w14:paraId="AF030000">
      <w:pPr>
        <w:ind w:firstLine="709" w:left="0"/>
      </w:pPr>
      <w:r>
        <w:t>Полученные результаты подтверждают рабочую гипотезу исследования. Программа, направленная на повышение мотивации, развитие осознанности профессионального выбора и расширение знаний о группах профессий, способствовала положительной динамике профессионального самоопределения старшеклассников.</w:t>
      </w:r>
    </w:p>
    <w:p w14:paraId="B0030000">
      <w:pPr>
        <w:ind w:firstLine="709" w:left="0"/>
      </w:pPr>
      <w:r>
        <w:t>Вывод об эффективности программы основан на сопоставлении первичных и повторных показателей. Вместе с тем небольшая численность выборки не позволяет распространять результаты на всех старшеклассников, воспитывающихся в интернатных учреждениях. Полученные материалы характеризуют исследованную группу и могут стать основой для дальнейшей работы.</w:t>
      </w:r>
    </w:p>
    <w:p w14:paraId="B1030000">
      <w:pPr>
        <w:ind w:firstLine="709" w:left="0"/>
      </w:pPr>
      <w:r>
        <w:t>Результаты апробации показывают, что психологическое сопровождение должно продолжаться после завершения групповых занятий. Старшеклассникам необходимо уточнять образовательные планы, отслеживать изменения интересов и получать индивидуальную помощь при возникновении новых затруднений.</w:t>
      </w:r>
    </w:p>
    <w:p w14:paraId="B2030000">
      <w:pPr>
        <w:ind w:firstLine="709" w:left="0"/>
      </w:pPr>
      <w:r>
        <w:t>Эмпирическое исследование подтвердило продуктивность программы, объединяющей диагностику, просвещение, консультирование и развивающую работу. Наибольший эффект достигнут в тех показателях, которые отражают осознанность решения, мотивацию и способность планировать профессиональное будущее</w:t>
      </w:r>
      <w:r>
        <w:t>.</w:t>
      </w:r>
      <w:r>
        <w:t xml:space="preserve"> </w:t>
      </w:r>
      <w:r>
        <w:br w:type="page"/>
      </w:r>
    </w:p>
    <w:p w14:paraId="B3030000">
      <w:bookmarkStart w:id="11" w:name="__RefHeading___11"/>
      <w:bookmarkEnd w:id="11"/>
      <w:pPr>
        <w:pStyle w:val="Style_6"/>
        <w:ind/>
        <w:jc w:val="center"/>
      </w:pPr>
      <w:r>
        <w:t>Заключение</w:t>
      </w:r>
    </w:p>
    <w:p w14:paraId="B4030000"/>
    <w:p w14:paraId="B5030000">
      <w:pPr>
        <w:ind w:firstLine="709" w:left="0"/>
      </w:pPr>
      <w:r>
        <w:t>Профессиональное самоопределение старшеклассников связано с осмыслением собственных интересов, способностей, жизненных целей и возможностей дальнейшего образования. В период ранней юности обучающийся уже способен сравнивать профессиональные направления и оценивать последствия выбора. Однако возрастная готовность к анализу ещё не означает сформированности самостоятельного и обоснованного решения.</w:t>
      </w:r>
    </w:p>
    <w:p w14:paraId="B6030000">
      <w:pPr>
        <w:ind w:firstLine="709" w:left="0"/>
      </w:pPr>
      <w:r>
        <w:t>Особенности воспитания в интернатном учреждении усиливают значение психологической поддержки. Продолжительное пребывание в организованной образовательной среде позволяет педагогам наблюдать интересы, учебные достижения и поведение старшеклассника в разных ситуациях. Одновременно регламентированный характер повседневной жизни может ограничивать опыт самостоятельного планирования. Поэтому сопровождение должно не подменять выбор обучающегося готовой рекомендацией, а развивать его способность оценивать альтернативы и принимать ответственность за решение.</w:t>
      </w:r>
    </w:p>
    <w:p w14:paraId="B7030000">
      <w:pPr>
        <w:ind w:firstLine="709" w:left="0"/>
      </w:pPr>
      <w:r>
        <w:t>В ходе исследования автор изучил теоретические подходы к профессиональному самоопределению и раскрыл психологические особенности старшеклассников, воспитывающихся в интернатных учреждениях. Анализ литературы показал, что профессиональный выбор включает мотивационный, когнитивный и деятельностный компоненты. Старшекласснику недостаточно проявлять интерес к определённой сфере. Он должен понимать содержание труда, знать требования профессии и представлять порядок реализации выбранного маршрута.</w:t>
      </w:r>
    </w:p>
    <w:p w14:paraId="B8030000">
      <w:pPr>
        <w:ind w:firstLine="709" w:left="0"/>
      </w:pPr>
      <w:r>
        <w:t xml:space="preserve">Психологическое сопровождение рассматривается в работе как последовательная деятельность, объединяющая диагностику, просвещение, консультирование и развивающие занятия. Диагностическое направление позволяет определить интересы, склонности, мотивацию и степень осознанности выбора. Просветительская работа расширяет знания о </w:t>
      </w:r>
      <w:r>
        <w:t>профессиях и образовательных программах. Консультирование помогает разобрать индивидуальные затруднения, а развивающие занятия формируют навыки самоанализа, целеполагания и принятия решений.</w:t>
      </w:r>
    </w:p>
    <w:p w14:paraId="B9030000">
      <w:pPr>
        <w:ind w:firstLine="709" w:left="0"/>
      </w:pPr>
      <w:r>
        <w:t>Эмпирическое исследование проводилось на базе Государственного автономного общеобразовательного учреждения города Москвы «Школа № 548 “Царицыно”». В нём приняли участие 20 обучающихся 10–11 классов в возрасте 17–18 лет, среди которых 11 девушек и 9 юношей. Диагностический комплекс включал ДДО Е. А. Климова, методику «Карта интересов», опросник профессиональных предпочтений Дж. Холланда, методику А. А. Реана и авторскую анкету профессионального самоопределения.</w:t>
      </w:r>
    </w:p>
    <w:p w14:paraId="BA030000">
      <w:pPr>
        <w:ind w:firstLine="709" w:left="0"/>
      </w:pPr>
      <w:r>
        <w:t>Первичная диагностика показала, что наиболее выраженной у участников была направленность на профессии типа «человек — человек». Её продемонстрировали 40 % старшеклассников. Тип «человек — знаковая система» выбрали 25 %, «человек — техника» — 15 %, направления «человек — природа» и «человек — художественный образ» — по 10 %.</w:t>
      </w:r>
    </w:p>
    <w:p w14:paraId="BB030000">
      <w:pPr>
        <w:ind w:firstLine="709" w:left="0"/>
      </w:pPr>
      <w:r>
        <w:t>Результаты методики «Карта интересов» подтвердили преобладание социальной и информационной сфер. Интерес к педагогике и психологии проявили 25 % обучающихся, к информационным технологиям и математике — 20 %. Медицину и биологию, а также экономику и управление выбрали по 15 % участников. Техническая и творческая области получили по 10 %, природа и экология — 5 %.</w:t>
      </w:r>
    </w:p>
    <w:p w14:paraId="BC030000">
      <w:pPr>
        <w:ind w:firstLine="709" w:left="0"/>
      </w:pPr>
      <w:r>
        <w:t>По опроснику Дж. Холланда социальный тип выявлен у 35 % старшеклассников. Интеллектуальный тип составил 20 %, конвенциональный — 15 %. Предприимчивый, реалистический и артистический типы были представлены по 10 %. Совпадение результатов трёх методик подтвердило устойчивость социальной и знаково-информационной направленности исследованной группы.</w:t>
      </w:r>
    </w:p>
    <w:p w14:paraId="BD030000">
      <w:pPr>
        <w:ind w:firstLine="709" w:left="0"/>
      </w:pPr>
      <w:r>
        <w:t xml:space="preserve">Мотивационная диагностика показала, что высокий уровень учебной и профессиональной мотивации имели 65 % участников. Средний показатель выявлен у 25 %, низкий — у 10 %. На первый взгляд, эти результаты отражали </w:t>
      </w:r>
      <w:r>
        <w:t>благоприятную ситуацию. Однако авторская анкета обнаружила расхождение между готовностью продолжать обучение и осознанностью профессионального решения.</w:t>
      </w:r>
    </w:p>
    <w:p w14:paraId="BE030000">
      <w:pPr>
        <w:ind w:firstLine="709" w:left="0"/>
      </w:pPr>
      <w:r>
        <w:t>Сформированные профессиональные интересы имели только 45 % обследованных. У 35 % выбор профессии оставался неопределённым, ещё 20 % испытывали сомнения в принятом решении. Следовательно, 55 % старшеклассников нуждались в дополнительной помощи при анализе своих возможностей и построении образовательного маршрута.</w:t>
      </w:r>
    </w:p>
    <w:p w14:paraId="BF030000">
      <w:pPr>
        <w:ind w:firstLine="709" w:left="0"/>
      </w:pPr>
      <w:r>
        <w:t>Результаты первичного обследования стали основанием для разработки программы психологического сопровождения. Её цель состояла в создании условий для более осознанного профессионального выбора. Программа включала десять групповых занятий и индивидуальные консультации для обучающихся с неопределёнными или противоречивыми планами.</w:t>
      </w:r>
    </w:p>
    <w:p w14:paraId="C0030000">
      <w:pPr>
        <w:ind w:firstLine="709" w:left="0"/>
      </w:pPr>
      <w:r>
        <w:t>Содержание занятий охватывало анализ интересов и склонностей, изучение профессиональных групп, работу с профессиограммами, обсуждение мотивов выбора, сравнение альтернатив и проектирование образовательного маршрута. Участники не только получали информацию, но и применяли её к собственной ситуации. Итогом работы стало составление индивидуального профессионального плана.</w:t>
      </w:r>
    </w:p>
    <w:p w14:paraId="C1030000">
      <w:pPr>
        <w:ind w:firstLine="709" w:left="0"/>
      </w:pPr>
      <w:r>
        <w:t>Повторная диагностика показала, что структура устойчивых склонностей и профессиональных типов не изменилась. Сохранились показатели по ДДО Е. А. Климова, «Карте интересов» и опроснику Дж. Холланда. Такой результат соответствует цели программы: психологическая работа не должна переориентировать старшеклассника на другую профессиональную область, если первоначальные предпочтения имеют устойчивый характер.</w:t>
      </w:r>
    </w:p>
    <w:p w14:paraId="C2030000">
      <w:pPr>
        <w:ind w:firstLine="709" w:left="0"/>
      </w:pPr>
      <w:r>
        <w:t>Основные изменения затронули мотивацию и осознанность выбора. После реализации программы высокий уровень учебной и профессиональной мотивации вырос с 65 до 85 %. Средний уровень снизился с 25 до 15 %, а низкий показатель при повторном обследовании не выявлен.</w:t>
      </w:r>
    </w:p>
    <w:p w14:paraId="C3030000">
      <w:pPr>
        <w:ind w:firstLine="709" w:left="0"/>
      </w:pPr>
      <w:r>
        <w:t>Доля старшеклассников со сформированными профессиональными интересами увеличилась с 45 до 80 %. Количество участников с неопределённым выбором сократилось с 35 до 15 %. Число обучающихся, испытывавших сомнения в принятом решении, уменьшилось с 20 до 5 %.</w:t>
      </w:r>
    </w:p>
    <w:p w14:paraId="C4030000">
      <w:pPr>
        <w:ind w:firstLine="709" w:left="0"/>
      </w:pPr>
      <w:r>
        <w:t>Положительная динамика показывает, что участники стали точнее формулировать профессиональные намерения, лучше понимать мотивы выбора и активнее искать сведения об образовательных программах. Старшеклассники научились сопоставлять собственные интересы с требованиями профессий и определять последовательность дальнейших действий.</w:t>
      </w:r>
    </w:p>
    <w:p w14:paraId="C5030000">
      <w:pPr>
        <w:ind w:firstLine="709" w:left="0"/>
      </w:pPr>
      <w:r>
        <w:t>Цель исследования достигнута: автор разработал и апробировал программу психологического сопровождения профессионального самоопределения старшеклассников, воспитывающихся в интернатных учреждениях, а также проанализировал результаты её реализации.</w:t>
      </w:r>
    </w:p>
    <w:p w14:paraId="C6030000">
      <w:pPr>
        <w:ind w:firstLine="709" w:left="0"/>
      </w:pPr>
      <w:r>
        <w:t>Поставленные задачи решены. Автор изучил теоретическую литературу по проблеме исследования, выявил особенности профессионального самоопределения участников, разработал программу сопровождения и оценил изменения после её апробации.</w:t>
      </w:r>
    </w:p>
    <w:p w14:paraId="C7030000">
      <w:pPr>
        <w:ind w:firstLine="709" w:left="0"/>
      </w:pPr>
      <w:r>
        <w:t>Гипотеза исследования получила подтверждение. Программа, направленная на повышение мотивации, развитие осознанности профессионального выбора и расширение знаний о группах профессий, способствовала положительной динамике профессионального самоопределения старшеклассников.</w:t>
      </w:r>
    </w:p>
    <w:p w14:paraId="C8030000">
      <w:pPr>
        <w:ind w:firstLine="709" w:left="0"/>
      </w:pPr>
      <w:r>
        <w:t>Практическая значимость работы состоит в возможности использовать программу в деятельности педагога-психолога, воспитателей, классных руководителей и социального педагога. Разработанные занятия и диагностические материалы могут применяться при организации профориентационной работы, индивидуальном консультировании и построении образовательных маршрутов старшеклассников</w:t>
      </w:r>
      <w:r>
        <w:t xml:space="preserve">. </w:t>
      </w:r>
    </w:p>
    <w:p w14:paraId="C9030000">
      <w:pPr>
        <w:ind w:firstLine="709" w:left="0"/>
      </w:pPr>
      <w:r>
        <w:br w:type="page"/>
      </w:r>
    </w:p>
    <w:p w14:paraId="CA030000">
      <w:bookmarkStart w:id="12" w:name="__RefHeading___12"/>
      <w:bookmarkEnd w:id="12"/>
      <w:pPr>
        <w:pStyle w:val="Style_6"/>
        <w:ind/>
        <w:jc w:val="center"/>
      </w:pPr>
      <w:r>
        <w:t>Список использованной литературы</w:t>
      </w:r>
    </w:p>
    <w:p w14:paraId="CB030000"/>
    <w:p w14:paraId="CC030000">
      <w:pPr>
        <w:numPr>
          <w:ilvl w:val="0"/>
          <w:numId w:val="2"/>
        </w:numPr>
        <w:ind w:firstLine="709" w:left="0"/>
      </w:pPr>
      <w:r>
        <w:t>Волохова В.</w:t>
      </w:r>
      <w:r>
        <w:t> </w:t>
      </w:r>
      <w:r>
        <w:t>И., Макеев А.</w:t>
      </w:r>
      <w:r>
        <w:t> </w:t>
      </w:r>
      <w:r>
        <w:t>А., Нестерова С.</w:t>
      </w:r>
      <w:r>
        <w:t> </w:t>
      </w:r>
      <w:r>
        <w:t>Б. Модель психолого-педагогических классов как инструмент самопознания и профессионального самоопределения школьников //</w:t>
      </w:r>
      <w:r>
        <w:t xml:space="preserve"> </w:t>
      </w:r>
      <w:r>
        <w:t>Проблемы современного педагогического образования. – 2025. – №. 87-1. – С. 358-361.</w:t>
      </w:r>
    </w:p>
    <w:p w14:paraId="CD030000">
      <w:pPr>
        <w:pStyle w:val="Style_8"/>
        <w:numPr>
          <w:ilvl w:val="0"/>
          <w:numId w:val="2"/>
        </w:numPr>
        <w:ind w:firstLine="709" w:left="0"/>
      </w:pPr>
      <w:r>
        <w:t>Гайдамашко И.</w:t>
      </w:r>
      <w:r>
        <w:t> </w:t>
      </w:r>
      <w:r>
        <w:t>В. Готовность к профессиональному выбору старшеклассников на этапе их допрофессионального развития / И. В. Гайдамашко, Т. А. Егоренко // Вестник Тверского государственного университета. Серия: Педагогика и психология. — 2024. — № 1(66). — С. 51–59. — DOI 10.26456/vtpsyped/2024.1.051. — EDN WIBQDA.</w:t>
      </w:r>
    </w:p>
    <w:p w14:paraId="CE030000">
      <w:pPr>
        <w:numPr>
          <w:ilvl w:val="0"/>
          <w:numId w:val="2"/>
        </w:numPr>
        <w:ind w:firstLine="709" w:left="0"/>
      </w:pPr>
      <w:r>
        <w:t>Головей Л.</w:t>
      </w:r>
      <w:r>
        <w:t> </w:t>
      </w:r>
      <w:r>
        <w:t>А., Данилова М. В., Данилова Ю. Ю. Глава 10 Становление личности и профессиональное самоопределение подростков из детских домов // Проблема сиротства в современной России. Психологический аспект. – 2022. – С. 273.</w:t>
      </w:r>
    </w:p>
    <w:p w14:paraId="CF030000">
      <w:pPr>
        <w:numPr>
          <w:ilvl w:val="0"/>
          <w:numId w:val="2"/>
        </w:numPr>
        <w:ind w:firstLine="709" w:left="0"/>
      </w:pPr>
      <w:r>
        <w:t>Давлетбердина И.</w:t>
      </w:r>
      <w:r>
        <w:t> </w:t>
      </w:r>
      <w:r>
        <w:t>Р. Психолого-педагогическое сопровождение профессионального самоопределения в старшем школьном возрасте // ББК 72 Н 42. – 2025. – С. 168.</w:t>
      </w:r>
    </w:p>
    <w:p w14:paraId="D0030000">
      <w:pPr>
        <w:numPr>
          <w:ilvl w:val="0"/>
          <w:numId w:val="2"/>
        </w:numPr>
        <w:ind w:firstLine="709" w:left="0"/>
      </w:pPr>
      <w:r>
        <w:t>Дворникова И.</w:t>
      </w:r>
      <w:r>
        <w:t> </w:t>
      </w:r>
      <w:r>
        <w:t>Н., Куликова О.</w:t>
      </w:r>
      <w:r>
        <w:t> </w:t>
      </w:r>
      <w:r>
        <w:t>В. Психологическое сопровождение профессионального самоопределения старшеклассников // Современные научные исследования: теория, методология, практика. – 2022. – С. 223-232.</w:t>
      </w:r>
    </w:p>
    <w:p w14:paraId="D1030000">
      <w:pPr>
        <w:numPr>
          <w:ilvl w:val="0"/>
          <w:numId w:val="2"/>
        </w:numPr>
        <w:ind w:firstLine="709" w:left="0"/>
      </w:pPr>
      <w:r>
        <w:t>Егоренко Т.</w:t>
      </w:r>
      <w:r>
        <w:t> </w:t>
      </w:r>
      <w:r>
        <w:t>А. Методы активизации профессионального самоопределения личности на этапе допрофессионального развития: опыт зарубежных стран //</w:t>
      </w:r>
      <w:r>
        <w:t xml:space="preserve"> </w:t>
      </w:r>
      <w:r>
        <w:t>Современная зарубежная психология. – 2022. – Т. 11. – №. 3. – С. 61-70.</w:t>
      </w:r>
    </w:p>
    <w:p w14:paraId="D2030000">
      <w:pPr>
        <w:numPr>
          <w:ilvl w:val="0"/>
          <w:numId w:val="2"/>
        </w:numPr>
        <w:ind w:firstLine="709" w:left="0"/>
      </w:pPr>
      <w:r>
        <w:t>Егоренко Т.</w:t>
      </w:r>
      <w:r>
        <w:t> </w:t>
      </w:r>
      <w:r>
        <w:t>А. Особенности профессиональной идентичности современных старшеклассников //</w:t>
      </w:r>
      <w:r>
        <w:t xml:space="preserve"> </w:t>
      </w:r>
      <w:r>
        <w:t>Экономические и социально-гуманитарные исследования. – 2024. – №. 3 (43). – С. 182-195.</w:t>
      </w:r>
    </w:p>
    <w:p w14:paraId="D3030000">
      <w:pPr>
        <w:numPr>
          <w:ilvl w:val="0"/>
          <w:numId w:val="2"/>
        </w:numPr>
        <w:ind w:firstLine="709" w:left="0"/>
      </w:pPr>
      <w:r>
        <w:t>Истратова, Д.</w:t>
      </w:r>
      <w:r>
        <w:t> </w:t>
      </w:r>
      <w:r>
        <w:t xml:space="preserve">А. Психологическая готовность к профессиональному самоопределению старшеклассников / Д. А. Истратова. — Текст : непосредственный // Молодой ученый. — 2025. — № 22 (573). — С. 566-567. — URL: </w:t>
      </w:r>
      <w:r>
        <w:t>https://moluch.ru/archive/573/126186</w:t>
      </w:r>
      <w:r>
        <w:t xml:space="preserve"> </w:t>
      </w:r>
      <w:r>
        <w:t>(дата обращения: 01.04.2026)</w:t>
      </w:r>
      <w:r>
        <w:t>.</w:t>
      </w:r>
    </w:p>
    <w:p w14:paraId="D4030000">
      <w:pPr>
        <w:numPr>
          <w:ilvl w:val="0"/>
          <w:numId w:val="2"/>
        </w:numPr>
        <w:ind w:firstLine="709" w:left="0"/>
      </w:pPr>
      <w:r>
        <w:t>Кравченко, Е.</w:t>
      </w:r>
      <w:r>
        <w:t> </w:t>
      </w:r>
      <w:r>
        <w:t xml:space="preserve">В. Психолого-педагогическое сопровождение профессионального самоопределения подростков / Е. В. Кравченко. — Текст : непосредственный // Молодой ученый. — 2025. — № 19 (570). — С. 103-105. — URL: </w:t>
      </w:r>
      <w:r>
        <w:t>https://moluch.ru/archive/570/124917</w:t>
      </w:r>
      <w:r>
        <w:t xml:space="preserve"> </w:t>
      </w:r>
      <w:r>
        <w:t>(дата обращения: 01.04.2026)</w:t>
      </w:r>
      <w:r>
        <w:t>.</w:t>
      </w:r>
    </w:p>
    <w:p w14:paraId="D5030000">
      <w:pPr>
        <w:numPr>
          <w:ilvl w:val="0"/>
          <w:numId w:val="2"/>
        </w:numPr>
        <w:ind w:firstLine="709" w:left="0"/>
      </w:pPr>
      <w:r>
        <w:t>Махнач А.</w:t>
      </w:r>
      <w:r>
        <w:t> </w:t>
      </w:r>
      <w:r>
        <w:t>В., Прихожан А. М., Толстых Н. Н. Психологические исследования // Проблема сиротства в современной России. Психологический аспект. – 2022. – С. 9.</w:t>
      </w:r>
    </w:p>
    <w:p w14:paraId="D6030000">
      <w:pPr>
        <w:numPr>
          <w:ilvl w:val="0"/>
          <w:numId w:val="2"/>
        </w:numPr>
        <w:ind w:firstLine="709" w:left="0"/>
      </w:pPr>
      <w:r>
        <w:t>Новиков П.</w:t>
      </w:r>
      <w:r>
        <w:t> </w:t>
      </w:r>
      <w:r>
        <w:t>В., Нужина К.</w:t>
      </w:r>
      <w:r>
        <w:t> </w:t>
      </w:r>
      <w:r>
        <w:t>В. Психологическое сопровождение профессиональной ориентации старшеклассников //</w:t>
      </w:r>
      <w:r>
        <w:t xml:space="preserve"> </w:t>
      </w:r>
      <w:r>
        <w:t>Человеческий капитал как фактор социальной безопасности. – 2022. – С. 206-208.</w:t>
      </w:r>
    </w:p>
    <w:p w14:paraId="D7030000">
      <w:pPr>
        <w:numPr>
          <w:ilvl w:val="0"/>
          <w:numId w:val="2"/>
        </w:numPr>
        <w:ind w:firstLine="709" w:left="0"/>
      </w:pPr>
      <w:r>
        <w:t>Мосейчук Е.</w:t>
      </w:r>
      <w:r>
        <w:t> </w:t>
      </w:r>
      <w:r>
        <w:t>Н., Шалагинова К.</w:t>
      </w:r>
      <w:r>
        <w:t> </w:t>
      </w:r>
      <w:r>
        <w:t>С. Проблема психологического сопровождения профессионального самоопределения школьников старшего подросткового возраста</w:t>
      </w:r>
      <w:r>
        <w:t xml:space="preserve"> </w:t>
      </w:r>
      <w:r>
        <w:t>//</w:t>
      </w:r>
      <w:r>
        <w:t xml:space="preserve"> </w:t>
      </w:r>
      <w:r>
        <w:t>Социально-психологические проблемы современной семьи: психолого-педагогическая поддержка и наставничество. – 2023. – С. 194-196.</w:t>
      </w:r>
    </w:p>
    <w:p w14:paraId="D8030000">
      <w:pPr>
        <w:numPr>
          <w:ilvl w:val="0"/>
          <w:numId w:val="2"/>
        </w:numPr>
        <w:ind w:firstLine="709" w:left="0"/>
      </w:pPr>
      <w:r>
        <w:t>Насретдинова А.</w:t>
      </w:r>
      <w:r>
        <w:t> </w:t>
      </w:r>
      <w:r>
        <w:t>В. Социально-педагогическое сопровождение профессионального самоопределения старшеклассников (на базе Махтраской основной школы г. Таллинна, Эстония) //</w:t>
      </w:r>
      <w:r>
        <w:t xml:space="preserve"> </w:t>
      </w:r>
      <w:r>
        <w:t>Актуальные исследования. – 2023. – С. 74.</w:t>
      </w:r>
    </w:p>
    <w:p w14:paraId="D9030000">
      <w:pPr>
        <w:numPr>
          <w:ilvl w:val="0"/>
          <w:numId w:val="2"/>
        </w:numPr>
        <w:ind w:firstLine="709" w:left="0"/>
      </w:pPr>
      <w:r>
        <w:t>Поваренков Ю.</w:t>
      </w:r>
      <w:r>
        <w:t> </w:t>
      </w:r>
      <w:r>
        <w:t>П., Хаймина А.</w:t>
      </w:r>
      <w:r>
        <w:t> </w:t>
      </w:r>
      <w:r>
        <w:t>Г. Профессиональное самоопределение воспитанников детских домов и школ-интернатов // Ярославский педагогический вестник. – 2007. – №. 2. – С. 57-66.</w:t>
      </w:r>
    </w:p>
    <w:p w14:paraId="DA030000">
      <w:pPr>
        <w:numPr>
          <w:ilvl w:val="0"/>
          <w:numId w:val="2"/>
        </w:numPr>
        <w:ind w:firstLine="709" w:left="0"/>
      </w:pPr>
      <w:r>
        <w:t>Савина М.</w:t>
      </w:r>
      <w:r>
        <w:t> </w:t>
      </w:r>
      <w:r>
        <w:t>И., Смирнова О.</w:t>
      </w:r>
      <w:r>
        <w:t> </w:t>
      </w:r>
      <w:r>
        <w:t>Г. Социально-психологическое воспитание и развитие личности ребенка в семье //</w:t>
      </w:r>
      <w:r>
        <w:t xml:space="preserve"> </w:t>
      </w:r>
      <w:r>
        <w:t>ББК 88.5 я43 С69. – 2022. – С. 118.</w:t>
      </w:r>
    </w:p>
    <w:p w14:paraId="DB030000">
      <w:pPr>
        <w:numPr>
          <w:ilvl w:val="0"/>
          <w:numId w:val="2"/>
        </w:numPr>
        <w:ind w:firstLine="709" w:left="0"/>
      </w:pPr>
      <w:r>
        <w:t>Фархутдинова Л.</w:t>
      </w:r>
      <w:r>
        <w:t> </w:t>
      </w:r>
      <w:r>
        <w:t>В., Мурсалимова А.</w:t>
      </w:r>
      <w:r>
        <w:t> </w:t>
      </w:r>
      <w:r>
        <w:t>А. Исследование самооценки детей из неблагополучных семей // Рецензенты: Максименко Елена Георгиевна, д-р психол. наук, доцент ГОУ ВПО. – С. 67.</w:t>
      </w:r>
    </w:p>
    <w:p w14:paraId="DC030000">
      <w:pPr>
        <w:numPr>
          <w:ilvl w:val="0"/>
          <w:numId w:val="2"/>
        </w:numPr>
        <w:ind w:firstLine="709" w:left="0"/>
      </w:pPr>
      <w:r>
        <w:t>Филиппова С.</w:t>
      </w:r>
      <w:r>
        <w:t> </w:t>
      </w:r>
      <w:r>
        <w:t>А. Профессиональное самоопределение как аспект подготовки к самостоятельной жизни воспитанников детских домов // С 692 Социальная работа в поликультурном обществе. – 2011. – С. 140.</w:t>
      </w:r>
    </w:p>
    <w:p w14:paraId="DD030000">
      <w:pPr>
        <w:numPr>
          <w:ilvl w:val="0"/>
          <w:numId w:val="2"/>
        </w:numPr>
        <w:ind w:firstLine="709" w:left="0"/>
      </w:pPr>
      <w:r>
        <w:t>Фролов, Д.</w:t>
      </w:r>
      <w:r>
        <w:t> </w:t>
      </w:r>
      <w:r>
        <w:t xml:space="preserve">А. Исследование ценностно-смыслового компонента профессионального самоопределения старшеклассников / Д. А. Фролов. — Текст : непосредственный // Молодой ученый. — 2025. — № 20 (571). — С. 703-705. — URL: </w:t>
      </w:r>
      <w:r>
        <w:t>https://moluch.ru/archive/571/125330</w:t>
      </w:r>
      <w:r>
        <w:t xml:space="preserve"> </w:t>
      </w:r>
      <w:r>
        <w:t xml:space="preserve">(дата обращения: 01.04.2026) </w:t>
      </w:r>
      <w:r>
        <w:t>.</w:t>
      </w:r>
    </w:p>
    <w:p w14:paraId="DE030000">
      <w:pPr>
        <w:numPr>
          <w:ilvl w:val="0"/>
          <w:numId w:val="2"/>
        </w:numPr>
        <w:ind w:firstLine="709" w:left="0"/>
      </w:pPr>
      <w:r>
        <w:t>Ханова Т.</w:t>
      </w:r>
      <w:r>
        <w:t> </w:t>
      </w:r>
      <w:r>
        <w:t>Г., Серебровская Н.</w:t>
      </w:r>
      <w:r>
        <w:t> </w:t>
      </w:r>
      <w:r>
        <w:t>Е., Бедная П.</w:t>
      </w:r>
      <w:r>
        <w:t> </w:t>
      </w:r>
      <w:r>
        <w:t>А. Особенности профессионального самоопределения в старшем школьном возрасте //</w:t>
      </w:r>
      <w:r>
        <w:t xml:space="preserve"> </w:t>
      </w:r>
      <w:r>
        <w:t>Проблемы современного педагогического образования. – 2022. – №. 76-1. – С. 316-319.</w:t>
      </w:r>
    </w:p>
    <w:p w14:paraId="DF030000">
      <w:pPr>
        <w:numPr>
          <w:ilvl w:val="0"/>
          <w:numId w:val="2"/>
        </w:numPr>
        <w:ind w:firstLine="709" w:left="0"/>
      </w:pPr>
      <w:r>
        <w:t>Чебровская С.</w:t>
      </w:r>
      <w:r>
        <w:t> </w:t>
      </w:r>
      <w:r>
        <w:t>В. Профессиональное самоопределение как феномен: психологическое содержание, структура, условия развития //</w:t>
      </w:r>
      <w:r>
        <w:t xml:space="preserve"> </w:t>
      </w:r>
      <w:r>
        <w:t>Современные наукоемкие технологии. – 2022. – №. 9. – С. 224.</w:t>
      </w:r>
    </w:p>
    <w:p w14:paraId="E0030000">
      <w:pPr>
        <w:numPr>
          <w:ilvl w:val="0"/>
          <w:numId w:val="2"/>
        </w:numPr>
        <w:ind w:firstLine="709" w:left="0"/>
      </w:pPr>
      <w:r>
        <w:t>Black</w:t>
      </w:r>
      <w:r>
        <w:t xml:space="preserve"> </w:t>
      </w:r>
      <w:r>
        <w:t>A.</w:t>
      </w:r>
      <w:r>
        <w:t> </w:t>
      </w:r>
      <w:r>
        <w:t>E., Deci E.</w:t>
      </w:r>
      <w:r>
        <w:t> </w:t>
      </w:r>
      <w:r>
        <w:t>L. The effects of instructors' autonomy support and students' autonomous motivation on learning organic chemistry: A self‐determination theory perspective //</w:t>
      </w:r>
      <w:r>
        <w:t xml:space="preserve"> </w:t>
      </w:r>
      <w:r>
        <w:t xml:space="preserve">Science education. – 2000. – </w:t>
      </w:r>
      <w:r>
        <w:t>Т</w:t>
      </w:r>
      <w:r>
        <w:t xml:space="preserve">. 84. – №. </w:t>
      </w:r>
      <w:r>
        <w:t xml:space="preserve">6. – </w:t>
      </w:r>
      <w:r>
        <w:t>С</w:t>
      </w:r>
      <w:r>
        <w:t>. 740-756.</w:t>
      </w:r>
    </w:p>
    <w:p w14:paraId="E1030000">
      <w:pPr>
        <w:numPr>
          <w:ilvl w:val="0"/>
          <w:numId w:val="2"/>
        </w:numPr>
        <w:ind w:firstLine="709" w:left="0"/>
      </w:pPr>
      <w:r>
        <w:t>Lamanauskas</w:t>
      </w:r>
      <w:r>
        <w:t> </w:t>
      </w:r>
      <w:r>
        <w:t>V., Augienė</w:t>
      </w:r>
      <w:r>
        <w:t> </w:t>
      </w:r>
      <w:r>
        <w:t>D. Lithuanian gymnasium students’ career education: Professional self-determination context //</w:t>
      </w:r>
      <w:r>
        <w:t xml:space="preserve"> </w:t>
      </w:r>
      <w:r>
        <w:t xml:space="preserve">Psychological Thought. – 2019. – </w:t>
      </w:r>
      <w:r>
        <w:t>Т</w:t>
      </w:r>
      <w:r>
        <w:t xml:space="preserve">. 12. – №. </w:t>
      </w:r>
      <w:r>
        <w:t xml:space="preserve">2. – </w:t>
      </w:r>
      <w:r>
        <w:t>С</w:t>
      </w:r>
      <w:r>
        <w:t>. 241-264.</w:t>
      </w:r>
    </w:p>
    <w:p w14:paraId="E2030000">
      <w:pPr>
        <w:numPr>
          <w:ilvl w:val="0"/>
          <w:numId w:val="2"/>
        </w:numPr>
        <w:ind w:firstLine="709" w:left="0"/>
      </w:pPr>
      <w:r>
        <w:t>Pysarevka S.</w:t>
      </w:r>
      <w:r>
        <w:t> </w:t>
      </w:r>
      <w:r>
        <w:t>V. et al. Problems of professional self-determination of students in higher education institutions //</w:t>
      </w:r>
      <w:r>
        <w:t xml:space="preserve"> </w:t>
      </w:r>
      <w:r>
        <w:t xml:space="preserve">Zhytomyr Ivan Franko state university journal. </w:t>
      </w:r>
      <w:r>
        <w:t>Р</w:t>
      </w:r>
      <w:r>
        <w:t xml:space="preserve">edagogical sciences. – 2019. – №. 2 (97). – </w:t>
      </w:r>
      <w:r>
        <w:t>С</w:t>
      </w:r>
      <w:r>
        <w:t>. 61-70.</w:t>
      </w:r>
    </w:p>
    <w:p w14:paraId="E3030000">
      <w:pPr>
        <w:numPr>
          <w:ilvl w:val="0"/>
          <w:numId w:val="2"/>
        </w:numPr>
        <w:ind w:firstLine="709" w:left="0"/>
      </w:pPr>
      <w:r>
        <w:t>Saltanat M. et al. Professional self-determination of school students //</w:t>
      </w:r>
      <w:r>
        <w:t xml:space="preserve"> </w:t>
      </w:r>
      <w:r>
        <w:t xml:space="preserve">Central Asian Journal Of Social Sciences And History. – 2023. – </w:t>
      </w:r>
      <w:r>
        <w:t>Т</w:t>
      </w:r>
      <w:r>
        <w:t xml:space="preserve">. 4. – №. </w:t>
      </w:r>
      <w:r>
        <w:t xml:space="preserve">1. – </w:t>
      </w:r>
      <w:r>
        <w:t>С</w:t>
      </w:r>
      <w:r>
        <w:t>. 61-66.</w:t>
      </w:r>
    </w:p>
    <w:p w14:paraId="E4030000">
      <w:pPr>
        <w:numPr>
          <w:ilvl w:val="0"/>
          <w:numId w:val="2"/>
        </w:numPr>
        <w:ind w:firstLine="709" w:left="0"/>
      </w:pPr>
      <w:r>
        <w:t>Shogren K</w:t>
      </w:r>
      <w:r>
        <w:t> </w:t>
      </w:r>
      <w:r>
        <w:t>A. et al. Exploring student, family, and school predictors of self-determination using NLTS2 data //</w:t>
      </w:r>
      <w:r>
        <w:t xml:space="preserve"> </w:t>
      </w:r>
      <w:r>
        <w:t xml:space="preserve">Career Development and Transition for Exceptional Individuals. – 2016. – </w:t>
      </w:r>
      <w:r>
        <w:t>Т</w:t>
      </w:r>
      <w:r>
        <w:t xml:space="preserve">. 39. – №. </w:t>
      </w:r>
      <w:r>
        <w:t xml:space="preserve">1. – </w:t>
      </w:r>
      <w:r>
        <w:t>С</w:t>
      </w:r>
      <w:r>
        <w:t>. 23-33.</w:t>
      </w:r>
    </w:p>
    <w:p w14:paraId="E5030000"/>
    <w:sectPr>
      <w:footerReference r:id="rId1" w:type="default"/>
      <w:pgSz w:h="16838" w:orient="portrait" w:w="11906"/>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tabs>
          <w:tab w:leader="none" w:pos="720" w:val="left"/>
        </w:tabs>
        <w:ind w:hanging="360" w:left="72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pPr>
      <w:spacing w:after="0" w:line="360" w:lineRule="auto"/>
      <w:ind/>
      <w:jc w:val="both"/>
    </w:pPr>
    <w:rPr>
      <w:rFonts w:ascii="Times New Roman" w:hAnsi="Times New Roman"/>
      <w:sz w:val="28"/>
    </w:rPr>
  </w:style>
  <w:style w:default="1" w:styleId="Style_9_ch" w:type="character">
    <w:name w:val="Normal"/>
    <w:link w:val="Style_9"/>
    <w:rPr>
      <w:rFonts w:ascii="Times New Roman" w:hAnsi="Times New Roman"/>
      <w:sz w:val="28"/>
    </w:rPr>
  </w:style>
  <w:style w:styleId="Style_3" w:type="paragraph">
    <w:name w:val="TOC Heading"/>
    <w:basedOn w:val="Style_10"/>
    <w:next w:val="Style_9"/>
    <w:link w:val="Style_3_ch"/>
    <w:pPr>
      <w:spacing w:after="0" w:line="264" w:lineRule="auto"/>
      <w:ind/>
      <w:jc w:val="left"/>
      <w:outlineLvl w:val="8"/>
    </w:pPr>
    <w:rPr>
      <w:rFonts w:asciiTheme="majorAscii" w:hAnsiTheme="majorHAnsi"/>
      <w:b w:val="0"/>
      <w:color w:themeColor="accent1" w:themeShade="BF" w:val="2F5496"/>
      <w:sz w:val="32"/>
    </w:rPr>
  </w:style>
  <w:style w:styleId="Style_3_ch" w:type="character">
    <w:name w:val="TOC Heading"/>
    <w:basedOn w:val="Style_10_ch"/>
    <w:link w:val="Style_3"/>
    <w:rPr>
      <w:rFonts w:asciiTheme="majorAscii" w:hAnsiTheme="majorHAnsi"/>
      <w:b w:val="0"/>
      <w:color w:themeColor="accent1" w:themeShade="BF" w:val="2F5496"/>
      <w:sz w:val="32"/>
    </w:rPr>
  </w:style>
  <w:style w:styleId="Style_4" w:type="paragraph">
    <w:name w:val="toc 2"/>
    <w:basedOn w:val="Style_9"/>
    <w:next w:val="Style_9"/>
    <w:link w:val="Style_4_ch"/>
    <w:uiPriority w:val="39"/>
    <w:pPr>
      <w:tabs>
        <w:tab w:leader="dot" w:pos="9345" w:val="right"/>
      </w:tabs>
      <w:ind w:firstLine="709" w:left="0"/>
    </w:pPr>
  </w:style>
  <w:style w:styleId="Style_4_ch" w:type="character">
    <w:name w:val="toc 2"/>
    <w:basedOn w:val="Style_9_ch"/>
    <w:link w:val="Style_4"/>
  </w:style>
  <w:style w:styleId="Style_11" w:type="paragraph">
    <w:name w:val="toc 4"/>
    <w:next w:val="Style_9"/>
    <w:link w:val="Style_11_ch"/>
    <w:uiPriority w:val="39"/>
    <w:pPr>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footnote reference"/>
    <w:basedOn w:val="Style_13"/>
    <w:link w:val="Style_12_ch"/>
    <w:rPr>
      <w:vertAlign w:val="superscript"/>
    </w:rPr>
  </w:style>
  <w:style w:styleId="Style_12_ch" w:type="character">
    <w:name w:val="footnote reference"/>
    <w:basedOn w:val="Style_13_ch"/>
    <w:link w:val="Style_12"/>
    <w:rPr>
      <w:vertAlign w:val="superscript"/>
    </w:rPr>
  </w:style>
  <w:style w:styleId="Style_14" w:type="paragraph">
    <w:name w:val="toc 6"/>
    <w:next w:val="Style_9"/>
    <w:link w:val="Style_14_ch"/>
    <w:uiPriority w:val="39"/>
    <w:pPr>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9"/>
    <w:link w:val="Style_15_ch"/>
    <w:uiPriority w:val="39"/>
    <w:pPr>
      <w:ind w:firstLine="0" w:left="1200"/>
      <w:jc w:val="left"/>
    </w:pPr>
    <w:rPr>
      <w:rFonts w:ascii="XO Thames" w:hAnsi="XO Thames"/>
      <w:sz w:val="28"/>
    </w:rPr>
  </w:style>
  <w:style w:styleId="Style_15_ch" w:type="character">
    <w:name w:val="toc 7"/>
    <w:link w:val="Style_15"/>
    <w:rPr>
      <w:rFonts w:ascii="XO Thames" w:hAnsi="XO Thames"/>
      <w:sz w:val="28"/>
    </w:rPr>
  </w:style>
  <w:style w:styleId="Style_16" w:type="paragraph">
    <w:name w:val="heading 3"/>
    <w:basedOn w:val="Style_9"/>
    <w:next w:val="Style_9"/>
    <w:link w:val="Style_16_ch"/>
    <w:uiPriority w:val="9"/>
    <w:qFormat/>
    <w:pPr>
      <w:keepNext w:val="1"/>
      <w:keepLines w:val="1"/>
      <w:spacing w:before="40"/>
      <w:ind/>
      <w:outlineLvl w:val="2"/>
    </w:pPr>
    <w:rPr>
      <w:rFonts w:asciiTheme="majorAscii" w:hAnsiTheme="majorHAnsi"/>
      <w:color w:themeColor="accent1" w:themeShade="7F" w:val="203864"/>
      <w:sz w:val="24"/>
    </w:rPr>
  </w:style>
  <w:style w:styleId="Style_16_ch" w:type="character">
    <w:name w:val="heading 3"/>
    <w:basedOn w:val="Style_9_ch"/>
    <w:link w:val="Style_16"/>
    <w:rPr>
      <w:rFonts w:asciiTheme="majorAscii" w:hAnsiTheme="majorHAnsi"/>
      <w:color w:themeColor="accent1" w:themeShade="7F" w:val="203864"/>
      <w:sz w:val="24"/>
    </w:rPr>
  </w:style>
  <w:style w:styleId="Style_17" w:type="paragraph">
    <w:name w:val="Unresolved Mention"/>
    <w:basedOn w:val="Style_13"/>
    <w:link w:val="Style_17_ch"/>
    <w:rPr>
      <w:color w:val="605E5C"/>
      <w:shd w:fill="E1DFDD" w:val="clear"/>
    </w:rPr>
  </w:style>
  <w:style w:styleId="Style_17_ch" w:type="character">
    <w:name w:val="Unresolved Mention"/>
    <w:basedOn w:val="Style_13_ch"/>
    <w:link w:val="Style_17"/>
    <w:rPr>
      <w:color w:val="605E5C"/>
      <w:shd w:fill="E1DFDD" w:val="clear"/>
    </w:rPr>
  </w:style>
  <w:style w:styleId="Style_18" w:type="paragraph">
    <w:name w:val="toc 3"/>
    <w:next w:val="Style_9"/>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heading 5"/>
    <w:next w:val="Style_9"/>
    <w:link w:val="Style_19_ch"/>
    <w:uiPriority w:val="9"/>
    <w:qFormat/>
    <w:pPr>
      <w:spacing w:after="120" w:before="120"/>
      <w:ind/>
      <w:jc w:val="both"/>
      <w:outlineLvl w:val="4"/>
    </w:pPr>
    <w:rPr>
      <w:rFonts w:ascii="XO Thames" w:hAnsi="XO Thames"/>
      <w:b w:val="1"/>
      <w:sz w:val="22"/>
    </w:rPr>
  </w:style>
  <w:style w:styleId="Style_19_ch" w:type="character">
    <w:name w:val="heading 5"/>
    <w:link w:val="Style_19"/>
    <w:rPr>
      <w:rFonts w:ascii="XO Thames" w:hAnsi="XO Thames"/>
      <w:b w:val="1"/>
      <w:sz w:val="22"/>
    </w:rPr>
  </w:style>
  <w:style w:styleId="Style_10" w:type="paragraph">
    <w:name w:val="heading 1"/>
    <w:basedOn w:val="Style_9"/>
    <w:next w:val="Style_9"/>
    <w:link w:val="Style_10_ch"/>
    <w:uiPriority w:val="9"/>
    <w:qFormat/>
    <w:pPr>
      <w:keepNext w:val="1"/>
      <w:keepLines w:val="1"/>
      <w:spacing w:after="240" w:before="240"/>
      <w:ind/>
      <w:jc w:val="center"/>
      <w:outlineLvl w:val="0"/>
    </w:pPr>
    <w:rPr>
      <w:b w:val="1"/>
      <w:color w:themeColor="text1" w:val="000000"/>
    </w:rPr>
  </w:style>
  <w:style w:styleId="Style_10_ch" w:type="character">
    <w:name w:val="heading 1"/>
    <w:basedOn w:val="Style_9_ch"/>
    <w:link w:val="Style_10"/>
    <w:rPr>
      <w:b w:val="1"/>
      <w:color w:themeColor="text1" w:val="000000"/>
    </w:rPr>
  </w:style>
  <w:style w:styleId="Style_20" w:type="paragraph">
    <w:name w:val="Hyperlink"/>
    <w:basedOn w:val="Style_13"/>
    <w:link w:val="Style_20_ch"/>
    <w:rPr>
      <w:color w:themeColor="hyperlink" w:val="0563C1"/>
      <w:u w:val="single"/>
    </w:rPr>
  </w:style>
  <w:style w:styleId="Style_20_ch" w:type="character">
    <w:name w:val="Hyperlink"/>
    <w:basedOn w:val="Style_13_ch"/>
    <w:link w:val="Style_20"/>
    <w:rPr>
      <w:color w:themeColor="hyperlink" w:val="0563C1"/>
      <w:u w:val="single"/>
    </w:rPr>
  </w:style>
  <w:style w:styleId="Style_21" w:type="paragraph">
    <w:name w:val="Footnote"/>
    <w:basedOn w:val="Style_9"/>
    <w:link w:val="Style_21_ch"/>
    <w:pPr>
      <w:spacing w:line="240" w:lineRule="auto"/>
      <w:ind/>
    </w:pPr>
    <w:rPr>
      <w:sz w:val="20"/>
    </w:rPr>
  </w:style>
  <w:style w:styleId="Style_21_ch" w:type="character">
    <w:name w:val="Footnote"/>
    <w:basedOn w:val="Style_9_ch"/>
    <w:link w:val="Style_21"/>
    <w:rPr>
      <w:sz w:val="20"/>
    </w:rPr>
  </w:style>
  <w:style w:styleId="Style_22" w:type="paragraph">
    <w:name w:val="header"/>
    <w:basedOn w:val="Style_9"/>
    <w:link w:val="Style_22_ch"/>
    <w:pPr>
      <w:tabs>
        <w:tab w:leader="none" w:pos="4677" w:val="center"/>
        <w:tab w:leader="none" w:pos="9355" w:val="right"/>
      </w:tabs>
      <w:spacing w:line="240" w:lineRule="auto"/>
      <w:ind/>
    </w:pPr>
  </w:style>
  <w:style w:styleId="Style_22_ch" w:type="character">
    <w:name w:val="header"/>
    <w:basedOn w:val="Style_9_ch"/>
    <w:link w:val="Style_22"/>
  </w:style>
  <w:style w:styleId="Style_5" w:type="paragraph">
    <w:name w:val="toc 1"/>
    <w:next w:val="Style_9"/>
    <w:link w:val="Style_5_ch"/>
    <w:uiPriority w:val="39"/>
    <w:pPr>
      <w:ind w:firstLine="0" w:left="0"/>
      <w:jc w:val="left"/>
    </w:pPr>
    <w:rPr>
      <w:rFonts w:ascii="XO Thames" w:hAnsi="XO Thames"/>
      <w:b w:val="1"/>
      <w:sz w:val="28"/>
    </w:rPr>
  </w:style>
  <w:style w:styleId="Style_5_ch" w:type="character">
    <w:name w:val="toc 1"/>
    <w:link w:val="Style_5"/>
    <w:rPr>
      <w:rFonts w:ascii="XO Thames" w:hAnsi="XO Thames"/>
      <w:b w:val="1"/>
      <w:sz w:val="28"/>
    </w:rPr>
  </w:style>
  <w:style w:styleId="Style_13" w:type="paragraph">
    <w:name w:val="Default Paragraph Font"/>
    <w:link w:val="Style_13_ch"/>
  </w:style>
  <w:style w:styleId="Style_13_ch" w:type="character">
    <w:name w:val="Default Paragraph Font"/>
    <w:link w:val="Style_13"/>
  </w:style>
  <w:style w:styleId="Style_23" w:type="paragraph">
    <w:name w:val="Header and Footer"/>
    <w:link w:val="Style_23_ch"/>
    <w:pPr>
      <w:spacing w:line="240" w:lineRule="auto"/>
      <w:ind/>
      <w:jc w:val="both"/>
    </w:pPr>
    <w:rPr>
      <w:rFonts w:ascii="XO Thames" w:hAnsi="XO Thames"/>
      <w:sz w:val="20"/>
    </w:rPr>
  </w:style>
  <w:style w:styleId="Style_23_ch" w:type="character">
    <w:name w:val="Header and Footer"/>
    <w:link w:val="Style_23"/>
    <w:rPr>
      <w:rFonts w:ascii="XO Thames" w:hAnsi="XO Thames"/>
      <w:sz w:val="20"/>
    </w:rPr>
  </w:style>
  <w:style w:styleId="Style_24" w:type="paragraph">
    <w:name w:val="toc 9"/>
    <w:next w:val="Style_9"/>
    <w:link w:val="Style_24_ch"/>
    <w:uiPriority w:val="39"/>
    <w:pPr>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9"/>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8" w:type="paragraph">
    <w:name w:val="List Paragraph"/>
    <w:basedOn w:val="Style_9"/>
    <w:link w:val="Style_8_ch"/>
    <w:pPr>
      <w:ind w:firstLine="0" w:left="720"/>
      <w:contextualSpacing w:val="1"/>
    </w:pPr>
  </w:style>
  <w:style w:styleId="Style_8_ch" w:type="character">
    <w:name w:val="List Paragraph"/>
    <w:basedOn w:val="Style_9_ch"/>
    <w:link w:val="Style_8"/>
  </w:style>
  <w:style w:styleId="Style_26" w:type="paragraph">
    <w:name w:val="toc 5"/>
    <w:next w:val="Style_9"/>
    <w:link w:val="Style_26_ch"/>
    <w:uiPriority w:val="39"/>
    <w:pPr>
      <w:ind w:firstLine="0" w:left="800"/>
      <w:jc w:val="left"/>
    </w:pPr>
    <w:rPr>
      <w:rFonts w:ascii="XO Thames" w:hAnsi="XO Thames"/>
      <w:sz w:val="28"/>
    </w:rPr>
  </w:style>
  <w:style w:styleId="Style_26_ch" w:type="character">
    <w:name w:val="toc 5"/>
    <w:link w:val="Style_26"/>
    <w:rPr>
      <w:rFonts w:ascii="XO Thames" w:hAnsi="XO Thames"/>
      <w:sz w:val="28"/>
    </w:rPr>
  </w:style>
  <w:style w:styleId="Style_1" w:type="paragraph">
    <w:name w:val="footer"/>
    <w:basedOn w:val="Style_9"/>
    <w:link w:val="Style_1_ch"/>
    <w:pPr>
      <w:tabs>
        <w:tab w:leader="none" w:pos="4677" w:val="center"/>
        <w:tab w:leader="none" w:pos="9355" w:val="right"/>
      </w:tabs>
      <w:spacing w:line="240" w:lineRule="auto"/>
      <w:ind/>
    </w:pPr>
  </w:style>
  <w:style w:styleId="Style_1_ch" w:type="character">
    <w:name w:val="footer"/>
    <w:basedOn w:val="Style_9_ch"/>
    <w:link w:val="Style_1"/>
  </w:style>
  <w:style w:styleId="Style_27" w:type="paragraph">
    <w:name w:val="Subtitle"/>
    <w:next w:val="Style_9"/>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basedOn w:val="Style_9"/>
    <w:link w:val="Style_28_ch"/>
    <w:uiPriority w:val="10"/>
    <w:qFormat/>
    <w:pPr>
      <w:spacing w:after="240" w:before="240"/>
      <w:ind/>
      <w:jc w:val="center"/>
    </w:pPr>
    <w:rPr>
      <w:b w:val="1"/>
    </w:rPr>
  </w:style>
  <w:style w:styleId="Style_28_ch" w:type="character">
    <w:name w:val="Title"/>
    <w:basedOn w:val="Style_9_ch"/>
    <w:link w:val="Style_28"/>
    <w:rPr>
      <w:b w:val="1"/>
    </w:rPr>
  </w:style>
  <w:style w:styleId="Style_29" w:type="paragraph">
    <w:name w:val="heading 4"/>
    <w:next w:val="Style_9"/>
    <w:link w:val="Style_29_ch"/>
    <w:uiPriority w:val="9"/>
    <w:qFormat/>
    <w:pPr>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6" w:type="paragraph">
    <w:name w:val="heading 2"/>
    <w:basedOn w:val="Style_9"/>
    <w:next w:val="Style_9"/>
    <w:link w:val="Style_6_ch"/>
    <w:uiPriority w:val="9"/>
    <w:qFormat/>
    <w:pPr>
      <w:keepNext w:val="1"/>
      <w:keepLines w:val="1"/>
      <w:ind w:firstLine="0" w:left="708"/>
      <w:outlineLvl w:val="1"/>
    </w:pPr>
    <w:rPr>
      <w:b w:val="1"/>
    </w:rPr>
  </w:style>
  <w:style w:styleId="Style_6_ch" w:type="character">
    <w:name w:val="heading 2"/>
    <w:basedOn w:val="Style_9_ch"/>
    <w:link w:val="Style_6"/>
    <w:rPr>
      <w:b w:val="1"/>
    </w:rPr>
  </w:style>
  <w:style w:default="1" w:styleId="Style_2" w:type="table">
    <w:name w:val="Normal Table"/>
    <w:tblPr>
      <w:tblInd w:type="dxa" w:w="0"/>
      <w:tblCellMar>
        <w:top w:type="dxa" w:w="0"/>
        <w:left w:type="dxa" w:w="108"/>
        <w:bottom w:type="dxa" w:w="0"/>
        <w:right w:type="dxa" w:w="108"/>
      </w:tblCellMar>
    </w:tblPr>
  </w:style>
  <w:style w:styleId="Style_7" w:type="table">
    <w:name w:val="Сетка таблицы1"/>
    <w:basedOn w:val="Style_2"/>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0" w:type="table">
    <w:name w:val="Table Grid"/>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theme/theme1.xml" Type="http://schemas.openxmlformats.org/officeDocument/2006/relationships/theme"/>
  <Relationship Id="rId11" Target="stylesWithEffects.xml" Type="http://schemas.microsoft.com/office/2007/relationships/stylesWithEffects"/>
  <Relationship Id="rId10" Target="styles.xml" Type="http://schemas.openxmlformats.org/officeDocument/2006/relationships/styles"/>
  <Relationship Id="rId9" Target="settings.xml" Type="http://schemas.openxmlformats.org/officeDocument/2006/relationships/settings"/>
  <Relationship Id="rId8" Target="fontTable.xml" Type="http://schemas.openxmlformats.org/officeDocument/2006/relationships/fontTable"/>
  <Relationship Id="rId7" Target="media/6.png" Type="http://schemas.openxmlformats.org/officeDocument/2006/relationships/image"/>
  <Relationship Id="rId14" Target="numbering.xml" Type="http://schemas.openxmlformats.org/officeDocument/2006/relationships/numbering"/>
  <Relationship Id="rId6" Target="media/5.png" Type="http://schemas.openxmlformats.org/officeDocument/2006/relationships/image"/>
  <Relationship Id="rId5" Target="media/4.png" Type="http://schemas.openxmlformats.org/officeDocument/2006/relationships/image"/>
  <Relationship Id="rId4" Target="media/3.png" Type="http://schemas.openxmlformats.org/officeDocument/2006/relationships/image"/>
  <Relationship Id="rId12" Target="webSettings.xml" Type="http://schemas.openxmlformats.org/officeDocument/2006/relationships/webSettings"/>
  <Relationship Id="rId3" Target="media/2.png" Type="http://schemas.openxmlformats.org/officeDocument/2006/relationships/image"/>
  <Relationship Id="rId2" Target="media/1.pn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2026-09-01T07:46:35Z</dcterms:modified>
</cp:coreProperties>
</file>