
<file path=[Content_Types].xml><?xml version="1.0" encoding="utf-8"?>
<Types xmlns="http://schemas.openxmlformats.org/package/2006/content-types">
  <Default ContentType="image/png" Extension="png"/>
  <Default ContentType="image/jpeg" Extension="jpeg"/>
  <Default ContentType="application/vnd.openxmlformats-package.relationships+xml" Extension="rels"/>
  <Default ContentType="application/xml" Extension="xml"/>
  <Override ContentType="application/vnd.openxmlformats-officedocument.extended-properties+xml" PartName="/docProps/app.xml"/>
  <Override ContentType="application/vnd.openxmlformats-package.core-properties+xml" PartName="/docProps/core.xml"/>
  <Override ContentType="application/vnd.openxmlformats-officedocument.wordprocessingml.document.main+xml" PartName="/word/document.xml"/>
  <Override ContentType="application/vnd.openxmlformats-officedocument.wordprocessingml.fontTable+xml" PartName="/word/fontTable.xml"/>
  <Override ContentType="application/vnd.openxmlformats-officedocument.wordprocessingml.footer+xml" PartName="/word/footer1.xml"/>
  <Override ContentType="application/vnd.openxmlformats-officedocument.wordprocessingml.footnotes+xml" PartName="/word/footnotes.xml"/>
  <Override ContentType="application/vnd.openxmlformats-officedocument.wordprocessingml.numbering+xml" PartName="/word/numbering.xml"/>
  <Override ContentType="application/vnd.openxmlformats-officedocument.wordprocessingml.settings+xml" PartName="/word/settings.xml"/>
  <Override ContentType="application/vnd.openxmlformats-officedocument.wordprocessingml.styles+xml" PartName="/word/styles.xml"/>
  <Override ContentType="application/vnd.ms-word.stylesWithEffects+xml" PartName="/word/stylesWithEffects.xml"/>
  <Override ContentType="application/vnd.openxmlformats-officedocument.theme+xml" PartName="/word/theme/theme1.xml"/>
  <Override ContentType="application/vnd.openxmlformats-officedocument.wordprocessingml.webSettings+xml" PartName="/word/webSettings.xml"/>
</Types>
</file>

<file path=_rels/.rels><?xml version="1.0" encoding="UTF-8" standalone="no" ?>
<Relationships xmlns="http://schemas.openxmlformats.org/package/2006/relationships">
  <Relationship Id="rId3" Target="docProps/core.xml" Type="http://schemas.openxmlformats.org/package/2006/relationships/metadata/core-properties"/>
  <Relationship Id="rId2" Target="docProps/app.xml" Type="http://schemas.openxmlformats.org/officeDocument/2006/relationships/extended-properties"/>
  <Relationship Id="rId1" Target="word/document.xml" Type="http://schemas.openxmlformats.org/officeDocument/2006/relationships/officeDocument"/>
</Relationships>

</file>

<file path=word/document.xml><?xml version="1.0" encoding="utf-8"?>
<w:document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body>
    <w:p w14:paraId="03000000">
      <w:pPr>
        <w:spacing w:after="0" w:line="240" w:lineRule="auto"/>
        <w:ind/>
        <w:rPr>
          <w:rFonts w:ascii="Times New Roman" w:hAnsi="Times New Roman"/>
          <w:b w:val="1"/>
          <w:sz w:val="24"/>
        </w:rPr>
      </w:pPr>
    </w:p>
    <w:p w14:paraId="04000000">
      <w:pPr>
        <w:spacing w:before="120"/>
        <w:ind w:right="-143"/>
        <w:jc w:val="center"/>
        <w:rPr>
          <w:rFonts w:ascii="Times New Roman" w:hAnsi="Times New Roman"/>
          <w:sz w:val="28"/>
        </w:rPr>
      </w:pPr>
      <w:r>
        <w:rPr>
          <w:rFonts w:ascii="Times New Roman" w:hAnsi="Times New Roman"/>
          <w:sz w:val="28"/>
        </w:rPr>
        <w:t xml:space="preserve">АВТОНОМНАЯ НЕКОММЕРЧЕСКАЯ ОРГАНИЗАЦИЯ </w:t>
      </w:r>
    </w:p>
    <w:p w14:paraId="05000000">
      <w:pPr>
        <w:spacing w:before="120"/>
        <w:ind w:right="-143"/>
        <w:jc w:val="center"/>
        <w:rPr>
          <w:rFonts w:ascii="Times New Roman" w:hAnsi="Times New Roman"/>
          <w:sz w:val="28"/>
        </w:rPr>
      </w:pPr>
      <w:r>
        <w:rPr>
          <w:rFonts w:ascii="Times New Roman" w:hAnsi="Times New Roman"/>
          <w:sz w:val="28"/>
        </w:rPr>
        <w:t>ВЫСШЕГО ОБРАЗОВАНИЯ</w:t>
      </w:r>
    </w:p>
    <w:p w14:paraId="06000000">
      <w:pPr>
        <w:spacing w:before="120"/>
        <w:ind w:right="-143"/>
        <w:jc w:val="center"/>
        <w:rPr>
          <w:rFonts w:ascii="Times New Roman" w:hAnsi="Times New Roman"/>
          <w:sz w:val="28"/>
        </w:rPr>
      </w:pPr>
      <w:r>
        <w:rPr>
          <w:rFonts w:ascii="Times New Roman" w:hAnsi="Times New Roman"/>
          <w:b w:val="1"/>
          <w:sz w:val="28"/>
        </w:rPr>
        <w:t xml:space="preserve">«МОСКОВСКИЙ УНИВЕРСИТЕТ «СИНЕРГИЯ» </w:t>
      </w:r>
    </w:p>
    <w:p w14:paraId="07000000">
      <w:pPr>
        <w:spacing w:before="120"/>
        <w:ind/>
        <w:jc w:val="center"/>
        <w:rPr>
          <w:rFonts w:ascii="Times New Roman" w:hAnsi="Times New Roman"/>
          <w:sz w:val="30"/>
        </w:rPr>
      </w:pPr>
      <w:r>
        <w:rPr>
          <w:rFonts w:ascii="Times New Roman" w:hAnsi="Times New Roman"/>
          <w:sz w:val="30"/>
        </w:rPr>
        <w:t>Факультет _________</w:t>
      </w:r>
      <w:r>
        <w:rPr>
          <w:rFonts w:ascii="Times New Roman" w:hAnsi="Times New Roman"/>
          <w:sz w:val="30"/>
          <w:u w:val="single"/>
        </w:rPr>
        <w:t>Экономики</w:t>
      </w:r>
      <w:r>
        <w:rPr>
          <w:rFonts w:ascii="Times New Roman" w:hAnsi="Times New Roman"/>
          <w:sz w:val="30"/>
        </w:rPr>
        <w:t>___________________</w:t>
      </w:r>
    </w:p>
    <w:tbl>
      <w:tblPr>
        <w:tblStyle w:val="Style_2"/>
        <w:tblBorders>
          <w:top w:color="000000" w:val="nil"/>
          <w:left w:color="000000" w:val="nil"/>
          <w:bottom w:color="000000" w:val="nil"/>
          <w:right w:color="000000" w:val="nil"/>
          <w:insideH w:color="000000" w:val="nil"/>
          <w:insideV w:color="000000" w:val="nil"/>
        </w:tblBorders>
        <w:tblLayout w:type="fixed"/>
      </w:tblPr>
      <w:tblGrid>
        <w:gridCol w:w="1699"/>
        <w:gridCol w:w="5161"/>
        <w:gridCol w:w="1158"/>
        <w:gridCol w:w="1336"/>
      </w:tblGrid>
      <w:tr>
        <w:tc>
          <w:tcPr>
            <w:tcW w:type="dxa" w:w="1699"/>
            <w:tcBorders>
              <w:top w:color="000000" w:val="nil"/>
              <w:left w:color="000000" w:val="nil"/>
              <w:bottom w:color="000000" w:val="nil"/>
              <w:right w:color="000000" w:val="nil"/>
            </w:tcBorders>
            <w:vAlign w:val="center"/>
          </w:tcPr>
          <w:p w14:paraId="08000000">
            <w:pPr>
              <w:rPr>
                <w:rFonts w:ascii="Times New Roman" w:hAnsi="Times New Roman"/>
                <w:b w:val="1"/>
                <w:sz w:val="24"/>
              </w:rPr>
            </w:pPr>
            <w:r>
              <w:rPr>
                <w:rFonts w:ascii="Times New Roman" w:hAnsi="Times New Roman"/>
                <w:b w:val="1"/>
                <w:sz w:val="24"/>
              </w:rPr>
              <w:t>Направление подготовки:</w:t>
            </w:r>
          </w:p>
        </w:tc>
        <w:tc>
          <w:tcPr>
            <w:tcW w:type="dxa" w:w="5161"/>
            <w:tcBorders>
              <w:top w:color="000000" w:val="nil"/>
              <w:left w:color="000000" w:val="nil"/>
              <w:bottom w:color="000000" w:sz="4" w:val="single"/>
              <w:right w:color="000000" w:val="nil"/>
            </w:tcBorders>
            <w:vAlign w:val="center"/>
          </w:tcPr>
          <w:p w14:paraId="09000000">
            <w:pPr>
              <w:ind/>
              <w:jc w:val="center"/>
              <w:rPr>
                <w:rFonts w:ascii="Times New Roman" w:hAnsi="Times New Roman"/>
                <w:sz w:val="24"/>
              </w:rPr>
            </w:pPr>
          </w:p>
        </w:tc>
        <w:tc>
          <w:tcPr>
            <w:tcW w:type="dxa" w:w="1158"/>
            <w:tcBorders>
              <w:top w:color="000000" w:val="nil"/>
              <w:left w:color="000000" w:val="nil"/>
              <w:bottom w:color="000000" w:val="nil"/>
              <w:right w:color="000000" w:val="nil"/>
            </w:tcBorders>
            <w:vAlign w:val="center"/>
          </w:tcPr>
          <w:p w14:paraId="0A000000">
            <w:pPr>
              <w:ind/>
              <w:jc w:val="center"/>
              <w:rPr>
                <w:rFonts w:ascii="Times New Roman" w:hAnsi="Times New Roman"/>
                <w:b w:val="1"/>
                <w:sz w:val="24"/>
              </w:rPr>
            </w:pPr>
            <w:r>
              <w:rPr>
                <w:rFonts w:ascii="Times New Roman" w:hAnsi="Times New Roman"/>
                <w:b w:val="1"/>
                <w:sz w:val="24"/>
              </w:rPr>
              <w:t>Кафедра</w:t>
            </w:r>
          </w:p>
        </w:tc>
        <w:tc>
          <w:tcPr>
            <w:tcW w:type="dxa" w:w="1336"/>
            <w:tcBorders>
              <w:top w:color="000000" w:val="nil"/>
              <w:left w:color="000000" w:val="nil"/>
              <w:bottom w:color="000000" w:sz="4" w:val="single"/>
              <w:right w:color="000000" w:val="nil"/>
            </w:tcBorders>
            <w:vAlign w:val="center"/>
          </w:tcPr>
          <w:p w14:paraId="0B000000">
            <w:pPr>
              <w:ind/>
              <w:jc w:val="center"/>
              <w:rPr>
                <w:rFonts w:ascii="Times New Roman" w:hAnsi="Times New Roman"/>
                <w:sz w:val="24"/>
              </w:rPr>
            </w:pPr>
            <w:r>
              <w:rPr>
                <w:rFonts w:ascii="Times New Roman" w:hAnsi="Times New Roman"/>
                <w:sz w:val="24"/>
              </w:rPr>
              <w:t>БУ и НО</w:t>
            </w:r>
          </w:p>
        </w:tc>
      </w:tr>
      <w:tr>
        <w:tc>
          <w:tcPr>
            <w:tcW w:type="dxa" w:w="1699"/>
            <w:tcBorders>
              <w:top w:color="000000" w:val="nil"/>
              <w:left w:color="000000" w:val="nil"/>
              <w:bottom w:color="000000" w:val="nil"/>
              <w:right w:color="000000" w:val="nil"/>
            </w:tcBorders>
            <w:vAlign w:val="center"/>
          </w:tcPr>
          <w:p w14:paraId="0C000000">
            <w:pPr>
              <w:rPr>
                <w:rFonts w:ascii="Times New Roman" w:hAnsi="Times New Roman"/>
                <w:b w:val="1"/>
              </w:rPr>
            </w:pPr>
          </w:p>
        </w:tc>
        <w:tc>
          <w:tcPr>
            <w:tcW w:type="dxa" w:w="5161"/>
            <w:tcBorders>
              <w:top w:color="000000" w:sz="4" w:val="single"/>
              <w:left w:color="000000" w:val="nil"/>
              <w:bottom w:color="000000" w:val="nil"/>
              <w:right w:color="000000" w:val="nil"/>
            </w:tcBorders>
            <w:vAlign w:val="center"/>
          </w:tcPr>
          <w:p w14:paraId="0D000000">
            <w:pPr>
              <w:ind/>
              <w:jc w:val="center"/>
              <w:rPr>
                <w:rFonts w:ascii="Times New Roman" w:hAnsi="Times New Roman"/>
              </w:rPr>
            </w:pPr>
            <w:r>
              <w:rPr>
                <w:rFonts w:ascii="Times New Roman" w:hAnsi="Times New Roman"/>
                <w:i w:val="1"/>
                <w:vertAlign w:val="superscript"/>
              </w:rPr>
              <w:t>(код, наименование)</w:t>
            </w:r>
          </w:p>
        </w:tc>
        <w:tc>
          <w:tcPr>
            <w:tcW w:type="dxa" w:w="1158"/>
            <w:tcBorders>
              <w:top w:color="000000" w:val="nil"/>
              <w:left w:color="000000" w:val="nil"/>
              <w:bottom w:color="000000" w:val="nil"/>
              <w:right w:color="000000" w:val="nil"/>
            </w:tcBorders>
            <w:vAlign w:val="center"/>
          </w:tcPr>
          <w:p w14:paraId="0E000000">
            <w:pPr>
              <w:rPr>
                <w:rFonts w:ascii="Times New Roman" w:hAnsi="Times New Roman"/>
                <w:b w:val="1"/>
              </w:rPr>
            </w:pPr>
          </w:p>
        </w:tc>
        <w:tc>
          <w:tcPr>
            <w:tcW w:type="dxa" w:w="1336"/>
            <w:tcBorders>
              <w:top w:color="000000" w:sz="4" w:val="single"/>
              <w:left w:color="000000" w:val="nil"/>
              <w:bottom w:color="000000" w:val="nil"/>
              <w:right w:color="000000" w:val="nil"/>
            </w:tcBorders>
            <w:vAlign w:val="center"/>
          </w:tcPr>
          <w:p w14:paraId="0F000000">
            <w:pPr>
              <w:ind/>
              <w:jc w:val="center"/>
              <w:rPr>
                <w:rFonts w:ascii="Times New Roman" w:hAnsi="Times New Roman"/>
              </w:rPr>
            </w:pPr>
            <w:r>
              <w:rPr>
                <w:rFonts w:ascii="Times New Roman" w:hAnsi="Times New Roman"/>
                <w:i w:val="1"/>
                <w:vertAlign w:val="superscript"/>
              </w:rPr>
              <w:t>(аббревиатура)</w:t>
            </w:r>
          </w:p>
        </w:tc>
      </w:tr>
      <w:tr>
        <w:tc>
          <w:tcPr>
            <w:tcW w:type="dxa" w:w="1699"/>
            <w:tcBorders>
              <w:top w:color="000000" w:val="nil"/>
              <w:left w:color="000000" w:val="nil"/>
              <w:bottom w:color="000000" w:val="nil"/>
              <w:right w:color="000000" w:val="nil"/>
            </w:tcBorders>
            <w:vAlign w:val="center"/>
          </w:tcPr>
          <w:p w14:paraId="10000000">
            <w:pPr>
              <w:rPr>
                <w:rFonts w:ascii="Times New Roman" w:hAnsi="Times New Roman"/>
                <w:b w:val="1"/>
              </w:rPr>
            </w:pPr>
            <w:r>
              <w:rPr>
                <w:rFonts w:ascii="Times New Roman" w:hAnsi="Times New Roman"/>
                <w:b w:val="1"/>
                <w:sz w:val="24"/>
              </w:rPr>
              <w:t>Профиль:</w:t>
            </w:r>
          </w:p>
        </w:tc>
        <w:tc>
          <w:tcPr>
            <w:tcW w:type="dxa" w:w="7655"/>
            <w:gridSpan w:val="3"/>
            <w:tcBorders>
              <w:top w:color="000000" w:val="nil"/>
              <w:left w:color="000000" w:val="nil"/>
              <w:bottom w:color="000000" w:sz="4" w:val="single"/>
              <w:right w:color="000000" w:val="nil"/>
            </w:tcBorders>
            <w:vAlign w:val="center"/>
          </w:tcPr>
          <w:p w14:paraId="11000000">
            <w:pPr>
              <w:ind/>
              <w:jc w:val="center"/>
              <w:rPr>
                <w:rFonts w:ascii="Times New Roman" w:hAnsi="Times New Roman"/>
                <w:i w:val="1"/>
                <w:vertAlign w:val="superscript"/>
              </w:rPr>
            </w:pPr>
          </w:p>
        </w:tc>
      </w:tr>
    </w:tbl>
    <w:p w14:paraId="12000000">
      <w:pPr>
        <w:ind/>
        <w:jc w:val="right"/>
        <w:rPr>
          <w:rFonts w:ascii="Times New Roman" w:hAnsi="Times New Roman"/>
        </w:rPr>
      </w:pPr>
    </w:p>
    <w:p w14:paraId="13000000">
      <w:pPr>
        <w:ind/>
        <w:jc w:val="center"/>
        <w:rPr>
          <w:rFonts w:ascii="Times New Roman" w:hAnsi="Times New Roman"/>
          <w:b w:val="1"/>
          <w:caps w:val="1"/>
          <w:sz w:val="36"/>
        </w:rPr>
      </w:pPr>
      <w:r>
        <w:rPr>
          <w:rFonts w:ascii="Times New Roman" w:hAnsi="Times New Roman"/>
          <w:b w:val="1"/>
          <w:caps w:val="1"/>
          <w:sz w:val="32"/>
        </w:rPr>
        <w:t>ВЫПУСКНАЯ КВАЛИФИКАЦИОННАЯ РАБОТА – БАКАЛАВРСКАЯ РАБОТА</w:t>
      </w:r>
    </w:p>
    <w:tbl>
      <w:tblPr>
        <w:tblStyle w:val="Style_3"/>
        <w:tblLayout w:type="fixed"/>
      </w:tblPr>
      <w:tblGrid>
        <w:gridCol w:w="2017"/>
        <w:gridCol w:w="7337"/>
      </w:tblGrid>
      <w:tr>
        <w:trPr>
          <w:trHeight w:hRule="atLeast" w:val="20"/>
        </w:trPr>
        <w:tc>
          <w:tcPr>
            <w:tcW w:type="dxa" w:w="2017"/>
            <w:vAlign w:val="center"/>
          </w:tcPr>
          <w:p w14:paraId="14000000">
            <w:pPr>
              <w:keepNext w:val="1"/>
              <w:spacing w:after="0" w:before="120" w:line="240" w:lineRule="auto"/>
              <w:ind/>
              <w:outlineLvl w:val="3"/>
              <w:rPr>
                <w:rFonts w:ascii="Times New Roman" w:hAnsi="Times New Roman"/>
                <w:b w:val="1"/>
                <w:caps w:val="1"/>
                <w:sz w:val="28"/>
              </w:rPr>
            </w:pPr>
            <w:r>
              <w:rPr>
                <w:rFonts w:ascii="Times New Roman" w:hAnsi="Times New Roman"/>
                <w:b w:val="1"/>
                <w:sz w:val="28"/>
              </w:rPr>
              <w:t>на тему</w:t>
            </w:r>
          </w:p>
        </w:tc>
        <w:tc>
          <w:tcPr>
            <w:tcW w:type="dxa" w:w="7337"/>
            <w:tcBorders>
              <w:bottom w:color="000000" w:sz="4" w:val="single"/>
            </w:tcBorders>
            <w:vAlign w:val="center"/>
          </w:tcPr>
          <w:p w14:paraId="15000000"/>
          <w:p w14:paraId="16000000">
            <w:bookmarkStart w:id="1" w:name="__RefHeading___1"/>
            <w:bookmarkEnd w:id="1"/>
            <w:pPr>
              <w:spacing w:after="0" w:line="240" w:lineRule="auto"/>
              <w:ind/>
              <w:outlineLvl w:val="1"/>
              <w:rPr>
                <w:rFonts w:ascii="Times New Roman" w:hAnsi="Times New Roman"/>
                <w:b w:val="1"/>
                <w:caps w:val="1"/>
                <w:sz w:val="24"/>
              </w:rPr>
            </w:pPr>
            <w:r>
              <w:rPr>
                <w:rFonts w:ascii="Times New Roman" w:hAnsi="Times New Roman"/>
                <w:sz w:val="28"/>
              </w:rPr>
              <w:t>БУХГАЛТЕРСКИЙ УЧЕТ И АНАЛИЗ КРЕДИТОВ И</w:t>
            </w:r>
            <w:r>
              <w:rPr>
                <w:rFonts w:ascii="Times New Roman" w:hAnsi="Times New Roman"/>
                <w:sz w:val="28"/>
              </w:rPr>
              <w:t xml:space="preserve"> </w:t>
            </w:r>
          </w:p>
        </w:tc>
      </w:tr>
      <w:tr>
        <w:trPr>
          <w:trHeight w:hRule="atLeast" w:val="20"/>
        </w:trPr>
        <w:tc>
          <w:tcPr>
            <w:tcW w:type="dxa" w:w="9354"/>
            <w:gridSpan w:val="2"/>
            <w:tcBorders>
              <w:bottom w:color="000000" w:sz="4" w:val="single"/>
            </w:tcBorders>
            <w:vAlign w:val="center"/>
          </w:tcPr>
          <w:p w14:paraId="17000000">
            <w:pPr>
              <w:keepNext w:val="1"/>
              <w:spacing w:after="0" w:before="120" w:line="240" w:lineRule="auto"/>
              <w:ind w:firstLine="142" w:left="-221"/>
              <w:jc w:val="center"/>
              <w:outlineLvl w:val="3"/>
              <w:rPr>
                <w:rFonts w:ascii="Times New Roman" w:hAnsi="Times New Roman"/>
                <w:b w:val="1"/>
                <w:caps w:val="1"/>
                <w:sz w:val="24"/>
              </w:rPr>
            </w:pPr>
            <w:r>
              <w:rPr>
                <w:rFonts w:ascii="Times New Roman" w:hAnsi="Times New Roman"/>
                <w:sz w:val="28"/>
              </w:rPr>
              <w:t>ЗАЙМОВ</w:t>
            </w:r>
          </w:p>
        </w:tc>
      </w:tr>
      <w:tr>
        <w:trPr>
          <w:trHeight w:hRule="atLeast" w:val="20"/>
        </w:trPr>
        <w:tc>
          <w:tcPr>
            <w:tcW w:type="dxa" w:w="9354"/>
            <w:gridSpan w:val="2"/>
            <w:tcBorders>
              <w:bottom w:color="000000" w:sz="4" w:val="single"/>
            </w:tcBorders>
            <w:vAlign w:val="center"/>
          </w:tcPr>
          <w:p w14:paraId="18000000">
            <w:pPr>
              <w:keepNext w:val="1"/>
              <w:spacing w:after="0" w:before="120" w:line="240" w:lineRule="auto"/>
              <w:ind w:firstLine="142" w:left="-221"/>
              <w:jc w:val="center"/>
              <w:outlineLvl w:val="3"/>
              <w:rPr>
                <w:rFonts w:ascii="Times New Roman" w:hAnsi="Times New Roman"/>
                <w:b w:val="1"/>
                <w:caps w:val="1"/>
                <w:sz w:val="24"/>
              </w:rPr>
            </w:pPr>
          </w:p>
        </w:tc>
      </w:tr>
    </w:tbl>
    <w:p w14:paraId="19000000">
      <w:pPr>
        <w:ind/>
        <w:jc w:val="center"/>
        <w:rPr>
          <w:rFonts w:ascii="Times New Roman" w:hAnsi="Times New Roman"/>
        </w:rPr>
      </w:pPr>
    </w:p>
    <w:p w14:paraId="1A000000">
      <w:pPr>
        <w:widowControl w:val="0"/>
        <w:spacing w:after="0" w:line="240" w:lineRule="auto"/>
        <w:ind/>
        <w:jc w:val="center"/>
        <w:rPr>
          <w:rFonts w:ascii="Times New Roman" w:hAnsi="Times New Roman"/>
          <w:sz w:val="28"/>
        </w:rPr>
      </w:pPr>
    </w:p>
    <w:p w14:paraId="1B000000">
      <w:pPr>
        <w:widowControl w:val="0"/>
        <w:spacing w:after="0" w:line="240" w:lineRule="auto"/>
        <w:ind/>
        <w:jc w:val="center"/>
        <w:rPr>
          <w:rFonts w:ascii="Times New Roman" w:hAnsi="Times New Roman"/>
          <w:sz w:val="28"/>
        </w:rPr>
      </w:pPr>
    </w:p>
    <w:p w14:paraId="1C000000">
      <w:pPr>
        <w:widowControl w:val="0"/>
        <w:spacing w:after="0" w:line="240" w:lineRule="auto"/>
        <w:ind/>
        <w:jc w:val="center"/>
        <w:rPr>
          <w:rFonts w:ascii="Times New Roman" w:hAnsi="Times New Roman"/>
          <w:sz w:val="28"/>
        </w:rPr>
      </w:pPr>
    </w:p>
    <w:tbl>
      <w:tblPr>
        <w:tblStyle w:val="Style_3"/>
        <w:tblLayout w:type="fixed"/>
      </w:tblPr>
      <w:tblGrid>
        <w:gridCol w:w="3022"/>
        <w:gridCol w:w="4134"/>
        <w:gridCol w:w="566"/>
        <w:gridCol w:w="1849"/>
        <w:gridCol w:w="1693"/>
        <w:gridCol w:w="1708"/>
      </w:tblGrid>
      <w:tr>
        <w:trPr>
          <w:trHeight w:hRule="atLeast" w:val="567"/>
        </w:trPr>
        <w:tc>
          <w:tcPr>
            <w:tcW w:type="dxa" w:w="3022"/>
            <w:tcBorders>
              <w:left w:sz="4" w:val="nil"/>
              <w:bottom w:sz="4" w:val="nil"/>
              <w:right w:sz="4" w:val="nil"/>
            </w:tcBorders>
            <w:vAlign w:val="bottom"/>
          </w:tcPr>
          <w:p w14:paraId="1D000000">
            <w:pPr>
              <w:widowControl w:val="0"/>
              <w:tabs>
                <w:tab w:leader="none" w:pos="0" w:val="left"/>
              </w:tabs>
              <w:spacing w:after="0" w:line="240" w:lineRule="auto"/>
              <w:ind/>
              <w:rPr>
                <w:rFonts w:ascii="Times New Roman" w:hAnsi="Times New Roman"/>
                <w:b w:val="1"/>
                <w:sz w:val="28"/>
              </w:rPr>
            </w:pPr>
            <w:r>
              <w:rPr>
                <w:rFonts w:ascii="Times New Roman" w:hAnsi="Times New Roman"/>
                <w:b w:val="1"/>
                <w:sz w:val="28"/>
              </w:rPr>
              <w:t>Обучающийся</w:t>
            </w:r>
          </w:p>
        </w:tc>
        <w:tc>
          <w:tcPr>
            <w:tcW w:type="dxa" w:w="4134"/>
            <w:tcBorders>
              <w:left w:sz="4" w:val="nil"/>
              <w:bottom w:color="000000" w:sz="4" w:val="single"/>
              <w:right w:sz="4" w:val="nil"/>
            </w:tcBorders>
            <w:vAlign w:val="bottom"/>
          </w:tcPr>
          <w:p w14:paraId="1E000000">
            <w:pPr>
              <w:widowControl w:val="0"/>
              <w:spacing w:after="0" w:line="240" w:lineRule="auto"/>
              <w:ind/>
              <w:jc w:val="center"/>
              <w:rPr>
                <w:rFonts w:ascii="Times New Roman" w:hAnsi="Times New Roman"/>
                <w:i w:val="1"/>
                <w:color w:val="000080"/>
                <w:sz w:val="28"/>
              </w:rPr>
            </w:pPr>
          </w:p>
        </w:tc>
        <w:tc>
          <w:tcPr>
            <w:tcW w:type="dxa" w:w="566"/>
            <w:tcBorders>
              <w:left w:sz="4" w:val="nil"/>
              <w:bottom w:sz="4" w:val="nil"/>
              <w:right w:sz="4" w:val="nil"/>
            </w:tcBorders>
            <w:vAlign w:val="bottom"/>
          </w:tcPr>
          <w:p w14:paraId="1F000000">
            <w:pPr>
              <w:widowControl w:val="0"/>
              <w:spacing w:after="0" w:line="240" w:lineRule="auto"/>
              <w:ind w:firstLine="280" w:left="0"/>
              <w:rPr>
                <w:rFonts w:ascii="Times New Roman" w:hAnsi="Times New Roman"/>
                <w:i w:val="1"/>
                <w:color w:val="000080"/>
                <w:sz w:val="28"/>
              </w:rPr>
            </w:pPr>
            <w:r>
              <w:rPr>
                <w:rFonts w:ascii="Times New Roman" w:hAnsi="Times New Roman"/>
                <w:i w:val="1"/>
                <w:color w:val="000080"/>
                <w:sz w:val="28"/>
              </w:rPr>
              <w:t> </w:t>
            </w:r>
          </w:p>
        </w:tc>
        <w:tc>
          <w:tcPr>
            <w:tcW w:type="dxa" w:w="1849"/>
            <w:tcBorders>
              <w:left w:sz="4" w:val="nil"/>
              <w:bottom w:color="000000" w:sz="4" w:val="single"/>
              <w:right w:sz="4" w:val="nil"/>
            </w:tcBorders>
            <w:vAlign w:val="bottom"/>
          </w:tcPr>
          <w:p w14:paraId="20000000">
            <w:pPr>
              <w:widowControl w:val="0"/>
              <w:spacing w:after="0" w:line="240" w:lineRule="auto"/>
              <w:ind/>
              <w:jc w:val="center"/>
              <w:rPr>
                <w:rFonts w:ascii="Times New Roman" w:hAnsi="Times New Roman"/>
                <w:color w:val="000080"/>
                <w:sz w:val="28"/>
              </w:rPr>
            </w:pPr>
            <w:r>
              <w:rPr>
                <w:rFonts w:ascii="Times New Roman" w:hAnsi="Times New Roman"/>
                <w:color w:val="000080"/>
                <w:sz w:val="28"/>
              </w:rPr>
              <w:t> </w:t>
            </w:r>
          </w:p>
        </w:tc>
        <w:tc>
          <w:tcPr>
            <w:tcW w:type="dxa" w:w="1693"/>
          </w:tcPr>
          <w:p/>
        </w:tc>
        <w:tc>
          <w:tcPr>
            <w:tcW w:type="dxa" w:w="1708"/>
          </w:tcPr>
          <w:p/>
        </w:tc>
      </w:tr>
      <w:tr>
        <w:trPr>
          <w:trHeight w:hRule="atLeast" w:val="340"/>
        </w:trPr>
        <w:tc>
          <w:tcPr>
            <w:tcW w:type="dxa" w:w="3022"/>
            <w:tcBorders>
              <w:top w:sz="4" w:val="nil"/>
              <w:left w:sz="4" w:val="nil"/>
              <w:bottom w:sz="4" w:val="nil"/>
              <w:right w:sz="4" w:val="nil"/>
            </w:tcBorders>
            <w:vAlign w:val="center"/>
          </w:tcPr>
          <w:p w14:paraId="21000000">
            <w:pPr>
              <w:widowControl w:val="0"/>
              <w:spacing w:after="0" w:line="240" w:lineRule="auto"/>
              <w:ind/>
              <w:jc w:val="center"/>
              <w:rPr>
                <w:rFonts w:ascii="Times New Roman" w:hAnsi="Times New Roman"/>
                <w:b w:val="1"/>
              </w:rPr>
            </w:pPr>
          </w:p>
        </w:tc>
        <w:tc>
          <w:tcPr>
            <w:tcW w:type="dxa" w:w="4134"/>
            <w:tcBorders>
              <w:top w:color="000000" w:sz="4" w:val="single"/>
              <w:left w:sz="4" w:val="nil"/>
              <w:bottom w:sz="4" w:val="nil"/>
              <w:right w:sz="4" w:val="nil"/>
            </w:tcBorders>
            <w:vAlign w:val="center"/>
          </w:tcPr>
          <w:p w14:paraId="22000000">
            <w:pPr>
              <w:widowControl w:val="0"/>
              <w:spacing w:after="0" w:line="240" w:lineRule="auto"/>
              <w:ind/>
              <w:jc w:val="center"/>
              <w:rPr>
                <w:rFonts w:ascii="Times New Roman" w:hAnsi="Times New Roman"/>
                <w:sz w:val="16"/>
              </w:rPr>
            </w:pPr>
            <w:r>
              <w:rPr>
                <w:rFonts w:ascii="Times New Roman" w:hAnsi="Times New Roman"/>
                <w:sz w:val="16"/>
              </w:rPr>
              <w:t>(Фамилия, Имя, Отчество)</w:t>
            </w:r>
          </w:p>
        </w:tc>
        <w:tc>
          <w:tcPr>
            <w:tcW w:type="dxa" w:w="566"/>
            <w:tcBorders>
              <w:top w:sz="4" w:val="nil"/>
              <w:left w:sz="4" w:val="nil"/>
              <w:bottom w:sz="4" w:val="nil"/>
              <w:right w:sz="4" w:val="nil"/>
            </w:tcBorders>
            <w:vAlign w:val="center"/>
          </w:tcPr>
          <w:p w14:paraId="23000000">
            <w:pPr>
              <w:widowControl w:val="0"/>
              <w:spacing w:after="0" w:line="240" w:lineRule="auto"/>
              <w:ind/>
              <w:jc w:val="center"/>
              <w:rPr>
                <w:rFonts w:ascii="Times New Roman" w:hAnsi="Times New Roman"/>
                <w:sz w:val="16"/>
              </w:rPr>
            </w:pPr>
          </w:p>
        </w:tc>
        <w:tc>
          <w:tcPr>
            <w:tcW w:type="dxa" w:w="1849"/>
            <w:tcBorders>
              <w:top w:color="000000" w:sz="4" w:val="single"/>
              <w:left w:sz="4" w:val="nil"/>
              <w:bottom w:sz="4" w:val="nil"/>
              <w:right w:sz="4" w:val="nil"/>
            </w:tcBorders>
            <w:vAlign w:val="center"/>
          </w:tcPr>
          <w:p w14:paraId="24000000">
            <w:pPr>
              <w:widowControl w:val="0"/>
              <w:spacing w:after="0" w:line="240" w:lineRule="auto"/>
              <w:ind/>
              <w:jc w:val="center"/>
              <w:rPr>
                <w:rFonts w:ascii="Times New Roman" w:hAnsi="Times New Roman"/>
                <w:sz w:val="16"/>
              </w:rPr>
            </w:pPr>
            <w:r>
              <w:rPr>
                <w:rFonts w:ascii="Times New Roman" w:hAnsi="Times New Roman"/>
                <w:sz w:val="16"/>
              </w:rPr>
              <w:t>(подпись)</w:t>
            </w:r>
          </w:p>
        </w:tc>
        <w:tc>
          <w:tcPr>
            <w:tcW w:type="dxa" w:w="1693"/>
          </w:tcPr>
          <w:p/>
        </w:tc>
        <w:tc>
          <w:tcPr>
            <w:tcW w:type="dxa" w:w="1708"/>
          </w:tcPr>
          <w:p/>
        </w:tc>
      </w:tr>
      <w:tr>
        <w:trPr>
          <w:trHeight w:hRule="atLeast" w:val="867"/>
          <w:hidden w:val="0"/>
        </w:trPr>
        <w:tc>
          <w:tcPr>
            <w:tcW w:type="dxa" w:w="3022"/>
            <w:tcBorders>
              <w:top w:sz="4" w:val="nil"/>
              <w:left w:sz="4" w:val="nil"/>
              <w:bottom w:sz="4" w:val="nil"/>
              <w:right w:sz="4" w:val="nil"/>
            </w:tcBorders>
            <w:vAlign w:val="bottom"/>
          </w:tcPr>
          <w:p w14:paraId="25000000">
            <w:pPr>
              <w:widowControl w:val="0"/>
              <w:spacing w:after="0" w:line="240" w:lineRule="auto"/>
              <w:ind/>
              <w:rPr>
                <w:rFonts w:ascii="Times New Roman" w:hAnsi="Times New Roman"/>
                <w:b w:val="1"/>
                <w:sz w:val="28"/>
              </w:rPr>
            </w:pPr>
            <w:r>
              <w:rPr>
                <w:rFonts w:ascii="Times New Roman" w:hAnsi="Times New Roman"/>
                <w:b w:val="1"/>
                <w:sz w:val="28"/>
              </w:rPr>
              <w:t xml:space="preserve">Руководитель </w:t>
            </w:r>
          </w:p>
        </w:tc>
        <w:tc>
          <w:tcPr>
            <w:tcW w:type="dxa" w:w="4134"/>
            <w:tcBorders>
              <w:top w:sz="4" w:val="nil"/>
              <w:left w:sz="4" w:val="nil"/>
              <w:bottom w:color="000000" w:sz="4" w:val="single"/>
              <w:right w:sz="4" w:val="nil"/>
            </w:tcBorders>
            <w:vAlign w:val="bottom"/>
          </w:tcPr>
          <w:p w14:paraId="26000000">
            <w:pPr>
              <w:widowControl w:val="0"/>
              <w:spacing w:after="0" w:line="240" w:lineRule="auto"/>
              <w:ind w:firstLine="34" w:left="0"/>
              <w:jc w:val="center"/>
              <w:rPr>
                <w:rFonts w:ascii="Times New Roman" w:hAnsi="Times New Roman"/>
                <w:i w:val="1"/>
                <w:color w:val="000080"/>
                <w:sz w:val="28"/>
              </w:rPr>
            </w:pPr>
            <w:r>
              <w:rPr>
                <w:rFonts w:ascii="Times New Roman" w:hAnsi="Times New Roman"/>
                <w:i w:val="1"/>
                <w:color w:val="000080"/>
                <w:sz w:val="28"/>
              </w:rPr>
              <w:t xml:space="preserve">  </w:t>
            </w:r>
          </w:p>
        </w:tc>
        <w:tc>
          <w:tcPr>
            <w:tcW w:type="dxa" w:w="566"/>
            <w:tcBorders>
              <w:top w:sz="4" w:val="nil"/>
              <w:left w:sz="4" w:val="nil"/>
              <w:bottom w:sz="4" w:val="nil"/>
              <w:right w:sz="4" w:val="nil"/>
            </w:tcBorders>
            <w:vAlign w:val="bottom"/>
          </w:tcPr>
          <w:p w14:paraId="27000000">
            <w:pPr>
              <w:widowControl w:val="0"/>
              <w:spacing w:after="0" w:line="240" w:lineRule="auto"/>
              <w:ind w:firstLine="160" w:left="0"/>
              <w:rPr>
                <w:rFonts w:ascii="Times New Roman" w:hAnsi="Times New Roman"/>
                <w:i w:val="1"/>
                <w:color w:val="000080"/>
                <w:sz w:val="16"/>
              </w:rPr>
            </w:pPr>
          </w:p>
        </w:tc>
        <w:tc>
          <w:tcPr>
            <w:tcW w:type="dxa" w:w="1849"/>
            <w:tcBorders>
              <w:top w:sz="4" w:val="nil"/>
              <w:left w:sz="4" w:val="nil"/>
              <w:bottom w:color="000000" w:sz="4" w:val="single"/>
              <w:right w:sz="4" w:val="nil"/>
            </w:tcBorders>
            <w:vAlign w:val="bottom"/>
          </w:tcPr>
          <w:p w14:paraId="28000000">
            <w:pPr>
              <w:widowControl w:val="0"/>
              <w:spacing w:after="0" w:line="240" w:lineRule="auto"/>
              <w:ind/>
              <w:jc w:val="center"/>
              <w:rPr>
                <w:rFonts w:ascii="Times New Roman" w:hAnsi="Times New Roman"/>
                <w:color w:val="000080"/>
                <w:sz w:val="16"/>
              </w:rPr>
            </w:pPr>
            <w:r>
              <w:rPr>
                <w:rFonts w:ascii="Times New Roman" w:hAnsi="Times New Roman"/>
                <w:color w:val="000080"/>
                <w:sz w:val="16"/>
              </w:rPr>
              <w:t> </w:t>
            </w:r>
          </w:p>
        </w:tc>
        <w:tc>
          <w:tcPr>
            <w:tcW w:type="dxa" w:w="1693"/>
          </w:tcPr>
          <w:p/>
        </w:tc>
        <w:tc>
          <w:tcPr>
            <w:tcW w:type="dxa" w:w="1708"/>
          </w:tcPr>
          <w:p/>
        </w:tc>
      </w:tr>
      <w:tr>
        <w:trPr>
          <w:trHeight w:hRule="atLeast" w:val="340"/>
        </w:trPr>
        <w:tc>
          <w:tcPr>
            <w:tcW w:type="dxa" w:w="3022"/>
            <w:tcBorders>
              <w:top w:sz="4" w:val="nil"/>
              <w:left w:sz="4" w:val="nil"/>
              <w:bottom w:sz="4" w:val="nil"/>
              <w:right w:sz="4" w:val="nil"/>
            </w:tcBorders>
            <w:vAlign w:val="center"/>
          </w:tcPr>
          <w:p w14:paraId="29000000">
            <w:pPr>
              <w:widowControl w:val="0"/>
              <w:spacing w:after="0" w:line="240" w:lineRule="auto"/>
              <w:ind/>
              <w:jc w:val="center"/>
              <w:rPr>
                <w:rFonts w:ascii="Times New Roman" w:hAnsi="Times New Roman"/>
              </w:rPr>
            </w:pPr>
          </w:p>
        </w:tc>
        <w:tc>
          <w:tcPr>
            <w:tcW w:type="dxa" w:w="4134"/>
            <w:tcBorders>
              <w:top w:color="000000" w:sz="4" w:val="single"/>
              <w:left w:sz="4" w:val="nil"/>
              <w:bottom w:sz="4" w:val="nil"/>
              <w:right w:sz="4" w:val="nil"/>
            </w:tcBorders>
            <w:vAlign w:val="center"/>
          </w:tcPr>
          <w:p w14:paraId="2A000000">
            <w:pPr>
              <w:widowControl w:val="0"/>
              <w:spacing w:after="0" w:line="240" w:lineRule="auto"/>
              <w:ind/>
              <w:jc w:val="center"/>
              <w:rPr>
                <w:rFonts w:ascii="Times New Roman" w:hAnsi="Times New Roman"/>
                <w:sz w:val="16"/>
              </w:rPr>
            </w:pPr>
            <w:r>
              <w:rPr>
                <w:rFonts w:ascii="Times New Roman" w:hAnsi="Times New Roman"/>
                <w:sz w:val="16"/>
              </w:rPr>
              <w:t>(Фамилия, Имя, Отчество)</w:t>
            </w:r>
          </w:p>
        </w:tc>
        <w:tc>
          <w:tcPr>
            <w:tcW w:type="dxa" w:w="566"/>
            <w:tcBorders>
              <w:top w:sz="4" w:val="nil"/>
              <w:left w:sz="4" w:val="nil"/>
              <w:bottom w:sz="4" w:val="nil"/>
              <w:right w:sz="4" w:val="nil"/>
            </w:tcBorders>
            <w:vAlign w:val="center"/>
          </w:tcPr>
          <w:p w14:paraId="2B000000">
            <w:pPr>
              <w:widowControl w:val="0"/>
              <w:spacing w:after="0" w:line="240" w:lineRule="auto"/>
              <w:ind/>
              <w:jc w:val="center"/>
              <w:rPr>
                <w:rFonts w:ascii="Times New Roman" w:hAnsi="Times New Roman"/>
                <w:sz w:val="16"/>
              </w:rPr>
            </w:pPr>
          </w:p>
        </w:tc>
        <w:tc>
          <w:tcPr>
            <w:tcW w:type="dxa" w:w="1849"/>
            <w:tcBorders>
              <w:top w:color="000000" w:sz="4" w:val="single"/>
              <w:left w:sz="4" w:val="nil"/>
              <w:bottom w:sz="4" w:val="nil"/>
              <w:right w:sz="4" w:val="nil"/>
            </w:tcBorders>
            <w:vAlign w:val="center"/>
          </w:tcPr>
          <w:p w14:paraId="2C000000">
            <w:pPr>
              <w:widowControl w:val="0"/>
              <w:spacing w:after="0" w:line="240" w:lineRule="auto"/>
              <w:ind/>
              <w:jc w:val="center"/>
              <w:rPr>
                <w:rFonts w:ascii="Times New Roman" w:hAnsi="Times New Roman"/>
                <w:sz w:val="16"/>
              </w:rPr>
            </w:pPr>
            <w:r>
              <w:rPr>
                <w:rFonts w:ascii="Times New Roman" w:hAnsi="Times New Roman"/>
                <w:sz w:val="16"/>
              </w:rPr>
              <w:t>(подпись)</w:t>
            </w:r>
          </w:p>
        </w:tc>
        <w:tc>
          <w:tcPr>
            <w:tcW w:type="dxa" w:w="1693"/>
            <w:vAlign w:val="center"/>
          </w:tcPr>
          <w:p w14:paraId="2D000000">
            <w:pPr>
              <w:spacing w:after="0" w:line="240" w:lineRule="auto"/>
              <w:ind/>
            </w:pPr>
          </w:p>
        </w:tc>
        <w:tc>
          <w:tcPr>
            <w:tcW w:type="dxa" w:w="1708"/>
            <w:vAlign w:val="center"/>
          </w:tcPr>
          <w:p w14:paraId="2E000000">
            <w:pPr>
              <w:spacing w:after="0" w:line="240" w:lineRule="auto"/>
              <w:ind/>
            </w:pPr>
            <w:r>
              <w:rPr>
                <w:rFonts w:ascii="Times New Roman" w:hAnsi="Times New Roman"/>
                <w:sz w:val="16"/>
              </w:rPr>
              <w:t>(подпись)</w:t>
            </w:r>
          </w:p>
        </w:tc>
      </w:tr>
    </w:tbl>
    <w:p w14:paraId="2F000000">
      <w:pPr>
        <w:ind/>
        <w:jc w:val="center"/>
        <w:rPr>
          <w:rFonts w:ascii="Times New Roman" w:hAnsi="Times New Roman"/>
          <w:b w:val="1"/>
          <w:sz w:val="24"/>
        </w:rPr>
      </w:pPr>
    </w:p>
    <w:p w14:paraId="30000000">
      <w:pPr>
        <w:ind/>
        <w:jc w:val="center"/>
        <w:rPr>
          <w:rFonts w:ascii="Times New Roman" w:hAnsi="Times New Roman"/>
          <w:b w:val="1"/>
          <w:sz w:val="24"/>
        </w:rPr>
      </w:pPr>
    </w:p>
    <w:p w14:paraId="31000000">
      <w:pPr>
        <w:ind/>
        <w:jc w:val="center"/>
        <w:rPr>
          <w:rFonts w:ascii="Times New Roman" w:hAnsi="Times New Roman"/>
          <w:b w:val="1"/>
          <w:sz w:val="24"/>
        </w:rPr>
      </w:pPr>
    </w:p>
    <w:p w14:paraId="32000000">
      <w:pPr>
        <w:ind/>
        <w:jc w:val="center"/>
        <w:rPr>
          <w:rFonts w:ascii="Times New Roman" w:hAnsi="Times New Roman"/>
          <w:b w:val="1"/>
          <w:sz w:val="24"/>
        </w:rPr>
      </w:pPr>
    </w:p>
    <w:p w14:paraId="33000000">
      <w:pPr>
        <w:ind/>
        <w:jc w:val="center"/>
        <w:rPr>
          <w:rFonts w:ascii="Times New Roman" w:hAnsi="Times New Roman"/>
          <w:b w:val="1"/>
          <w:sz w:val="24"/>
        </w:rPr>
      </w:pPr>
    </w:p>
    <w:p w14:paraId="34000000">
      <w:pPr>
        <w:ind/>
        <w:jc w:val="center"/>
        <w:rPr>
          <w:rFonts w:ascii="Times New Roman" w:hAnsi="Times New Roman"/>
          <w:b w:val="1"/>
          <w:sz w:val="24"/>
        </w:rPr>
      </w:pPr>
    </w:p>
    <w:p w14:paraId="35000000">
      <w:pPr>
        <w:ind/>
        <w:jc w:val="center"/>
        <w:rPr>
          <w:rFonts w:ascii="Times New Roman" w:hAnsi="Times New Roman"/>
          <w:b w:val="1"/>
          <w:sz w:val="24"/>
        </w:rPr>
      </w:pPr>
    </w:p>
    <w:p w14:paraId="36000000">
      <w:pPr>
        <w:ind/>
        <w:jc w:val="center"/>
        <w:rPr>
          <w:rFonts w:ascii="Times New Roman" w:hAnsi="Times New Roman"/>
          <w:b w:val="1"/>
          <w:color w:themeColor="text1" w:val="000000"/>
          <w:sz w:val="28"/>
        </w:rPr>
      </w:pPr>
      <w:r>
        <w:rPr>
          <w:rFonts w:ascii="Times New Roman" w:hAnsi="Times New Roman"/>
          <w:b w:val="1"/>
          <w:sz w:val="28"/>
        </w:rPr>
        <w:t>МОСКВА 2026 г.</w:t>
      </w:r>
      <w:r>
        <w:rPr>
          <w:rFonts w:ascii="Times New Roman" w:hAnsi="Times New Roman"/>
          <w:b w:val="1"/>
          <w:color w:themeColor="text1" w:val="000000"/>
          <w:sz w:val="28"/>
        </w:rPr>
        <w:br w:type="page"/>
      </w:r>
    </w:p>
    <w:p w14:paraId="37000000">
      <w:r>
        <w:drawing>
          <wp:inline>
            <wp:extent cx="6496050" cy="9194057"/>
            <wp:effectExtent b="0" l="0" r="0" t="0"/>
            <wp:docPr hidden="false" id="2" name="Picture 2"/>
            <a:graphic>
              <a:graphicData uri="http://schemas.openxmlformats.org/drawingml/2006/picture">
                <pic:pic>
                  <pic:nvPicPr>
                    <pic:cNvPr hidden="false" id="1" name="Picture 1"/>
                    <pic:cNvPicPr preferRelativeResize="true"/>
                  </pic:nvPicPr>
                  <pic:blipFill>
                    <a:blip r:embed="rId2"/>
                    <a:stretch/>
                  </pic:blipFill>
                  <pic:spPr>
                    <a:xfrm flipH="false" flipV="false" rot="0">
                      <a:ext cx="6496050" cy="9194057"/>
                    </a:xfrm>
                    <a:prstGeom prst="rect"/>
                  </pic:spPr>
                </pic:pic>
              </a:graphicData>
            </a:graphic>
          </wp:inline>
        </w:drawing>
      </w:r>
      <w:r>
        <w:drawing>
          <wp:inline>
            <wp:extent cx="6366510" cy="9010715"/>
            <wp:effectExtent b="0" l="0" r="0" t="0"/>
            <wp:docPr hidden="false" id="4" name="Picture 4"/>
            <a:graphic>
              <a:graphicData uri="http://schemas.openxmlformats.org/drawingml/2006/picture">
                <pic:pic>
                  <pic:nvPicPr>
                    <pic:cNvPr hidden="false" id="3" name="Picture 3"/>
                    <pic:cNvPicPr preferRelativeResize="true"/>
                  </pic:nvPicPr>
                  <pic:blipFill>
                    <a:blip r:embed="rId3"/>
                    <a:stretch/>
                  </pic:blipFill>
                  <pic:spPr>
                    <a:xfrm flipH="false" flipV="false" rot="0">
                      <a:ext cx="6366510" cy="9010715"/>
                    </a:xfrm>
                    <a:prstGeom prst="rect"/>
                  </pic:spPr>
                </pic:pic>
              </a:graphicData>
            </a:graphic>
          </wp:inline>
        </w:drawing>
      </w:r>
    </w:p>
    <w:p w14:paraId="3800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39000000">
      <w:pPr>
        <w:pStyle w:val="Style_4"/>
        <w:ind/>
        <w:jc w:val="center"/>
        <w:rPr>
          <w:rFonts w:ascii="Times New Roman" w:hAnsi="Times New Roman"/>
          <w:color w:themeColor="text1" w:val="000000"/>
          <w:sz w:val="28"/>
        </w:rPr>
      </w:pPr>
      <w:r>
        <w:rPr>
          <w:rFonts w:ascii="Times New Roman" w:hAnsi="Times New Roman"/>
          <w:color w:themeColor="text1" w:val="000000"/>
          <w:sz w:val="28"/>
        </w:rPr>
        <w:t>СОДЕРЖАНИЕ</w:t>
      </w:r>
    </w:p>
    <w:p>
      <w:pPr>
        <w:pStyle w:val="Style_5"/>
        <w:tabs>
          <w:tab w:leader="dot" w:pos="9354" w:val="right"/>
        </w:tabs>
        <w:ind/>
      </w:pPr>
      <w:r>
        <w:fldChar w:fldCharType="begin"/>
      </w:r>
      <w:r>
        <w:instrText xml:space="preserve">TOC \h \z \u \o "1-3"</w:instrText>
      </w:r>
      <w:r>
        <w:fldChar w:fldCharType="separate"/>
      </w:r>
      <w:r>
        <w:fldChar w:fldCharType="begin"/>
      </w:r>
      <w:r>
        <w:instrText>HYPERLINK \l "__RefHeading___1"</w:instrText>
      </w:r>
      <w:r>
        <w:fldChar w:fldCharType="separate"/>
      </w:r>
      <w:r>
        <w:t>БУХГАЛТЕРСКИЙ УЧЕТ И АНАЛИЗ КРЕДИТОВ И</w:t>
      </w:r>
      <w:r>
        <w:tab/>
      </w:r>
      <w:r>
        <w:fldChar w:fldCharType="begin"/>
      </w:r>
      <w:r>
        <w:instrText>PAGEREF __RefHeading___1 \h</w:instrText>
      </w:r>
      <w:r>
        <w:fldChar w:fldCharType="separate"/>
      </w:r>
      <w:r>
        <w:t>1</w:t>
      </w:r>
      <w:r>
        <w:fldChar w:fldCharType="end"/>
      </w:r>
      <w:r>
        <w:fldChar w:fldCharType="end"/>
      </w:r>
    </w:p>
    <w:p w14:paraId="3B000000">
      <w:pPr>
        <w:pStyle w:val="Style_6"/>
        <w:tabs>
          <w:tab w:leader="dot" w:pos="9354" w:val="right"/>
        </w:tabs>
        <w:ind/>
      </w:pPr>
      <w:r>
        <w:fldChar w:fldCharType="begin"/>
      </w:r>
      <w:r>
        <w:instrText>HYPERLINK \l "__RefHeading___2"</w:instrText>
      </w:r>
      <w:r>
        <w:fldChar w:fldCharType="separate"/>
      </w:r>
      <w:r>
        <w:t>ВВЕДЕНИЕ</w:t>
      </w:r>
      <w:r>
        <w:tab/>
      </w:r>
      <w:r>
        <w:fldChar w:fldCharType="begin"/>
      </w:r>
      <w:r>
        <w:instrText>PAGEREF __RefHeading___2 \h</w:instrText>
      </w:r>
      <w:r>
        <w:fldChar w:fldCharType="separate"/>
      </w:r>
      <w:r>
        <w:t>7</w:t>
      </w:r>
      <w:r>
        <w:fldChar w:fldCharType="end"/>
      </w:r>
      <w:r>
        <w:fldChar w:fldCharType="end"/>
      </w:r>
    </w:p>
    <w:p w14:paraId="3C000000">
      <w:pPr>
        <w:pStyle w:val="Style_6"/>
        <w:tabs>
          <w:tab w:leader="dot" w:pos="9354" w:val="right"/>
        </w:tabs>
        <w:ind/>
      </w:pPr>
      <w:r>
        <w:fldChar w:fldCharType="begin"/>
      </w:r>
      <w:r>
        <w:instrText>HYPERLINK \l "__RefHeading___3"</w:instrText>
      </w:r>
      <w:r>
        <w:fldChar w:fldCharType="separate"/>
      </w:r>
      <w:r>
        <w:t>ГЛАВА 1. ТЕОРЕТИЧЕСКИЕ ОСНОВЫ УЧЕТА И АНАЛИЗА КРЕДИТОВ И ЗАЙМОВ</w:t>
      </w:r>
      <w:r>
        <w:tab/>
      </w:r>
      <w:r>
        <w:fldChar w:fldCharType="begin"/>
      </w:r>
      <w:r>
        <w:instrText>PAGEREF __RefHeading___3 \h</w:instrText>
      </w:r>
      <w:r>
        <w:fldChar w:fldCharType="separate"/>
      </w:r>
      <w:r>
        <w:t>10</w:t>
      </w:r>
      <w:r>
        <w:fldChar w:fldCharType="end"/>
      </w:r>
      <w:r>
        <w:fldChar w:fldCharType="end"/>
      </w:r>
    </w:p>
    <w:p w14:paraId="3D000000">
      <w:pPr>
        <w:pStyle w:val="Style_6"/>
        <w:tabs>
          <w:tab w:leader="dot" w:pos="9354" w:val="right"/>
        </w:tabs>
        <w:ind/>
      </w:pPr>
      <w:r>
        <w:fldChar w:fldCharType="begin"/>
      </w:r>
      <w:r>
        <w:instrText>HYPERLINK \l "__RefHeading___4"</w:instrText>
      </w:r>
      <w:r>
        <w:fldChar w:fldCharType="separate"/>
      </w:r>
      <w:r>
        <w:t>1.1. Понятие кредитов и займов</w:t>
      </w:r>
      <w:r>
        <w:tab/>
      </w:r>
      <w:r>
        <w:fldChar w:fldCharType="begin"/>
      </w:r>
      <w:r>
        <w:instrText>PAGEREF __RefHeading___4 \h</w:instrText>
      </w:r>
      <w:r>
        <w:fldChar w:fldCharType="separate"/>
      </w:r>
      <w:r>
        <w:t>10</w:t>
      </w:r>
      <w:r>
        <w:fldChar w:fldCharType="end"/>
      </w:r>
      <w:r>
        <w:fldChar w:fldCharType="end"/>
      </w:r>
    </w:p>
    <w:p w14:paraId="3E000000">
      <w:pPr>
        <w:pStyle w:val="Style_6"/>
        <w:tabs>
          <w:tab w:leader="dot" w:pos="9354" w:val="right"/>
        </w:tabs>
        <w:ind/>
      </w:pPr>
      <w:r>
        <w:fldChar w:fldCharType="begin"/>
      </w:r>
      <w:r>
        <w:instrText>HYPERLINK \l "__RefHeading___5"</w:instrText>
      </w:r>
      <w:r>
        <w:fldChar w:fldCharType="separate"/>
      </w:r>
      <w:r>
        <w:t>1.2.    Особенности организации учета кредитов и займов</w:t>
      </w:r>
      <w:r>
        <w:tab/>
      </w:r>
      <w:r>
        <w:fldChar w:fldCharType="begin"/>
      </w:r>
      <w:r>
        <w:instrText>PAGEREF __RefHeading___5 \h</w:instrText>
      </w:r>
      <w:r>
        <w:fldChar w:fldCharType="separate"/>
      </w:r>
      <w:r>
        <w:t>18</w:t>
      </w:r>
      <w:r>
        <w:fldChar w:fldCharType="end"/>
      </w:r>
      <w:r>
        <w:fldChar w:fldCharType="end"/>
      </w:r>
    </w:p>
    <w:p w14:paraId="3F000000">
      <w:pPr>
        <w:pStyle w:val="Style_6"/>
        <w:tabs>
          <w:tab w:leader="dot" w:pos="9354" w:val="right"/>
        </w:tabs>
        <w:ind/>
      </w:pPr>
      <w:r>
        <w:fldChar w:fldCharType="begin"/>
      </w:r>
      <w:r>
        <w:instrText>HYPERLINK \l "__RefHeading___6"</w:instrText>
      </w:r>
      <w:r>
        <w:fldChar w:fldCharType="separate"/>
      </w:r>
      <w:r>
        <w:t>1.3.    Методика анализа кредитов и займов</w:t>
      </w:r>
      <w:r>
        <w:tab/>
      </w:r>
      <w:r>
        <w:fldChar w:fldCharType="begin"/>
      </w:r>
      <w:r>
        <w:instrText>PAGEREF __RefHeading___6 \h</w:instrText>
      </w:r>
      <w:r>
        <w:fldChar w:fldCharType="separate"/>
      </w:r>
      <w:r>
        <w:t>24</w:t>
      </w:r>
      <w:r>
        <w:fldChar w:fldCharType="end"/>
      </w:r>
      <w:r>
        <w:fldChar w:fldCharType="end"/>
      </w:r>
    </w:p>
    <w:p w14:paraId="40000000">
      <w:pPr>
        <w:pStyle w:val="Style_6"/>
        <w:tabs>
          <w:tab w:leader="dot" w:pos="9354" w:val="right"/>
        </w:tabs>
        <w:ind/>
      </w:pPr>
      <w:r>
        <w:fldChar w:fldCharType="begin"/>
      </w:r>
      <w:r>
        <w:instrText>HYPERLINK \l "__RefHeading___7"</w:instrText>
      </w:r>
      <w:r>
        <w:fldChar w:fldCharType="separate"/>
      </w:r>
      <w:r>
        <w:t>ГЛАВА 2. ОРГАНИЗАЦИЯ УЧЕТА И АНАЛИЗ КРЕДИТОВ И ЗАЙМОВ (НА ПРИМЕРЕ ПАО «ГАЗПРОМ»)</w:t>
      </w:r>
      <w:r>
        <w:tab/>
      </w:r>
      <w:r>
        <w:fldChar w:fldCharType="begin"/>
      </w:r>
      <w:r>
        <w:instrText>PAGEREF __RefHeading___7 \h</w:instrText>
      </w:r>
      <w:r>
        <w:fldChar w:fldCharType="separate"/>
      </w:r>
      <w:r>
        <w:t>31</w:t>
      </w:r>
      <w:r>
        <w:fldChar w:fldCharType="end"/>
      </w:r>
      <w:r>
        <w:fldChar w:fldCharType="end"/>
      </w:r>
    </w:p>
    <w:p w14:paraId="41000000">
      <w:pPr>
        <w:pStyle w:val="Style_6"/>
        <w:tabs>
          <w:tab w:leader="dot" w:pos="9354" w:val="right"/>
        </w:tabs>
        <w:ind/>
      </w:pPr>
      <w:r>
        <w:fldChar w:fldCharType="begin"/>
      </w:r>
      <w:r>
        <w:instrText>HYPERLINK \l "__RefHeading___8"</w:instrText>
      </w:r>
      <w:r>
        <w:fldChar w:fldCharType="separate"/>
      </w:r>
      <w:r>
        <w:t>2.1. Финансово-экономическая характеристика организации</w:t>
      </w:r>
      <w:r>
        <w:tab/>
      </w:r>
      <w:r>
        <w:fldChar w:fldCharType="begin"/>
      </w:r>
      <w:r>
        <w:instrText>PAGEREF __RefHeading___8 \h</w:instrText>
      </w:r>
      <w:r>
        <w:fldChar w:fldCharType="separate"/>
      </w:r>
      <w:r>
        <w:t>31</w:t>
      </w:r>
      <w:r>
        <w:fldChar w:fldCharType="end"/>
      </w:r>
      <w:r>
        <w:fldChar w:fldCharType="end"/>
      </w:r>
    </w:p>
    <w:p w14:paraId="42000000">
      <w:pPr>
        <w:pStyle w:val="Style_6"/>
        <w:tabs>
          <w:tab w:leader="dot" w:pos="9354" w:val="right"/>
        </w:tabs>
        <w:ind/>
      </w:pPr>
      <w:r>
        <w:fldChar w:fldCharType="begin"/>
      </w:r>
      <w:r>
        <w:instrText>HYPERLINK \l "__RefHeading___9"</w:instrText>
      </w:r>
      <w:r>
        <w:fldChar w:fldCharType="separate"/>
      </w:r>
      <w:r>
        <w:t>2.2. Организация учета кредитов и займов в организации</w:t>
      </w:r>
      <w:r>
        <w:tab/>
      </w:r>
      <w:r>
        <w:fldChar w:fldCharType="begin"/>
      </w:r>
      <w:r>
        <w:instrText>PAGEREF __RefHeading___9 \h</w:instrText>
      </w:r>
      <w:r>
        <w:fldChar w:fldCharType="separate"/>
      </w:r>
      <w:r>
        <w:t>37</w:t>
      </w:r>
      <w:r>
        <w:fldChar w:fldCharType="end"/>
      </w:r>
      <w:r>
        <w:fldChar w:fldCharType="end"/>
      </w:r>
    </w:p>
    <w:p w14:paraId="43000000">
      <w:pPr>
        <w:pStyle w:val="Style_6"/>
        <w:tabs>
          <w:tab w:leader="dot" w:pos="9354" w:val="right"/>
        </w:tabs>
        <w:ind/>
      </w:pPr>
      <w:r>
        <w:fldChar w:fldCharType="begin"/>
      </w:r>
      <w:r>
        <w:instrText>HYPERLINK \l "__RefHeading___10"</w:instrText>
      </w:r>
      <w:r>
        <w:fldChar w:fldCharType="separate"/>
      </w:r>
      <w:r>
        <w:t>2.3. Анализ кредитов и займов в организации</w:t>
      </w:r>
      <w:r>
        <w:tab/>
      </w:r>
      <w:r>
        <w:fldChar w:fldCharType="begin"/>
      </w:r>
      <w:r>
        <w:instrText>PAGEREF __RefHeading___10 \h</w:instrText>
      </w:r>
      <w:r>
        <w:fldChar w:fldCharType="separate"/>
      </w:r>
      <w:r>
        <w:t>46</w:t>
      </w:r>
      <w:r>
        <w:fldChar w:fldCharType="end"/>
      </w:r>
      <w:r>
        <w:fldChar w:fldCharType="end"/>
      </w:r>
    </w:p>
    <w:p w14:paraId="44000000">
      <w:pPr>
        <w:pStyle w:val="Style_7"/>
        <w:tabs>
          <w:tab w:leader="dot" w:pos="9354" w:val="right"/>
        </w:tabs>
        <w:ind/>
      </w:pPr>
      <w:r>
        <w:fldChar w:fldCharType="begin"/>
      </w:r>
      <w:r>
        <w:instrText>HYPERLINK \l "__RefHeading___11"</w:instrText>
      </w:r>
      <w:r>
        <w:fldChar w:fldCharType="separate"/>
      </w:r>
      <w:r>
        <w:t>Вывод по горизонтальному анализу</w:t>
      </w:r>
      <w:r>
        <w:tab/>
      </w:r>
      <w:r>
        <w:fldChar w:fldCharType="begin"/>
      </w:r>
      <w:r>
        <w:instrText>PAGEREF __RefHeading___11 \h</w:instrText>
      </w:r>
      <w:r>
        <w:fldChar w:fldCharType="separate"/>
      </w:r>
      <w:r>
        <w:t>48</w:t>
      </w:r>
      <w:r>
        <w:fldChar w:fldCharType="end"/>
      </w:r>
      <w:r>
        <w:fldChar w:fldCharType="end"/>
      </w:r>
    </w:p>
    <w:p w14:paraId="45000000">
      <w:pPr>
        <w:pStyle w:val="Style_7"/>
        <w:tabs>
          <w:tab w:leader="dot" w:pos="9354" w:val="right"/>
        </w:tabs>
        <w:ind/>
      </w:pPr>
      <w:r>
        <w:fldChar w:fldCharType="begin"/>
      </w:r>
      <w:r>
        <w:instrText>HYPERLINK \l "__RefHeading___12"</w:instrText>
      </w:r>
      <w:r>
        <w:fldChar w:fldCharType="separate"/>
      </w:r>
      <w:r>
        <w:t>Таблица 8</w:t>
      </w:r>
      <w:r>
        <w:tab/>
      </w:r>
      <w:r>
        <w:fldChar w:fldCharType="begin"/>
      </w:r>
      <w:r>
        <w:instrText>PAGEREF __RefHeading___12 \h</w:instrText>
      </w:r>
      <w:r>
        <w:fldChar w:fldCharType="separate"/>
      </w:r>
      <w:r>
        <w:t>48</w:t>
      </w:r>
      <w:r>
        <w:fldChar w:fldCharType="end"/>
      </w:r>
      <w:r>
        <w:fldChar w:fldCharType="end"/>
      </w:r>
    </w:p>
    <w:p w14:paraId="46000000">
      <w:pPr>
        <w:pStyle w:val="Style_7"/>
        <w:tabs>
          <w:tab w:leader="dot" w:pos="9354" w:val="right"/>
        </w:tabs>
        <w:ind/>
      </w:pPr>
      <w:r>
        <w:fldChar w:fldCharType="begin"/>
      </w:r>
      <w:r>
        <w:instrText>HYPERLINK \l "__RefHeading___13"</w:instrText>
      </w:r>
      <w:r>
        <w:fldChar w:fldCharType="separate"/>
      </w:r>
      <w:r>
        <w:t>Данные бухгалтерского баланса для расчета коэффициентов</w:t>
      </w:r>
      <w:r>
        <w:tab/>
      </w:r>
      <w:r>
        <w:fldChar w:fldCharType="begin"/>
      </w:r>
      <w:r>
        <w:instrText>PAGEREF __RefHeading___13 \h</w:instrText>
      </w:r>
      <w:r>
        <w:fldChar w:fldCharType="separate"/>
      </w:r>
      <w:r>
        <w:t>48</w:t>
      </w:r>
      <w:r>
        <w:fldChar w:fldCharType="end"/>
      </w:r>
      <w:r>
        <w:fldChar w:fldCharType="end"/>
      </w:r>
    </w:p>
    <w:p w14:paraId="47000000">
      <w:pPr>
        <w:pStyle w:val="Style_7"/>
        <w:tabs>
          <w:tab w:leader="dot" w:pos="9354" w:val="right"/>
        </w:tabs>
        <w:ind/>
      </w:pPr>
      <w:r>
        <w:fldChar w:fldCharType="begin"/>
      </w:r>
      <w:r>
        <w:instrText>HYPERLINK \l "__RefHeading___14"</w:instrText>
      </w:r>
      <w:r>
        <w:fldChar w:fldCharType="separate"/>
      </w:r>
      <w:r>
        <w:t>Таблица 9</w:t>
      </w:r>
      <w:r>
        <w:tab/>
      </w:r>
      <w:r>
        <w:fldChar w:fldCharType="begin"/>
      </w:r>
      <w:r>
        <w:instrText>PAGEREF __RefHeading___14 \h</w:instrText>
      </w:r>
      <w:r>
        <w:fldChar w:fldCharType="separate"/>
      </w:r>
      <w:r>
        <w:t>48</w:t>
      </w:r>
      <w:r>
        <w:fldChar w:fldCharType="end"/>
      </w:r>
      <w:r>
        <w:fldChar w:fldCharType="end"/>
      </w:r>
    </w:p>
    <w:p w14:paraId="48000000">
      <w:pPr>
        <w:pStyle w:val="Style_7"/>
        <w:tabs>
          <w:tab w:leader="dot" w:pos="9354" w:val="right"/>
        </w:tabs>
        <w:ind/>
      </w:pPr>
      <w:r>
        <w:fldChar w:fldCharType="begin"/>
      </w:r>
      <w:r>
        <w:instrText>HYPERLINK \l "__RefHeading___15"</w:instrText>
      </w:r>
      <w:r>
        <w:fldChar w:fldCharType="separate"/>
      </w:r>
      <w:r>
        <w:t>Расчет коэффициентов финансовой устойчивости</w:t>
      </w:r>
      <w:r>
        <w:tab/>
      </w:r>
      <w:r>
        <w:fldChar w:fldCharType="begin"/>
      </w:r>
      <w:r>
        <w:instrText>PAGEREF __RefHeading___15 \h</w:instrText>
      </w:r>
      <w:r>
        <w:fldChar w:fldCharType="separate"/>
      </w:r>
      <w:r>
        <w:t>48</w:t>
      </w:r>
      <w:r>
        <w:fldChar w:fldCharType="end"/>
      </w:r>
      <w:r>
        <w:fldChar w:fldCharType="end"/>
      </w:r>
    </w:p>
    <w:p w14:paraId="49000000">
      <w:pPr>
        <w:pStyle w:val="Style_7"/>
        <w:tabs>
          <w:tab w:leader="dot" w:pos="9354" w:val="right"/>
        </w:tabs>
        <w:ind/>
      </w:pPr>
      <w:r>
        <w:fldChar w:fldCharType="begin"/>
      </w:r>
      <w:r>
        <w:instrText>HYPERLINK \l "__RefHeading___16"</w:instrText>
      </w:r>
      <w:r>
        <w:fldChar w:fldCharType="separate"/>
      </w:r>
      <w:r>
        <w:t>По итогам вертикального анализа можно сказать следующее. Доля собственного капитала за рассматриваемый период немного уменьшилась. При этом доля краткосрочных обязательств выросла. Тем не менее общую структуру капитала пока ещё можно назвать устойчивой.</w:t>
      </w:r>
      <w:r>
        <w:tab/>
      </w:r>
      <w:r>
        <w:fldChar w:fldCharType="begin"/>
      </w:r>
      <w:r>
        <w:instrText>PAGEREF __RefHeading___16 \h</w:instrText>
      </w:r>
      <w:r>
        <w:fldChar w:fldCharType="separate"/>
      </w:r>
      <w:r>
        <w:t>50</w:t>
      </w:r>
      <w:r>
        <w:fldChar w:fldCharType="end"/>
      </w:r>
      <w:r>
        <w:fldChar w:fldCharType="end"/>
      </w:r>
    </w:p>
    <w:p w14:paraId="4A000000">
      <w:pPr>
        <w:pStyle w:val="Style_7"/>
        <w:tabs>
          <w:tab w:leader="dot" w:pos="9354" w:val="right"/>
        </w:tabs>
        <w:ind/>
      </w:pPr>
      <w:r>
        <w:fldChar w:fldCharType="begin"/>
      </w:r>
      <w:r>
        <w:instrText>HYPERLINK \l "__RefHeading___17"</w:instrText>
      </w:r>
      <w:r>
        <w:fldChar w:fldCharType="separate"/>
      </w:r>
      <w:r>
        <w:t>Организация сохраняет финансовую устойчивость, хотя умеренное увеличение долговой нагрузки уже заметно.</w:t>
      </w:r>
      <w:r>
        <w:tab/>
      </w:r>
      <w:r>
        <w:fldChar w:fldCharType="begin"/>
      </w:r>
      <w:r>
        <w:instrText>PAGEREF __RefHeading___17 \h</w:instrText>
      </w:r>
      <w:r>
        <w:fldChar w:fldCharType="separate"/>
      </w:r>
      <w:r>
        <w:t>50</w:t>
      </w:r>
      <w:r>
        <w:fldChar w:fldCharType="end"/>
      </w:r>
      <w:r>
        <w:fldChar w:fldCharType="end"/>
      </w:r>
    </w:p>
    <w:p w14:paraId="4B000000">
      <w:pPr>
        <w:pStyle w:val="Style_6"/>
        <w:tabs>
          <w:tab w:leader="dot" w:pos="9354" w:val="right"/>
        </w:tabs>
        <w:ind/>
      </w:pPr>
      <w:r>
        <w:fldChar w:fldCharType="begin"/>
      </w:r>
      <w:r>
        <w:instrText>HYPERLINK \l "__RefHeading___18"</w:instrText>
      </w:r>
      <w:r>
        <w:fldChar w:fldCharType="separate"/>
      </w:r>
      <w:r>
        <w:t>ГЛАВА 3. НАПРАВЛЕНИЯ СОВЕРШЕНСТВОВАНИЯ УЧЕТА И АНАЛИЗА КРЕДИТОВ И ЗАЙМОВ</w:t>
      </w:r>
      <w:r>
        <w:tab/>
      </w:r>
      <w:r>
        <w:fldChar w:fldCharType="begin"/>
      </w:r>
      <w:r>
        <w:instrText>PAGEREF __RefHeading___18 \h</w:instrText>
      </w:r>
      <w:r>
        <w:fldChar w:fldCharType="separate"/>
      </w:r>
      <w:r>
        <w:t>56</w:t>
      </w:r>
      <w:r>
        <w:fldChar w:fldCharType="end"/>
      </w:r>
      <w:r>
        <w:fldChar w:fldCharType="end"/>
      </w:r>
    </w:p>
    <w:p w14:paraId="4C000000">
      <w:pPr>
        <w:pStyle w:val="Style_6"/>
        <w:tabs>
          <w:tab w:leader="dot" w:pos="9354" w:val="right"/>
        </w:tabs>
        <w:ind/>
      </w:pPr>
      <w:r>
        <w:fldChar w:fldCharType="begin"/>
      </w:r>
      <w:r>
        <w:instrText>HYPERLINK \l "__RefHeading___19"</w:instrText>
      </w:r>
      <w:r>
        <w:fldChar w:fldCharType="separate"/>
      </w:r>
      <w:r>
        <w:t>3.1. Разработка предложений по совершенствованию управления кредитами и займами</w:t>
      </w:r>
      <w:r>
        <w:tab/>
      </w:r>
      <w:r>
        <w:fldChar w:fldCharType="begin"/>
      </w:r>
      <w:r>
        <w:instrText>PAGEREF __RefHeading___19 \h</w:instrText>
      </w:r>
      <w:r>
        <w:fldChar w:fldCharType="separate"/>
      </w:r>
      <w:r>
        <w:t>56</w:t>
      </w:r>
      <w:r>
        <w:fldChar w:fldCharType="end"/>
      </w:r>
      <w:r>
        <w:fldChar w:fldCharType="end"/>
      </w:r>
    </w:p>
    <w:p w14:paraId="4D000000">
      <w:pPr>
        <w:pStyle w:val="Style_6"/>
        <w:tabs>
          <w:tab w:leader="dot" w:pos="9354" w:val="right"/>
        </w:tabs>
        <w:ind/>
      </w:pPr>
      <w:r>
        <w:fldChar w:fldCharType="begin"/>
      </w:r>
      <w:r>
        <w:instrText>HYPERLINK \l "__RefHeading___20"</w:instrText>
      </w:r>
      <w:r>
        <w:fldChar w:fldCharType="separate"/>
      </w:r>
      <w:r>
        <w:t>3.2. Оценка эффективности предложенных мероприятий</w:t>
      </w:r>
      <w:r>
        <w:tab/>
      </w:r>
      <w:r>
        <w:fldChar w:fldCharType="begin"/>
      </w:r>
      <w:r>
        <w:instrText>PAGEREF __RefHeading___20 \h</w:instrText>
      </w:r>
      <w:r>
        <w:fldChar w:fldCharType="separate"/>
      </w:r>
      <w:r>
        <w:t>60</w:t>
      </w:r>
      <w:r>
        <w:fldChar w:fldCharType="end"/>
      </w:r>
      <w:r>
        <w:fldChar w:fldCharType="end"/>
      </w:r>
    </w:p>
    <w:p w14:paraId="4E000000">
      <w:pPr>
        <w:pStyle w:val="Style_5"/>
        <w:tabs>
          <w:tab w:leader="dot" w:pos="9354" w:val="right"/>
        </w:tabs>
        <w:ind/>
      </w:pPr>
      <w:r>
        <w:fldChar w:fldCharType="begin"/>
      </w:r>
      <w:r>
        <w:instrText>HYPERLINK \l "__RefHeading___21"</w:instrText>
      </w:r>
      <w:r>
        <w:fldChar w:fldCharType="separate"/>
      </w:r>
      <w:r>
        <w:t>6. Общий экономический эффект мероприятий</w:t>
      </w:r>
      <w:r>
        <w:tab/>
      </w:r>
      <w:r>
        <w:fldChar w:fldCharType="begin"/>
      </w:r>
      <w:r>
        <w:instrText>PAGEREF __RefHeading___21 \h</w:instrText>
      </w:r>
      <w:r>
        <w:fldChar w:fldCharType="separate"/>
      </w:r>
      <w:r>
        <w:t>62</w:t>
      </w:r>
      <w:r>
        <w:fldChar w:fldCharType="end"/>
      </w:r>
      <w:r>
        <w:fldChar w:fldCharType="end"/>
      </w:r>
    </w:p>
    <w:p w14:paraId="4F000000">
      <w:pPr>
        <w:pStyle w:val="Style_6"/>
        <w:tabs>
          <w:tab w:leader="dot" w:pos="9354" w:val="right"/>
        </w:tabs>
        <w:ind/>
      </w:pPr>
      <w:r>
        <w:fldChar w:fldCharType="begin"/>
      </w:r>
      <w:r>
        <w:instrText>HYPERLINK \l "__RefHeading___22"</w:instrText>
      </w:r>
      <w:r>
        <w:fldChar w:fldCharType="separate"/>
      </w:r>
      <w:r>
        <w:t>ЗАКЛЮЧЕНИЕ</w:t>
      </w:r>
      <w:r>
        <w:tab/>
      </w:r>
      <w:r>
        <w:fldChar w:fldCharType="begin"/>
      </w:r>
      <w:r>
        <w:instrText>PAGEREF __RefHeading___22 \h</w:instrText>
      </w:r>
      <w:r>
        <w:fldChar w:fldCharType="separate"/>
      </w:r>
      <w:r>
        <w:t>67</w:t>
      </w:r>
      <w:r>
        <w:fldChar w:fldCharType="end"/>
      </w:r>
      <w:r>
        <w:fldChar w:fldCharType="end"/>
      </w:r>
    </w:p>
    <w:p w14:paraId="50000000">
      <w:pPr>
        <w:pStyle w:val="Style_6"/>
        <w:tabs>
          <w:tab w:leader="dot" w:pos="9354" w:val="right"/>
        </w:tabs>
        <w:ind/>
      </w:pPr>
      <w:r>
        <w:fldChar w:fldCharType="begin"/>
      </w:r>
      <w:r>
        <w:instrText>HYPERLINK \l "__RefHeading___23"</w:instrText>
      </w:r>
      <w:r>
        <w:fldChar w:fldCharType="separate"/>
      </w:r>
      <w:r>
        <w:t>СПИСОК ИСПОЛЬЗОВАННЫХ ИСТОЧНИКОВ</w:t>
      </w:r>
      <w:r>
        <w:tab/>
      </w:r>
      <w:r>
        <w:fldChar w:fldCharType="begin"/>
      </w:r>
      <w:r>
        <w:instrText>PAGEREF __RefHeading___23 \h</w:instrText>
      </w:r>
      <w:r>
        <w:fldChar w:fldCharType="separate"/>
      </w:r>
      <w:r>
        <w:t>70</w:t>
      </w:r>
      <w:r>
        <w:fldChar w:fldCharType="end"/>
      </w:r>
      <w:r>
        <w:fldChar w:fldCharType="end"/>
      </w:r>
    </w:p>
    <w:p w14:paraId="51000000">
      <w:pPr>
        <w:pStyle w:val="Style_6"/>
        <w:tabs>
          <w:tab w:leader="dot" w:pos="9354" w:val="right"/>
        </w:tabs>
        <w:ind/>
      </w:pPr>
      <w:r>
        <w:fldChar w:fldCharType="begin"/>
      </w:r>
      <w:r>
        <w:instrText>HYPERLINK \l "__RefHeading___24"</w:instrText>
      </w:r>
      <w:r>
        <w:fldChar w:fldCharType="separate"/>
      </w:r>
      <w:r>
        <w:t>ПРИЛОЖЕНИЯ</w:t>
      </w:r>
      <w:r>
        <w:tab/>
      </w:r>
      <w:r>
        <w:fldChar w:fldCharType="begin"/>
      </w:r>
      <w:r>
        <w:instrText>PAGEREF __RefHeading___24 \h</w:instrText>
      </w:r>
      <w:r>
        <w:fldChar w:fldCharType="separate"/>
      </w:r>
      <w:r>
        <w:t>75</w:t>
      </w:r>
      <w:r>
        <w:fldChar w:fldCharType="end"/>
      </w:r>
      <w:r>
        <w:fldChar w:fldCharType="end"/>
      </w:r>
    </w:p>
    <w:p w14:paraId="52000000">
      <w:pPr>
        <w:pStyle w:val="Style_7"/>
        <w:tabs>
          <w:tab w:leader="dot" w:pos="9354" w:val="right"/>
        </w:tabs>
        <w:ind/>
      </w:pPr>
      <w:r>
        <w:fldChar w:fldCharType="begin"/>
      </w:r>
      <w:r>
        <w:instrText>HYPERLINK \l "__RefHeading___25"</w:instrText>
      </w:r>
      <w:r>
        <w:fldChar w:fldCharType="separate"/>
      </w:r>
      <w:r>
        <w:t>Бухгалтерский баланс ПАО «Газпром» за 2022–2024 гг., млн руб.</w:t>
      </w:r>
      <w:r>
        <w:tab/>
      </w:r>
      <w:r>
        <w:fldChar w:fldCharType="begin"/>
      </w:r>
      <w:r>
        <w:instrText>PAGEREF __RefHeading___25 \h</w:instrText>
      </w:r>
      <w:r>
        <w:fldChar w:fldCharType="separate"/>
      </w:r>
      <w:r>
        <w:t>75</w:t>
      </w:r>
      <w:r>
        <w:fldChar w:fldCharType="end"/>
      </w:r>
      <w:r>
        <w:fldChar w:fldCharType="end"/>
      </w:r>
    </w:p>
    <w:p w14:paraId="53000000">
      <w:pPr>
        <w:pStyle w:val="Style_6"/>
        <w:tabs>
          <w:tab w:leader="dot" w:pos="9354" w:val="right"/>
        </w:tabs>
        <w:ind/>
      </w:pPr>
      <w:r>
        <w:fldChar w:fldCharType="begin"/>
      </w:r>
      <w:r>
        <w:instrText>HYPERLINK \l "__RefHeading___26"</w:instrText>
      </w:r>
      <w:r>
        <w:fldChar w:fldCharType="separate"/>
      </w:r>
      <w:r>
        <w:t>Выпускная квалификационная работа выполнена мной совершенно самостоятельно. Все использованные в работе материалы и концепции из опубликованной литературы и других источников имеют ссылки на них. Выпускная квалификационная работа прошла проверку на корректность заимствования в системе «Антиплагиат.ВУЗ».</w:t>
      </w:r>
      <w:r>
        <w:tab/>
      </w:r>
      <w:r>
        <w:fldChar w:fldCharType="begin"/>
      </w:r>
      <w:r>
        <w:instrText>PAGEREF __RefHeading___26 \h</w:instrText>
      </w:r>
      <w:r>
        <w:fldChar w:fldCharType="separate"/>
      </w:r>
      <w:r>
        <w:t>76</w:t>
      </w:r>
      <w:r>
        <w:fldChar w:fldCharType="end"/>
      </w:r>
      <w:r>
        <w:fldChar w:fldCharType="end"/>
      </w:r>
    </w:p>
    <w:p w14:paraId="54000000">
      <w:pPr>
        <w:pStyle w:val="Style_6"/>
        <w:tabs>
          <w:tab w:leader="dot" w:pos="9354" w:val="right"/>
        </w:tabs>
        <w:ind/>
      </w:pPr>
      <w:r>
        <w:fldChar w:fldCharType="begin"/>
      </w:r>
      <w:r>
        <w:instrText>HYPERLINK \l "__RefHeading___27"</w:instrText>
      </w:r>
      <w:r>
        <w:fldChar w:fldCharType="separate"/>
      </w:r>
      <w:r>
        <w:t>Настоящим подтверждаю, что даю разрешение Университету «Синергия» на размещение полного текста моей выпускной квалификационной работы и отзыва о работе в период ее подготовки в электронно-библиотечной системе Университета «Синергия».</w:t>
      </w:r>
      <w:r>
        <w:tab/>
      </w:r>
      <w:r>
        <w:fldChar w:fldCharType="begin"/>
      </w:r>
      <w:r>
        <w:instrText>PAGEREF __RefHeading___27 \h</w:instrText>
      </w:r>
      <w:r>
        <w:fldChar w:fldCharType="separate"/>
      </w:r>
      <w:r>
        <w:t>76</w:t>
      </w:r>
      <w:r>
        <w:fldChar w:fldCharType="end"/>
      </w:r>
      <w:r>
        <w:fldChar w:fldCharType="end"/>
      </w:r>
    </w:p>
    <w:p w14:paraId="55000000">
      <w:pPr>
        <w:pStyle w:val="Style_6"/>
        <w:tabs>
          <w:tab w:leader="dot" w:pos="9354" w:val="right"/>
        </w:tabs>
        <w:ind/>
      </w:pPr>
      <w:r>
        <w:fldChar w:fldCharType="begin"/>
      </w:r>
      <w:r>
        <w:instrText>HYPERLINK \l "__RefHeading___29"</w:instrText>
      </w:r>
      <w:r>
        <w:fldChar w:fldCharType="separate"/>
      </w:r>
      <w:r>
        <w:t>(подпись)</w:t>
      </w:r>
      <w:r>
        <w:tab/>
      </w:r>
      <w:r>
        <w:fldChar w:fldCharType="begin"/>
      </w:r>
      <w:r>
        <w:instrText>PAGEREF __RefHeading___29 \h</w:instrText>
      </w:r>
      <w:r>
        <w:fldChar w:fldCharType="separate"/>
      </w:r>
      <w:r>
        <w:t>76</w:t>
      </w:r>
      <w:r>
        <w:fldChar w:fldCharType="end"/>
      </w:r>
      <w:r>
        <w:fldChar w:fldCharType="end"/>
      </w:r>
    </w:p>
    <w:p w14:paraId="56000000">
      <w:pPr>
        <w:pStyle w:val="Style_6"/>
        <w:tabs>
          <w:tab w:leader="dot" w:pos="9354" w:val="right"/>
        </w:tabs>
        <w:ind/>
      </w:pPr>
      <w:r>
        <w:fldChar w:fldCharType="begin"/>
      </w:r>
      <w:r>
        <w:instrText>HYPERLINK \l "__RefHeading___30"</w:instrText>
      </w:r>
      <w:r>
        <w:fldChar w:fldCharType="separate"/>
      </w:r>
      <w:r>
        <w:t>(Фамилия И.О.)</w:t>
      </w:r>
      <w:r>
        <w:tab/>
      </w:r>
      <w:r>
        <w:fldChar w:fldCharType="begin"/>
      </w:r>
      <w:r>
        <w:instrText>PAGEREF __RefHeading___30 \h</w:instrText>
      </w:r>
      <w:r>
        <w:fldChar w:fldCharType="separate"/>
      </w:r>
      <w:r>
        <w:t>76</w:t>
      </w:r>
      <w:r>
        <w:fldChar w:fldCharType="end"/>
      </w:r>
      <w:r>
        <w:fldChar w:fldCharType="end"/>
      </w:r>
    </w:p>
    <w:p w14:paraId="57000000">
      <w:pPr>
        <w:pStyle w:val="Style_6"/>
        <w:tabs>
          <w:tab w:leader="dot" w:pos="9354" w:val="right"/>
        </w:tabs>
        <w:ind/>
      </w:pPr>
      <w:r>
        <w:fldChar w:fldCharType="begin"/>
      </w:r>
      <w:r>
        <w:instrText>HYPERLINK \l "__RefHeading___31"</w:instrText>
      </w:r>
      <w:r>
        <w:fldChar w:fldCharType="separate"/>
      </w:r>
      <w:r>
        <w:t>«___» ______________ 20__ г.</w:t>
      </w:r>
      <w:r>
        <w:tab/>
      </w:r>
      <w:r>
        <w:fldChar w:fldCharType="begin"/>
      </w:r>
      <w:r>
        <w:instrText>PAGEREF __RefHeading___31 \h</w:instrText>
      </w:r>
      <w:r>
        <w:fldChar w:fldCharType="separate"/>
      </w:r>
      <w:r>
        <w:t>76</w:t>
      </w:r>
      <w:r>
        <w:fldChar w:fldCharType="end"/>
      </w:r>
      <w:r>
        <w:fldChar w:fldCharType="end"/>
      </w:r>
    </w:p>
    <w:p>
      <w:r>
        <w:fldChar w:fldCharType="end"/>
      </w:r>
    </w:p>
    <w:p w14:paraId="59000000">
      <w:pPr>
        <w:rPr>
          <w:rFonts w:ascii="Times New Roman" w:hAnsi="Times New Roman"/>
          <w:b w:val="1"/>
          <w:color w:themeColor="text1" w:val="000000"/>
          <w:sz w:val="28"/>
        </w:rPr>
      </w:pPr>
    </w:p>
    <w:p w14:paraId="5A00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5B000000">
      <w:bookmarkStart w:id="2" w:name="__RefHeading___2"/>
      <w:bookmarkEnd w:id="2"/>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ВВЕДЕНИЕ</w:t>
      </w:r>
    </w:p>
    <w:p w14:paraId="5C000000"/>
    <w:p w14:paraId="5D000000">
      <w:pPr>
        <w:spacing w:after="0" w:line="360" w:lineRule="auto"/>
        <w:ind w:firstLine="851" w:left="0"/>
        <w:jc w:val="both"/>
        <w:rPr>
          <w:rFonts w:ascii="Times New Roman" w:hAnsi="Times New Roman"/>
          <w:sz w:val="28"/>
        </w:rPr>
      </w:pPr>
      <w:r>
        <w:rPr>
          <w:rFonts w:ascii="Times New Roman" w:hAnsi="Times New Roman"/>
          <w:sz w:val="28"/>
        </w:rPr>
        <w:t>В сегодняшней рыночной экономике работу любой организации практически нельзя представить без привлечения чужих денег. Кредиты и займы позволяют предприятию поддерживать непрерывность производства, расширять операции, запускать инвестиционные проекты и сохранять приемлемый уровень финансовой устойчивости. При разумном управлении заёмный капитал становится важным фактором роста экономического потенциала компании. Однако чрезмерная долговая нагрузка либо неэффективное использование привлечённых средств способны негативно отразиться на платежеспособности и общем финансовом положении предприятия.</w:t>
      </w:r>
    </w:p>
    <w:p w14:paraId="5E000000">
      <w:pPr>
        <w:spacing w:after="0" w:line="360" w:lineRule="auto"/>
        <w:ind w:firstLine="851" w:left="0"/>
        <w:jc w:val="both"/>
        <w:rPr>
          <w:rFonts w:ascii="Times New Roman" w:hAnsi="Times New Roman"/>
          <w:sz w:val="28"/>
        </w:rPr>
      </w:pPr>
      <w:r>
        <w:rPr>
          <w:rFonts w:ascii="Times New Roman" w:hAnsi="Times New Roman"/>
          <w:sz w:val="28"/>
        </w:rPr>
        <w:t>Дополнительную сложность вносит нестабильность экономической среды. Изменение процентных ставок, колебания валютных курсов, ужесточение требований со стороны банков – всё это требует от организаций более внимательного подхода к учёту и контролю долговых обязательств. Именно в таких условиях особенно значимой становится качественно выстроенная система бухгалтерского учёта кредитов и займов. Она обеспечивает формирование достоверной информации о расчётах с кредиторами – необходимой основы для составления отчётности и принятия управленческих решений.</w:t>
      </w:r>
    </w:p>
    <w:p w14:paraId="5F000000">
      <w:pPr>
        <w:spacing w:after="0" w:line="360" w:lineRule="auto"/>
        <w:ind w:firstLine="709" w:left="0"/>
        <w:jc w:val="both"/>
        <w:rPr>
          <w:rFonts w:ascii="Times New Roman" w:hAnsi="Times New Roman"/>
          <w:sz w:val="28"/>
        </w:rPr>
      </w:pPr>
      <w:r>
        <w:rPr>
          <w:rFonts w:ascii="Times New Roman" w:hAnsi="Times New Roman"/>
          <w:sz w:val="28"/>
        </w:rPr>
        <w:t xml:space="preserve">Актуальность темы исследования связана с необходимостью </w:t>
      </w:r>
      <w:r>
        <w:rPr>
          <w:rFonts w:ascii="Times New Roman" w:hAnsi="Times New Roman"/>
          <w:sz w:val="28"/>
        </w:rPr>
        <w:t xml:space="preserve">усовершенствования </w:t>
      </w:r>
      <w:r>
        <w:rPr>
          <w:rFonts w:ascii="Times New Roman" w:hAnsi="Times New Roman"/>
          <w:sz w:val="28"/>
        </w:rPr>
        <w:t>учёта и анализа кредитов и займов с учётом современных экономических условий, поскольку своевременное предоставление качественной аналитической информации обеспечивает финансовую стабильность организаций и способствует их инвестиционной привлекательности. Данная проблема актуальна в особенности для крупных предприятий, работающих с крупными инвестиционными проектами и применяющих активно кредиты и займы в своей деятельности, и именно к таким компаниям относится, в частности, ПАО «Газпром».</w:t>
      </w:r>
    </w:p>
    <w:p w14:paraId="60000000">
      <w:pPr>
        <w:pStyle w:val="Style_9"/>
        <w:spacing w:after="0" w:before="0" w:line="360" w:lineRule="auto"/>
        <w:ind w:firstLine="709" w:left="0"/>
        <w:jc w:val="both"/>
        <w:rPr>
          <w:sz w:val="28"/>
        </w:rPr>
      </w:pPr>
      <w:r>
        <w:rPr>
          <w:b w:val="1"/>
          <w:sz w:val="28"/>
        </w:rPr>
        <w:t>Цель работы</w:t>
      </w:r>
      <w:r>
        <w:rPr>
          <w:sz w:val="28"/>
        </w:rPr>
        <w:t> – изуч</w:t>
      </w:r>
      <w:r>
        <w:rPr>
          <w:sz w:val="28"/>
        </w:rPr>
        <w:t>ить</w:t>
      </w:r>
      <w:r>
        <w:rPr>
          <w:sz w:val="28"/>
        </w:rPr>
        <w:t xml:space="preserve"> теорию и практику анализа и учета по кредитам и займам, а также подготовить рекомендации по улучшению учета и управлением ими на базе ПАО «Газпром».</w:t>
      </w:r>
    </w:p>
    <w:p w14:paraId="61000000">
      <w:pPr>
        <w:pStyle w:val="Style_9"/>
        <w:spacing w:after="0" w:before="0" w:line="360" w:lineRule="auto"/>
        <w:ind w:firstLine="709" w:left="0"/>
        <w:jc w:val="both"/>
        <w:rPr>
          <w:b w:val="1"/>
          <w:sz w:val="28"/>
        </w:rPr>
      </w:pPr>
      <w:r>
        <w:rPr>
          <w:b w:val="1"/>
          <w:sz w:val="28"/>
        </w:rPr>
        <w:t>Задачи</w:t>
      </w:r>
      <w:r>
        <w:rPr>
          <w:b w:val="1"/>
          <w:sz w:val="28"/>
        </w:rPr>
        <w:t xml:space="preserve"> исследования</w:t>
      </w:r>
      <w:r>
        <w:rPr>
          <w:b w:val="1"/>
          <w:sz w:val="28"/>
        </w:rPr>
        <w:t>:</w:t>
      </w:r>
    </w:p>
    <w:p w14:paraId="62000000">
      <w:pPr>
        <w:pStyle w:val="Style_9"/>
        <w:numPr>
          <w:ilvl w:val="0"/>
          <w:numId w:val="1"/>
        </w:numPr>
        <w:spacing w:after="0" w:before="0" w:line="360" w:lineRule="auto"/>
        <w:ind w:firstLine="709" w:left="0"/>
        <w:jc w:val="both"/>
        <w:rPr>
          <w:sz w:val="28"/>
        </w:rPr>
      </w:pPr>
      <w:r>
        <w:rPr>
          <w:sz w:val="28"/>
        </w:rPr>
        <w:t>Рассмотреть экономическую сущность, классификацию и значение кредитов и займов в деятельности предприятия.</w:t>
      </w:r>
    </w:p>
    <w:p w14:paraId="63000000">
      <w:pPr>
        <w:pStyle w:val="Style_9"/>
        <w:numPr>
          <w:ilvl w:val="0"/>
          <w:numId w:val="1"/>
        </w:numPr>
        <w:spacing w:after="0" w:before="0" w:line="360" w:lineRule="auto"/>
        <w:ind w:firstLine="709" w:left="0"/>
        <w:jc w:val="both"/>
        <w:rPr>
          <w:sz w:val="28"/>
        </w:rPr>
      </w:pPr>
      <w:r>
        <w:rPr>
          <w:sz w:val="28"/>
        </w:rPr>
        <w:t>Изучить регулирование бухгалтерского учета кредитов и займов в России.</w:t>
      </w:r>
    </w:p>
    <w:p w14:paraId="64000000">
      <w:pPr>
        <w:pStyle w:val="Style_9"/>
        <w:numPr>
          <w:ilvl w:val="0"/>
          <w:numId w:val="1"/>
        </w:numPr>
        <w:spacing w:after="0" w:before="0" w:line="360" w:lineRule="auto"/>
        <w:ind w:firstLine="709" w:left="0"/>
        <w:jc w:val="both"/>
        <w:rPr>
          <w:sz w:val="28"/>
        </w:rPr>
      </w:pPr>
      <w:r>
        <w:rPr>
          <w:sz w:val="28"/>
        </w:rPr>
        <w:t>Рассмотреть методические подходы к анализу кредитов и займов.</w:t>
      </w:r>
    </w:p>
    <w:p w14:paraId="65000000">
      <w:pPr>
        <w:pStyle w:val="Style_9"/>
        <w:numPr>
          <w:ilvl w:val="0"/>
          <w:numId w:val="1"/>
        </w:numPr>
        <w:spacing w:after="0" w:before="0" w:line="360" w:lineRule="auto"/>
        <w:ind w:firstLine="709" w:left="0"/>
        <w:jc w:val="both"/>
        <w:rPr>
          <w:sz w:val="28"/>
        </w:rPr>
      </w:pPr>
      <w:r>
        <w:rPr>
          <w:sz w:val="28"/>
        </w:rPr>
        <w:t>Дать характеристику ПАО «Газпром».</w:t>
      </w:r>
    </w:p>
    <w:p w14:paraId="66000000">
      <w:pPr>
        <w:pStyle w:val="Style_9"/>
        <w:numPr>
          <w:ilvl w:val="0"/>
          <w:numId w:val="1"/>
        </w:numPr>
        <w:spacing w:after="0" w:before="0" w:line="360" w:lineRule="auto"/>
        <w:ind w:firstLine="709" w:left="0"/>
        <w:jc w:val="both"/>
        <w:rPr>
          <w:sz w:val="28"/>
        </w:rPr>
      </w:pPr>
      <w:r>
        <w:rPr>
          <w:sz w:val="28"/>
        </w:rPr>
        <w:t>Изучить документальное оформление и бухгалтерский учет кредитов и займов в организации.</w:t>
      </w:r>
    </w:p>
    <w:p w14:paraId="67000000">
      <w:pPr>
        <w:pStyle w:val="Style_9"/>
        <w:numPr>
          <w:ilvl w:val="0"/>
          <w:numId w:val="1"/>
        </w:numPr>
        <w:spacing w:after="0" w:before="0" w:line="360" w:lineRule="auto"/>
        <w:ind w:firstLine="709" w:left="0"/>
        <w:jc w:val="both"/>
        <w:rPr>
          <w:sz w:val="28"/>
        </w:rPr>
      </w:pPr>
      <w:r>
        <w:rPr>
          <w:sz w:val="28"/>
        </w:rPr>
        <w:t>Проанализировать отражение кредитов и займов в бухгалтерской (финансовой) отчетности.</w:t>
      </w:r>
    </w:p>
    <w:p w14:paraId="68000000">
      <w:pPr>
        <w:pStyle w:val="Style_9"/>
        <w:numPr>
          <w:ilvl w:val="0"/>
          <w:numId w:val="1"/>
        </w:numPr>
        <w:spacing w:after="0" w:before="0" w:line="360" w:lineRule="auto"/>
        <w:ind w:firstLine="709" w:left="0"/>
        <w:jc w:val="both"/>
        <w:rPr>
          <w:sz w:val="28"/>
        </w:rPr>
      </w:pPr>
      <w:r>
        <w:rPr>
          <w:sz w:val="28"/>
        </w:rPr>
        <w:t>Провести анализ структуры, динамики и эффективности использования заемных средств.</w:t>
      </w:r>
    </w:p>
    <w:p w14:paraId="69000000">
      <w:pPr>
        <w:pStyle w:val="Style_9"/>
        <w:numPr>
          <w:ilvl w:val="0"/>
          <w:numId w:val="1"/>
        </w:numPr>
        <w:spacing w:after="0" w:before="0" w:line="360" w:lineRule="auto"/>
        <w:ind w:firstLine="709" w:left="0"/>
        <w:jc w:val="both"/>
        <w:rPr>
          <w:sz w:val="28"/>
        </w:rPr>
      </w:pPr>
      <w:r>
        <w:rPr>
          <w:sz w:val="28"/>
        </w:rPr>
        <w:t>Разработать рекомендации по улучшению учета и управлением кредитами и займами.</w:t>
      </w:r>
    </w:p>
    <w:p w14:paraId="6A000000">
      <w:pPr>
        <w:pStyle w:val="Style_9"/>
        <w:spacing w:after="0" w:before="0" w:line="360" w:lineRule="auto"/>
        <w:ind w:firstLine="709" w:left="0"/>
        <w:jc w:val="both"/>
        <w:rPr>
          <w:sz w:val="28"/>
        </w:rPr>
      </w:pPr>
      <w:r>
        <w:rPr>
          <w:rStyle w:val="Style_10_ch"/>
          <w:sz w:val="28"/>
        </w:rPr>
        <w:t>Объект</w:t>
      </w:r>
      <w:r>
        <w:rPr>
          <w:rStyle w:val="Style_10_ch"/>
          <w:sz w:val="28"/>
        </w:rPr>
        <w:t xml:space="preserve"> исследования</w:t>
      </w:r>
      <w:r>
        <w:rPr>
          <w:sz w:val="28"/>
        </w:rPr>
        <w:t xml:space="preserve"> </w:t>
      </w:r>
      <w:r>
        <w:rPr>
          <w:sz w:val="28"/>
        </w:rPr>
        <w:t>-</w:t>
      </w:r>
      <w:r>
        <w:rPr>
          <w:sz w:val="28"/>
        </w:rPr>
        <w:t xml:space="preserve"> финансово-хозяйственная деятельность ПАО «Газпром».</w:t>
      </w:r>
    </w:p>
    <w:p w14:paraId="6B000000">
      <w:pPr>
        <w:pStyle w:val="Style_9"/>
        <w:spacing w:after="0" w:before="0" w:line="360" w:lineRule="auto"/>
        <w:ind w:firstLine="851" w:left="0"/>
        <w:jc w:val="both"/>
        <w:rPr>
          <w:sz w:val="28"/>
        </w:rPr>
      </w:pPr>
      <w:r>
        <w:rPr>
          <w:rStyle w:val="Style_10_ch"/>
          <w:sz w:val="28"/>
        </w:rPr>
        <w:t>Предмет</w:t>
      </w:r>
      <w:r>
        <w:rPr>
          <w:rStyle w:val="Style_10_ch"/>
          <w:sz w:val="28"/>
        </w:rPr>
        <w:t xml:space="preserve"> исследования</w:t>
      </w:r>
      <w:r>
        <w:rPr>
          <w:rStyle w:val="Style_10_ch"/>
          <w:sz w:val="28"/>
        </w:rPr>
        <w:t xml:space="preserve"> </w:t>
      </w:r>
      <w:r>
        <w:rPr>
          <w:sz w:val="28"/>
        </w:rPr>
        <w:t xml:space="preserve">- </w:t>
      </w:r>
      <w:r>
        <w:rPr>
          <w:sz w:val="28"/>
        </w:rPr>
        <w:t xml:space="preserve"> процессы бухгалтерского учета, анализа и управления кредитами и займами в организации.</w:t>
      </w:r>
    </w:p>
    <w:p w14:paraId="6C000000">
      <w:pPr>
        <w:pStyle w:val="Style_9"/>
        <w:spacing w:after="0" w:before="0" w:line="360" w:lineRule="auto"/>
        <w:ind w:firstLine="851" w:left="0"/>
        <w:jc w:val="both"/>
        <w:rPr>
          <w:sz w:val="28"/>
        </w:rPr>
      </w:pPr>
      <w:r>
        <w:rPr>
          <w:rStyle w:val="Style_10_ch"/>
          <w:sz w:val="28"/>
        </w:rPr>
        <w:t>Теоретической и методологической основой исследования</w:t>
      </w:r>
      <w:r>
        <w:rPr>
          <w:sz w:val="28"/>
        </w:rPr>
        <w:t xml:space="preserve"> послужили труды отечественных и зарубежных ученых в области бухгалтерского учета, финансового анализа и корпоративных финансов, нормативно-правовые акты Российской Федерации, а также методические рекомендации профильных ведомств.</w:t>
      </w:r>
    </w:p>
    <w:p w14:paraId="6D000000">
      <w:pPr>
        <w:pStyle w:val="Style_9"/>
        <w:spacing w:after="0" w:before="0" w:line="360" w:lineRule="auto"/>
        <w:ind w:firstLine="851" w:left="0"/>
        <w:jc w:val="both"/>
        <w:rPr>
          <w:sz w:val="28"/>
        </w:rPr>
      </w:pPr>
      <w:r>
        <w:rPr>
          <w:sz w:val="28"/>
        </w:rPr>
        <w:t xml:space="preserve">В процессе исследования применялись следующие </w:t>
      </w:r>
      <w:r>
        <w:rPr>
          <w:rStyle w:val="Style_10_ch"/>
          <w:sz w:val="28"/>
        </w:rPr>
        <w:t>методы</w:t>
      </w:r>
      <w:r>
        <w:rPr>
          <w:sz w:val="28"/>
        </w:rPr>
        <w:t xml:space="preserve">: анализ и синтез, индукция и дедукция, системный и комплексный подходы, </w:t>
      </w:r>
      <w:r>
        <w:rPr>
          <w:sz w:val="28"/>
        </w:rPr>
        <w:t>горизонтальный и вертикальный анализ, коэффициентный метод, методы сравнения, группировки и обобщения.</w:t>
      </w:r>
    </w:p>
    <w:p w14:paraId="6E000000">
      <w:pPr>
        <w:pStyle w:val="Style_9"/>
        <w:spacing w:after="0" w:before="0" w:line="360" w:lineRule="auto"/>
        <w:ind w:firstLine="851" w:left="0"/>
        <w:jc w:val="both"/>
        <w:rPr>
          <w:sz w:val="28"/>
        </w:rPr>
      </w:pPr>
      <w:r>
        <w:rPr>
          <w:rStyle w:val="Style_10_ch"/>
          <w:sz w:val="28"/>
        </w:rPr>
        <w:t>Информационной базой исследования</w:t>
      </w:r>
      <w:r>
        <w:rPr>
          <w:sz w:val="28"/>
        </w:rPr>
        <w:t xml:space="preserve"> являются бухгалтерская (финансовая) отчетность ПАО «Газпром», внутренние учетные документы организации, статистические данные, материалы официальных сайтов, а также данные справочно-правовых систем.</w:t>
      </w:r>
    </w:p>
    <w:p w14:paraId="6F000000">
      <w:pPr>
        <w:pStyle w:val="Style_9"/>
        <w:spacing w:after="0" w:before="0" w:line="360" w:lineRule="auto"/>
        <w:ind w:firstLine="851" w:left="0"/>
        <w:jc w:val="both"/>
        <w:rPr>
          <w:sz w:val="28"/>
        </w:rPr>
      </w:pPr>
      <w:r>
        <w:rPr>
          <w:sz w:val="28"/>
        </w:rPr>
        <w:t>Структура выпускной квалификационной работы обусловлена целью и задачами исследования и включает введение, три главы, заключение и список использованных источников</w:t>
      </w:r>
      <w:r>
        <w:rPr>
          <w:sz w:val="28"/>
        </w:rPr>
        <w:t xml:space="preserve">, в </w:t>
      </w:r>
      <w:r>
        <w:rPr>
          <w:sz w:val="28"/>
        </w:rPr>
        <w:t>первой главе рассматриваются теоретические основы учета и анализа кредитов и займов. Во второй главе исследуются практические аспекты бухгалтерского учета кредитов и займов на примере ПАО «Газпром»</w:t>
      </w:r>
      <w:r>
        <w:rPr>
          <w:sz w:val="28"/>
        </w:rPr>
        <w:t xml:space="preserve">, в </w:t>
      </w:r>
      <w:r>
        <w:rPr>
          <w:sz w:val="28"/>
        </w:rPr>
        <w:t>третьей главе проводится анализ кредитов и займов и разрабатываются рекомендации по совершенствованию их учета и управления.</w:t>
      </w:r>
    </w:p>
    <w:p w14:paraId="70000000"/>
    <w:p w14:paraId="71000000"/>
    <w:p w14:paraId="7200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73000000">
      <w:bookmarkStart w:id="3" w:name="__RefHeading___3"/>
      <w:bookmarkEnd w:id="3"/>
      <w:pPr>
        <w:pStyle w:val="Style_8"/>
        <w:spacing w:line="360" w:lineRule="auto"/>
        <w:ind w:firstLine="0" w:left="492"/>
        <w:jc w:val="center"/>
        <w:rPr>
          <w:rFonts w:ascii="Times New Roman" w:hAnsi="Times New Roman"/>
          <w:b w:val="1"/>
          <w:color w:themeColor="text1" w:val="000000"/>
          <w:sz w:val="28"/>
        </w:rPr>
      </w:pPr>
      <w:r>
        <w:rPr>
          <w:rFonts w:ascii="Times New Roman" w:hAnsi="Times New Roman"/>
          <w:b w:val="1"/>
          <w:color w:themeColor="text1" w:val="000000"/>
          <w:sz w:val="28"/>
        </w:rPr>
        <w:t>ГЛАВА 1. ТЕОРЕТИЧЕСКИЕ ОСНОВЫ УЧЕТА И АНАЛИЗА КРЕДИТОВ И ЗАЙМОВ</w:t>
      </w:r>
    </w:p>
    <w:p w14:paraId="74000000">
      <w:bookmarkStart w:id="4" w:name="__RefHeading___4"/>
      <w:bookmarkEnd w:id="4"/>
      <w:pPr>
        <w:pStyle w:val="Style_8"/>
        <w:spacing w:before="0" w:line="360" w:lineRule="auto"/>
        <w:ind w:firstLine="0" w:left="492"/>
        <w:jc w:val="center"/>
        <w:rPr>
          <w:rFonts w:ascii="Times New Roman" w:hAnsi="Times New Roman"/>
          <w:b w:val="1"/>
          <w:color w:themeColor="text1" w:val="000000"/>
          <w:sz w:val="28"/>
        </w:rPr>
      </w:pPr>
      <w:r>
        <w:rPr>
          <w:rFonts w:ascii="Times New Roman" w:hAnsi="Times New Roman"/>
          <w:b w:val="1"/>
          <w:color w:themeColor="text1" w:val="000000"/>
          <w:sz w:val="28"/>
        </w:rPr>
        <w:t>1.1. Понятие кредитов и займов</w:t>
      </w:r>
    </w:p>
    <w:p w14:paraId="75000000"/>
    <w:p w14:paraId="76000000">
      <w:pPr>
        <w:spacing w:after="0" w:line="360" w:lineRule="auto"/>
        <w:ind w:firstLine="851" w:left="0"/>
        <w:jc w:val="both"/>
        <w:rPr>
          <w:rFonts w:ascii="Times New Roman" w:hAnsi="Times New Roman"/>
          <w:sz w:val="28"/>
        </w:rPr>
      </w:pPr>
      <w:r>
        <w:rPr>
          <w:rFonts w:ascii="Times New Roman" w:hAnsi="Times New Roman"/>
          <w:sz w:val="28"/>
        </w:rPr>
        <w:t>Кредиты и займы являются важнейшими источниками финансирования деятельности современных организаций, обеспечивающими формирование необходимого объема финансовых ресурсов для осуществления текущей, инвестиционной и финансовой деятельности. Экономическая сущность кредитов и займов заключается во временном привлечении денежных средств или иных активов на условиях возвратности, платности и срочности</w:t>
      </w:r>
      <w:r>
        <w:rPr>
          <w:rFonts w:ascii="Times New Roman" w:hAnsi="Times New Roman"/>
          <w:sz w:val="28"/>
        </w:rPr>
        <w:t xml:space="preserve">, такого рода </w:t>
      </w:r>
      <w:r>
        <w:rPr>
          <w:rFonts w:ascii="Times New Roman" w:hAnsi="Times New Roman"/>
          <w:sz w:val="28"/>
        </w:rPr>
        <w:t>инструменты позволяют компенсировать недостаток собственных ресурсов, ускорять оборачиваемость капитала, расширять масштабы производства и повышать конкурентоспособность хозяйству</w:t>
      </w:r>
      <w:r>
        <w:rPr>
          <w:rFonts w:ascii="Times New Roman" w:hAnsi="Times New Roman"/>
          <w:sz w:val="28"/>
        </w:rPr>
        <w:t>ющих субъектов</w:t>
      </w:r>
      <w:r>
        <w:rPr>
          <w:rFonts w:ascii="Times New Roman" w:hAnsi="Times New Roman"/>
          <w:sz w:val="28"/>
        </w:rPr>
        <w:t xml:space="preserve">, в </w:t>
      </w:r>
      <w:r>
        <w:rPr>
          <w:rFonts w:ascii="Times New Roman" w:hAnsi="Times New Roman"/>
          <w:sz w:val="28"/>
        </w:rPr>
        <w:t>условиях рыночной экономики заемный капитал становится важным фактором устойчивого развития организации, обеспечивая ее финансовую гибкость. Законодательное регулирование кредитных и заемных операций закреплено в нормах гражданского законодательства Российской Федерации</w:t>
      </w:r>
      <w:r>
        <w:rPr>
          <w:rStyle w:val="Style_11_ch"/>
          <w:rFonts w:ascii="Times New Roman" w:hAnsi="Times New Roman"/>
          <w:sz w:val="28"/>
        </w:rPr>
        <w:footnoteReference w:id="1"/>
      </w:r>
      <w:r>
        <w:rPr>
          <w:rFonts w:ascii="Times New Roman" w:hAnsi="Times New Roman"/>
          <w:sz w:val="28"/>
        </w:rPr>
        <w:t>.</w:t>
      </w:r>
    </w:p>
    <w:p w14:paraId="77000000">
      <w:pPr>
        <w:spacing w:after="0" w:line="360" w:lineRule="auto"/>
        <w:ind w:firstLine="851" w:left="0"/>
        <w:jc w:val="both"/>
        <w:rPr>
          <w:rFonts w:ascii="Times New Roman" w:hAnsi="Times New Roman"/>
          <w:sz w:val="28"/>
        </w:rPr>
      </w:pPr>
      <w:r>
        <w:rPr>
          <w:rFonts w:ascii="Times New Roman" w:hAnsi="Times New Roman"/>
          <w:sz w:val="28"/>
        </w:rPr>
        <w:t xml:space="preserve">Исторически доказано, что общество разделяют на разные слои населения с разным состоянием. Имущественное перераспределение и расслоение общества влекут за собой разделение людей на состоятельных и неимущих, поэтому необходимость занимать недостающие средства существует с тех пор, как существует само общество. Еще при рабовладельческом строе появились первые кредиторы, а именно ростовщики, а ростовщические ссуды стали первыми кредитными операциями. Ростовщический кредит – «это кредит, который предоставлялся мелким производителям с выплатой высоких ссудных процентов, что часто приводило </w:t>
      </w:r>
      <w:r>
        <w:rPr>
          <w:rFonts w:ascii="Times New Roman" w:hAnsi="Times New Roman"/>
          <w:sz w:val="28"/>
        </w:rPr>
        <w:t>к разорению заемщиков»</w:t>
      </w:r>
      <w:r>
        <w:rPr>
          <w:rStyle w:val="Style_11_ch"/>
          <w:rFonts w:ascii="Times New Roman" w:hAnsi="Times New Roman"/>
          <w:sz w:val="28"/>
        </w:rPr>
        <w:footnoteReference w:id="2"/>
      </w:r>
      <w:r>
        <w:rPr>
          <w:rFonts w:ascii="Times New Roman" w:hAnsi="Times New Roman"/>
          <w:sz w:val="28"/>
        </w:rPr>
        <w:t>. Позже появились более сложные кредитные отношения, а именно продажа товаров с отсрочкой платежа. В Средневековье кредитные отношения еще больше усилили свою интенсивность, поскольку распространилась торговля, а именно оптовая, поэтому в кредитном соглашении прописывали также торговлю товарами в кредит. Продавец должен продать товар, а покупатель не мог купить его из-за нехватки денежных средств. По таким причинам процесс купли-продажи товара не происходил. Товар продавался с отсрочкой платежа только при наличии доверия продавца к покупателю. Следовательно, кредит стал незаменимой составляющей товарного хозяйства [2, с. 10]. Так и появилось название «кредит», переводимое с латинского «</w:t>
      </w:r>
      <w:r>
        <w:rPr>
          <w:rFonts w:ascii="Times New Roman" w:hAnsi="Times New Roman"/>
          <w:sz w:val="28"/>
        </w:rPr>
        <w:t>credo</w:t>
      </w:r>
      <w:r>
        <w:rPr>
          <w:rFonts w:ascii="Times New Roman" w:hAnsi="Times New Roman"/>
          <w:sz w:val="28"/>
        </w:rPr>
        <w:t>», «</w:t>
      </w:r>
      <w:r>
        <w:rPr>
          <w:rFonts w:ascii="Times New Roman" w:hAnsi="Times New Roman"/>
          <w:sz w:val="28"/>
        </w:rPr>
        <w:t>creditum</w:t>
      </w:r>
      <w:r>
        <w:rPr>
          <w:rFonts w:ascii="Times New Roman" w:hAnsi="Times New Roman"/>
          <w:sz w:val="28"/>
        </w:rPr>
        <w:t xml:space="preserve">» как «верю», «доверяю». Поэтому категория кредита рассматривается экономической наукой преимущественно как доверие одного лица к другому, на основании чего кредит предоставляется некоторая стоимость в денежной или товарной форме для временного пользования. Итак, прежде всего, кредит возник и получил развитие на основе функции денег как средства обращения. С развитием экономических отношений и эволюционного перехода к капитализму произошла постепенная замена ростовщического капитала ссудным. </w:t>
      </w:r>
    </w:p>
    <w:p w14:paraId="78000000">
      <w:pPr>
        <w:spacing w:after="0" w:line="360" w:lineRule="auto"/>
        <w:ind w:firstLine="851" w:left="0"/>
        <w:jc w:val="both"/>
        <w:rPr>
          <w:rFonts w:ascii="Times New Roman" w:hAnsi="Times New Roman"/>
          <w:sz w:val="28"/>
        </w:rPr>
      </w:pPr>
      <w:r>
        <w:rPr>
          <w:rFonts w:ascii="Times New Roman" w:hAnsi="Times New Roman"/>
          <w:sz w:val="28"/>
        </w:rPr>
        <w:t xml:space="preserve">В исследованиях отечественных и зарубежных ученых заемный капитал выступает как особая форма капитала, которая возникла и получила развитие в условиях капиталистического способа производства, что приносит проценты, а также пришла на смену ростовщическому капиталу. Денежный капитал – это основной источник образования ссудного капитала, временно высвобождающийся в процессе кругооборота капитала. Следовательно, кредит стал неотъемлемой частью сформировавших его товарно-денежных </w:t>
      </w:r>
      <w:r>
        <w:rPr>
          <w:rFonts w:ascii="Times New Roman" w:hAnsi="Times New Roman"/>
          <w:sz w:val="28"/>
        </w:rPr>
        <w:t>отношений и стоимостной категорией</w:t>
      </w:r>
      <w:r>
        <w:rPr>
          <w:rStyle w:val="Style_11_ch"/>
          <w:rFonts w:ascii="Times New Roman" w:hAnsi="Times New Roman"/>
          <w:sz w:val="28"/>
        </w:rPr>
        <w:footnoteReference w:id="3"/>
      </w:r>
      <w:r>
        <w:rPr>
          <w:rFonts w:ascii="Times New Roman" w:hAnsi="Times New Roman"/>
          <w:sz w:val="28"/>
        </w:rPr>
        <w:t>. С развитием рыночных отношений возрастает роль кредита в экономике, вследствие чего особую актуальность приобретает исследование теории кредита.</w:t>
      </w:r>
    </w:p>
    <w:p w14:paraId="79000000">
      <w:pPr>
        <w:spacing w:after="0" w:line="360" w:lineRule="auto"/>
        <w:ind w:firstLine="851" w:left="0"/>
        <w:jc w:val="both"/>
        <w:rPr>
          <w:rFonts w:ascii="Times New Roman" w:hAnsi="Times New Roman"/>
          <w:sz w:val="28"/>
        </w:rPr>
      </w:pPr>
      <w:r>
        <w:rPr>
          <w:rFonts w:ascii="Times New Roman" w:hAnsi="Times New Roman"/>
          <w:sz w:val="28"/>
        </w:rPr>
        <w:t xml:space="preserve">Теорию кредита разделяют на две взаимосвязанные теории, а именно натуралистическую и </w:t>
      </w:r>
      <w:r>
        <w:rPr>
          <w:rFonts w:ascii="Times New Roman" w:hAnsi="Times New Roman"/>
          <w:sz w:val="28"/>
        </w:rPr>
        <w:t>капиталотворческую</w:t>
      </w:r>
      <w:r>
        <w:rPr>
          <w:rFonts w:ascii="Times New Roman" w:hAnsi="Times New Roman"/>
          <w:sz w:val="28"/>
        </w:rPr>
        <w:t xml:space="preserve">, главное отличие которых заключается в трактовке роли банков и кредита в экономике. Основными представителями натуралистической теории кредита были классики политической экономии А. Смит, Д. Рикардо, А. Тюрбо, Дж. Миль, К. Маркс, Ж. </w:t>
      </w:r>
      <w:r>
        <w:rPr>
          <w:rFonts w:ascii="Times New Roman" w:hAnsi="Times New Roman"/>
          <w:sz w:val="28"/>
        </w:rPr>
        <w:t>Сэй</w:t>
      </w:r>
      <w:r>
        <w:rPr>
          <w:rFonts w:ascii="Times New Roman" w:hAnsi="Times New Roman"/>
          <w:sz w:val="28"/>
        </w:rPr>
        <w:t xml:space="preserve">, А. Маршалл. В их исследованиях за основу осуществления кредитных отношений принимался процесс производства и специфика, а к объектам кредитования ученые относили средства производства и стоимостную оценку воспроизводства рабочей силы. Среди отечественных приверженцев этой теории следует отметить Л. Федоровича, рассматривавший происхождение и значение кредита в экономике. По мнению ученого, кредитные отношения возникли в результате эволюции производства и обмена, а кредит только дополняет денежное обращение. Основателем </w:t>
      </w:r>
      <w:r>
        <w:rPr>
          <w:rFonts w:ascii="Times New Roman" w:hAnsi="Times New Roman"/>
          <w:sz w:val="28"/>
        </w:rPr>
        <w:t>капиталотворческой</w:t>
      </w:r>
      <w:r>
        <w:rPr>
          <w:rFonts w:ascii="Times New Roman" w:hAnsi="Times New Roman"/>
          <w:sz w:val="28"/>
        </w:rPr>
        <w:t xml:space="preserve"> теории кредита считают английского экономиста Дж. Ло. Результаты его исследования свидетельствуют о том, что кредит и деньги выступают в виде капитала и богатства, в конце концов расширение кредита приводит к накоплению капитала. Банки являются только «создателями капитала», «фабриками кредита», а не посредниками в осуществлении кредитных операций. Кредит является первоочередным звеном в экономике</w:t>
      </w:r>
      <w:r>
        <w:rPr>
          <w:rStyle w:val="Style_11_ch"/>
          <w:rFonts w:ascii="Times New Roman" w:hAnsi="Times New Roman"/>
          <w:sz w:val="28"/>
        </w:rPr>
        <w:footnoteReference w:id="4"/>
      </w:r>
      <w:r>
        <w:rPr>
          <w:rFonts w:ascii="Times New Roman" w:hAnsi="Times New Roman"/>
          <w:sz w:val="28"/>
        </w:rPr>
        <w:t xml:space="preserve">. В состав сторонников </w:t>
      </w:r>
      <w:r>
        <w:rPr>
          <w:rFonts w:ascii="Times New Roman" w:hAnsi="Times New Roman"/>
          <w:sz w:val="28"/>
        </w:rPr>
        <w:t>капиталотворческой</w:t>
      </w:r>
      <w:r>
        <w:rPr>
          <w:rFonts w:ascii="Times New Roman" w:hAnsi="Times New Roman"/>
          <w:sz w:val="28"/>
        </w:rPr>
        <w:t xml:space="preserve"> теории кредита следует отнести ученого М. Туган-Барановского. Ученый отмечал, что «безусловно, кредит развивает производительные силы страны и является большим шагом вперед в смысле организации товарного обмена. Кредитный обмен – это такое же </w:t>
      </w:r>
      <w:r>
        <w:rPr>
          <w:rFonts w:ascii="Times New Roman" w:hAnsi="Times New Roman"/>
          <w:sz w:val="28"/>
        </w:rPr>
        <w:t>усовершенствование обмена, что и денежный в отношении натурального»</w:t>
      </w:r>
      <w:r>
        <w:rPr>
          <w:rStyle w:val="Style_11_ch"/>
          <w:rFonts w:ascii="Times New Roman" w:hAnsi="Times New Roman"/>
          <w:sz w:val="28"/>
        </w:rPr>
        <w:footnoteReference w:id="5"/>
      </w:r>
      <w:r>
        <w:rPr>
          <w:rFonts w:ascii="Times New Roman" w:hAnsi="Times New Roman"/>
          <w:sz w:val="28"/>
        </w:rPr>
        <w:t xml:space="preserve">. В начале ХХ ст. появляются труды группы ученых с основательным анализом кредита, кредитных отношений. В частности, такими личностями с передовыми взглядами стали И. Шумпетер и </w:t>
      </w:r>
      <w:r>
        <w:rPr>
          <w:rFonts w:ascii="Times New Roman" w:hAnsi="Times New Roman"/>
          <w:sz w:val="28"/>
        </w:rPr>
        <w:t>Дж.М</w:t>
      </w:r>
      <w:r>
        <w:rPr>
          <w:rFonts w:ascii="Times New Roman" w:hAnsi="Times New Roman"/>
          <w:sz w:val="28"/>
        </w:rPr>
        <w:t>. Кейнс. Была раскрыта взаимосвязь между экономическим циклом и кредитованием. Таким утверждением ученые поставили все развитие экономики в зависимости от объемов кредитов и процентной ставки, предоставляемых предприятиям</w:t>
      </w:r>
      <w:r>
        <w:rPr>
          <w:rStyle w:val="Style_11_ch"/>
          <w:rFonts w:ascii="Times New Roman" w:hAnsi="Times New Roman"/>
          <w:sz w:val="28"/>
        </w:rPr>
        <w:footnoteReference w:id="6"/>
      </w:r>
      <w:r>
        <w:rPr>
          <w:rFonts w:ascii="Times New Roman" w:hAnsi="Times New Roman"/>
          <w:sz w:val="28"/>
        </w:rPr>
        <w:t xml:space="preserve">. </w:t>
      </w:r>
    </w:p>
    <w:p w14:paraId="7A000000">
      <w:pPr>
        <w:spacing w:after="0" w:line="360" w:lineRule="auto"/>
        <w:ind w:firstLine="851" w:left="0"/>
        <w:jc w:val="both"/>
        <w:rPr>
          <w:rFonts w:ascii="Times New Roman" w:hAnsi="Times New Roman"/>
          <w:sz w:val="28"/>
        </w:rPr>
      </w:pPr>
      <w:r>
        <w:rPr>
          <w:rFonts w:ascii="Times New Roman" w:hAnsi="Times New Roman"/>
          <w:sz w:val="28"/>
        </w:rPr>
        <w:t>Проведенный научный анализ подходов к раскрытию сущности кредита на основе разработки экономической литературы выявил существование различных определений сущности кредита и создает поле для создания новых решений по определенной теме. Исходя из марксистской формулировки сущности кредита, некоторые авторы отождествляют его с формой движения ссудного капитала, следовательно, в этом случае речь идет о денежном капитале</w:t>
      </w:r>
      <w:r>
        <w:rPr>
          <w:rFonts w:ascii="Times New Roman" w:hAnsi="Times New Roman"/>
          <w:sz w:val="28"/>
        </w:rPr>
        <w:t xml:space="preserve">,  </w:t>
      </w:r>
      <w:r>
        <w:rPr>
          <w:rFonts w:ascii="Times New Roman" w:hAnsi="Times New Roman"/>
          <w:sz w:val="28"/>
        </w:rPr>
        <w:t>подход к определению сущности кредита неуместен по мнению группы ученых</w:t>
      </w:r>
      <w:r>
        <w:rPr>
          <w:rStyle w:val="Style_11_ch"/>
          <w:rFonts w:ascii="Times New Roman" w:hAnsi="Times New Roman"/>
          <w:sz w:val="28"/>
        </w:rPr>
        <w:footnoteReference w:id="7"/>
      </w:r>
      <w:r>
        <w:rPr>
          <w:rFonts w:ascii="Times New Roman" w:hAnsi="Times New Roman"/>
          <w:sz w:val="28"/>
        </w:rPr>
        <w:t>, объясняющих это тем, что, во-первых, ограничение формы функционирования кредитных отношений только денежной сферой не соответствует действительности, поскольку кредит может носить и товарный характер; во-вторых, трактовка кредита как движения ссудного капитала предполагает его производственное использование, что не всегда отвечает целям, на которые выдаются кредиты. Зарубежные экономисты</w:t>
      </w:r>
      <w:r>
        <w:rPr>
          <w:rStyle w:val="Style_11_ch"/>
          <w:rFonts w:ascii="Times New Roman" w:hAnsi="Times New Roman"/>
          <w:sz w:val="28"/>
        </w:rPr>
        <w:footnoteReference w:id="8"/>
      </w:r>
      <w:r>
        <w:rPr>
          <w:rFonts w:ascii="Times New Roman" w:hAnsi="Times New Roman"/>
          <w:sz w:val="28"/>
        </w:rPr>
        <w:t xml:space="preserve"> по этому поводу рассматривают кредит как ссуду в денежной или товарной форме на условиях возврата с выплатой процентов.</w:t>
      </w:r>
    </w:p>
    <w:p w14:paraId="7B000000">
      <w:pPr>
        <w:spacing w:after="0" w:line="360" w:lineRule="auto"/>
        <w:ind w:firstLine="851" w:left="0"/>
        <w:jc w:val="both"/>
        <w:rPr>
          <w:rFonts w:ascii="Times New Roman" w:hAnsi="Times New Roman"/>
          <w:sz w:val="28"/>
        </w:rPr>
      </w:pPr>
      <w:r>
        <w:rPr>
          <w:rFonts w:ascii="Times New Roman" w:hAnsi="Times New Roman"/>
          <w:sz w:val="28"/>
        </w:rPr>
        <w:t xml:space="preserve">Следует отметить, что на основе кредитных теорий группа отечественных ученых в своих исследованиях подчеркивает, что кредит как форма общественных отношений имеет много общего с другими экономическими категориями, в частности деньгами, финансами, торговлей, капиталом. В частности, все вышеперечисленные категории </w:t>
      </w:r>
      <w:r>
        <w:rPr>
          <w:rFonts w:ascii="Times New Roman" w:hAnsi="Times New Roman"/>
          <w:sz w:val="28"/>
        </w:rPr>
        <w:t>стоимостны</w:t>
      </w:r>
      <w:r>
        <w:rPr>
          <w:rFonts w:ascii="Times New Roman" w:hAnsi="Times New Roman"/>
          <w:sz w:val="28"/>
        </w:rPr>
        <w:t>, обслуживают движение стоимости в процессе воспроизводства. Одновременно кредит – это полностью самостоятельная категория, функционирующая наряду с другими категориями, не заменяя их и не уступая им сферу своего назначения</w:t>
      </w:r>
      <w:r>
        <w:rPr>
          <w:rStyle w:val="Style_11_ch"/>
          <w:rFonts w:ascii="Times New Roman" w:hAnsi="Times New Roman"/>
          <w:sz w:val="28"/>
        </w:rPr>
        <w:footnoteReference w:id="9"/>
      </w:r>
      <w:r>
        <w:rPr>
          <w:rFonts w:ascii="Times New Roman" w:hAnsi="Times New Roman"/>
          <w:sz w:val="28"/>
        </w:rPr>
        <w:t>. Учитывая многочисленность определения кредита, которые приводятся как среди исследователей, так и в действующем законодательстве, следует отметить отсутствие единства соображений. Свидетельством тому является многогранность трактовок категории «кредит», рассматривавших систему кредитных отношений. Это объясняется тем, что категория претерпевала изменения, которые вызывались как требованиями времени, так и особенностями экономической политики и состояния каждого отдельно взятого государства</w:t>
      </w:r>
      <w:r>
        <w:rPr>
          <w:rStyle w:val="Style_11_ch"/>
          <w:rFonts w:ascii="Times New Roman" w:hAnsi="Times New Roman"/>
          <w:sz w:val="28"/>
        </w:rPr>
        <w:footnoteReference w:id="10"/>
      </w:r>
      <w:r>
        <w:rPr>
          <w:rFonts w:ascii="Times New Roman" w:hAnsi="Times New Roman"/>
          <w:sz w:val="28"/>
        </w:rPr>
        <w:t xml:space="preserve">. В отдельных работах  кредит толкуется как экономические отношения между разными субъектами хозяйствования на условиях соблюдения принципов кредитования. Некоторые </w:t>
      </w:r>
      <w:r>
        <w:rPr>
          <w:rFonts w:ascii="Times New Roman" w:hAnsi="Times New Roman"/>
          <w:sz w:val="28"/>
        </w:rPr>
        <w:t>учёныеопределяют</w:t>
      </w:r>
      <w:r>
        <w:rPr>
          <w:rFonts w:ascii="Times New Roman" w:hAnsi="Times New Roman"/>
          <w:sz w:val="28"/>
        </w:rPr>
        <w:t xml:space="preserve"> кредит как форму движения ссудного капитала; форму содействия использованию капитала; форму аккумулирования средств для ссуд; форму перераспределения стоимости денежных средств. В других источниках трактовка категории «кредит» определяется как форма передачи денежных средств; как экономические отношения между кредитором и заемщиком по получению ссуды; средства, предоставляемые определенными </w:t>
      </w:r>
      <w:r>
        <w:rPr>
          <w:rFonts w:ascii="Times New Roman" w:hAnsi="Times New Roman"/>
          <w:sz w:val="28"/>
        </w:rPr>
        <w:t xml:space="preserve">учреждениями на определенный срок под процент и целевого использования; обязательства. </w:t>
      </w:r>
    </w:p>
    <w:p w14:paraId="7C000000">
      <w:pPr>
        <w:spacing w:after="0" w:line="360" w:lineRule="auto"/>
        <w:ind w:firstLine="851" w:left="0"/>
        <w:jc w:val="both"/>
        <w:rPr>
          <w:rFonts w:ascii="Times New Roman" w:hAnsi="Times New Roman"/>
          <w:sz w:val="28"/>
        </w:rPr>
      </w:pPr>
      <w:r>
        <w:rPr>
          <w:rFonts w:ascii="Times New Roman" w:hAnsi="Times New Roman"/>
          <w:sz w:val="28"/>
        </w:rPr>
        <w:t>В бухгалтерском учете кредит – это финансовые обязательства и финансовые активы, а в международной практике кредит и кредитные отношения относятся к разряду финансовых инструментов, поэтому важно исследовать трактовку кредита в соответствии с национальными стандартами бухгалтерского учета П(С)БУ, международными стандартами бухгалтерского учета (МСФО) и международными стандартами финансовой отчетности (МСФО). В некоторых источниках  кредит разъясняется как задолженность по обязательствам; контракт, при котором возникают финансовые активы и обязательства.</w:t>
      </w:r>
    </w:p>
    <w:p w14:paraId="7D000000">
      <w:pPr>
        <w:spacing w:after="0" w:line="240" w:lineRule="auto"/>
        <w:ind w:firstLine="851" w:left="0"/>
        <w:jc w:val="right"/>
        <w:rPr>
          <w:rFonts w:ascii="Times New Roman" w:hAnsi="Times New Roman"/>
          <w:b w:val="1"/>
          <w:sz w:val="28"/>
        </w:rPr>
      </w:pPr>
      <w:r>
        <w:rPr>
          <w:rFonts w:ascii="Times New Roman" w:hAnsi="Times New Roman"/>
          <w:b w:val="1"/>
          <w:sz w:val="28"/>
        </w:rPr>
        <w:t>Таблица 1</w:t>
      </w:r>
    </w:p>
    <w:p w14:paraId="7E000000">
      <w:pPr>
        <w:spacing w:after="0" w:line="240" w:lineRule="auto"/>
        <w:ind w:firstLine="851" w:left="0"/>
        <w:jc w:val="both"/>
        <w:rPr>
          <w:rFonts w:ascii="Times New Roman" w:hAnsi="Times New Roman"/>
          <w:b w:val="1"/>
          <w:sz w:val="28"/>
        </w:rPr>
      </w:pPr>
      <w:r>
        <w:rPr>
          <w:rFonts w:ascii="Times New Roman" w:hAnsi="Times New Roman"/>
          <w:b w:val="1"/>
          <w:sz w:val="28"/>
        </w:rPr>
        <w:t>Классификация кредитов и займов в деятельности организации</w:t>
      </w:r>
    </w:p>
    <w:tbl>
      <w:tblPr>
        <w:tblStyle w:val="Style_3"/>
        <w:tblLayout w:type="fixed"/>
      </w:tblPr>
      <w:tblGrid>
        <w:gridCol w:w="2558"/>
        <w:gridCol w:w="2523"/>
        <w:gridCol w:w="4128"/>
      </w:tblGrid>
      <w:tr>
        <w:trPr>
          <w:trHeight w:hRule="atLeast" w:val="576"/>
        </w:trPr>
        <w:tc>
          <w:tcPr>
            <w:tcW w:type="dxa" w:w="2558"/>
            <w:tcBorders>
              <w:top w:color="000000" w:sz="4" w:val="single"/>
              <w:left w:color="000000" w:sz="4" w:val="single"/>
              <w:bottom w:color="000000" w:sz="4" w:val="single"/>
              <w:right w:color="000000" w:sz="4" w:val="single"/>
            </w:tcBorders>
            <w:vAlign w:val="center"/>
          </w:tcPr>
          <w:p w14:paraId="7F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Классификационный признак</w:t>
            </w:r>
          </w:p>
        </w:tc>
        <w:tc>
          <w:tcPr>
            <w:tcW w:type="dxa" w:w="2523"/>
            <w:tcBorders>
              <w:top w:color="000000" w:sz="4" w:val="single"/>
              <w:left w:sz="4" w:val="nil"/>
              <w:bottom w:color="000000" w:sz="4" w:val="single"/>
              <w:right w:color="000000" w:sz="4" w:val="single"/>
            </w:tcBorders>
            <w:vAlign w:val="center"/>
          </w:tcPr>
          <w:p w14:paraId="80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Виды кредитов и займов</w:t>
            </w:r>
          </w:p>
        </w:tc>
        <w:tc>
          <w:tcPr>
            <w:tcW w:type="dxa" w:w="4128"/>
            <w:tcBorders>
              <w:top w:color="000000" w:sz="4" w:val="single"/>
              <w:left w:sz="4" w:val="nil"/>
              <w:bottom w:color="000000" w:sz="4" w:val="single"/>
              <w:right w:color="000000" w:sz="4" w:val="single"/>
            </w:tcBorders>
            <w:vAlign w:val="center"/>
          </w:tcPr>
          <w:p w14:paraId="81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Характеристика</w:t>
            </w:r>
          </w:p>
        </w:tc>
      </w:tr>
      <w:tr>
        <w:trPr>
          <w:trHeight w:hRule="atLeast" w:val="1152"/>
        </w:trPr>
        <w:tc>
          <w:tcPr>
            <w:tcW w:type="dxa" w:w="2558"/>
            <w:vMerge w:val="restart"/>
            <w:tcBorders>
              <w:top w:sz="4" w:val="nil"/>
              <w:left w:color="000000" w:sz="4" w:val="single"/>
              <w:bottom w:color="000000" w:sz="4" w:val="single"/>
              <w:right w:color="000000" w:sz="4" w:val="single"/>
            </w:tcBorders>
            <w:vAlign w:val="center"/>
          </w:tcPr>
          <w:p w14:paraId="82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 сроку привлечения</w:t>
            </w:r>
          </w:p>
        </w:tc>
        <w:tc>
          <w:tcPr>
            <w:tcW w:type="dxa" w:w="2523"/>
            <w:tcBorders>
              <w:top w:sz="4" w:val="nil"/>
              <w:left w:sz="4" w:val="nil"/>
              <w:bottom w:color="000000" w:sz="4" w:val="single"/>
              <w:right w:color="000000" w:sz="4" w:val="single"/>
            </w:tcBorders>
            <w:vAlign w:val="center"/>
          </w:tcPr>
          <w:p w14:paraId="83000000">
            <w:pPr>
              <w:spacing w:after="0" w:line="240" w:lineRule="auto"/>
              <w:ind/>
              <w:rPr>
                <w:rFonts w:ascii="Times New Roman" w:hAnsi="Times New Roman"/>
                <w:color w:val="000000"/>
                <w:sz w:val="24"/>
              </w:rPr>
            </w:pPr>
            <w:r>
              <w:rPr>
                <w:rFonts w:ascii="Times New Roman" w:hAnsi="Times New Roman"/>
                <w:color w:val="000000"/>
                <w:sz w:val="24"/>
              </w:rPr>
              <w:t>Краткосрочные</w:t>
            </w:r>
          </w:p>
        </w:tc>
        <w:tc>
          <w:tcPr>
            <w:tcW w:type="dxa" w:w="4128"/>
            <w:tcBorders>
              <w:top w:sz="4" w:val="nil"/>
              <w:left w:sz="4" w:val="nil"/>
              <w:bottom w:color="000000" w:sz="4" w:val="single"/>
              <w:right w:color="000000" w:sz="4" w:val="single"/>
            </w:tcBorders>
            <w:vAlign w:val="center"/>
          </w:tcPr>
          <w:p w14:paraId="84000000">
            <w:pPr>
              <w:spacing w:after="0" w:line="240" w:lineRule="auto"/>
              <w:ind/>
              <w:rPr>
                <w:rFonts w:ascii="Times New Roman" w:hAnsi="Times New Roman"/>
                <w:color w:val="000000"/>
                <w:sz w:val="24"/>
              </w:rPr>
            </w:pPr>
            <w:r>
              <w:rPr>
                <w:rFonts w:ascii="Times New Roman" w:hAnsi="Times New Roman"/>
                <w:color w:val="000000"/>
                <w:sz w:val="24"/>
              </w:rPr>
              <w:t>Срок погашения до 12 месяцев, используются для финансирования текущей деятельности и пополнения оборотных средств</w:t>
            </w:r>
          </w:p>
        </w:tc>
      </w:tr>
      <w:tr>
        <w:trPr>
          <w:trHeight w:hRule="atLeast" w:val="864"/>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85000000">
            <w:pPr>
              <w:spacing w:after="0" w:line="240" w:lineRule="auto"/>
              <w:ind/>
              <w:rPr>
                <w:rFonts w:ascii="Times New Roman" w:hAnsi="Times New Roman"/>
                <w:color w:val="000000"/>
                <w:sz w:val="24"/>
              </w:rPr>
            </w:pPr>
            <w:r>
              <w:rPr>
                <w:rFonts w:ascii="Times New Roman" w:hAnsi="Times New Roman"/>
                <w:color w:val="000000"/>
                <w:sz w:val="24"/>
              </w:rPr>
              <w:t>Долгосрочные</w:t>
            </w:r>
          </w:p>
        </w:tc>
        <w:tc>
          <w:tcPr>
            <w:tcW w:type="dxa" w:w="4128"/>
            <w:tcBorders>
              <w:top w:sz="4" w:val="nil"/>
              <w:left w:sz="4" w:val="nil"/>
              <w:bottom w:color="000000" w:sz="4" w:val="single"/>
              <w:right w:color="000000" w:sz="4" w:val="single"/>
            </w:tcBorders>
            <w:vAlign w:val="center"/>
          </w:tcPr>
          <w:p w14:paraId="86000000">
            <w:pPr>
              <w:spacing w:after="0" w:line="240" w:lineRule="auto"/>
              <w:ind/>
              <w:rPr>
                <w:rFonts w:ascii="Times New Roman" w:hAnsi="Times New Roman"/>
                <w:color w:val="000000"/>
                <w:sz w:val="24"/>
              </w:rPr>
            </w:pPr>
            <w:r>
              <w:rPr>
                <w:rFonts w:ascii="Times New Roman" w:hAnsi="Times New Roman"/>
                <w:color w:val="000000"/>
                <w:sz w:val="24"/>
              </w:rPr>
              <w:t>Срок погашения более 12 месяцев, применяются для инвестиционных целей и модернизации производства</w:t>
            </w:r>
          </w:p>
        </w:tc>
      </w:tr>
      <w:tr>
        <w:trPr>
          <w:trHeight w:hRule="atLeast" w:val="576"/>
        </w:trPr>
        <w:tc>
          <w:tcPr>
            <w:tcW w:type="dxa" w:w="2558"/>
            <w:vMerge w:val="restart"/>
            <w:tcBorders>
              <w:top w:sz="4" w:val="nil"/>
              <w:left w:color="000000" w:sz="4" w:val="single"/>
              <w:bottom w:color="000000" w:sz="4" w:val="single"/>
              <w:right w:color="000000" w:sz="4" w:val="single"/>
            </w:tcBorders>
            <w:vAlign w:val="center"/>
          </w:tcPr>
          <w:p w14:paraId="87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 целевому назначению</w:t>
            </w:r>
          </w:p>
        </w:tc>
        <w:tc>
          <w:tcPr>
            <w:tcW w:type="dxa" w:w="2523"/>
            <w:tcBorders>
              <w:top w:sz="4" w:val="nil"/>
              <w:left w:sz="4" w:val="nil"/>
              <w:bottom w:color="000000" w:sz="4" w:val="single"/>
              <w:right w:color="000000" w:sz="4" w:val="single"/>
            </w:tcBorders>
            <w:vAlign w:val="center"/>
          </w:tcPr>
          <w:p w14:paraId="88000000">
            <w:pPr>
              <w:spacing w:after="0" w:line="240" w:lineRule="auto"/>
              <w:ind/>
              <w:rPr>
                <w:rFonts w:ascii="Times New Roman" w:hAnsi="Times New Roman"/>
                <w:color w:val="000000"/>
                <w:sz w:val="24"/>
              </w:rPr>
            </w:pPr>
            <w:r>
              <w:rPr>
                <w:rFonts w:ascii="Times New Roman" w:hAnsi="Times New Roman"/>
                <w:color w:val="000000"/>
                <w:sz w:val="24"/>
              </w:rPr>
              <w:t>Оборотные</w:t>
            </w:r>
          </w:p>
        </w:tc>
        <w:tc>
          <w:tcPr>
            <w:tcW w:type="dxa" w:w="4128"/>
            <w:tcBorders>
              <w:top w:sz="4" w:val="nil"/>
              <w:left w:sz="4" w:val="nil"/>
              <w:bottom w:color="000000" w:sz="4" w:val="single"/>
              <w:right w:color="000000" w:sz="4" w:val="single"/>
            </w:tcBorders>
            <w:vAlign w:val="center"/>
          </w:tcPr>
          <w:p w14:paraId="89000000">
            <w:pPr>
              <w:spacing w:after="0" w:line="240" w:lineRule="auto"/>
              <w:ind/>
              <w:rPr>
                <w:rFonts w:ascii="Times New Roman" w:hAnsi="Times New Roman"/>
                <w:color w:val="000000"/>
                <w:sz w:val="24"/>
              </w:rPr>
            </w:pPr>
            <w:r>
              <w:rPr>
                <w:rFonts w:ascii="Times New Roman" w:hAnsi="Times New Roman"/>
                <w:color w:val="000000"/>
                <w:sz w:val="24"/>
              </w:rPr>
              <w:t>Направлены на пополнение оборотного капитала</w:t>
            </w:r>
          </w:p>
        </w:tc>
      </w:tr>
      <w:tr>
        <w:trPr>
          <w:trHeight w:hRule="atLeast" w:val="864"/>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8A000000">
            <w:pPr>
              <w:spacing w:after="0" w:line="240" w:lineRule="auto"/>
              <w:ind/>
              <w:rPr>
                <w:rFonts w:ascii="Times New Roman" w:hAnsi="Times New Roman"/>
                <w:color w:val="000000"/>
                <w:sz w:val="24"/>
              </w:rPr>
            </w:pPr>
            <w:r>
              <w:rPr>
                <w:rFonts w:ascii="Times New Roman" w:hAnsi="Times New Roman"/>
                <w:color w:val="000000"/>
                <w:sz w:val="24"/>
              </w:rPr>
              <w:t>Инвестиционные</w:t>
            </w:r>
          </w:p>
        </w:tc>
        <w:tc>
          <w:tcPr>
            <w:tcW w:type="dxa" w:w="4128"/>
            <w:tcBorders>
              <w:top w:sz="4" w:val="nil"/>
              <w:left w:sz="4" w:val="nil"/>
              <w:bottom w:color="000000" w:sz="4" w:val="single"/>
              <w:right w:color="000000" w:sz="4" w:val="single"/>
            </w:tcBorders>
            <w:vAlign w:val="center"/>
          </w:tcPr>
          <w:p w14:paraId="8B000000">
            <w:pPr>
              <w:spacing w:after="0" w:line="240" w:lineRule="auto"/>
              <w:ind/>
              <w:rPr>
                <w:rFonts w:ascii="Times New Roman" w:hAnsi="Times New Roman"/>
                <w:color w:val="000000"/>
                <w:sz w:val="24"/>
              </w:rPr>
            </w:pPr>
            <w:r>
              <w:rPr>
                <w:rFonts w:ascii="Times New Roman" w:hAnsi="Times New Roman"/>
                <w:color w:val="000000"/>
                <w:sz w:val="24"/>
              </w:rPr>
              <w:t>Используются для приобретения основных средств и реализации инвестиционных проектов</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8C000000">
            <w:pPr>
              <w:spacing w:after="0" w:line="240" w:lineRule="auto"/>
              <w:ind/>
              <w:rPr>
                <w:rFonts w:ascii="Times New Roman" w:hAnsi="Times New Roman"/>
                <w:color w:val="000000"/>
                <w:sz w:val="24"/>
              </w:rPr>
            </w:pPr>
            <w:r>
              <w:rPr>
                <w:rFonts w:ascii="Times New Roman" w:hAnsi="Times New Roman"/>
                <w:color w:val="000000"/>
                <w:sz w:val="24"/>
              </w:rPr>
              <w:t>Коммерческие</w:t>
            </w:r>
          </w:p>
        </w:tc>
        <w:tc>
          <w:tcPr>
            <w:tcW w:type="dxa" w:w="4128"/>
            <w:tcBorders>
              <w:top w:sz="4" w:val="nil"/>
              <w:left w:sz="4" w:val="nil"/>
              <w:bottom w:color="000000" w:sz="4" w:val="single"/>
              <w:right w:color="000000" w:sz="4" w:val="single"/>
            </w:tcBorders>
            <w:vAlign w:val="center"/>
          </w:tcPr>
          <w:p w14:paraId="8D000000">
            <w:pPr>
              <w:spacing w:after="0" w:line="240" w:lineRule="auto"/>
              <w:ind/>
              <w:rPr>
                <w:rFonts w:ascii="Times New Roman" w:hAnsi="Times New Roman"/>
                <w:color w:val="000000"/>
                <w:sz w:val="24"/>
              </w:rPr>
            </w:pPr>
            <w:r>
              <w:rPr>
                <w:rFonts w:ascii="Times New Roman" w:hAnsi="Times New Roman"/>
                <w:color w:val="000000"/>
                <w:sz w:val="24"/>
              </w:rPr>
              <w:t>Предоставляются в форме отсрочки платежа за товары, работы и услуги</w:t>
            </w:r>
          </w:p>
        </w:tc>
      </w:tr>
      <w:tr>
        <w:trPr>
          <w:trHeight w:hRule="atLeast" w:val="576"/>
        </w:trPr>
        <w:tc>
          <w:tcPr>
            <w:tcW w:type="dxa" w:w="2558"/>
            <w:vMerge w:val="restart"/>
            <w:tcBorders>
              <w:top w:sz="4" w:val="nil"/>
              <w:left w:color="000000" w:sz="4" w:val="single"/>
              <w:bottom w:color="000000" w:sz="4" w:val="single"/>
              <w:right w:color="000000" w:sz="4" w:val="single"/>
            </w:tcBorders>
            <w:vAlign w:val="center"/>
          </w:tcPr>
          <w:p w14:paraId="8E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 форме предоставления</w:t>
            </w:r>
          </w:p>
        </w:tc>
        <w:tc>
          <w:tcPr>
            <w:tcW w:type="dxa" w:w="2523"/>
            <w:tcBorders>
              <w:top w:sz="4" w:val="nil"/>
              <w:left w:sz="4" w:val="nil"/>
              <w:bottom w:color="000000" w:sz="4" w:val="single"/>
              <w:right w:color="000000" w:sz="4" w:val="single"/>
            </w:tcBorders>
            <w:vAlign w:val="center"/>
          </w:tcPr>
          <w:p w14:paraId="8F000000">
            <w:pPr>
              <w:spacing w:after="0" w:line="240" w:lineRule="auto"/>
              <w:ind/>
              <w:rPr>
                <w:rFonts w:ascii="Times New Roman" w:hAnsi="Times New Roman"/>
                <w:color w:val="000000"/>
                <w:sz w:val="24"/>
              </w:rPr>
            </w:pPr>
            <w:r>
              <w:rPr>
                <w:rFonts w:ascii="Times New Roman" w:hAnsi="Times New Roman"/>
                <w:color w:val="000000"/>
                <w:sz w:val="24"/>
              </w:rPr>
              <w:t>Денежные</w:t>
            </w:r>
          </w:p>
        </w:tc>
        <w:tc>
          <w:tcPr>
            <w:tcW w:type="dxa" w:w="4128"/>
            <w:tcBorders>
              <w:top w:sz="4" w:val="nil"/>
              <w:left w:sz="4" w:val="nil"/>
              <w:bottom w:color="000000" w:sz="4" w:val="single"/>
              <w:right w:color="000000" w:sz="4" w:val="single"/>
            </w:tcBorders>
            <w:vAlign w:val="center"/>
          </w:tcPr>
          <w:p w14:paraId="90000000">
            <w:pPr>
              <w:spacing w:after="0" w:line="240" w:lineRule="auto"/>
              <w:ind/>
              <w:rPr>
                <w:rFonts w:ascii="Times New Roman" w:hAnsi="Times New Roman"/>
                <w:color w:val="000000"/>
                <w:sz w:val="24"/>
              </w:rPr>
            </w:pPr>
            <w:r>
              <w:rPr>
                <w:rFonts w:ascii="Times New Roman" w:hAnsi="Times New Roman"/>
                <w:color w:val="000000"/>
                <w:sz w:val="24"/>
              </w:rPr>
              <w:t>Передаются в форме денежных средств</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91000000">
            <w:pPr>
              <w:spacing w:after="0" w:line="240" w:lineRule="auto"/>
              <w:ind/>
              <w:rPr>
                <w:rFonts w:ascii="Times New Roman" w:hAnsi="Times New Roman"/>
                <w:color w:val="000000"/>
                <w:sz w:val="24"/>
              </w:rPr>
            </w:pPr>
            <w:r>
              <w:rPr>
                <w:rFonts w:ascii="Times New Roman" w:hAnsi="Times New Roman"/>
                <w:color w:val="000000"/>
                <w:sz w:val="24"/>
              </w:rPr>
              <w:t>Товарные</w:t>
            </w:r>
          </w:p>
        </w:tc>
        <w:tc>
          <w:tcPr>
            <w:tcW w:type="dxa" w:w="4128"/>
            <w:tcBorders>
              <w:top w:sz="4" w:val="nil"/>
              <w:left w:sz="4" w:val="nil"/>
              <w:bottom w:color="000000" w:sz="4" w:val="single"/>
              <w:right w:color="000000" w:sz="4" w:val="single"/>
            </w:tcBorders>
            <w:vAlign w:val="center"/>
          </w:tcPr>
          <w:p w14:paraId="92000000">
            <w:pPr>
              <w:spacing w:after="0" w:line="240" w:lineRule="auto"/>
              <w:ind/>
              <w:rPr>
                <w:rFonts w:ascii="Times New Roman" w:hAnsi="Times New Roman"/>
                <w:color w:val="000000"/>
                <w:sz w:val="24"/>
              </w:rPr>
            </w:pPr>
            <w:r>
              <w:rPr>
                <w:rFonts w:ascii="Times New Roman" w:hAnsi="Times New Roman"/>
                <w:color w:val="000000"/>
                <w:sz w:val="24"/>
              </w:rPr>
              <w:t>Предоставляются в натуральной форме (товары, сырье, материалы)</w:t>
            </w:r>
          </w:p>
        </w:tc>
      </w:tr>
      <w:tr>
        <w:trPr>
          <w:trHeight w:hRule="atLeast" w:val="576"/>
        </w:trPr>
        <w:tc>
          <w:tcPr>
            <w:tcW w:type="dxa" w:w="2558"/>
            <w:vMerge w:val="restart"/>
            <w:tcBorders>
              <w:top w:sz="4" w:val="nil"/>
              <w:left w:color="000000" w:sz="4" w:val="single"/>
              <w:bottom w:color="000000" w:sz="4" w:val="single"/>
              <w:right w:color="000000" w:sz="4" w:val="single"/>
            </w:tcBorders>
            <w:vAlign w:val="center"/>
          </w:tcPr>
          <w:p w14:paraId="93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 валюте обязательств</w:t>
            </w:r>
          </w:p>
        </w:tc>
        <w:tc>
          <w:tcPr>
            <w:tcW w:type="dxa" w:w="2523"/>
            <w:tcBorders>
              <w:top w:sz="4" w:val="nil"/>
              <w:left w:sz="4" w:val="nil"/>
              <w:bottom w:color="000000" w:sz="4" w:val="single"/>
              <w:right w:color="000000" w:sz="4" w:val="single"/>
            </w:tcBorders>
            <w:vAlign w:val="center"/>
          </w:tcPr>
          <w:p w14:paraId="94000000">
            <w:pPr>
              <w:spacing w:after="0" w:line="240" w:lineRule="auto"/>
              <w:ind/>
              <w:rPr>
                <w:rFonts w:ascii="Times New Roman" w:hAnsi="Times New Roman"/>
                <w:color w:val="000000"/>
                <w:sz w:val="24"/>
              </w:rPr>
            </w:pPr>
            <w:r>
              <w:rPr>
                <w:rFonts w:ascii="Times New Roman" w:hAnsi="Times New Roman"/>
                <w:color w:val="000000"/>
                <w:sz w:val="24"/>
              </w:rPr>
              <w:t>Рублевые</w:t>
            </w:r>
          </w:p>
        </w:tc>
        <w:tc>
          <w:tcPr>
            <w:tcW w:type="dxa" w:w="4128"/>
            <w:tcBorders>
              <w:top w:sz="4" w:val="nil"/>
              <w:left w:sz="4" w:val="nil"/>
              <w:bottom w:color="000000" w:sz="4" w:val="single"/>
              <w:right w:color="000000" w:sz="4" w:val="single"/>
            </w:tcBorders>
            <w:vAlign w:val="center"/>
          </w:tcPr>
          <w:p w14:paraId="95000000">
            <w:pPr>
              <w:spacing w:after="0" w:line="240" w:lineRule="auto"/>
              <w:ind/>
              <w:rPr>
                <w:rFonts w:ascii="Times New Roman" w:hAnsi="Times New Roman"/>
                <w:color w:val="000000"/>
                <w:sz w:val="24"/>
              </w:rPr>
            </w:pPr>
            <w:r>
              <w:rPr>
                <w:rFonts w:ascii="Times New Roman" w:hAnsi="Times New Roman"/>
                <w:color w:val="000000"/>
                <w:sz w:val="24"/>
              </w:rPr>
              <w:t>Предоставляются в национальной валюте РФ</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96000000">
            <w:pPr>
              <w:spacing w:after="0" w:line="240" w:lineRule="auto"/>
              <w:ind/>
              <w:rPr>
                <w:rFonts w:ascii="Times New Roman" w:hAnsi="Times New Roman"/>
                <w:color w:val="000000"/>
                <w:sz w:val="24"/>
              </w:rPr>
            </w:pPr>
            <w:r>
              <w:rPr>
                <w:rFonts w:ascii="Times New Roman" w:hAnsi="Times New Roman"/>
                <w:color w:val="000000"/>
                <w:sz w:val="24"/>
              </w:rPr>
              <w:t>Валютные</w:t>
            </w:r>
          </w:p>
        </w:tc>
        <w:tc>
          <w:tcPr>
            <w:tcW w:type="dxa" w:w="4128"/>
            <w:tcBorders>
              <w:top w:sz="4" w:val="nil"/>
              <w:left w:sz="4" w:val="nil"/>
              <w:bottom w:color="000000" w:sz="4" w:val="single"/>
              <w:right w:color="000000" w:sz="4" w:val="single"/>
            </w:tcBorders>
            <w:vAlign w:val="center"/>
          </w:tcPr>
          <w:p w14:paraId="97000000">
            <w:pPr>
              <w:spacing w:after="0" w:line="240" w:lineRule="auto"/>
              <w:ind/>
              <w:rPr>
                <w:rFonts w:ascii="Times New Roman" w:hAnsi="Times New Roman"/>
                <w:color w:val="000000"/>
                <w:sz w:val="24"/>
              </w:rPr>
            </w:pPr>
            <w:r>
              <w:rPr>
                <w:rFonts w:ascii="Times New Roman" w:hAnsi="Times New Roman"/>
                <w:color w:val="000000"/>
                <w:sz w:val="24"/>
              </w:rPr>
              <w:t>Предоставляются в иностранной валюте</w:t>
            </w:r>
          </w:p>
        </w:tc>
      </w:tr>
      <w:tr>
        <w:trPr>
          <w:trHeight w:hRule="atLeast" w:val="864"/>
        </w:trPr>
        <w:tc>
          <w:tcPr>
            <w:tcW w:type="dxa" w:w="2558"/>
            <w:vMerge w:val="restart"/>
            <w:tcBorders>
              <w:top w:sz="4" w:val="nil"/>
              <w:left w:color="000000" w:sz="4" w:val="single"/>
              <w:bottom w:color="000000" w:sz="4" w:val="single"/>
              <w:right w:color="000000" w:sz="4" w:val="single"/>
            </w:tcBorders>
            <w:vAlign w:val="center"/>
          </w:tcPr>
          <w:p w14:paraId="98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 способу обеспечения</w:t>
            </w:r>
          </w:p>
        </w:tc>
        <w:tc>
          <w:tcPr>
            <w:tcW w:type="dxa" w:w="2523"/>
            <w:tcBorders>
              <w:top w:sz="4" w:val="nil"/>
              <w:left w:sz="4" w:val="nil"/>
              <w:bottom w:color="000000" w:sz="4" w:val="single"/>
              <w:right w:color="000000" w:sz="4" w:val="single"/>
            </w:tcBorders>
            <w:vAlign w:val="center"/>
          </w:tcPr>
          <w:p w14:paraId="99000000">
            <w:pPr>
              <w:spacing w:after="0" w:line="240" w:lineRule="auto"/>
              <w:ind/>
              <w:rPr>
                <w:rFonts w:ascii="Times New Roman" w:hAnsi="Times New Roman"/>
                <w:color w:val="000000"/>
                <w:sz w:val="24"/>
              </w:rPr>
            </w:pPr>
            <w:r>
              <w:rPr>
                <w:rFonts w:ascii="Times New Roman" w:hAnsi="Times New Roman"/>
                <w:color w:val="000000"/>
                <w:sz w:val="24"/>
              </w:rPr>
              <w:t>Обеспеченные</w:t>
            </w:r>
          </w:p>
        </w:tc>
        <w:tc>
          <w:tcPr>
            <w:tcW w:type="dxa" w:w="4128"/>
            <w:tcBorders>
              <w:top w:sz="4" w:val="nil"/>
              <w:left w:sz="4" w:val="nil"/>
              <w:bottom w:color="000000" w:sz="4" w:val="single"/>
              <w:right w:color="000000" w:sz="4" w:val="single"/>
            </w:tcBorders>
            <w:vAlign w:val="center"/>
          </w:tcPr>
          <w:p w14:paraId="9A000000">
            <w:pPr>
              <w:spacing w:after="0" w:line="240" w:lineRule="auto"/>
              <w:ind/>
              <w:rPr>
                <w:rFonts w:ascii="Times New Roman" w:hAnsi="Times New Roman"/>
                <w:color w:val="000000"/>
                <w:sz w:val="24"/>
              </w:rPr>
            </w:pPr>
            <w:r>
              <w:rPr>
                <w:rFonts w:ascii="Times New Roman" w:hAnsi="Times New Roman"/>
                <w:color w:val="000000"/>
                <w:sz w:val="24"/>
              </w:rPr>
              <w:t>Гарантируются залогом, поручительством, банковской гарантией</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9B000000">
            <w:pPr>
              <w:spacing w:after="0" w:line="240" w:lineRule="auto"/>
              <w:ind/>
              <w:rPr>
                <w:rFonts w:ascii="Times New Roman" w:hAnsi="Times New Roman"/>
                <w:color w:val="000000"/>
                <w:sz w:val="24"/>
              </w:rPr>
            </w:pPr>
            <w:r>
              <w:rPr>
                <w:rFonts w:ascii="Times New Roman" w:hAnsi="Times New Roman"/>
                <w:color w:val="000000"/>
                <w:sz w:val="24"/>
              </w:rPr>
              <w:t>Необеспеченные</w:t>
            </w:r>
          </w:p>
        </w:tc>
        <w:tc>
          <w:tcPr>
            <w:tcW w:type="dxa" w:w="4128"/>
            <w:tcBorders>
              <w:top w:sz="4" w:val="nil"/>
              <w:left w:sz="4" w:val="nil"/>
              <w:bottom w:color="000000" w:sz="4" w:val="single"/>
              <w:right w:color="000000" w:sz="4" w:val="single"/>
            </w:tcBorders>
            <w:vAlign w:val="center"/>
          </w:tcPr>
          <w:p w14:paraId="9C000000">
            <w:pPr>
              <w:spacing w:after="0" w:line="240" w:lineRule="auto"/>
              <w:ind/>
              <w:rPr>
                <w:rFonts w:ascii="Times New Roman" w:hAnsi="Times New Roman"/>
                <w:color w:val="000000"/>
                <w:sz w:val="24"/>
              </w:rPr>
            </w:pPr>
            <w:r>
              <w:rPr>
                <w:rFonts w:ascii="Times New Roman" w:hAnsi="Times New Roman"/>
                <w:color w:val="000000"/>
                <w:sz w:val="24"/>
              </w:rPr>
              <w:t>Предоставляются без материального обеспечения</w:t>
            </w:r>
          </w:p>
        </w:tc>
      </w:tr>
      <w:tr>
        <w:trPr>
          <w:trHeight w:hRule="atLeast" w:val="576"/>
        </w:trPr>
        <w:tc>
          <w:tcPr>
            <w:tcW w:type="dxa" w:w="2558"/>
            <w:vMerge w:val="restart"/>
            <w:tcBorders>
              <w:top w:sz="4" w:val="nil"/>
              <w:left w:color="000000" w:sz="4" w:val="single"/>
              <w:bottom w:color="000000" w:sz="4" w:val="single"/>
              <w:right w:color="000000" w:sz="4" w:val="single"/>
            </w:tcBorders>
            <w:vAlign w:val="center"/>
          </w:tcPr>
          <w:p w14:paraId="9D000000">
            <w:pPr>
              <w:spacing w:after="0" w:line="240" w:lineRule="auto"/>
              <w:ind/>
              <w:rPr>
                <w:rFonts w:ascii="Times New Roman" w:hAnsi="Times New Roman"/>
                <w:b w:val="1"/>
                <w:color w:val="000000"/>
                <w:sz w:val="24"/>
              </w:rPr>
            </w:pPr>
            <w:r>
              <w:rPr>
                <w:rFonts w:ascii="Times New Roman" w:hAnsi="Times New Roman"/>
                <w:b w:val="1"/>
                <w:color w:val="000000"/>
                <w:sz w:val="24"/>
              </w:rPr>
              <w:t>По источнику привлечения</w:t>
            </w:r>
          </w:p>
          <w:p w14:paraId="9E000000">
            <w:pPr>
              <w:spacing w:after="0" w:line="240" w:lineRule="auto"/>
              <w:ind/>
              <w:rPr>
                <w:rFonts w:ascii="Times New Roman" w:hAnsi="Times New Roman"/>
                <w:b w:val="1"/>
                <w:color w:val="000000"/>
                <w:sz w:val="24"/>
              </w:rPr>
            </w:pPr>
            <w:r>
              <w:rPr>
                <w:rFonts w:ascii="Times New Roman" w:hAnsi="Times New Roman"/>
                <w:b w:val="1"/>
                <w:color w:val="000000"/>
                <w:sz w:val="24"/>
              </w:rPr>
              <w:t> </w:t>
            </w:r>
          </w:p>
          <w:p w14:paraId="9F00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2523"/>
            <w:tcBorders>
              <w:top w:sz="4" w:val="nil"/>
              <w:left w:sz="4" w:val="nil"/>
              <w:bottom w:color="000000" w:sz="4" w:val="single"/>
              <w:right w:color="000000" w:sz="4" w:val="single"/>
            </w:tcBorders>
            <w:vAlign w:val="center"/>
          </w:tcPr>
          <w:p w14:paraId="A0000000">
            <w:pPr>
              <w:spacing w:after="0" w:line="240" w:lineRule="auto"/>
              <w:ind/>
              <w:rPr>
                <w:rFonts w:ascii="Times New Roman" w:hAnsi="Times New Roman"/>
                <w:color w:val="000000"/>
                <w:sz w:val="24"/>
              </w:rPr>
            </w:pPr>
            <w:r>
              <w:rPr>
                <w:rFonts w:ascii="Times New Roman" w:hAnsi="Times New Roman"/>
                <w:color w:val="000000"/>
                <w:sz w:val="24"/>
              </w:rPr>
              <w:t>Банковские</w:t>
            </w:r>
          </w:p>
        </w:tc>
        <w:tc>
          <w:tcPr>
            <w:tcW w:type="dxa" w:w="4128"/>
            <w:tcBorders>
              <w:top w:sz="4" w:val="nil"/>
              <w:left w:sz="4" w:val="nil"/>
              <w:bottom w:color="000000" w:sz="4" w:val="single"/>
              <w:right w:color="000000" w:sz="4" w:val="single"/>
            </w:tcBorders>
            <w:vAlign w:val="center"/>
          </w:tcPr>
          <w:p w14:paraId="A1000000">
            <w:pPr>
              <w:spacing w:after="0" w:line="240" w:lineRule="auto"/>
              <w:ind/>
              <w:rPr>
                <w:rFonts w:ascii="Times New Roman" w:hAnsi="Times New Roman"/>
                <w:color w:val="000000"/>
                <w:sz w:val="24"/>
              </w:rPr>
            </w:pPr>
            <w:r>
              <w:rPr>
                <w:rFonts w:ascii="Times New Roman" w:hAnsi="Times New Roman"/>
                <w:color w:val="000000"/>
                <w:sz w:val="24"/>
              </w:rPr>
              <w:t>Получены в кредитных организациях</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A2000000">
            <w:pPr>
              <w:spacing w:after="0" w:line="240" w:lineRule="auto"/>
              <w:ind/>
              <w:rPr>
                <w:rFonts w:ascii="Times New Roman" w:hAnsi="Times New Roman"/>
                <w:color w:val="000000"/>
                <w:sz w:val="24"/>
              </w:rPr>
            </w:pPr>
            <w:r>
              <w:rPr>
                <w:rFonts w:ascii="Times New Roman" w:hAnsi="Times New Roman"/>
                <w:color w:val="000000"/>
                <w:sz w:val="24"/>
              </w:rPr>
              <w:t>Коммерческие</w:t>
            </w:r>
          </w:p>
        </w:tc>
        <w:tc>
          <w:tcPr>
            <w:tcW w:type="dxa" w:w="4128"/>
            <w:tcBorders>
              <w:top w:sz="4" w:val="nil"/>
              <w:left w:sz="4" w:val="nil"/>
              <w:bottom w:color="000000" w:sz="4" w:val="single"/>
              <w:right w:color="000000" w:sz="4" w:val="single"/>
            </w:tcBorders>
            <w:vAlign w:val="center"/>
          </w:tcPr>
          <w:p w14:paraId="A3000000">
            <w:pPr>
              <w:spacing w:after="0" w:line="240" w:lineRule="auto"/>
              <w:ind/>
              <w:rPr>
                <w:rFonts w:ascii="Times New Roman" w:hAnsi="Times New Roman"/>
                <w:color w:val="000000"/>
                <w:sz w:val="24"/>
              </w:rPr>
            </w:pPr>
            <w:r>
              <w:rPr>
                <w:rFonts w:ascii="Times New Roman" w:hAnsi="Times New Roman"/>
                <w:color w:val="000000"/>
                <w:sz w:val="24"/>
              </w:rPr>
              <w:t>Возникают между хозяйствующими субъектами</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A4000000">
            <w:pPr>
              <w:spacing w:after="0" w:line="240" w:lineRule="auto"/>
              <w:ind/>
              <w:rPr>
                <w:rFonts w:ascii="Times New Roman" w:hAnsi="Times New Roman"/>
                <w:color w:val="000000"/>
                <w:sz w:val="24"/>
              </w:rPr>
            </w:pPr>
            <w:r>
              <w:rPr>
                <w:rFonts w:ascii="Times New Roman" w:hAnsi="Times New Roman"/>
                <w:color w:val="000000"/>
                <w:sz w:val="24"/>
              </w:rPr>
              <w:t>Государственные</w:t>
            </w:r>
          </w:p>
        </w:tc>
        <w:tc>
          <w:tcPr>
            <w:tcW w:type="dxa" w:w="4128"/>
            <w:tcBorders>
              <w:top w:sz="4" w:val="nil"/>
              <w:left w:sz="4" w:val="nil"/>
              <w:bottom w:color="000000" w:sz="4" w:val="single"/>
              <w:right w:color="000000" w:sz="4" w:val="single"/>
            </w:tcBorders>
            <w:vAlign w:val="center"/>
          </w:tcPr>
          <w:p w14:paraId="A5000000">
            <w:pPr>
              <w:spacing w:after="0" w:line="240" w:lineRule="auto"/>
              <w:ind/>
              <w:rPr>
                <w:rFonts w:ascii="Times New Roman" w:hAnsi="Times New Roman"/>
                <w:color w:val="000000"/>
                <w:sz w:val="24"/>
              </w:rPr>
            </w:pPr>
            <w:r>
              <w:rPr>
                <w:rFonts w:ascii="Times New Roman" w:hAnsi="Times New Roman"/>
                <w:color w:val="000000"/>
                <w:sz w:val="24"/>
              </w:rPr>
              <w:t>Предоставляются государственными структурами</w:t>
            </w:r>
          </w:p>
        </w:tc>
      </w:tr>
      <w:tr>
        <w:trPr>
          <w:trHeight w:hRule="atLeast" w:val="288"/>
        </w:trPr>
        <w:tc>
          <w:tcPr>
            <w:tcW w:type="dxa" w:w="2558"/>
            <w:vMerge w:val="restart"/>
            <w:tcBorders>
              <w:top w:sz="4" w:val="nil"/>
              <w:left w:color="000000" w:sz="4" w:val="single"/>
              <w:bottom w:color="000000" w:sz="4" w:val="single"/>
              <w:right w:color="000000" w:sz="4" w:val="single"/>
            </w:tcBorders>
            <w:vAlign w:val="center"/>
          </w:tcPr>
          <w:p w14:paraId="A6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 способу погашения</w:t>
            </w:r>
          </w:p>
        </w:tc>
        <w:tc>
          <w:tcPr>
            <w:tcW w:type="dxa" w:w="2523"/>
            <w:tcBorders>
              <w:top w:sz="4" w:val="nil"/>
              <w:left w:sz="4" w:val="nil"/>
              <w:bottom w:color="000000" w:sz="4" w:val="single"/>
              <w:right w:color="000000" w:sz="4" w:val="single"/>
            </w:tcBorders>
            <w:vAlign w:val="center"/>
          </w:tcPr>
          <w:p w14:paraId="A7000000">
            <w:pPr>
              <w:spacing w:after="0" w:line="240" w:lineRule="auto"/>
              <w:ind/>
              <w:rPr>
                <w:rFonts w:ascii="Times New Roman" w:hAnsi="Times New Roman"/>
                <w:color w:val="000000"/>
                <w:sz w:val="24"/>
              </w:rPr>
            </w:pPr>
            <w:r>
              <w:rPr>
                <w:rFonts w:ascii="Times New Roman" w:hAnsi="Times New Roman"/>
                <w:color w:val="000000"/>
                <w:sz w:val="24"/>
              </w:rPr>
              <w:t>Единовременные</w:t>
            </w:r>
          </w:p>
        </w:tc>
        <w:tc>
          <w:tcPr>
            <w:tcW w:type="dxa" w:w="4128"/>
            <w:tcBorders>
              <w:top w:sz="4" w:val="nil"/>
              <w:left w:sz="4" w:val="nil"/>
              <w:bottom w:color="000000" w:sz="4" w:val="single"/>
              <w:right w:color="000000" w:sz="4" w:val="single"/>
            </w:tcBorders>
            <w:vAlign w:val="center"/>
          </w:tcPr>
          <w:p w14:paraId="A8000000">
            <w:pPr>
              <w:spacing w:after="0" w:line="240" w:lineRule="auto"/>
              <w:ind/>
              <w:rPr>
                <w:rFonts w:ascii="Times New Roman" w:hAnsi="Times New Roman"/>
                <w:color w:val="000000"/>
                <w:sz w:val="24"/>
              </w:rPr>
            </w:pPr>
            <w:r>
              <w:rPr>
                <w:rFonts w:ascii="Times New Roman" w:hAnsi="Times New Roman"/>
                <w:color w:val="000000"/>
                <w:sz w:val="24"/>
              </w:rPr>
              <w:t>Погашаются одной суммой</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A9000000">
            <w:pPr>
              <w:spacing w:after="0" w:line="240" w:lineRule="auto"/>
              <w:ind/>
              <w:rPr>
                <w:rFonts w:ascii="Times New Roman" w:hAnsi="Times New Roman"/>
                <w:color w:val="000000"/>
                <w:sz w:val="24"/>
              </w:rPr>
            </w:pPr>
            <w:r>
              <w:rPr>
                <w:rFonts w:ascii="Times New Roman" w:hAnsi="Times New Roman"/>
                <w:color w:val="000000"/>
                <w:sz w:val="24"/>
              </w:rPr>
              <w:t>Аннуитетные</w:t>
            </w:r>
          </w:p>
        </w:tc>
        <w:tc>
          <w:tcPr>
            <w:tcW w:type="dxa" w:w="4128"/>
            <w:tcBorders>
              <w:top w:sz="4" w:val="nil"/>
              <w:left w:sz="4" w:val="nil"/>
              <w:bottom w:color="000000" w:sz="4" w:val="single"/>
              <w:right w:color="000000" w:sz="4" w:val="single"/>
            </w:tcBorders>
            <w:vAlign w:val="center"/>
          </w:tcPr>
          <w:p w14:paraId="AA000000">
            <w:pPr>
              <w:spacing w:after="0" w:line="240" w:lineRule="auto"/>
              <w:ind/>
              <w:rPr>
                <w:rFonts w:ascii="Times New Roman" w:hAnsi="Times New Roman"/>
                <w:color w:val="000000"/>
                <w:sz w:val="24"/>
              </w:rPr>
            </w:pPr>
            <w:r>
              <w:rPr>
                <w:rFonts w:ascii="Times New Roman" w:hAnsi="Times New Roman"/>
                <w:color w:val="000000"/>
                <w:sz w:val="24"/>
              </w:rPr>
              <w:t>Погашаются равными периодическими платежами</w:t>
            </w:r>
          </w:p>
        </w:tc>
      </w:tr>
      <w:tr>
        <w:trPr>
          <w:trHeight w:hRule="atLeast" w:val="576"/>
        </w:trPr>
        <w:tc>
          <w:tcPr>
            <w:tcW w:type="dxa" w:w="2558"/>
            <w:gridSpan w:val="1"/>
            <w:vMerge w:val="continue"/>
            <w:tcBorders>
              <w:top w:sz="4" w:val="nil"/>
              <w:left w:color="000000" w:sz="4" w:val="single"/>
              <w:bottom w:color="000000" w:sz="4" w:val="single"/>
              <w:right w:color="000000" w:sz="4" w:val="single"/>
            </w:tcBorders>
            <w:vAlign w:val="center"/>
          </w:tcPr>
          <w:p/>
        </w:tc>
        <w:tc>
          <w:tcPr>
            <w:tcW w:type="dxa" w:w="2523"/>
            <w:tcBorders>
              <w:top w:sz="4" w:val="nil"/>
              <w:left w:sz="4" w:val="nil"/>
              <w:bottom w:color="000000" w:sz="4" w:val="single"/>
              <w:right w:color="000000" w:sz="4" w:val="single"/>
            </w:tcBorders>
            <w:vAlign w:val="center"/>
          </w:tcPr>
          <w:p w14:paraId="AB000000">
            <w:pPr>
              <w:spacing w:after="0" w:line="240" w:lineRule="auto"/>
              <w:ind/>
              <w:rPr>
                <w:rFonts w:ascii="Times New Roman" w:hAnsi="Times New Roman"/>
                <w:color w:val="000000"/>
                <w:sz w:val="24"/>
              </w:rPr>
            </w:pPr>
            <w:r>
              <w:rPr>
                <w:rFonts w:ascii="Times New Roman" w:hAnsi="Times New Roman"/>
                <w:color w:val="000000"/>
                <w:sz w:val="24"/>
              </w:rPr>
              <w:t>Дифференцированные</w:t>
            </w:r>
          </w:p>
        </w:tc>
        <w:tc>
          <w:tcPr>
            <w:tcW w:type="dxa" w:w="4128"/>
            <w:tcBorders>
              <w:top w:sz="4" w:val="nil"/>
              <w:left w:sz="4" w:val="nil"/>
              <w:bottom w:color="000000" w:sz="4" w:val="single"/>
              <w:right w:color="000000" w:sz="4" w:val="single"/>
            </w:tcBorders>
            <w:vAlign w:val="center"/>
          </w:tcPr>
          <w:p w14:paraId="AC000000">
            <w:pPr>
              <w:spacing w:after="0" w:line="240" w:lineRule="auto"/>
              <w:ind/>
              <w:rPr>
                <w:rFonts w:ascii="Times New Roman" w:hAnsi="Times New Roman"/>
                <w:color w:val="000000"/>
                <w:sz w:val="24"/>
              </w:rPr>
            </w:pPr>
            <w:r>
              <w:rPr>
                <w:rFonts w:ascii="Times New Roman" w:hAnsi="Times New Roman"/>
                <w:color w:val="000000"/>
                <w:sz w:val="24"/>
              </w:rPr>
              <w:t>Платежи уменьшаются по мере погашения долга</w:t>
            </w:r>
          </w:p>
        </w:tc>
      </w:tr>
    </w:tbl>
    <w:p w14:paraId="AD000000">
      <w:pPr>
        <w:spacing w:after="0" w:line="360" w:lineRule="auto"/>
        <w:ind w:firstLine="851" w:left="0"/>
        <w:jc w:val="both"/>
        <w:rPr>
          <w:rFonts w:ascii="Times New Roman" w:hAnsi="Times New Roman"/>
          <w:sz w:val="28"/>
        </w:rPr>
      </w:pPr>
    </w:p>
    <w:p w14:paraId="AE000000">
      <w:pPr>
        <w:spacing w:line="360" w:lineRule="auto"/>
        <w:ind w:firstLine="851" w:left="0"/>
        <w:jc w:val="both"/>
        <w:rPr>
          <w:rFonts w:ascii="Times New Roman" w:hAnsi="Times New Roman"/>
          <w:sz w:val="28"/>
        </w:rPr>
      </w:pPr>
      <w:r>
        <w:rPr>
          <w:rFonts w:ascii="Times New Roman" w:hAnsi="Times New Roman"/>
          <w:sz w:val="28"/>
        </w:rPr>
        <w:t xml:space="preserve">Кредит – это очень широкое и многогранное понятие, а его отдельные проявления приобретают иногда такие необычные формы, что определить его сущность и признаки можно только путем анализа отдельных видов и форм кредита </w:t>
      </w:r>
      <w:r>
        <w:rPr>
          <w:rStyle w:val="Style_11_ch"/>
          <w:rFonts w:ascii="Times New Roman" w:hAnsi="Times New Roman"/>
          <w:sz w:val="28"/>
        </w:rPr>
        <w:footnoteReference w:id="11"/>
      </w:r>
      <w:r>
        <w:rPr>
          <w:rFonts w:ascii="Times New Roman" w:hAnsi="Times New Roman"/>
          <w:sz w:val="28"/>
        </w:rPr>
        <w:t>. Итак, подытоживая вышеизложенное, можем утверждать, что существует несколько подходов к трактовке сущности кредита: – отождествления кредита с ценностью (средствами), которые передаются одним экономическим субъектом другому в ссуду; – отождествление кредита с формой аккумулирования и передачи средств; – отождествление кредита с формой движения капитала; – отождествление кредита с обязательствами; – отождествление кредита с определенным видом экономических отношений, формируемых в обществе; – отождествление кредита с контрактом, отражающим возникновение финансовых обязательств и финансовых активов</w:t>
      </w:r>
      <w:r>
        <w:rPr>
          <w:rFonts w:ascii="Times New Roman" w:hAnsi="Times New Roman"/>
          <w:sz w:val="28"/>
        </w:rPr>
        <w:t xml:space="preserve">,  </w:t>
      </w:r>
      <w:r>
        <w:rPr>
          <w:rFonts w:ascii="Times New Roman" w:hAnsi="Times New Roman"/>
          <w:sz w:val="28"/>
        </w:rPr>
        <w:t xml:space="preserve">подход позволяет глубже исследовать экономические аспекты кредита, социально-экономические факторы его существования, основы и закономерности его движения. Характерной чертой большинства вышеприведенных определений сущности кредита является то, что эта категория исследуется через призму экономических отношений, возникающих между участниками кредитного соглашения с учетом принципов кредитования. Учитывая, что экономические отношения – это отношения и </w:t>
      </w:r>
      <w:r>
        <w:rPr>
          <w:rFonts w:ascii="Times New Roman" w:hAnsi="Times New Roman"/>
          <w:sz w:val="28"/>
        </w:rPr>
        <w:t xml:space="preserve">связи между людьми, возникающие в процессе общественного производства, распределения, обмена и потребления производимых благ, а в современных условиях это товарно-денежные и рыночные отношения; а также на определение «финансовые инструменты», приведенные в ПСБУ, МСФО, МСФО, кредит можно трактовать как финансовый актив и финансовое обязательство одновременно. </w:t>
      </w:r>
    </w:p>
    <w:p w14:paraId="AF000000">
      <w:pPr>
        <w:spacing w:line="360" w:lineRule="auto"/>
        <w:ind w:firstLine="851" w:left="0"/>
        <w:jc w:val="both"/>
        <w:rPr>
          <w:rFonts w:ascii="Times New Roman" w:hAnsi="Times New Roman"/>
          <w:sz w:val="28"/>
        </w:rPr>
      </w:pPr>
      <w:r>
        <w:rPr>
          <w:rFonts w:ascii="Times New Roman" w:hAnsi="Times New Roman"/>
          <w:sz w:val="28"/>
        </w:rPr>
        <w:t xml:space="preserve">Исходя из того, что Закон </w:t>
      </w:r>
      <w:r>
        <w:rPr>
          <w:rFonts w:ascii="Times New Roman" w:hAnsi="Times New Roman"/>
          <w:sz w:val="28"/>
        </w:rPr>
        <w:t>РФ</w:t>
      </w:r>
      <w:r>
        <w:rPr>
          <w:rFonts w:ascii="Times New Roman" w:hAnsi="Times New Roman"/>
          <w:sz w:val="28"/>
        </w:rPr>
        <w:t xml:space="preserve"> «О банках и банковской деятельности» трактует кредит как обязательства банка и обязательства должника, можем сделать предположение, что для целей бухгалтерского учета как науки уместна такая трактовка категории кредит: «кредит – это формы обеспечения субъектов хозяйствования заимствованными ресурсами для финансирования своей деятельности, которые реализуются через финансовые инструменты. Выводы. По результатам проведенного анализа экономической литературы можно сделать обобщающий вывод, что существуют преимущественно два подхода к определению сущности кредита: 1) в узком понимании – это сумма денежных средств, которую кредитор предоставляет заемщику; 2) в широком смысле – это совокупность экономических отношений, возникающих в процессе предоставления кредитором средств заемщику взаймы. Проанализировав разные мнения ученых о сущности кредита как основного финансового инструмента кредитования, мы можем убедиться в сложности такой экономической категории, как кредит. Поэтому можно отметить, что кредит – это экономические отношения, возникающие между кредитором и заемщиком по привлечению временно свободных средств и использования их на условиях возврата, срочности, платности и целевого назначения, что обеспечивает перераспределение средств кредитора и позволяет получить доход в виде процентов. Для целей бухгалтерского учета кредит следует рассматривать как формы обеспечения субъектов хозяйствования заимствованными ресурсами для финансирования своей деятельности, которые реализуются через финансовые инструменты кредитования в виде </w:t>
      </w:r>
      <w:r>
        <w:rPr>
          <w:rFonts w:ascii="Times New Roman" w:hAnsi="Times New Roman"/>
          <w:sz w:val="28"/>
        </w:rPr>
        <w:t>финансовых активов и финансовых обязательств. Дальнейшие исследования по этому направлению, по нашему мнению, следует посвятить рассмотрению классификации кредитов как основного финансового инструмента кредитования для нужд бухгалтерского учета.</w:t>
      </w:r>
    </w:p>
    <w:p w14:paraId="B0000000">
      <w:bookmarkStart w:id="5" w:name="__RefHeading___5"/>
      <w:bookmarkEnd w:id="5"/>
      <w:pPr>
        <w:pStyle w:val="Style_8"/>
        <w:numPr>
          <w:ilvl w:val="1"/>
          <w:numId w:val="2"/>
        </w:numPr>
        <w:spacing w:before="0" w:line="360" w:lineRule="auto"/>
        <w:ind/>
        <w:rPr>
          <w:rFonts w:ascii="Times New Roman" w:hAnsi="Times New Roman"/>
          <w:b w:val="1"/>
          <w:color w:themeColor="text1" w:val="000000"/>
          <w:sz w:val="28"/>
        </w:rPr>
      </w:pPr>
      <w:r>
        <w:rPr>
          <w:rFonts w:ascii="Times New Roman" w:hAnsi="Times New Roman"/>
          <w:b w:val="1"/>
          <w:color w:themeColor="text1" w:val="000000"/>
          <w:sz w:val="28"/>
        </w:rPr>
        <w:t>Особенности организации учета кредитов и займов</w:t>
      </w:r>
    </w:p>
    <w:p w14:paraId="B1000000"/>
    <w:p w14:paraId="B2000000">
      <w:pPr>
        <w:spacing w:after="0" w:line="360" w:lineRule="auto"/>
        <w:ind w:firstLine="851" w:left="0"/>
        <w:jc w:val="both"/>
        <w:rPr>
          <w:rFonts w:ascii="Times New Roman" w:hAnsi="Times New Roman"/>
          <w:sz w:val="28"/>
        </w:rPr>
      </w:pPr>
      <w:r>
        <w:rPr>
          <w:rFonts w:ascii="Times New Roman" w:hAnsi="Times New Roman"/>
          <w:sz w:val="28"/>
        </w:rPr>
        <w:t>В процессе деятельности предприятия часто возникает потребность в привлечении дополнительных средств, а именно путем получения кредита. С целью формирования методики учета обязательств по банковским кредитам, следует сосредоточить внимание на сущности кредита как источника обязательства предприятия, ведь этот вопрос очень актуален в условиях настоящего. В условиях ограниченности ресурсов и неограниченности потребностей, значение внешних ресурсов актуально всегда. Учитывая нестабильность курса валют, низкой платежеспособности хозяйствующих субъектов повышается необходимость банковского кредитования, если не с целью развития, то для поддержания достигнутого уровня. Из-за спроса на услугу банковского кредитования возникают вопросы правильности и полноты бухгалтерского сопровождения такой операции. Существует несколько трактовок определения кредита и банковского кредита. Приведем пример главных. Банковский кредит – это платное предоставление банками денежных средств во временное использование на определенных кредитным контрактом условиях с соблюдением принципов возврата, срочности, обеспеченности, платности, целевого использования</w:t>
      </w:r>
      <w:r>
        <w:rPr>
          <w:rStyle w:val="Style_11_ch"/>
          <w:rFonts w:ascii="Times New Roman" w:hAnsi="Times New Roman"/>
          <w:sz w:val="28"/>
        </w:rPr>
        <w:footnoteReference w:id="12"/>
      </w:r>
      <w:r>
        <w:rPr>
          <w:rFonts w:ascii="Times New Roman" w:hAnsi="Times New Roman"/>
          <w:sz w:val="28"/>
        </w:rPr>
        <w:t xml:space="preserve">. Кредит – ссудный капитал банка в денежной форме и банковских металлах, который передается во временное пользование на условиях обеспеченности, возврата, срочности, </w:t>
      </w:r>
      <w:r>
        <w:rPr>
          <w:rFonts w:ascii="Times New Roman" w:hAnsi="Times New Roman"/>
          <w:sz w:val="28"/>
        </w:rPr>
        <w:t>платности и целевого характера использования</w:t>
      </w:r>
      <w:r>
        <w:rPr>
          <w:rStyle w:val="Style_11_ch"/>
          <w:rFonts w:ascii="Times New Roman" w:hAnsi="Times New Roman"/>
          <w:sz w:val="28"/>
        </w:rPr>
        <w:footnoteReference w:id="13"/>
      </w:r>
      <w:r>
        <w:rPr>
          <w:rFonts w:ascii="Times New Roman" w:hAnsi="Times New Roman"/>
          <w:sz w:val="28"/>
        </w:rPr>
        <w:t>. Несмотря на основательные исследования вопроса учета обязательств по банковским кредитам, актуален вопрос выбора банковского учреждения с кредитным договором, что является наименее рисковым для предприятия. Объектом кредита является заемная стоимость, которая передается в ссуду одним субъектом другому. Ссудная стоимость может быть в форме денег, товаров, выполненных работ, оказанных услуг. Ссуда порождает кредитные отношения между партнерами. К субъектам кредита относятся кредитора и заемщика. Кредиторами являются участники кредитных отношений, имеющие свободные средства и передающие их во временное пользование другим субъектам – заемщикам. Участниками кредитных отношений могут быть физические лица, юридические лица, а также государство</w:t>
      </w:r>
      <w:r>
        <w:rPr>
          <w:rStyle w:val="Style_11_ch"/>
          <w:rFonts w:ascii="Times New Roman" w:hAnsi="Times New Roman"/>
          <w:sz w:val="28"/>
        </w:rPr>
        <w:t xml:space="preserve"> </w:t>
      </w:r>
      <w:r>
        <w:rPr>
          <w:rStyle w:val="Style_11_ch"/>
          <w:rFonts w:ascii="Times New Roman" w:hAnsi="Times New Roman"/>
          <w:sz w:val="28"/>
        </w:rPr>
        <w:footnoteReference w:id="14"/>
      </w:r>
    </w:p>
    <w:p w14:paraId="B3000000">
      <w:pPr>
        <w:spacing w:after="0" w:line="360" w:lineRule="auto"/>
        <w:ind w:firstLine="851" w:left="0"/>
        <w:jc w:val="both"/>
        <w:rPr>
          <w:rFonts w:ascii="Times New Roman" w:hAnsi="Times New Roman"/>
          <w:sz w:val="28"/>
        </w:rPr>
      </w:pPr>
      <w:r>
        <w:rPr>
          <w:rFonts w:ascii="Times New Roman" w:hAnsi="Times New Roman"/>
          <w:sz w:val="28"/>
        </w:rPr>
        <w:t xml:space="preserve">Кроме того, процесс кредитования предприятий обязательно должен отвечать следующим принципам: возвратность, срочность, платность, обеспеченность, целевое использование средств. По назначению и характеру использования банковские кредиты классифицируют следующим образом: – в текущую деятельность – предоставляются заемщикам на удовлетворение временной потребности в средствах для приобретения текущих активов при разрыве между временем поступления средств и расходов (кредиты на покупку сырья и других производственных запасов, сезонные затраты и т.п.); – в инвестиционную деятельность – предоставляются заемщикам на удовлетворение временной потребности в средствах при осуществлении ими действий по реализации инвестиций или инвестиционного проекта (капитальные затраты на реконструкцию, модернизацию и расширение действующих основных фондов, новое строительство и освоение земли, </w:t>
      </w:r>
      <w:r>
        <w:rPr>
          <w:rFonts w:ascii="Times New Roman" w:hAnsi="Times New Roman"/>
          <w:sz w:val="28"/>
        </w:rPr>
        <w:t xml:space="preserve">покупка зданий, сооружений, оборудования и т.п.). По сроку использования различают краткосрочные (до одного года), среднесрочные (до трех лет) и долгосрочные (свыше трех лет). По виду процентной ставки выделяют банковские кредиты: – с фиксированной ставкой процента – процентная ставка не может изменяться в течение действия кредитного договора, характерного для стабильной экономики; – с «плавающей» ставкой процента – кредитор оставляет за собой право изменять процентную плату в течение срока использования кредита заемщиком. </w:t>
      </w:r>
    </w:p>
    <w:p w14:paraId="B4000000">
      <w:pPr>
        <w:spacing w:after="0" w:line="360" w:lineRule="auto"/>
        <w:ind w:firstLine="851" w:left="0"/>
        <w:jc w:val="both"/>
        <w:rPr>
          <w:rFonts w:ascii="Times New Roman" w:hAnsi="Times New Roman"/>
          <w:sz w:val="28"/>
        </w:rPr>
      </w:pPr>
      <w:r>
        <w:rPr>
          <w:rFonts w:ascii="Times New Roman" w:hAnsi="Times New Roman"/>
          <w:sz w:val="28"/>
        </w:rPr>
        <w:t>Разновидностью являются кредиты, процентная ставка по которым «привязана» к определенному индексу или показателю (индексу инфляции, учетной ставке центрального банка, ставке LIBOR и др.); – дисконтные кредиты – выплата процентов производится в момент предоставления кредита. Эта схема выплаты применяется к особо ненадежным клиентам. По форме предоставления банковские кредиты бывают в наличной форме и безналичной</w:t>
      </w:r>
      <w:r>
        <w:rPr>
          <w:rStyle w:val="Style_11_ch"/>
          <w:rFonts w:ascii="Times New Roman" w:hAnsi="Times New Roman"/>
          <w:sz w:val="28"/>
        </w:rPr>
        <w:footnoteReference w:id="15"/>
      </w:r>
      <w:r>
        <w:rPr>
          <w:rFonts w:ascii="Times New Roman" w:hAnsi="Times New Roman"/>
          <w:sz w:val="28"/>
        </w:rPr>
        <w:t xml:space="preserve">. </w:t>
      </w:r>
    </w:p>
    <w:p w14:paraId="B5000000">
      <w:pPr>
        <w:spacing w:after="0" w:line="360" w:lineRule="auto"/>
        <w:ind w:firstLine="851" w:left="0"/>
        <w:jc w:val="both"/>
        <w:rPr>
          <w:rFonts w:ascii="Times New Roman" w:hAnsi="Times New Roman"/>
          <w:sz w:val="28"/>
        </w:rPr>
      </w:pPr>
      <w:r>
        <w:rPr>
          <w:rFonts w:ascii="Times New Roman" w:hAnsi="Times New Roman"/>
          <w:sz w:val="28"/>
        </w:rPr>
        <w:t xml:space="preserve">Бухгалтерский учет должен обеспечить своевременную и правильную составление и представление банку документации, необходимой для получения кредитов, контроль за целевым использованием и своевременным возвратом кредитов, информацию об эффективности привлечения кредитных средств, которая необходима для принятия правильных управленческих решений. Для того чтобы получить кредит, необходимо подать в банк заявление, а также пакет необходимых документов, </w:t>
      </w:r>
      <w:r>
        <w:rPr>
          <w:rFonts w:ascii="Times New Roman" w:hAnsi="Times New Roman"/>
          <w:sz w:val="28"/>
        </w:rPr>
        <w:t>в частности,</w:t>
      </w:r>
      <w:r>
        <w:rPr>
          <w:rFonts w:ascii="Times New Roman" w:hAnsi="Times New Roman"/>
          <w:sz w:val="28"/>
        </w:rPr>
        <w:t xml:space="preserve"> копии свидетельства о регистрации и уставе, карточку с образцами подписей, формы финансовой отчетности, справку из Государственной фискальной службы, гарантийные обязательства поручителя, </w:t>
      </w:r>
      <w:r>
        <w:rPr>
          <w:rFonts w:ascii="Times New Roman" w:hAnsi="Times New Roman"/>
          <w:sz w:val="28"/>
        </w:rPr>
        <w:t>бизнесплан</w:t>
      </w:r>
      <w:r>
        <w:rPr>
          <w:rFonts w:ascii="Times New Roman" w:hAnsi="Times New Roman"/>
          <w:sz w:val="28"/>
        </w:rPr>
        <w:t xml:space="preserve">. </w:t>
      </w:r>
    </w:p>
    <w:p w14:paraId="B6000000">
      <w:pPr>
        <w:spacing w:after="0" w:line="360" w:lineRule="auto"/>
        <w:ind w:firstLine="851" w:left="0"/>
        <w:jc w:val="both"/>
        <w:rPr>
          <w:rFonts w:ascii="Times New Roman" w:hAnsi="Times New Roman"/>
          <w:sz w:val="28"/>
        </w:rPr>
      </w:pPr>
      <w:r>
        <w:rPr>
          <w:rFonts w:ascii="Times New Roman" w:hAnsi="Times New Roman"/>
          <w:sz w:val="28"/>
        </w:rPr>
        <w:t xml:space="preserve">Предприятия часто пользуются услугами факторинга и форфейтинга. Факторинг – это система финансирования, по условиям которой предприятие </w:t>
      </w:r>
      <w:r>
        <w:rPr>
          <w:rFonts w:ascii="Times New Roman" w:hAnsi="Times New Roman"/>
          <w:sz w:val="28"/>
        </w:rPr>
        <w:t>поставщик продукции переуступает краткосрочным требованиям по торговым операциям банковского учреждения (факторинговой компании). В основу факторинговой операции положен принцип приобретения банком счетов-фактур под предприятия-поставщика за отгруженную продукцию, то есть передачу банка поставщиком права требовать платежи с покупателя продукции.</w:t>
      </w:r>
    </w:p>
    <w:p w14:paraId="B7000000">
      <w:pPr>
        <w:spacing w:after="0" w:line="360" w:lineRule="auto"/>
        <w:ind w:firstLine="851" w:left="0"/>
        <w:jc w:val="both"/>
        <w:rPr>
          <w:rFonts w:ascii="Times New Roman" w:hAnsi="Times New Roman"/>
          <w:sz w:val="28"/>
        </w:rPr>
      </w:pPr>
      <w:r>
        <w:rPr>
          <w:rFonts w:ascii="Times New Roman" w:hAnsi="Times New Roman"/>
          <w:sz w:val="28"/>
        </w:rPr>
        <w:t>Форфейтинг – это финансовая операция по рефинансированию задолженности по экспортному товарному кредиту, которая оформляется путем индоссамента переходного векселя в пользу банковского учреждения</w:t>
      </w:r>
      <w:r>
        <w:rPr>
          <w:rStyle w:val="Style_11_ch"/>
          <w:rFonts w:ascii="Times New Roman" w:hAnsi="Times New Roman"/>
          <w:sz w:val="28"/>
        </w:rPr>
        <w:footnoteReference w:id="16"/>
      </w:r>
      <w:r>
        <w:rPr>
          <w:rFonts w:ascii="Times New Roman" w:hAnsi="Times New Roman"/>
          <w:sz w:val="28"/>
        </w:rPr>
        <w:t xml:space="preserve">. При выборе банковского учреждения с целью привлечения кредита с наименьшими рисками необходимо обратить внимание на следующие важные факторы: – схема кредитования; – комиссия (одноразовая, скрытая); – возможность досрочного погашения; – стоимость залога, который предлагает банк (оценка банка может отличаться от вашего не более чем на 10%); – процентная ставка. </w:t>
      </w:r>
    </w:p>
    <w:p w14:paraId="B8000000">
      <w:pPr>
        <w:spacing w:after="0" w:line="360" w:lineRule="auto"/>
        <w:ind w:firstLine="851" w:left="0"/>
        <w:jc w:val="both"/>
        <w:rPr>
          <w:rFonts w:ascii="Times New Roman" w:hAnsi="Times New Roman"/>
          <w:sz w:val="28"/>
        </w:rPr>
      </w:pPr>
      <w:r>
        <w:rPr>
          <w:rFonts w:ascii="Times New Roman" w:hAnsi="Times New Roman"/>
          <w:sz w:val="28"/>
        </w:rPr>
        <w:t xml:space="preserve">Погашение задолженности по кредиту и процентов осуществляется заемщиками, как правило, ежемесячно, согласно выбранной схеме погашения тела кредита: аннуитетной или классической. Аннуитетная схема погашения кредита – предполагает выплату банку равных сумм ежемесячно, не зависимо от задолженности по телу кредита. Эта сумма состоит из части погашения тела кредита и процентов за использование </w:t>
      </w:r>
      <w:r>
        <w:rPr>
          <w:rFonts w:ascii="Times New Roman" w:hAnsi="Times New Roman"/>
          <w:sz w:val="28"/>
        </w:rPr>
        <w:t>кредита</w:t>
      </w:r>
      <w:r>
        <w:rPr>
          <w:rFonts w:ascii="Times New Roman" w:hAnsi="Times New Roman"/>
          <w:sz w:val="28"/>
        </w:rPr>
        <w:t xml:space="preserve">,  </w:t>
      </w:r>
      <w:r>
        <w:rPr>
          <w:rFonts w:ascii="Times New Roman" w:hAnsi="Times New Roman"/>
          <w:sz w:val="28"/>
        </w:rPr>
        <w:t>механизм</w:t>
      </w:r>
      <w:r>
        <w:rPr>
          <w:rFonts w:ascii="Times New Roman" w:hAnsi="Times New Roman"/>
          <w:sz w:val="28"/>
        </w:rPr>
        <w:t xml:space="preserve"> имеет смысл при длительном кредитовании, поскольку существует вероятность, что часть суммы будет погашена благодаря инфляции. Классическая схема погашения кредита предполагает ежемесячное погашение тела кредита равными частями и начисление процентов за использование кредита на остаток задолженности. То есть происходит ежемесячное уменьшение суммы кредита, подлежащего уплате.</w:t>
      </w:r>
    </w:p>
    <w:p w14:paraId="B9000000">
      <w:pPr>
        <w:spacing w:after="0" w:line="240" w:lineRule="auto"/>
        <w:ind w:firstLine="851" w:left="0"/>
        <w:jc w:val="right"/>
        <w:rPr>
          <w:rFonts w:ascii="Times New Roman" w:hAnsi="Times New Roman"/>
          <w:b w:val="1"/>
          <w:sz w:val="28"/>
        </w:rPr>
      </w:pPr>
      <w:r>
        <w:rPr>
          <w:rFonts w:ascii="Times New Roman" w:hAnsi="Times New Roman"/>
          <w:b w:val="1"/>
          <w:sz w:val="28"/>
        </w:rPr>
        <w:t>Таблица 2</w:t>
      </w:r>
    </w:p>
    <w:p w14:paraId="BA000000">
      <w:pPr>
        <w:spacing w:after="0" w:line="240" w:lineRule="auto"/>
        <w:ind w:firstLine="851" w:left="0"/>
        <w:jc w:val="both"/>
        <w:rPr>
          <w:rFonts w:ascii="Times New Roman" w:hAnsi="Times New Roman"/>
          <w:b w:val="1"/>
          <w:sz w:val="28"/>
        </w:rPr>
      </w:pPr>
      <w:r>
        <w:rPr>
          <w:rFonts w:ascii="Times New Roman" w:hAnsi="Times New Roman"/>
          <w:b w:val="1"/>
          <w:sz w:val="28"/>
        </w:rPr>
        <w:t>Нормативно-правовая база бухгалтерского учета кредитов и займов в Российской Федерации</w:t>
      </w:r>
    </w:p>
    <w:tbl>
      <w:tblPr>
        <w:tblStyle w:val="Style_3"/>
        <w:tblLayout w:type="fixed"/>
      </w:tblPr>
      <w:tblGrid>
        <w:gridCol w:w="2600"/>
        <w:gridCol w:w="2782"/>
        <w:gridCol w:w="3860"/>
      </w:tblGrid>
      <w:tr>
        <w:trPr>
          <w:trHeight w:hRule="atLeast" w:val="576"/>
          <w:tblHeader/>
        </w:trPr>
        <w:tc>
          <w:tcPr>
            <w:tcW w:type="dxa" w:w="2600"/>
            <w:tcBorders>
              <w:top w:color="000000" w:sz="4" w:val="single"/>
              <w:left w:color="000000" w:sz="4" w:val="single"/>
              <w:bottom w:color="000000" w:sz="4" w:val="single"/>
              <w:right w:color="000000" w:sz="4" w:val="single"/>
            </w:tcBorders>
            <w:vAlign w:val="center"/>
          </w:tcPr>
          <w:p w14:paraId="BB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Уровень регулирования</w:t>
            </w:r>
          </w:p>
        </w:tc>
        <w:tc>
          <w:tcPr>
            <w:tcW w:type="dxa" w:w="2782"/>
            <w:tcBorders>
              <w:top w:color="000000" w:sz="4" w:val="single"/>
              <w:left w:sz="4" w:val="nil"/>
              <w:bottom w:color="000000" w:sz="4" w:val="single"/>
              <w:right w:color="000000" w:sz="4" w:val="single"/>
            </w:tcBorders>
            <w:vAlign w:val="center"/>
          </w:tcPr>
          <w:p w14:paraId="BC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Нормативный документ</w:t>
            </w:r>
          </w:p>
        </w:tc>
        <w:tc>
          <w:tcPr>
            <w:tcW w:type="dxa" w:w="3860"/>
            <w:tcBorders>
              <w:top w:color="000000" w:sz="4" w:val="single"/>
              <w:left w:sz="4" w:val="nil"/>
              <w:bottom w:color="000000" w:sz="4" w:val="single"/>
              <w:right w:color="000000" w:sz="4" w:val="single"/>
            </w:tcBorders>
            <w:vAlign w:val="center"/>
          </w:tcPr>
          <w:p w14:paraId="BD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Содержание регулирования учета кредитов и займов</w:t>
            </w:r>
          </w:p>
        </w:tc>
      </w:tr>
      <w:tr>
        <w:trPr>
          <w:trHeight w:hRule="atLeast" w:val="1440"/>
        </w:trPr>
        <w:tc>
          <w:tcPr>
            <w:tcW w:type="dxa" w:w="2600"/>
            <w:vMerge w:val="restart"/>
            <w:tcBorders>
              <w:top w:sz="4" w:val="nil"/>
              <w:left w:color="000000" w:sz="4" w:val="single"/>
              <w:bottom w:color="000000" w:sz="4" w:val="single"/>
              <w:right w:color="000000" w:sz="4" w:val="single"/>
            </w:tcBorders>
            <w:vAlign w:val="center"/>
          </w:tcPr>
          <w:p w14:paraId="BE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Законодательный уровень</w:t>
            </w:r>
          </w:p>
        </w:tc>
        <w:tc>
          <w:tcPr>
            <w:tcW w:type="dxa" w:w="2782"/>
            <w:tcBorders>
              <w:top w:sz="4" w:val="nil"/>
              <w:left w:sz="4" w:val="nil"/>
              <w:bottom w:color="000000" w:sz="4" w:val="single"/>
              <w:right w:color="000000" w:sz="4" w:val="single"/>
            </w:tcBorders>
            <w:vAlign w:val="center"/>
          </w:tcPr>
          <w:p w14:paraId="BF000000">
            <w:pPr>
              <w:spacing w:after="0" w:line="240" w:lineRule="auto"/>
              <w:ind/>
              <w:rPr>
                <w:rFonts w:ascii="Times New Roman" w:hAnsi="Times New Roman"/>
                <w:color w:val="000000"/>
                <w:sz w:val="24"/>
              </w:rPr>
            </w:pPr>
            <w:r>
              <w:rPr>
                <w:rFonts w:ascii="Times New Roman" w:hAnsi="Times New Roman"/>
                <w:color w:val="000000"/>
                <w:sz w:val="24"/>
              </w:rPr>
              <w:t>Гражданский кодекс РФ (ч. 2)</w:t>
            </w:r>
          </w:p>
        </w:tc>
        <w:tc>
          <w:tcPr>
            <w:tcW w:type="dxa" w:w="3860"/>
            <w:tcBorders>
              <w:top w:sz="4" w:val="nil"/>
              <w:left w:sz="4" w:val="nil"/>
              <w:bottom w:color="000000" w:sz="4" w:val="single"/>
              <w:right w:color="000000" w:sz="4" w:val="single"/>
            </w:tcBorders>
            <w:vAlign w:val="center"/>
          </w:tcPr>
          <w:p w14:paraId="C0000000">
            <w:pPr>
              <w:spacing w:after="0" w:line="240" w:lineRule="auto"/>
              <w:ind/>
              <w:rPr>
                <w:rFonts w:ascii="Times New Roman" w:hAnsi="Times New Roman"/>
                <w:color w:val="000000"/>
                <w:sz w:val="24"/>
              </w:rPr>
            </w:pPr>
            <w:r>
              <w:rPr>
                <w:rFonts w:ascii="Times New Roman" w:hAnsi="Times New Roman"/>
                <w:color w:val="000000"/>
                <w:sz w:val="24"/>
              </w:rPr>
              <w:t>Определяет правовые основы кредитных и заемных отношений, устанавливает понятия, условия договоров, права и обязанности сторон</w:t>
            </w:r>
          </w:p>
        </w:tc>
      </w:tr>
      <w:tr>
        <w:trPr>
          <w:trHeight w:hRule="atLeast" w:val="1152"/>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C1000000">
            <w:pPr>
              <w:spacing w:after="0" w:line="240" w:lineRule="auto"/>
              <w:ind/>
              <w:rPr>
                <w:rFonts w:ascii="Times New Roman" w:hAnsi="Times New Roman"/>
                <w:color w:val="000000"/>
                <w:sz w:val="24"/>
              </w:rPr>
            </w:pPr>
            <w:r>
              <w:rPr>
                <w:rFonts w:ascii="Times New Roman" w:hAnsi="Times New Roman"/>
                <w:color w:val="000000"/>
                <w:sz w:val="24"/>
              </w:rPr>
              <w:t>Налоговый кодекс РФ (ч. 1)</w:t>
            </w:r>
          </w:p>
        </w:tc>
        <w:tc>
          <w:tcPr>
            <w:tcW w:type="dxa" w:w="3860"/>
            <w:tcBorders>
              <w:top w:sz="4" w:val="nil"/>
              <w:left w:sz="4" w:val="nil"/>
              <w:bottom w:color="000000" w:sz="4" w:val="single"/>
              <w:right w:color="000000" w:sz="4" w:val="single"/>
            </w:tcBorders>
            <w:vAlign w:val="center"/>
          </w:tcPr>
          <w:p w14:paraId="C2000000">
            <w:pPr>
              <w:spacing w:after="0" w:line="240" w:lineRule="auto"/>
              <w:ind/>
              <w:rPr>
                <w:rFonts w:ascii="Times New Roman" w:hAnsi="Times New Roman"/>
                <w:color w:val="000000"/>
                <w:sz w:val="24"/>
              </w:rPr>
            </w:pPr>
            <w:r>
              <w:rPr>
                <w:rFonts w:ascii="Times New Roman" w:hAnsi="Times New Roman"/>
                <w:color w:val="000000"/>
                <w:sz w:val="24"/>
              </w:rPr>
              <w:t>Регламентирует порядок учета процентов по кредитам и займам для целей налогообложения, особенности налогообложения валютных операций</w:t>
            </w:r>
          </w:p>
        </w:tc>
      </w:tr>
      <w:tr>
        <w:trPr>
          <w:trHeight w:hRule="atLeast" w:val="1152"/>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C3000000">
            <w:pPr>
              <w:spacing w:after="0" w:line="240" w:lineRule="auto"/>
              <w:ind/>
              <w:rPr>
                <w:rFonts w:ascii="Times New Roman" w:hAnsi="Times New Roman"/>
                <w:color w:val="000000"/>
                <w:sz w:val="24"/>
              </w:rPr>
            </w:pPr>
            <w:r>
              <w:rPr>
                <w:rFonts w:ascii="Times New Roman" w:hAnsi="Times New Roman"/>
                <w:color w:val="000000"/>
                <w:sz w:val="24"/>
              </w:rPr>
              <w:t>Федеральный закон № 402-ФЗ «О бухгалтерском учете»</w:t>
            </w:r>
          </w:p>
        </w:tc>
        <w:tc>
          <w:tcPr>
            <w:tcW w:type="dxa" w:w="3860"/>
            <w:tcBorders>
              <w:top w:sz="4" w:val="nil"/>
              <w:left w:sz="4" w:val="nil"/>
              <w:bottom w:color="000000" w:sz="4" w:val="single"/>
              <w:right w:color="000000" w:sz="4" w:val="single"/>
            </w:tcBorders>
            <w:vAlign w:val="center"/>
          </w:tcPr>
          <w:p w14:paraId="C4000000">
            <w:pPr>
              <w:spacing w:after="0" w:line="240" w:lineRule="auto"/>
              <w:ind/>
              <w:rPr>
                <w:rFonts w:ascii="Times New Roman" w:hAnsi="Times New Roman"/>
                <w:color w:val="000000"/>
                <w:sz w:val="24"/>
              </w:rPr>
            </w:pPr>
            <w:r>
              <w:rPr>
                <w:rFonts w:ascii="Times New Roman" w:hAnsi="Times New Roman"/>
                <w:color w:val="000000"/>
                <w:sz w:val="24"/>
              </w:rPr>
              <w:t>Устанавливает единые требования к ведению бухгалтерского учета обязательств и формированию бухгалтерской отчетности</w:t>
            </w:r>
          </w:p>
        </w:tc>
      </w:tr>
      <w:tr>
        <w:trPr>
          <w:trHeight w:hRule="atLeast" w:val="864"/>
        </w:trPr>
        <w:tc>
          <w:tcPr>
            <w:tcW w:type="dxa" w:w="2600"/>
            <w:vMerge w:val="restart"/>
            <w:tcBorders>
              <w:top w:sz="4" w:val="nil"/>
              <w:left w:color="000000" w:sz="4" w:val="single"/>
              <w:bottom w:color="000000" w:sz="4" w:val="single"/>
              <w:right w:color="000000" w:sz="4" w:val="single"/>
            </w:tcBorders>
            <w:vAlign w:val="center"/>
          </w:tcPr>
          <w:p w14:paraId="C5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Нормативный уровень (Минфин РФ)</w:t>
            </w:r>
          </w:p>
        </w:tc>
        <w:tc>
          <w:tcPr>
            <w:tcW w:type="dxa" w:w="2782"/>
            <w:tcBorders>
              <w:top w:sz="4" w:val="nil"/>
              <w:left w:sz="4" w:val="nil"/>
              <w:bottom w:color="000000" w:sz="4" w:val="single"/>
              <w:right w:color="000000" w:sz="4" w:val="single"/>
            </w:tcBorders>
            <w:vAlign w:val="center"/>
          </w:tcPr>
          <w:p w14:paraId="C6000000">
            <w:pPr>
              <w:spacing w:after="0" w:line="240" w:lineRule="auto"/>
              <w:ind/>
              <w:rPr>
                <w:rFonts w:ascii="Times New Roman" w:hAnsi="Times New Roman"/>
                <w:color w:val="000000"/>
                <w:sz w:val="24"/>
              </w:rPr>
            </w:pPr>
            <w:r>
              <w:rPr>
                <w:rFonts w:ascii="Times New Roman" w:hAnsi="Times New Roman"/>
                <w:color w:val="000000"/>
                <w:sz w:val="24"/>
              </w:rPr>
              <w:t>Приказ Минфина РФ № 34н</w:t>
            </w:r>
          </w:p>
        </w:tc>
        <w:tc>
          <w:tcPr>
            <w:tcW w:type="dxa" w:w="3860"/>
            <w:tcBorders>
              <w:top w:sz="4" w:val="nil"/>
              <w:left w:sz="4" w:val="nil"/>
              <w:bottom w:color="000000" w:sz="4" w:val="single"/>
              <w:right w:color="000000" w:sz="4" w:val="single"/>
            </w:tcBorders>
            <w:vAlign w:val="center"/>
          </w:tcPr>
          <w:p w14:paraId="C7000000">
            <w:pPr>
              <w:spacing w:after="0" w:line="240" w:lineRule="auto"/>
              <w:ind/>
              <w:rPr>
                <w:rFonts w:ascii="Times New Roman" w:hAnsi="Times New Roman"/>
                <w:color w:val="000000"/>
                <w:sz w:val="24"/>
              </w:rPr>
            </w:pPr>
            <w:r>
              <w:rPr>
                <w:rFonts w:ascii="Times New Roman" w:hAnsi="Times New Roman"/>
                <w:color w:val="000000"/>
                <w:sz w:val="24"/>
              </w:rPr>
              <w:t>Регламентирует общие принципы учета обязательств, порядок их отражения в бухгалтерской отчетности</w:t>
            </w:r>
          </w:p>
        </w:tc>
      </w:tr>
      <w:tr>
        <w:trPr>
          <w:trHeight w:hRule="atLeast" w:val="864"/>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C8000000">
            <w:pPr>
              <w:spacing w:after="0" w:line="240" w:lineRule="auto"/>
              <w:ind/>
              <w:rPr>
                <w:rFonts w:ascii="Times New Roman" w:hAnsi="Times New Roman"/>
                <w:color w:val="000000"/>
                <w:sz w:val="24"/>
              </w:rPr>
            </w:pPr>
            <w:r>
              <w:rPr>
                <w:rFonts w:ascii="Times New Roman" w:hAnsi="Times New Roman"/>
                <w:color w:val="000000"/>
                <w:sz w:val="24"/>
              </w:rPr>
              <w:t>ПБУ 1/2008 «Учетная политика организации»</w:t>
            </w:r>
          </w:p>
        </w:tc>
        <w:tc>
          <w:tcPr>
            <w:tcW w:type="dxa" w:w="3860"/>
            <w:tcBorders>
              <w:top w:sz="4" w:val="nil"/>
              <w:left w:sz="4" w:val="nil"/>
              <w:bottom w:color="000000" w:sz="4" w:val="single"/>
              <w:right w:color="000000" w:sz="4" w:val="single"/>
            </w:tcBorders>
            <w:vAlign w:val="center"/>
          </w:tcPr>
          <w:p w14:paraId="C9000000">
            <w:pPr>
              <w:spacing w:after="0" w:line="240" w:lineRule="auto"/>
              <w:ind/>
              <w:rPr>
                <w:rFonts w:ascii="Times New Roman" w:hAnsi="Times New Roman"/>
                <w:color w:val="000000"/>
                <w:sz w:val="24"/>
              </w:rPr>
            </w:pPr>
            <w:r>
              <w:rPr>
                <w:rFonts w:ascii="Times New Roman" w:hAnsi="Times New Roman"/>
                <w:color w:val="000000"/>
                <w:sz w:val="24"/>
              </w:rPr>
              <w:t>Устанавливает требования к формированию учетной политики, включая учет кредитов и займов</w:t>
            </w:r>
          </w:p>
        </w:tc>
      </w:tr>
      <w:tr>
        <w:trPr>
          <w:trHeight w:hRule="atLeast" w:val="1152"/>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CA000000">
            <w:pPr>
              <w:spacing w:after="0" w:line="240" w:lineRule="auto"/>
              <w:ind/>
              <w:rPr>
                <w:rFonts w:ascii="Times New Roman" w:hAnsi="Times New Roman"/>
                <w:color w:val="000000"/>
                <w:sz w:val="24"/>
              </w:rPr>
            </w:pPr>
            <w:r>
              <w:rPr>
                <w:rFonts w:ascii="Times New Roman" w:hAnsi="Times New Roman"/>
                <w:color w:val="000000"/>
                <w:sz w:val="24"/>
              </w:rPr>
              <w:t>Приказ Минфина РФ № 94н</w:t>
            </w:r>
          </w:p>
        </w:tc>
        <w:tc>
          <w:tcPr>
            <w:tcW w:type="dxa" w:w="3860"/>
            <w:tcBorders>
              <w:top w:sz="4" w:val="nil"/>
              <w:left w:sz="4" w:val="nil"/>
              <w:bottom w:color="000000" w:sz="4" w:val="single"/>
              <w:right w:color="000000" w:sz="4" w:val="single"/>
            </w:tcBorders>
            <w:vAlign w:val="center"/>
          </w:tcPr>
          <w:p w14:paraId="CB000000">
            <w:pPr>
              <w:spacing w:after="0" w:line="240" w:lineRule="auto"/>
              <w:ind/>
              <w:rPr>
                <w:rFonts w:ascii="Times New Roman" w:hAnsi="Times New Roman"/>
                <w:color w:val="000000"/>
                <w:sz w:val="24"/>
              </w:rPr>
            </w:pPr>
            <w:r>
              <w:rPr>
                <w:rFonts w:ascii="Times New Roman" w:hAnsi="Times New Roman"/>
                <w:color w:val="000000"/>
                <w:sz w:val="24"/>
              </w:rPr>
              <w:t>Утверждает План счетов бухгалтерского учета и правила отражения кредитов и займов на счетах 66 и 67</w:t>
            </w:r>
          </w:p>
        </w:tc>
      </w:tr>
      <w:tr>
        <w:trPr>
          <w:trHeight w:hRule="atLeast" w:val="1152"/>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CC000000">
            <w:pPr>
              <w:spacing w:after="0" w:line="240" w:lineRule="auto"/>
              <w:ind/>
              <w:rPr>
                <w:rFonts w:ascii="Times New Roman" w:hAnsi="Times New Roman"/>
                <w:color w:val="000000"/>
                <w:sz w:val="24"/>
              </w:rPr>
            </w:pPr>
            <w:r>
              <w:rPr>
                <w:rFonts w:ascii="Times New Roman" w:hAnsi="Times New Roman"/>
                <w:color w:val="000000"/>
                <w:sz w:val="24"/>
              </w:rPr>
              <w:t>Приказ Минфина РФ № 49</w:t>
            </w:r>
          </w:p>
        </w:tc>
        <w:tc>
          <w:tcPr>
            <w:tcW w:type="dxa" w:w="3860"/>
            <w:tcBorders>
              <w:top w:sz="4" w:val="nil"/>
              <w:left w:sz="4" w:val="nil"/>
              <w:bottom w:color="000000" w:sz="4" w:val="single"/>
              <w:right w:color="000000" w:sz="4" w:val="single"/>
            </w:tcBorders>
            <w:vAlign w:val="center"/>
          </w:tcPr>
          <w:p w14:paraId="CD000000">
            <w:pPr>
              <w:spacing w:after="0" w:line="240" w:lineRule="auto"/>
              <w:ind/>
              <w:rPr>
                <w:rFonts w:ascii="Times New Roman" w:hAnsi="Times New Roman"/>
                <w:color w:val="000000"/>
                <w:sz w:val="24"/>
              </w:rPr>
            </w:pPr>
            <w:r>
              <w:rPr>
                <w:rFonts w:ascii="Times New Roman" w:hAnsi="Times New Roman"/>
                <w:color w:val="000000"/>
                <w:sz w:val="24"/>
              </w:rPr>
              <w:t>Регламентирует порядок инвентаризации финансовых обязательств, включая кредиты и займы</w:t>
            </w:r>
          </w:p>
        </w:tc>
      </w:tr>
      <w:tr>
        <w:trPr>
          <w:trHeight w:hRule="atLeast" w:val="864"/>
        </w:trPr>
        <w:tc>
          <w:tcPr>
            <w:tcW w:type="dxa" w:w="2600"/>
            <w:vMerge w:val="restart"/>
            <w:tcBorders>
              <w:top w:sz="4" w:val="nil"/>
              <w:left w:color="000000" w:sz="4" w:val="single"/>
              <w:bottom w:color="000000" w:sz="4" w:val="single"/>
              <w:right w:color="000000" w:sz="4" w:val="single"/>
            </w:tcBorders>
            <w:vAlign w:val="center"/>
          </w:tcPr>
          <w:p w14:paraId="CE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Методический уровень</w:t>
            </w:r>
          </w:p>
        </w:tc>
        <w:tc>
          <w:tcPr>
            <w:tcW w:type="dxa" w:w="2782"/>
            <w:tcBorders>
              <w:top w:sz="4" w:val="nil"/>
              <w:left w:sz="4" w:val="nil"/>
              <w:bottom w:color="000000" w:sz="4" w:val="single"/>
              <w:right w:color="000000" w:sz="4" w:val="single"/>
            </w:tcBorders>
            <w:vAlign w:val="center"/>
          </w:tcPr>
          <w:p w14:paraId="CF000000">
            <w:pPr>
              <w:spacing w:after="0" w:line="240" w:lineRule="auto"/>
              <w:ind/>
              <w:rPr>
                <w:rFonts w:ascii="Times New Roman" w:hAnsi="Times New Roman"/>
                <w:color w:val="000000"/>
                <w:sz w:val="24"/>
              </w:rPr>
            </w:pPr>
            <w:r>
              <w:rPr>
                <w:rFonts w:ascii="Times New Roman" w:hAnsi="Times New Roman"/>
                <w:color w:val="000000"/>
                <w:sz w:val="24"/>
              </w:rPr>
              <w:t>Методические рекомендации Минфина РФ</w:t>
            </w:r>
          </w:p>
        </w:tc>
        <w:tc>
          <w:tcPr>
            <w:tcW w:type="dxa" w:w="3860"/>
            <w:tcBorders>
              <w:top w:sz="4" w:val="nil"/>
              <w:left w:sz="4" w:val="nil"/>
              <w:bottom w:color="000000" w:sz="4" w:val="single"/>
              <w:right w:color="000000" w:sz="4" w:val="single"/>
            </w:tcBorders>
            <w:vAlign w:val="center"/>
          </w:tcPr>
          <w:p w14:paraId="D0000000">
            <w:pPr>
              <w:spacing w:after="0" w:line="240" w:lineRule="auto"/>
              <w:ind/>
              <w:rPr>
                <w:rFonts w:ascii="Times New Roman" w:hAnsi="Times New Roman"/>
                <w:color w:val="000000"/>
                <w:sz w:val="24"/>
              </w:rPr>
            </w:pPr>
            <w:r>
              <w:rPr>
                <w:rFonts w:ascii="Times New Roman" w:hAnsi="Times New Roman"/>
                <w:color w:val="000000"/>
                <w:sz w:val="24"/>
              </w:rPr>
              <w:t>Определяют порядок применения нормативных документов на практике</w:t>
            </w:r>
          </w:p>
        </w:tc>
      </w:tr>
      <w:tr>
        <w:trPr>
          <w:trHeight w:hRule="atLeast" w:val="864"/>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D1000000">
            <w:pPr>
              <w:spacing w:after="0" w:line="240" w:lineRule="auto"/>
              <w:ind/>
              <w:rPr>
                <w:rFonts w:ascii="Times New Roman" w:hAnsi="Times New Roman"/>
                <w:color w:val="000000"/>
                <w:sz w:val="24"/>
              </w:rPr>
            </w:pPr>
            <w:r>
              <w:rPr>
                <w:rFonts w:ascii="Times New Roman" w:hAnsi="Times New Roman"/>
                <w:color w:val="000000"/>
                <w:sz w:val="24"/>
              </w:rPr>
              <w:t>Письма и разъяснения ФНС и Минфина</w:t>
            </w:r>
          </w:p>
        </w:tc>
        <w:tc>
          <w:tcPr>
            <w:tcW w:type="dxa" w:w="3860"/>
            <w:tcBorders>
              <w:top w:sz="4" w:val="nil"/>
              <w:left w:sz="4" w:val="nil"/>
              <w:bottom w:color="000000" w:sz="4" w:val="single"/>
              <w:right w:color="000000" w:sz="4" w:val="single"/>
            </w:tcBorders>
            <w:vAlign w:val="center"/>
          </w:tcPr>
          <w:p w14:paraId="D2000000">
            <w:pPr>
              <w:spacing w:after="0" w:line="240" w:lineRule="auto"/>
              <w:ind/>
              <w:rPr>
                <w:rFonts w:ascii="Times New Roman" w:hAnsi="Times New Roman"/>
                <w:color w:val="000000"/>
                <w:sz w:val="24"/>
              </w:rPr>
            </w:pPr>
            <w:r>
              <w:rPr>
                <w:rFonts w:ascii="Times New Roman" w:hAnsi="Times New Roman"/>
                <w:color w:val="000000"/>
                <w:sz w:val="24"/>
              </w:rPr>
              <w:t>Уточняют порядок учета процентов, курсовых разниц и налоговых последствий</w:t>
            </w:r>
          </w:p>
        </w:tc>
      </w:tr>
      <w:tr>
        <w:trPr>
          <w:trHeight w:hRule="atLeast" w:val="864"/>
        </w:trPr>
        <w:tc>
          <w:tcPr>
            <w:tcW w:type="dxa" w:w="2600"/>
            <w:vMerge w:val="restart"/>
            <w:tcBorders>
              <w:top w:sz="4" w:val="nil"/>
              <w:left w:color="000000" w:sz="4" w:val="single"/>
              <w:bottom w:color="000000" w:sz="4" w:val="single"/>
              <w:right w:color="000000" w:sz="4" w:val="single"/>
            </w:tcBorders>
            <w:vAlign w:val="center"/>
          </w:tcPr>
          <w:p w14:paraId="D3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Внутрифирменный уровень</w:t>
            </w:r>
          </w:p>
        </w:tc>
        <w:tc>
          <w:tcPr>
            <w:tcW w:type="dxa" w:w="2782"/>
            <w:tcBorders>
              <w:top w:sz="4" w:val="nil"/>
              <w:left w:sz="4" w:val="nil"/>
              <w:bottom w:color="000000" w:sz="4" w:val="single"/>
              <w:right w:color="000000" w:sz="4" w:val="single"/>
            </w:tcBorders>
            <w:vAlign w:val="center"/>
          </w:tcPr>
          <w:p w14:paraId="D4000000">
            <w:pPr>
              <w:spacing w:after="0" w:line="240" w:lineRule="auto"/>
              <w:ind/>
              <w:rPr>
                <w:rFonts w:ascii="Times New Roman" w:hAnsi="Times New Roman"/>
                <w:color w:val="000000"/>
                <w:sz w:val="24"/>
              </w:rPr>
            </w:pPr>
            <w:r>
              <w:rPr>
                <w:rFonts w:ascii="Times New Roman" w:hAnsi="Times New Roman"/>
                <w:color w:val="000000"/>
                <w:sz w:val="24"/>
              </w:rPr>
              <w:t>Учетная политика организации</w:t>
            </w:r>
          </w:p>
        </w:tc>
        <w:tc>
          <w:tcPr>
            <w:tcW w:type="dxa" w:w="3860"/>
            <w:tcBorders>
              <w:top w:sz="4" w:val="nil"/>
              <w:left w:sz="4" w:val="nil"/>
              <w:bottom w:color="000000" w:sz="4" w:val="single"/>
              <w:right w:color="000000" w:sz="4" w:val="single"/>
            </w:tcBorders>
            <w:vAlign w:val="center"/>
          </w:tcPr>
          <w:p w14:paraId="D5000000">
            <w:pPr>
              <w:spacing w:after="0" w:line="240" w:lineRule="auto"/>
              <w:ind/>
              <w:rPr>
                <w:rFonts w:ascii="Times New Roman" w:hAnsi="Times New Roman"/>
                <w:color w:val="000000"/>
                <w:sz w:val="24"/>
              </w:rPr>
            </w:pPr>
            <w:r>
              <w:rPr>
                <w:rFonts w:ascii="Times New Roman" w:hAnsi="Times New Roman"/>
                <w:color w:val="000000"/>
                <w:sz w:val="24"/>
              </w:rPr>
              <w:t>Определяет методы учета, порядок отражения процентов, классификацию обязательств</w:t>
            </w:r>
          </w:p>
        </w:tc>
      </w:tr>
      <w:tr>
        <w:trPr>
          <w:trHeight w:hRule="atLeast" w:val="576"/>
        </w:trPr>
        <w:tc>
          <w:tcPr>
            <w:tcW w:type="dxa" w:w="2600"/>
            <w:gridSpan w:val="1"/>
            <w:vMerge w:val="continue"/>
            <w:tcBorders>
              <w:top w:sz="4" w:val="nil"/>
              <w:left w:color="000000" w:sz="4" w:val="single"/>
              <w:bottom w:color="000000" w:sz="4" w:val="single"/>
              <w:right w:color="000000" w:sz="4" w:val="single"/>
            </w:tcBorders>
            <w:vAlign w:val="center"/>
          </w:tcPr>
          <w:p/>
        </w:tc>
        <w:tc>
          <w:tcPr>
            <w:tcW w:type="dxa" w:w="2782"/>
            <w:tcBorders>
              <w:top w:sz="4" w:val="nil"/>
              <w:left w:sz="4" w:val="nil"/>
              <w:bottom w:color="000000" w:sz="4" w:val="single"/>
              <w:right w:color="000000" w:sz="4" w:val="single"/>
            </w:tcBorders>
            <w:vAlign w:val="center"/>
          </w:tcPr>
          <w:p w14:paraId="D6000000">
            <w:pPr>
              <w:spacing w:after="0" w:line="240" w:lineRule="auto"/>
              <w:ind/>
              <w:rPr>
                <w:rFonts w:ascii="Times New Roman" w:hAnsi="Times New Roman"/>
                <w:color w:val="000000"/>
                <w:sz w:val="24"/>
              </w:rPr>
            </w:pPr>
            <w:r>
              <w:rPr>
                <w:rFonts w:ascii="Times New Roman" w:hAnsi="Times New Roman"/>
                <w:color w:val="000000"/>
                <w:sz w:val="24"/>
              </w:rPr>
              <w:t>Внутренние регламенты</w:t>
            </w:r>
          </w:p>
        </w:tc>
        <w:tc>
          <w:tcPr>
            <w:tcW w:type="dxa" w:w="3860"/>
            <w:tcBorders>
              <w:top w:sz="4" w:val="nil"/>
              <w:left w:sz="4" w:val="nil"/>
              <w:bottom w:color="000000" w:sz="4" w:val="single"/>
              <w:right w:color="000000" w:sz="4" w:val="single"/>
            </w:tcBorders>
            <w:vAlign w:val="center"/>
          </w:tcPr>
          <w:p w14:paraId="D7000000">
            <w:pPr>
              <w:spacing w:after="0" w:line="240" w:lineRule="auto"/>
              <w:ind/>
              <w:rPr>
                <w:rFonts w:ascii="Times New Roman" w:hAnsi="Times New Roman"/>
                <w:color w:val="000000"/>
                <w:sz w:val="24"/>
              </w:rPr>
            </w:pPr>
            <w:r>
              <w:rPr>
                <w:rFonts w:ascii="Times New Roman" w:hAnsi="Times New Roman"/>
                <w:color w:val="000000"/>
                <w:sz w:val="24"/>
              </w:rPr>
              <w:t>Устанавливают процедуры учета, контроля и анализа кредитов и займов</w:t>
            </w:r>
          </w:p>
        </w:tc>
      </w:tr>
    </w:tbl>
    <w:p w14:paraId="D8000000">
      <w:pPr>
        <w:spacing w:after="0" w:line="360" w:lineRule="auto"/>
        <w:ind w:firstLine="851" w:left="0"/>
        <w:jc w:val="both"/>
        <w:rPr>
          <w:rFonts w:ascii="Times New Roman" w:hAnsi="Times New Roman"/>
          <w:sz w:val="28"/>
        </w:rPr>
      </w:pPr>
    </w:p>
    <w:p w14:paraId="D9000000">
      <w:pPr>
        <w:spacing w:after="0" w:line="360" w:lineRule="auto"/>
        <w:ind w:firstLine="851" w:left="0"/>
        <w:jc w:val="both"/>
        <w:rPr>
          <w:rFonts w:ascii="Times New Roman" w:hAnsi="Times New Roman"/>
          <w:sz w:val="28"/>
        </w:rPr>
      </w:pPr>
      <w:r>
        <w:rPr>
          <w:rFonts w:ascii="Times New Roman" w:hAnsi="Times New Roman"/>
          <w:sz w:val="28"/>
        </w:rPr>
        <w:t>Таким образом</w:t>
      </w:r>
      <w:r>
        <w:rPr>
          <w:rFonts w:ascii="Times New Roman" w:hAnsi="Times New Roman"/>
          <w:sz w:val="28"/>
        </w:rPr>
        <w:t>,</w:t>
      </w:r>
      <w:r>
        <w:rPr>
          <w:rFonts w:ascii="Times New Roman" w:hAnsi="Times New Roman"/>
          <w:sz w:val="28"/>
        </w:rPr>
        <w:t xml:space="preserve"> б</w:t>
      </w:r>
      <w:r>
        <w:rPr>
          <w:rFonts w:ascii="Times New Roman" w:hAnsi="Times New Roman"/>
          <w:sz w:val="28"/>
        </w:rPr>
        <w:t>ухгалтерский учёт в этой сфере нужен для того, чтобы своевременно и без ошибок оформлять и передавать в банк документы – как при получении кредита, так и позже, когда нужно контролировать целевое расходование средств и соблюдение сроков их возврата. Кроме того, учёт даёт информацию о том, насколько эффективно привлечены заёмные средства. А эта информация уже используется при принятии управленческих решений и при планировании деятельности предприятия на перспективу.</w:t>
      </w:r>
    </w:p>
    <w:p w14:paraId="DA000000">
      <w:pPr>
        <w:spacing w:after="0" w:line="360" w:lineRule="auto"/>
        <w:ind w:firstLine="851" w:left="0"/>
        <w:jc w:val="both"/>
        <w:rPr>
          <w:rFonts w:ascii="Times New Roman" w:hAnsi="Times New Roman"/>
          <w:sz w:val="28"/>
        </w:rPr>
      </w:pPr>
      <w:r>
        <w:rPr>
          <w:rFonts w:ascii="Times New Roman" w:hAnsi="Times New Roman"/>
          <w:sz w:val="28"/>
        </w:rPr>
        <w:t>Перспективы развития учёта в данной области выглядят вполне существенными. Этому способствует активная позиция бухгалтерского сообщества, профессиональных организаций бухгалтеров и аудиторов, а также средств массовой информации – включая профессиональные издания по бухгалтерскому учёту. Сам процесс кредитования имеет определённые особенности, поэтому и нуждается в грамотно поставленном бухгалтерском учёте. Точность ведения учёта на этом участке необходима: только так предприятие может получить достоверную информацию о своём финансовом состоянии, об эффективности кредитования и о том, насколько разумно используются банковские кредиты.</w:t>
      </w:r>
    </w:p>
    <w:p w14:paraId="DB000000"/>
    <w:p w14:paraId="DC000000">
      <w:bookmarkStart w:id="6" w:name="__RefHeading___6"/>
      <w:bookmarkEnd w:id="6"/>
      <w:pPr>
        <w:pStyle w:val="Style_8"/>
        <w:numPr>
          <w:ilvl w:val="1"/>
          <w:numId w:val="2"/>
        </w:numPr>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Методика анализа кредитов и займов</w:t>
      </w:r>
    </w:p>
    <w:p w14:paraId="DD000000"/>
    <w:p w14:paraId="DE000000">
      <w:pPr>
        <w:spacing w:after="0" w:line="360" w:lineRule="auto"/>
        <w:ind w:firstLine="851" w:left="0"/>
        <w:jc w:val="both"/>
        <w:rPr>
          <w:rFonts w:ascii="Times New Roman" w:hAnsi="Times New Roman"/>
          <w:sz w:val="28"/>
        </w:rPr>
      </w:pPr>
      <w:r>
        <w:rPr>
          <w:rFonts w:ascii="Times New Roman" w:hAnsi="Times New Roman"/>
          <w:sz w:val="28"/>
        </w:rPr>
        <w:t>Когда банк оценивает кредитоспособность заемщика-юридического лица, главное – дать качественную характеристику этому предприятию. На основе такой характеристики банк потом решает, можно ли выдавать кредит и на каких условиях, прогнозирует, сможет ли клиент и захочет ли вернуть взятые деньги в соответствии с договором. Заодно оценивается, насколько обоснованны и целесообразны сами кредитные вложения и стоит ли вообще продолжать кредитные отношения.</w:t>
      </w:r>
    </w:p>
    <w:p w14:paraId="DF000000">
      <w:pPr>
        <w:spacing w:after="0" w:line="360" w:lineRule="auto"/>
        <w:ind w:firstLine="851" w:left="0"/>
        <w:jc w:val="both"/>
        <w:rPr>
          <w:rFonts w:ascii="Times New Roman" w:hAnsi="Times New Roman"/>
          <w:sz w:val="28"/>
        </w:rPr>
      </w:pPr>
      <w:r>
        <w:rPr>
          <w:rFonts w:ascii="Times New Roman" w:hAnsi="Times New Roman"/>
          <w:sz w:val="28"/>
        </w:rPr>
        <w:t xml:space="preserve">Сам механизм такой оценки сегодня строится на двух этапах. Первый – анализ количественных показателей деятельности предприятия, второй – </w:t>
      </w:r>
      <w:r>
        <w:rPr>
          <w:rFonts w:ascii="Times New Roman" w:hAnsi="Times New Roman"/>
          <w:sz w:val="28"/>
        </w:rPr>
        <w:t>анализ качественных. Получается, что итоговая оценка кредитоспособности всегда сочетает в себе две группы данных. С одной стороны, это объективные цифры, которые дает бухгалтерская отчетность. С другой – информация субъективного характера, собранная из пакета документов, поданных заемщиком для получения кредита, а также из других доступных источников</w:t>
      </w:r>
      <w:r>
        <w:rPr>
          <w:rStyle w:val="Style_11_ch"/>
          <w:rFonts w:ascii="Times New Roman" w:hAnsi="Times New Roman"/>
          <w:sz w:val="28"/>
        </w:rPr>
        <w:footnoteReference w:id="17"/>
      </w:r>
      <w:r>
        <w:rPr>
          <w:rFonts w:ascii="Times New Roman" w:hAnsi="Times New Roman"/>
          <w:sz w:val="28"/>
        </w:rPr>
        <w:t>.</w:t>
      </w:r>
    </w:p>
    <w:p w14:paraId="E0000000">
      <w:pPr>
        <w:spacing w:after="0" w:line="360" w:lineRule="auto"/>
        <w:ind w:firstLine="851" w:left="0"/>
        <w:jc w:val="both"/>
        <w:rPr>
          <w:rFonts w:ascii="Times New Roman" w:hAnsi="Times New Roman"/>
          <w:sz w:val="28"/>
        </w:rPr>
      </w:pPr>
      <w:r>
        <w:rPr>
          <w:rFonts w:ascii="Times New Roman" w:hAnsi="Times New Roman"/>
          <w:sz w:val="28"/>
        </w:rPr>
        <w:t xml:space="preserve"> Выяснение кредитоспособности основывается на выявлении реального финансового положения заемщика. </w:t>
      </w:r>
    </w:p>
    <w:p w14:paraId="E1000000">
      <w:pPr>
        <w:spacing w:after="0" w:line="360" w:lineRule="auto"/>
        <w:ind w:firstLine="851" w:left="0"/>
        <w:jc w:val="both"/>
        <w:rPr>
          <w:rFonts w:ascii="Times New Roman" w:hAnsi="Times New Roman"/>
          <w:sz w:val="28"/>
        </w:rPr>
      </w:pPr>
      <w:r>
        <w:rPr>
          <w:rFonts w:ascii="Times New Roman" w:hAnsi="Times New Roman"/>
          <w:sz w:val="28"/>
        </w:rPr>
        <w:t xml:space="preserve">Оценка финансового состояния заемщика – юридического лица осуществляется на основании данных официальной отчетности заемщика и информации из пакета документов, предоставляемых заемщиком при получении кредита. </w:t>
      </w:r>
    </w:p>
    <w:p w14:paraId="E2000000">
      <w:pPr>
        <w:spacing w:after="0" w:line="360" w:lineRule="auto"/>
        <w:ind w:firstLine="851" w:left="0"/>
        <w:jc w:val="both"/>
        <w:rPr>
          <w:rFonts w:ascii="Times New Roman" w:hAnsi="Times New Roman"/>
          <w:sz w:val="28"/>
        </w:rPr>
      </w:pPr>
      <w:r>
        <w:rPr>
          <w:rFonts w:ascii="Times New Roman" w:hAnsi="Times New Roman"/>
          <w:sz w:val="28"/>
        </w:rPr>
        <w:t>На первом этапе рассчитываются характеристики, характеризующие финансовое состояние заемщика. На втором этапе определяется интегральный показатель, расчет которого основывается на использовании принципа значимости показателей и коэффициентов весомости аналитических групп. В зависимости от величины интегрального показателя определяют класс надежности заемщика. Методика оценки кредитоспособности заемщика – юридического лица базируется на анализе количественных показателей с учетом определенных банком качественных характеристик, которые могут в той или иной степени повлиять на выполнение заемщиком обязательств по кредиту с определением уровня их вероятного влияния на соблюдение условий договора кредита путем установления оптимальных значений для каждого из показателей</w:t>
      </w:r>
      <w:r>
        <w:t xml:space="preserve"> </w:t>
      </w:r>
      <w:r>
        <w:footnoteReference w:id="18"/>
      </w:r>
      <w:r>
        <w:rPr>
          <w:rFonts w:ascii="Times New Roman" w:hAnsi="Times New Roman"/>
          <w:sz w:val="28"/>
        </w:rPr>
        <w:t>.</w:t>
      </w:r>
    </w:p>
    <w:p w14:paraId="E3000000">
      <w:pPr>
        <w:spacing w:after="0" w:line="240" w:lineRule="auto"/>
        <w:ind w:firstLine="851" w:left="0"/>
        <w:jc w:val="right"/>
        <w:rPr>
          <w:rFonts w:ascii="Times New Roman" w:hAnsi="Times New Roman"/>
          <w:b w:val="1"/>
          <w:sz w:val="28"/>
        </w:rPr>
      </w:pPr>
      <w:r>
        <w:rPr>
          <w:rFonts w:ascii="Times New Roman" w:hAnsi="Times New Roman"/>
          <w:b w:val="1"/>
          <w:sz w:val="28"/>
        </w:rPr>
        <w:t xml:space="preserve">Таблица 3 </w:t>
      </w:r>
    </w:p>
    <w:p w14:paraId="E4000000">
      <w:pPr>
        <w:spacing w:after="0" w:line="240" w:lineRule="auto"/>
        <w:ind w:firstLine="851" w:left="0"/>
        <w:jc w:val="both"/>
        <w:rPr>
          <w:rFonts w:ascii="Times New Roman" w:hAnsi="Times New Roman"/>
          <w:b w:val="1"/>
          <w:sz w:val="28"/>
        </w:rPr>
      </w:pPr>
      <w:r>
        <w:rPr>
          <w:rFonts w:ascii="Times New Roman" w:hAnsi="Times New Roman"/>
          <w:b w:val="1"/>
          <w:sz w:val="28"/>
        </w:rPr>
        <w:t>Основные показатели анализа кредитов и займов организации</w:t>
      </w:r>
    </w:p>
    <w:tbl>
      <w:tblPr>
        <w:tblStyle w:val="Style_3"/>
        <w:tblLayout w:type="fixed"/>
      </w:tblPr>
      <w:tblGrid>
        <w:gridCol w:w="2554"/>
        <w:gridCol w:w="1947"/>
        <w:gridCol w:w="2031"/>
        <w:gridCol w:w="2535"/>
      </w:tblGrid>
      <w:tr>
        <w:trPr>
          <w:trHeight w:hRule="atLeast" w:val="288"/>
          <w:tblHeader/>
        </w:trPr>
        <w:tc>
          <w:tcPr>
            <w:tcW w:type="dxa" w:w="2554"/>
            <w:tcBorders>
              <w:top w:color="000000" w:sz="4" w:val="single"/>
              <w:left w:color="000000" w:sz="4" w:val="single"/>
              <w:bottom w:color="000000" w:sz="4" w:val="single"/>
              <w:right w:color="000000" w:sz="4" w:val="single"/>
            </w:tcBorders>
            <w:vAlign w:val="center"/>
          </w:tcPr>
          <w:p w14:paraId="E5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Группа показателей</w:t>
            </w:r>
          </w:p>
        </w:tc>
        <w:tc>
          <w:tcPr>
            <w:tcW w:type="dxa" w:w="1947"/>
            <w:tcBorders>
              <w:top w:color="000000" w:sz="4" w:val="single"/>
              <w:left w:sz="4" w:val="nil"/>
              <w:bottom w:color="000000" w:sz="4" w:val="single"/>
              <w:right w:color="000000" w:sz="4" w:val="single"/>
            </w:tcBorders>
            <w:vAlign w:val="center"/>
          </w:tcPr>
          <w:p w14:paraId="E6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2031"/>
            <w:tcBorders>
              <w:top w:color="000000" w:sz="4" w:val="single"/>
              <w:left w:sz="4" w:val="nil"/>
              <w:bottom w:color="000000" w:sz="4" w:val="single"/>
              <w:right w:color="000000" w:sz="4" w:val="single"/>
            </w:tcBorders>
            <w:vAlign w:val="center"/>
          </w:tcPr>
          <w:p w14:paraId="E7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Формула расчета</w:t>
            </w:r>
          </w:p>
        </w:tc>
        <w:tc>
          <w:tcPr>
            <w:tcW w:type="dxa" w:w="2535"/>
            <w:tcBorders>
              <w:top w:color="000000" w:sz="4" w:val="single"/>
              <w:left w:sz="4" w:val="nil"/>
              <w:bottom w:color="000000" w:sz="4" w:val="single"/>
              <w:right w:color="000000" w:sz="4" w:val="single"/>
            </w:tcBorders>
            <w:vAlign w:val="center"/>
          </w:tcPr>
          <w:p w14:paraId="E800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Экономическое содержание</w:t>
            </w:r>
          </w:p>
        </w:tc>
      </w:tr>
      <w:tr>
        <w:trPr>
          <w:trHeight w:hRule="atLeast" w:val="576"/>
        </w:trPr>
        <w:tc>
          <w:tcPr>
            <w:tcW w:type="dxa" w:w="2554"/>
            <w:vMerge w:val="restart"/>
            <w:tcBorders>
              <w:top w:sz="4" w:val="nil"/>
              <w:left w:color="000000" w:sz="4" w:val="single"/>
              <w:bottom w:color="000000" w:sz="4" w:val="single"/>
              <w:right w:color="000000" w:sz="4" w:val="single"/>
            </w:tcBorders>
            <w:vAlign w:val="center"/>
          </w:tcPr>
          <w:p w14:paraId="E9000000">
            <w:pPr>
              <w:spacing w:after="0" w:line="240" w:lineRule="auto"/>
              <w:ind/>
              <w:rPr>
                <w:rFonts w:ascii="Times New Roman" w:hAnsi="Times New Roman"/>
                <w:b w:val="1"/>
                <w:color w:val="000000"/>
                <w:sz w:val="24"/>
              </w:rPr>
            </w:pPr>
            <w:r>
              <w:rPr>
                <w:rFonts w:ascii="Times New Roman" w:hAnsi="Times New Roman"/>
                <w:b w:val="1"/>
                <w:color w:val="000000"/>
                <w:sz w:val="24"/>
              </w:rPr>
              <w:t>Структурные</w:t>
            </w:r>
          </w:p>
          <w:p w14:paraId="EA000000">
            <w:pPr>
              <w:spacing w:after="0" w:line="240" w:lineRule="auto"/>
              <w:ind/>
              <w:rPr>
                <w:rFonts w:ascii="Times New Roman" w:hAnsi="Times New Roman"/>
                <w:color w:val="000000"/>
                <w:sz w:val="24"/>
              </w:rPr>
            </w:pPr>
            <w:r>
              <w:rPr>
                <w:rFonts w:ascii="Times New Roman" w:hAnsi="Times New Roman"/>
                <w:color w:val="000000"/>
                <w:sz w:val="24"/>
              </w:rPr>
              <w:t> </w:t>
            </w:r>
          </w:p>
          <w:p w14:paraId="EB00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1947"/>
            <w:tcBorders>
              <w:top w:sz="4" w:val="nil"/>
              <w:left w:sz="4" w:val="nil"/>
              <w:bottom w:color="000000" w:sz="4" w:val="single"/>
              <w:right w:color="000000" w:sz="4" w:val="single"/>
            </w:tcBorders>
            <w:vAlign w:val="center"/>
          </w:tcPr>
          <w:p w14:paraId="EC000000">
            <w:pPr>
              <w:spacing w:after="0" w:line="240" w:lineRule="auto"/>
              <w:ind/>
              <w:rPr>
                <w:rFonts w:ascii="Times New Roman" w:hAnsi="Times New Roman"/>
                <w:color w:val="000000"/>
                <w:sz w:val="24"/>
              </w:rPr>
            </w:pPr>
            <w:r>
              <w:rPr>
                <w:rFonts w:ascii="Times New Roman" w:hAnsi="Times New Roman"/>
                <w:color w:val="000000"/>
                <w:sz w:val="24"/>
              </w:rPr>
              <w:t>Доля заемного капитала</w:t>
            </w:r>
          </w:p>
        </w:tc>
        <w:tc>
          <w:tcPr>
            <w:tcW w:type="dxa" w:w="2031"/>
            <w:tcBorders>
              <w:top w:sz="4" w:val="nil"/>
              <w:left w:sz="4" w:val="nil"/>
              <w:bottom w:color="000000" w:sz="4" w:val="single"/>
              <w:right w:color="000000" w:sz="4" w:val="single"/>
            </w:tcBorders>
            <w:vAlign w:val="center"/>
          </w:tcPr>
          <w:p w14:paraId="ED000000">
            <w:pPr>
              <w:spacing w:after="0" w:line="240" w:lineRule="auto"/>
              <w:ind/>
              <w:rPr>
                <w:rFonts w:ascii="Times New Roman" w:hAnsi="Times New Roman"/>
                <w:color w:val="000000"/>
                <w:sz w:val="24"/>
              </w:rPr>
            </w:pPr>
            <w:r>
              <w:rPr>
                <w:rFonts w:ascii="Times New Roman" w:hAnsi="Times New Roman"/>
                <w:color w:val="000000"/>
                <w:sz w:val="24"/>
              </w:rPr>
              <w:t>Заемный капитал / Валюта баланса</w:t>
            </w:r>
          </w:p>
        </w:tc>
        <w:tc>
          <w:tcPr>
            <w:tcW w:type="dxa" w:w="2535"/>
            <w:tcBorders>
              <w:top w:sz="4" w:val="nil"/>
              <w:left w:sz="4" w:val="nil"/>
              <w:bottom w:color="000000" w:sz="4" w:val="single"/>
              <w:right w:color="000000" w:sz="4" w:val="single"/>
            </w:tcBorders>
            <w:vAlign w:val="center"/>
          </w:tcPr>
          <w:p w14:paraId="EE000000">
            <w:pPr>
              <w:spacing w:after="0" w:line="240" w:lineRule="auto"/>
              <w:ind/>
              <w:rPr>
                <w:rFonts w:ascii="Times New Roman" w:hAnsi="Times New Roman"/>
                <w:color w:val="000000"/>
                <w:sz w:val="24"/>
              </w:rPr>
            </w:pPr>
            <w:r>
              <w:rPr>
                <w:rFonts w:ascii="Times New Roman" w:hAnsi="Times New Roman"/>
                <w:color w:val="000000"/>
                <w:sz w:val="24"/>
              </w:rPr>
              <w:t>Характеризует степень финансовой зависимости организации</w:t>
            </w:r>
          </w:p>
        </w:tc>
      </w:tr>
      <w:tr>
        <w:trPr>
          <w:trHeight w:hRule="atLeast" w:val="864"/>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EF000000">
            <w:pPr>
              <w:spacing w:after="0" w:line="240" w:lineRule="auto"/>
              <w:ind/>
              <w:rPr>
                <w:rFonts w:ascii="Times New Roman" w:hAnsi="Times New Roman"/>
                <w:color w:val="000000"/>
                <w:sz w:val="24"/>
              </w:rPr>
            </w:pPr>
            <w:r>
              <w:rPr>
                <w:rFonts w:ascii="Times New Roman" w:hAnsi="Times New Roman"/>
                <w:color w:val="000000"/>
                <w:sz w:val="24"/>
              </w:rPr>
              <w:t>Доля краткосрочных обязательств</w:t>
            </w:r>
          </w:p>
        </w:tc>
        <w:tc>
          <w:tcPr>
            <w:tcW w:type="dxa" w:w="2031"/>
            <w:tcBorders>
              <w:top w:sz="4" w:val="nil"/>
              <w:left w:sz="4" w:val="nil"/>
              <w:bottom w:color="000000" w:sz="4" w:val="single"/>
              <w:right w:color="000000" w:sz="4" w:val="single"/>
            </w:tcBorders>
            <w:vAlign w:val="center"/>
          </w:tcPr>
          <w:p w14:paraId="F0000000">
            <w:pPr>
              <w:spacing w:after="0" w:line="240" w:lineRule="auto"/>
              <w:ind/>
              <w:rPr>
                <w:rFonts w:ascii="Times New Roman" w:hAnsi="Times New Roman"/>
                <w:color w:val="000000"/>
                <w:sz w:val="24"/>
              </w:rPr>
            </w:pPr>
            <w:r>
              <w:rPr>
                <w:rFonts w:ascii="Times New Roman" w:hAnsi="Times New Roman"/>
                <w:color w:val="000000"/>
                <w:sz w:val="24"/>
              </w:rPr>
              <w:t>Краткосрочные кредиты и займы / Общая сумма обязательств</w:t>
            </w:r>
          </w:p>
        </w:tc>
        <w:tc>
          <w:tcPr>
            <w:tcW w:type="dxa" w:w="2535"/>
            <w:tcBorders>
              <w:top w:sz="4" w:val="nil"/>
              <w:left w:sz="4" w:val="nil"/>
              <w:bottom w:color="000000" w:sz="4" w:val="single"/>
              <w:right w:color="000000" w:sz="4" w:val="single"/>
            </w:tcBorders>
            <w:vAlign w:val="center"/>
          </w:tcPr>
          <w:p w14:paraId="F1000000">
            <w:pPr>
              <w:spacing w:after="0" w:line="240" w:lineRule="auto"/>
              <w:ind/>
              <w:rPr>
                <w:rFonts w:ascii="Times New Roman" w:hAnsi="Times New Roman"/>
                <w:color w:val="000000"/>
                <w:sz w:val="24"/>
              </w:rPr>
            </w:pPr>
            <w:r>
              <w:rPr>
                <w:rFonts w:ascii="Times New Roman" w:hAnsi="Times New Roman"/>
                <w:color w:val="000000"/>
                <w:sz w:val="24"/>
              </w:rPr>
              <w:t>Показывает уровень краткосрочной долговой нагрузки</w:t>
            </w:r>
          </w:p>
        </w:tc>
      </w:tr>
      <w:tr>
        <w:trPr>
          <w:trHeight w:hRule="atLeast" w:val="864"/>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F2000000">
            <w:pPr>
              <w:spacing w:after="0" w:line="240" w:lineRule="auto"/>
              <w:ind/>
              <w:rPr>
                <w:rFonts w:ascii="Times New Roman" w:hAnsi="Times New Roman"/>
                <w:color w:val="000000"/>
                <w:sz w:val="24"/>
              </w:rPr>
            </w:pPr>
            <w:r>
              <w:rPr>
                <w:rFonts w:ascii="Times New Roman" w:hAnsi="Times New Roman"/>
                <w:color w:val="000000"/>
                <w:sz w:val="24"/>
              </w:rPr>
              <w:t>Доля долгосрочных обязательств</w:t>
            </w:r>
          </w:p>
        </w:tc>
        <w:tc>
          <w:tcPr>
            <w:tcW w:type="dxa" w:w="2031"/>
            <w:tcBorders>
              <w:top w:sz="4" w:val="nil"/>
              <w:left w:sz="4" w:val="nil"/>
              <w:bottom w:color="000000" w:sz="4" w:val="single"/>
              <w:right w:color="000000" w:sz="4" w:val="single"/>
            </w:tcBorders>
            <w:vAlign w:val="center"/>
          </w:tcPr>
          <w:p w14:paraId="F3000000">
            <w:pPr>
              <w:spacing w:after="0" w:line="240" w:lineRule="auto"/>
              <w:ind/>
              <w:rPr>
                <w:rFonts w:ascii="Times New Roman" w:hAnsi="Times New Roman"/>
                <w:color w:val="000000"/>
                <w:sz w:val="24"/>
              </w:rPr>
            </w:pPr>
            <w:r>
              <w:rPr>
                <w:rFonts w:ascii="Times New Roman" w:hAnsi="Times New Roman"/>
                <w:color w:val="000000"/>
                <w:sz w:val="24"/>
              </w:rPr>
              <w:t>Долгосрочные кредиты и займы / Общая сумма обязательств</w:t>
            </w:r>
          </w:p>
        </w:tc>
        <w:tc>
          <w:tcPr>
            <w:tcW w:type="dxa" w:w="2535"/>
            <w:tcBorders>
              <w:top w:sz="4" w:val="nil"/>
              <w:left w:sz="4" w:val="nil"/>
              <w:bottom w:color="000000" w:sz="4" w:val="single"/>
              <w:right w:color="000000" w:sz="4" w:val="single"/>
            </w:tcBorders>
            <w:vAlign w:val="center"/>
          </w:tcPr>
          <w:p w14:paraId="F4000000">
            <w:pPr>
              <w:spacing w:after="0" w:line="240" w:lineRule="auto"/>
              <w:ind/>
              <w:rPr>
                <w:rFonts w:ascii="Times New Roman" w:hAnsi="Times New Roman"/>
                <w:color w:val="000000"/>
                <w:sz w:val="24"/>
              </w:rPr>
            </w:pPr>
            <w:r>
              <w:rPr>
                <w:rFonts w:ascii="Times New Roman" w:hAnsi="Times New Roman"/>
                <w:color w:val="000000"/>
                <w:sz w:val="24"/>
              </w:rPr>
              <w:t>Отражает ориентацию на долгосрочное финансирование</w:t>
            </w:r>
          </w:p>
        </w:tc>
      </w:tr>
      <w:tr>
        <w:trPr>
          <w:trHeight w:hRule="atLeast" w:val="576"/>
        </w:trPr>
        <w:tc>
          <w:tcPr>
            <w:tcW w:type="dxa" w:w="2554"/>
            <w:vMerge w:val="restart"/>
            <w:tcBorders>
              <w:top w:sz="4" w:val="nil"/>
              <w:left w:color="000000" w:sz="4" w:val="single"/>
              <w:bottom w:color="000000" w:sz="4" w:val="single"/>
              <w:right w:color="000000" w:sz="4" w:val="single"/>
            </w:tcBorders>
            <w:vAlign w:val="center"/>
          </w:tcPr>
          <w:p w14:paraId="F5000000">
            <w:pPr>
              <w:spacing w:after="0" w:line="240" w:lineRule="auto"/>
              <w:ind/>
              <w:rPr>
                <w:rFonts w:ascii="Times New Roman" w:hAnsi="Times New Roman"/>
                <w:b w:val="1"/>
                <w:color w:val="000000"/>
                <w:sz w:val="24"/>
              </w:rPr>
            </w:pPr>
            <w:r>
              <w:rPr>
                <w:rFonts w:ascii="Times New Roman" w:hAnsi="Times New Roman"/>
                <w:b w:val="1"/>
                <w:color w:val="000000"/>
                <w:sz w:val="24"/>
              </w:rPr>
              <w:t>Динамические</w:t>
            </w:r>
          </w:p>
          <w:p w14:paraId="F600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1947"/>
            <w:tcBorders>
              <w:top w:sz="4" w:val="nil"/>
              <w:left w:sz="4" w:val="nil"/>
              <w:bottom w:color="000000" w:sz="4" w:val="single"/>
              <w:right w:color="000000" w:sz="4" w:val="single"/>
            </w:tcBorders>
            <w:vAlign w:val="center"/>
          </w:tcPr>
          <w:p w14:paraId="F7000000">
            <w:pPr>
              <w:spacing w:after="0" w:line="240" w:lineRule="auto"/>
              <w:ind/>
              <w:rPr>
                <w:rFonts w:ascii="Times New Roman" w:hAnsi="Times New Roman"/>
                <w:color w:val="000000"/>
                <w:sz w:val="24"/>
              </w:rPr>
            </w:pPr>
            <w:r>
              <w:rPr>
                <w:rFonts w:ascii="Times New Roman" w:hAnsi="Times New Roman"/>
                <w:color w:val="000000"/>
                <w:sz w:val="24"/>
              </w:rPr>
              <w:t>Темп роста кредитов и займов</w:t>
            </w:r>
          </w:p>
        </w:tc>
        <w:tc>
          <w:tcPr>
            <w:tcW w:type="dxa" w:w="2031"/>
            <w:tcBorders>
              <w:top w:sz="4" w:val="nil"/>
              <w:left w:sz="4" w:val="nil"/>
              <w:bottom w:color="000000" w:sz="4" w:val="single"/>
              <w:right w:color="000000" w:sz="4" w:val="single"/>
            </w:tcBorders>
            <w:vAlign w:val="center"/>
          </w:tcPr>
          <w:p w14:paraId="F8000000">
            <w:pPr>
              <w:spacing w:after="0" w:line="240" w:lineRule="auto"/>
              <w:ind/>
              <w:rPr>
                <w:rFonts w:ascii="Times New Roman" w:hAnsi="Times New Roman"/>
                <w:color w:val="000000"/>
                <w:sz w:val="24"/>
              </w:rPr>
            </w:pPr>
            <w:r>
              <w:rPr>
                <w:rFonts w:ascii="Times New Roman" w:hAnsi="Times New Roman"/>
                <w:color w:val="000000"/>
                <w:sz w:val="24"/>
              </w:rPr>
              <w:t xml:space="preserve">(Заемные средства </w:t>
            </w:r>
            <w:r>
              <w:rPr>
                <w:rFonts w:ascii="Times New Roman" w:hAnsi="Times New Roman"/>
                <w:color w:val="000000"/>
                <w:sz w:val="24"/>
              </w:rPr>
              <w:t>отч</w:t>
            </w:r>
            <w:r>
              <w:rPr>
                <w:rFonts w:ascii="Times New Roman" w:hAnsi="Times New Roman"/>
                <w:color w:val="000000"/>
                <w:sz w:val="24"/>
              </w:rPr>
              <w:t>. года / Заемные средства баз. года) × 100%</w:t>
            </w:r>
          </w:p>
        </w:tc>
        <w:tc>
          <w:tcPr>
            <w:tcW w:type="dxa" w:w="2535"/>
            <w:tcBorders>
              <w:top w:sz="4" w:val="nil"/>
              <w:left w:sz="4" w:val="nil"/>
              <w:bottom w:color="000000" w:sz="4" w:val="single"/>
              <w:right w:color="000000" w:sz="4" w:val="single"/>
            </w:tcBorders>
            <w:vAlign w:val="center"/>
          </w:tcPr>
          <w:p w14:paraId="F9000000">
            <w:pPr>
              <w:spacing w:after="0" w:line="240" w:lineRule="auto"/>
              <w:ind/>
              <w:rPr>
                <w:rFonts w:ascii="Times New Roman" w:hAnsi="Times New Roman"/>
                <w:color w:val="000000"/>
                <w:sz w:val="24"/>
              </w:rPr>
            </w:pPr>
            <w:r>
              <w:rPr>
                <w:rFonts w:ascii="Times New Roman" w:hAnsi="Times New Roman"/>
                <w:color w:val="000000"/>
                <w:sz w:val="24"/>
              </w:rPr>
              <w:t>Характеризует динамику изменения заемного капитала</w:t>
            </w:r>
          </w:p>
        </w:tc>
      </w:tr>
      <w:tr>
        <w:trPr>
          <w:trHeight w:hRule="atLeast" w:val="576"/>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FA000000">
            <w:pPr>
              <w:spacing w:after="0" w:line="240" w:lineRule="auto"/>
              <w:ind/>
              <w:rPr>
                <w:rFonts w:ascii="Times New Roman" w:hAnsi="Times New Roman"/>
                <w:color w:val="000000"/>
                <w:sz w:val="24"/>
              </w:rPr>
            </w:pPr>
            <w:r>
              <w:rPr>
                <w:rFonts w:ascii="Times New Roman" w:hAnsi="Times New Roman"/>
                <w:color w:val="000000"/>
                <w:sz w:val="24"/>
              </w:rPr>
              <w:t>Абсолютное изменение</w:t>
            </w:r>
          </w:p>
        </w:tc>
        <w:tc>
          <w:tcPr>
            <w:tcW w:type="dxa" w:w="2031"/>
            <w:tcBorders>
              <w:top w:sz="4" w:val="nil"/>
              <w:left w:sz="4" w:val="nil"/>
              <w:bottom w:color="000000" w:sz="4" w:val="single"/>
              <w:right w:color="000000" w:sz="4" w:val="single"/>
            </w:tcBorders>
            <w:vAlign w:val="center"/>
          </w:tcPr>
          <w:p w14:paraId="FB000000">
            <w:pPr>
              <w:spacing w:after="0" w:line="240" w:lineRule="auto"/>
              <w:ind/>
              <w:rPr>
                <w:rFonts w:ascii="Times New Roman" w:hAnsi="Times New Roman"/>
                <w:color w:val="000000"/>
                <w:sz w:val="24"/>
              </w:rPr>
            </w:pPr>
            <w:r>
              <w:rPr>
                <w:rFonts w:ascii="Times New Roman" w:hAnsi="Times New Roman"/>
                <w:color w:val="000000"/>
                <w:sz w:val="24"/>
              </w:rPr>
              <w:t xml:space="preserve">Заемные средства </w:t>
            </w:r>
            <w:r>
              <w:rPr>
                <w:rFonts w:ascii="Times New Roman" w:hAnsi="Times New Roman"/>
                <w:color w:val="000000"/>
                <w:sz w:val="24"/>
              </w:rPr>
              <w:t>отч</w:t>
            </w:r>
            <w:r>
              <w:rPr>
                <w:rFonts w:ascii="Times New Roman" w:hAnsi="Times New Roman"/>
                <w:color w:val="000000"/>
                <w:sz w:val="24"/>
              </w:rPr>
              <w:t>. года – баз. года</w:t>
            </w:r>
          </w:p>
        </w:tc>
        <w:tc>
          <w:tcPr>
            <w:tcW w:type="dxa" w:w="2535"/>
            <w:tcBorders>
              <w:top w:sz="4" w:val="nil"/>
              <w:left w:sz="4" w:val="nil"/>
              <w:bottom w:color="000000" w:sz="4" w:val="single"/>
              <w:right w:color="000000" w:sz="4" w:val="single"/>
            </w:tcBorders>
            <w:vAlign w:val="center"/>
          </w:tcPr>
          <w:p w14:paraId="FC000000">
            <w:pPr>
              <w:spacing w:after="0" w:line="240" w:lineRule="auto"/>
              <w:ind/>
              <w:rPr>
                <w:rFonts w:ascii="Times New Roman" w:hAnsi="Times New Roman"/>
                <w:color w:val="000000"/>
                <w:sz w:val="24"/>
              </w:rPr>
            </w:pPr>
            <w:r>
              <w:rPr>
                <w:rFonts w:ascii="Times New Roman" w:hAnsi="Times New Roman"/>
                <w:color w:val="000000"/>
                <w:sz w:val="24"/>
              </w:rPr>
              <w:t>Показывает увеличение или уменьшение обязательств</w:t>
            </w:r>
          </w:p>
        </w:tc>
      </w:tr>
      <w:tr>
        <w:trPr>
          <w:trHeight w:hRule="atLeast" w:val="864"/>
        </w:trPr>
        <w:tc>
          <w:tcPr>
            <w:tcW w:type="dxa" w:w="2554"/>
            <w:vMerge w:val="restart"/>
            <w:tcBorders>
              <w:top w:sz="4" w:val="nil"/>
              <w:left w:color="000000" w:sz="4" w:val="single"/>
              <w:bottom w:color="000000" w:sz="4" w:val="single"/>
              <w:right w:color="000000" w:sz="4" w:val="single"/>
            </w:tcBorders>
            <w:vAlign w:val="center"/>
          </w:tcPr>
          <w:p w14:paraId="FD000000">
            <w:pPr>
              <w:spacing w:after="0" w:line="240" w:lineRule="auto"/>
              <w:ind/>
              <w:rPr>
                <w:rFonts w:ascii="Times New Roman" w:hAnsi="Times New Roman"/>
                <w:b w:val="1"/>
                <w:color w:val="000000"/>
                <w:sz w:val="24"/>
              </w:rPr>
            </w:pPr>
            <w:r>
              <w:rPr>
                <w:rFonts w:ascii="Times New Roman" w:hAnsi="Times New Roman"/>
                <w:b w:val="1"/>
                <w:color w:val="000000"/>
                <w:sz w:val="24"/>
              </w:rPr>
              <w:t>Финансовой устойчивости</w:t>
            </w:r>
          </w:p>
          <w:p w14:paraId="FE00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1947"/>
            <w:tcBorders>
              <w:top w:sz="4" w:val="nil"/>
              <w:left w:sz="4" w:val="nil"/>
              <w:bottom w:color="000000" w:sz="4" w:val="single"/>
              <w:right w:color="000000" w:sz="4" w:val="single"/>
            </w:tcBorders>
            <w:vAlign w:val="center"/>
          </w:tcPr>
          <w:p w14:paraId="FF000000">
            <w:pPr>
              <w:spacing w:after="0" w:line="240" w:lineRule="auto"/>
              <w:ind/>
              <w:rPr>
                <w:rFonts w:ascii="Times New Roman" w:hAnsi="Times New Roman"/>
                <w:color w:val="000000"/>
                <w:sz w:val="24"/>
              </w:rPr>
            </w:pPr>
            <w:r>
              <w:rPr>
                <w:rFonts w:ascii="Times New Roman" w:hAnsi="Times New Roman"/>
                <w:color w:val="000000"/>
                <w:sz w:val="24"/>
              </w:rPr>
              <w:t>Коэффициент финансовой зависимости</w:t>
            </w:r>
          </w:p>
        </w:tc>
        <w:tc>
          <w:tcPr>
            <w:tcW w:type="dxa" w:w="2031"/>
            <w:tcBorders>
              <w:top w:sz="4" w:val="nil"/>
              <w:left w:sz="4" w:val="nil"/>
              <w:bottom w:color="000000" w:sz="4" w:val="single"/>
              <w:right w:color="000000" w:sz="4" w:val="single"/>
            </w:tcBorders>
            <w:vAlign w:val="center"/>
          </w:tcPr>
          <w:p w14:paraId="00010000">
            <w:pPr>
              <w:spacing w:after="0" w:line="240" w:lineRule="auto"/>
              <w:ind/>
              <w:rPr>
                <w:rFonts w:ascii="Times New Roman" w:hAnsi="Times New Roman"/>
                <w:color w:val="000000"/>
                <w:sz w:val="24"/>
              </w:rPr>
            </w:pPr>
            <w:r>
              <w:rPr>
                <w:rFonts w:ascii="Times New Roman" w:hAnsi="Times New Roman"/>
                <w:color w:val="000000"/>
                <w:sz w:val="24"/>
              </w:rPr>
              <w:t>Заемный капитал / Собственный капитал</w:t>
            </w:r>
          </w:p>
        </w:tc>
        <w:tc>
          <w:tcPr>
            <w:tcW w:type="dxa" w:w="2535"/>
            <w:tcBorders>
              <w:top w:sz="4" w:val="nil"/>
              <w:left w:sz="4" w:val="nil"/>
              <w:bottom w:color="000000" w:sz="4" w:val="single"/>
              <w:right w:color="000000" w:sz="4" w:val="single"/>
            </w:tcBorders>
            <w:vAlign w:val="center"/>
          </w:tcPr>
          <w:p w14:paraId="01010000">
            <w:pPr>
              <w:spacing w:after="0" w:line="240" w:lineRule="auto"/>
              <w:ind/>
              <w:rPr>
                <w:rFonts w:ascii="Times New Roman" w:hAnsi="Times New Roman"/>
                <w:color w:val="000000"/>
                <w:sz w:val="24"/>
              </w:rPr>
            </w:pPr>
            <w:r>
              <w:rPr>
                <w:rFonts w:ascii="Times New Roman" w:hAnsi="Times New Roman"/>
                <w:color w:val="000000"/>
                <w:sz w:val="24"/>
              </w:rPr>
              <w:t>Оценивает уровень зависимости от заемных источников</w:t>
            </w:r>
          </w:p>
        </w:tc>
      </w:tr>
      <w:tr>
        <w:trPr>
          <w:trHeight w:hRule="atLeast" w:val="576"/>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02010000">
            <w:pPr>
              <w:spacing w:after="0" w:line="240" w:lineRule="auto"/>
              <w:ind/>
              <w:rPr>
                <w:rFonts w:ascii="Times New Roman" w:hAnsi="Times New Roman"/>
                <w:color w:val="000000"/>
                <w:sz w:val="24"/>
              </w:rPr>
            </w:pPr>
            <w:r>
              <w:rPr>
                <w:rFonts w:ascii="Times New Roman" w:hAnsi="Times New Roman"/>
                <w:color w:val="000000"/>
                <w:sz w:val="24"/>
              </w:rPr>
              <w:t>Коэффициент автономии</w:t>
            </w:r>
          </w:p>
        </w:tc>
        <w:tc>
          <w:tcPr>
            <w:tcW w:type="dxa" w:w="2031"/>
            <w:tcBorders>
              <w:top w:sz="4" w:val="nil"/>
              <w:left w:sz="4" w:val="nil"/>
              <w:bottom w:color="000000" w:sz="4" w:val="single"/>
              <w:right w:color="000000" w:sz="4" w:val="single"/>
            </w:tcBorders>
            <w:vAlign w:val="center"/>
          </w:tcPr>
          <w:p w14:paraId="03010000">
            <w:pPr>
              <w:spacing w:after="0" w:line="240" w:lineRule="auto"/>
              <w:ind/>
              <w:rPr>
                <w:rFonts w:ascii="Times New Roman" w:hAnsi="Times New Roman"/>
                <w:color w:val="000000"/>
                <w:sz w:val="24"/>
              </w:rPr>
            </w:pPr>
            <w:r>
              <w:rPr>
                <w:rFonts w:ascii="Times New Roman" w:hAnsi="Times New Roman"/>
                <w:color w:val="000000"/>
                <w:sz w:val="24"/>
              </w:rPr>
              <w:t>Собственный капитал / Валюта баланса</w:t>
            </w:r>
          </w:p>
        </w:tc>
        <w:tc>
          <w:tcPr>
            <w:tcW w:type="dxa" w:w="2535"/>
            <w:tcBorders>
              <w:top w:sz="4" w:val="nil"/>
              <w:left w:sz="4" w:val="nil"/>
              <w:bottom w:color="000000" w:sz="4" w:val="single"/>
              <w:right w:color="000000" w:sz="4" w:val="single"/>
            </w:tcBorders>
            <w:vAlign w:val="center"/>
          </w:tcPr>
          <w:p w14:paraId="04010000">
            <w:pPr>
              <w:spacing w:after="0" w:line="240" w:lineRule="auto"/>
              <w:ind/>
              <w:rPr>
                <w:rFonts w:ascii="Times New Roman" w:hAnsi="Times New Roman"/>
                <w:color w:val="000000"/>
                <w:sz w:val="24"/>
              </w:rPr>
            </w:pPr>
            <w:r>
              <w:rPr>
                <w:rFonts w:ascii="Times New Roman" w:hAnsi="Times New Roman"/>
                <w:color w:val="000000"/>
                <w:sz w:val="24"/>
              </w:rPr>
              <w:t>Отражает долю собственных средств в финансировании активов</w:t>
            </w:r>
          </w:p>
        </w:tc>
      </w:tr>
      <w:tr>
        <w:trPr>
          <w:trHeight w:hRule="atLeast" w:val="576"/>
        </w:trPr>
        <w:tc>
          <w:tcPr>
            <w:tcW w:type="dxa" w:w="2554"/>
            <w:vMerge w:val="restart"/>
            <w:tcBorders>
              <w:top w:sz="4" w:val="nil"/>
              <w:left w:color="000000" w:sz="4" w:val="single"/>
              <w:bottom w:color="000000" w:sz="4" w:val="single"/>
              <w:right w:color="000000" w:sz="4" w:val="single"/>
            </w:tcBorders>
            <w:vAlign w:val="center"/>
          </w:tcPr>
          <w:p w14:paraId="05010000">
            <w:pPr>
              <w:spacing w:after="0" w:line="240" w:lineRule="auto"/>
              <w:ind/>
              <w:rPr>
                <w:rFonts w:ascii="Times New Roman" w:hAnsi="Times New Roman"/>
                <w:b w:val="1"/>
                <w:color w:val="000000"/>
                <w:sz w:val="24"/>
              </w:rPr>
            </w:pPr>
            <w:r>
              <w:rPr>
                <w:rFonts w:ascii="Times New Roman" w:hAnsi="Times New Roman"/>
                <w:b w:val="1"/>
                <w:color w:val="000000"/>
                <w:sz w:val="24"/>
              </w:rPr>
              <w:t>Кредитной нагрузки</w:t>
            </w:r>
          </w:p>
          <w:p w14:paraId="0601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1947"/>
            <w:tcBorders>
              <w:top w:sz="4" w:val="nil"/>
              <w:left w:sz="4" w:val="nil"/>
              <w:bottom w:color="000000" w:sz="4" w:val="single"/>
              <w:right w:color="000000" w:sz="4" w:val="single"/>
            </w:tcBorders>
            <w:vAlign w:val="center"/>
          </w:tcPr>
          <w:p w14:paraId="07010000">
            <w:pPr>
              <w:spacing w:after="0" w:line="240" w:lineRule="auto"/>
              <w:ind/>
              <w:rPr>
                <w:rFonts w:ascii="Times New Roman" w:hAnsi="Times New Roman"/>
                <w:color w:val="000000"/>
                <w:sz w:val="24"/>
              </w:rPr>
            </w:pPr>
            <w:r>
              <w:rPr>
                <w:rFonts w:ascii="Times New Roman" w:hAnsi="Times New Roman"/>
                <w:color w:val="000000"/>
                <w:sz w:val="24"/>
              </w:rPr>
              <w:t>Коэффициент долговой нагрузки</w:t>
            </w:r>
          </w:p>
        </w:tc>
        <w:tc>
          <w:tcPr>
            <w:tcW w:type="dxa" w:w="2031"/>
            <w:tcBorders>
              <w:top w:sz="4" w:val="nil"/>
              <w:left w:sz="4" w:val="nil"/>
              <w:bottom w:color="000000" w:sz="4" w:val="single"/>
              <w:right w:color="000000" w:sz="4" w:val="single"/>
            </w:tcBorders>
            <w:vAlign w:val="center"/>
          </w:tcPr>
          <w:p w14:paraId="08010000">
            <w:pPr>
              <w:spacing w:after="0" w:line="240" w:lineRule="auto"/>
              <w:ind/>
              <w:rPr>
                <w:rFonts w:ascii="Times New Roman" w:hAnsi="Times New Roman"/>
                <w:color w:val="000000"/>
                <w:sz w:val="24"/>
              </w:rPr>
            </w:pPr>
            <w:r>
              <w:rPr>
                <w:rFonts w:ascii="Times New Roman" w:hAnsi="Times New Roman"/>
                <w:color w:val="000000"/>
                <w:sz w:val="24"/>
              </w:rPr>
              <w:t>Заемные средства / Выручка</w:t>
            </w:r>
          </w:p>
        </w:tc>
        <w:tc>
          <w:tcPr>
            <w:tcW w:type="dxa" w:w="2535"/>
            <w:tcBorders>
              <w:top w:sz="4" w:val="nil"/>
              <w:left w:sz="4" w:val="nil"/>
              <w:bottom w:color="000000" w:sz="4" w:val="single"/>
              <w:right w:color="000000" w:sz="4" w:val="single"/>
            </w:tcBorders>
            <w:vAlign w:val="center"/>
          </w:tcPr>
          <w:p w14:paraId="09010000">
            <w:pPr>
              <w:spacing w:after="0" w:line="240" w:lineRule="auto"/>
              <w:ind/>
              <w:rPr>
                <w:rFonts w:ascii="Times New Roman" w:hAnsi="Times New Roman"/>
                <w:color w:val="000000"/>
                <w:sz w:val="24"/>
              </w:rPr>
            </w:pPr>
            <w:r>
              <w:rPr>
                <w:rFonts w:ascii="Times New Roman" w:hAnsi="Times New Roman"/>
                <w:color w:val="000000"/>
                <w:sz w:val="24"/>
              </w:rPr>
              <w:t>Показывает способность организации обслуживать обязательства</w:t>
            </w:r>
          </w:p>
        </w:tc>
      </w:tr>
      <w:tr>
        <w:trPr>
          <w:trHeight w:hRule="atLeast" w:val="288"/>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0A010000">
            <w:pPr>
              <w:spacing w:after="0" w:line="240" w:lineRule="auto"/>
              <w:ind/>
              <w:rPr>
                <w:rFonts w:ascii="Times New Roman" w:hAnsi="Times New Roman"/>
                <w:color w:val="000000"/>
                <w:sz w:val="24"/>
              </w:rPr>
            </w:pPr>
            <w:r>
              <w:rPr>
                <w:rFonts w:ascii="Times New Roman" w:hAnsi="Times New Roman"/>
                <w:color w:val="000000"/>
                <w:sz w:val="24"/>
              </w:rPr>
              <w:t>Debt</w:t>
            </w:r>
            <w:r>
              <w:rPr>
                <w:rFonts w:ascii="Times New Roman" w:hAnsi="Times New Roman"/>
                <w:color w:val="000000"/>
                <w:sz w:val="24"/>
              </w:rPr>
              <w:t>/EBITDA</w:t>
            </w:r>
          </w:p>
        </w:tc>
        <w:tc>
          <w:tcPr>
            <w:tcW w:type="dxa" w:w="2031"/>
            <w:tcBorders>
              <w:top w:sz="4" w:val="nil"/>
              <w:left w:sz="4" w:val="nil"/>
              <w:bottom w:color="000000" w:sz="4" w:val="single"/>
              <w:right w:color="000000" w:sz="4" w:val="single"/>
            </w:tcBorders>
            <w:vAlign w:val="center"/>
          </w:tcPr>
          <w:p w14:paraId="0B010000">
            <w:pPr>
              <w:spacing w:after="0" w:line="240" w:lineRule="auto"/>
              <w:ind/>
              <w:rPr>
                <w:rFonts w:ascii="Times New Roman" w:hAnsi="Times New Roman"/>
                <w:color w:val="000000"/>
                <w:sz w:val="24"/>
              </w:rPr>
            </w:pPr>
            <w:r>
              <w:rPr>
                <w:rFonts w:ascii="Times New Roman" w:hAnsi="Times New Roman"/>
                <w:color w:val="000000"/>
                <w:sz w:val="24"/>
              </w:rPr>
              <w:t>Заемные средства / EBITDA</w:t>
            </w:r>
          </w:p>
        </w:tc>
        <w:tc>
          <w:tcPr>
            <w:tcW w:type="dxa" w:w="2535"/>
            <w:tcBorders>
              <w:top w:sz="4" w:val="nil"/>
              <w:left w:sz="4" w:val="nil"/>
              <w:bottom w:color="000000" w:sz="4" w:val="single"/>
              <w:right w:color="000000" w:sz="4" w:val="single"/>
            </w:tcBorders>
            <w:vAlign w:val="center"/>
          </w:tcPr>
          <w:p w14:paraId="0C010000">
            <w:pPr>
              <w:spacing w:after="0" w:line="240" w:lineRule="auto"/>
              <w:ind/>
              <w:rPr>
                <w:rFonts w:ascii="Times New Roman" w:hAnsi="Times New Roman"/>
                <w:color w:val="000000"/>
                <w:sz w:val="24"/>
              </w:rPr>
            </w:pPr>
            <w:r>
              <w:rPr>
                <w:rFonts w:ascii="Times New Roman" w:hAnsi="Times New Roman"/>
                <w:color w:val="000000"/>
                <w:sz w:val="24"/>
              </w:rPr>
              <w:t>Оценивает срок окупаемости долгов</w:t>
            </w:r>
          </w:p>
        </w:tc>
      </w:tr>
      <w:tr>
        <w:trPr>
          <w:trHeight w:hRule="atLeast" w:val="864"/>
        </w:trPr>
        <w:tc>
          <w:tcPr>
            <w:tcW w:type="dxa" w:w="2554"/>
            <w:vMerge w:val="restart"/>
            <w:tcBorders>
              <w:top w:sz="4" w:val="nil"/>
              <w:left w:color="000000" w:sz="4" w:val="single"/>
              <w:bottom w:color="000000" w:sz="4" w:val="single"/>
              <w:right w:color="000000" w:sz="4" w:val="single"/>
            </w:tcBorders>
            <w:vAlign w:val="center"/>
          </w:tcPr>
          <w:p w14:paraId="0D010000">
            <w:pPr>
              <w:spacing w:after="0" w:line="240" w:lineRule="auto"/>
              <w:ind/>
              <w:rPr>
                <w:rFonts w:ascii="Times New Roman" w:hAnsi="Times New Roman"/>
                <w:b w:val="1"/>
                <w:color w:val="000000"/>
                <w:sz w:val="24"/>
              </w:rPr>
            </w:pPr>
            <w:r>
              <w:rPr>
                <w:rFonts w:ascii="Times New Roman" w:hAnsi="Times New Roman"/>
                <w:b w:val="1"/>
                <w:color w:val="000000"/>
                <w:sz w:val="24"/>
              </w:rPr>
              <w:t>Ликвидности</w:t>
            </w:r>
          </w:p>
          <w:p w14:paraId="0E01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1947"/>
            <w:tcBorders>
              <w:top w:sz="4" w:val="nil"/>
              <w:left w:sz="4" w:val="nil"/>
              <w:bottom w:color="000000" w:sz="4" w:val="single"/>
              <w:right w:color="000000" w:sz="4" w:val="single"/>
            </w:tcBorders>
            <w:vAlign w:val="center"/>
          </w:tcPr>
          <w:p w14:paraId="0F010000">
            <w:pPr>
              <w:spacing w:after="0" w:line="240" w:lineRule="auto"/>
              <w:ind/>
              <w:rPr>
                <w:rFonts w:ascii="Times New Roman" w:hAnsi="Times New Roman"/>
                <w:color w:val="000000"/>
                <w:sz w:val="24"/>
              </w:rPr>
            </w:pPr>
            <w:r>
              <w:rPr>
                <w:rFonts w:ascii="Times New Roman" w:hAnsi="Times New Roman"/>
                <w:color w:val="000000"/>
                <w:sz w:val="24"/>
              </w:rPr>
              <w:t>Коэффициент текущей ликвидности</w:t>
            </w:r>
          </w:p>
        </w:tc>
        <w:tc>
          <w:tcPr>
            <w:tcW w:type="dxa" w:w="2031"/>
            <w:tcBorders>
              <w:top w:sz="4" w:val="nil"/>
              <w:left w:sz="4" w:val="nil"/>
              <w:bottom w:color="000000" w:sz="4" w:val="single"/>
              <w:right w:color="000000" w:sz="4" w:val="single"/>
            </w:tcBorders>
            <w:vAlign w:val="center"/>
          </w:tcPr>
          <w:p w14:paraId="10010000">
            <w:pPr>
              <w:spacing w:after="0" w:line="240" w:lineRule="auto"/>
              <w:ind/>
              <w:rPr>
                <w:rFonts w:ascii="Times New Roman" w:hAnsi="Times New Roman"/>
                <w:color w:val="000000"/>
                <w:sz w:val="24"/>
              </w:rPr>
            </w:pPr>
            <w:r>
              <w:rPr>
                <w:rFonts w:ascii="Times New Roman" w:hAnsi="Times New Roman"/>
                <w:color w:val="000000"/>
                <w:sz w:val="24"/>
              </w:rPr>
              <w:t>Оборотные активы / Краткосрочные обязательства</w:t>
            </w:r>
          </w:p>
        </w:tc>
        <w:tc>
          <w:tcPr>
            <w:tcW w:type="dxa" w:w="2535"/>
            <w:tcBorders>
              <w:top w:sz="4" w:val="nil"/>
              <w:left w:sz="4" w:val="nil"/>
              <w:bottom w:color="000000" w:sz="4" w:val="single"/>
              <w:right w:color="000000" w:sz="4" w:val="single"/>
            </w:tcBorders>
            <w:vAlign w:val="center"/>
          </w:tcPr>
          <w:p w14:paraId="11010000">
            <w:pPr>
              <w:spacing w:after="0" w:line="240" w:lineRule="auto"/>
              <w:ind/>
              <w:rPr>
                <w:rFonts w:ascii="Times New Roman" w:hAnsi="Times New Roman"/>
                <w:color w:val="000000"/>
                <w:sz w:val="24"/>
              </w:rPr>
            </w:pPr>
            <w:r>
              <w:rPr>
                <w:rFonts w:ascii="Times New Roman" w:hAnsi="Times New Roman"/>
                <w:color w:val="000000"/>
                <w:sz w:val="24"/>
              </w:rPr>
              <w:t>Характеризует платежеспособность в краткосрочном периоде</w:t>
            </w:r>
          </w:p>
        </w:tc>
      </w:tr>
      <w:tr>
        <w:trPr>
          <w:trHeight w:hRule="atLeast" w:val="864"/>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12010000">
            <w:pPr>
              <w:spacing w:after="0" w:line="240" w:lineRule="auto"/>
              <w:ind/>
              <w:rPr>
                <w:rFonts w:ascii="Times New Roman" w:hAnsi="Times New Roman"/>
                <w:color w:val="000000"/>
                <w:sz w:val="24"/>
              </w:rPr>
            </w:pPr>
            <w:r>
              <w:rPr>
                <w:rFonts w:ascii="Times New Roman" w:hAnsi="Times New Roman"/>
                <w:color w:val="000000"/>
                <w:sz w:val="24"/>
              </w:rPr>
              <w:t>Коэффициент быстрой ликвидности</w:t>
            </w:r>
          </w:p>
        </w:tc>
        <w:tc>
          <w:tcPr>
            <w:tcW w:type="dxa" w:w="2031"/>
            <w:tcBorders>
              <w:top w:sz="4" w:val="nil"/>
              <w:left w:sz="4" w:val="nil"/>
              <w:bottom w:color="000000" w:sz="4" w:val="single"/>
              <w:right w:color="000000" w:sz="4" w:val="single"/>
            </w:tcBorders>
            <w:vAlign w:val="center"/>
          </w:tcPr>
          <w:p w14:paraId="13010000">
            <w:pPr>
              <w:spacing w:after="0" w:line="240" w:lineRule="auto"/>
              <w:ind/>
              <w:rPr>
                <w:rFonts w:ascii="Times New Roman" w:hAnsi="Times New Roman"/>
                <w:color w:val="000000"/>
                <w:sz w:val="24"/>
              </w:rPr>
            </w:pPr>
            <w:r>
              <w:rPr>
                <w:rFonts w:ascii="Times New Roman" w:hAnsi="Times New Roman"/>
                <w:color w:val="000000"/>
                <w:sz w:val="24"/>
              </w:rPr>
              <w:t>(Оборотные активы – Запасы) / Краткосрочные обязательства</w:t>
            </w:r>
          </w:p>
        </w:tc>
        <w:tc>
          <w:tcPr>
            <w:tcW w:type="dxa" w:w="2535"/>
            <w:tcBorders>
              <w:top w:sz="4" w:val="nil"/>
              <w:left w:sz="4" w:val="nil"/>
              <w:bottom w:color="000000" w:sz="4" w:val="single"/>
              <w:right w:color="000000" w:sz="4" w:val="single"/>
            </w:tcBorders>
            <w:vAlign w:val="center"/>
          </w:tcPr>
          <w:p w14:paraId="14010000">
            <w:pPr>
              <w:spacing w:after="0" w:line="240" w:lineRule="auto"/>
              <w:ind/>
              <w:rPr>
                <w:rFonts w:ascii="Times New Roman" w:hAnsi="Times New Roman"/>
                <w:color w:val="000000"/>
                <w:sz w:val="24"/>
              </w:rPr>
            </w:pPr>
            <w:r>
              <w:rPr>
                <w:rFonts w:ascii="Times New Roman" w:hAnsi="Times New Roman"/>
                <w:color w:val="000000"/>
                <w:sz w:val="24"/>
              </w:rPr>
              <w:t>Показывает способность погашать обязательства без продажи запасов</w:t>
            </w:r>
          </w:p>
        </w:tc>
      </w:tr>
      <w:tr>
        <w:trPr>
          <w:trHeight w:hRule="atLeast" w:val="864"/>
        </w:trPr>
        <w:tc>
          <w:tcPr>
            <w:tcW w:type="dxa" w:w="2554"/>
            <w:vMerge w:val="restart"/>
            <w:tcBorders>
              <w:top w:sz="4" w:val="nil"/>
              <w:left w:color="000000" w:sz="4" w:val="single"/>
              <w:bottom w:color="000000" w:sz="4" w:val="single"/>
              <w:right w:color="000000" w:sz="4" w:val="single"/>
            </w:tcBorders>
            <w:vAlign w:val="center"/>
          </w:tcPr>
          <w:p w14:paraId="15010000">
            <w:pPr>
              <w:spacing w:after="0" w:line="240" w:lineRule="auto"/>
              <w:ind/>
              <w:rPr>
                <w:rFonts w:ascii="Times New Roman" w:hAnsi="Times New Roman"/>
                <w:b w:val="1"/>
                <w:color w:val="000000"/>
                <w:sz w:val="24"/>
              </w:rPr>
            </w:pPr>
            <w:r>
              <w:rPr>
                <w:rFonts w:ascii="Times New Roman" w:hAnsi="Times New Roman"/>
                <w:b w:val="1"/>
                <w:color w:val="000000"/>
                <w:sz w:val="24"/>
              </w:rPr>
              <w:t>Обслуживания долга</w:t>
            </w:r>
          </w:p>
          <w:p w14:paraId="16010000">
            <w:pPr>
              <w:spacing w:after="0" w:line="240" w:lineRule="auto"/>
              <w:ind/>
              <w:rPr>
                <w:rFonts w:ascii="Times New Roman" w:hAnsi="Times New Roman"/>
                <w:b w:val="1"/>
                <w:color w:val="000000"/>
                <w:sz w:val="24"/>
              </w:rPr>
            </w:pPr>
            <w:r>
              <w:rPr>
                <w:rFonts w:ascii="Times New Roman" w:hAnsi="Times New Roman"/>
                <w:color w:val="000000"/>
                <w:sz w:val="24"/>
              </w:rPr>
              <w:t> </w:t>
            </w:r>
          </w:p>
        </w:tc>
        <w:tc>
          <w:tcPr>
            <w:tcW w:type="dxa" w:w="1947"/>
            <w:tcBorders>
              <w:top w:sz="4" w:val="nil"/>
              <w:left w:sz="4" w:val="nil"/>
              <w:bottom w:color="000000" w:sz="4" w:val="single"/>
              <w:right w:color="000000" w:sz="4" w:val="single"/>
            </w:tcBorders>
            <w:vAlign w:val="center"/>
          </w:tcPr>
          <w:p w14:paraId="17010000">
            <w:pPr>
              <w:spacing w:after="0" w:line="240" w:lineRule="auto"/>
              <w:ind/>
              <w:rPr>
                <w:rFonts w:ascii="Times New Roman" w:hAnsi="Times New Roman"/>
                <w:color w:val="000000"/>
                <w:sz w:val="24"/>
              </w:rPr>
            </w:pPr>
            <w:r>
              <w:rPr>
                <w:rFonts w:ascii="Times New Roman" w:hAnsi="Times New Roman"/>
                <w:color w:val="000000"/>
                <w:sz w:val="24"/>
              </w:rPr>
              <w:t>Коэффициент покрытия процентов</w:t>
            </w:r>
          </w:p>
        </w:tc>
        <w:tc>
          <w:tcPr>
            <w:tcW w:type="dxa" w:w="2031"/>
            <w:tcBorders>
              <w:top w:sz="4" w:val="nil"/>
              <w:left w:sz="4" w:val="nil"/>
              <w:bottom w:color="000000" w:sz="4" w:val="single"/>
              <w:right w:color="000000" w:sz="4" w:val="single"/>
            </w:tcBorders>
            <w:vAlign w:val="center"/>
          </w:tcPr>
          <w:p w14:paraId="18010000">
            <w:pPr>
              <w:spacing w:after="0" w:line="240" w:lineRule="auto"/>
              <w:ind/>
              <w:rPr>
                <w:rFonts w:ascii="Times New Roman" w:hAnsi="Times New Roman"/>
                <w:color w:val="000000"/>
                <w:sz w:val="24"/>
              </w:rPr>
            </w:pPr>
            <w:r>
              <w:rPr>
                <w:rFonts w:ascii="Times New Roman" w:hAnsi="Times New Roman"/>
                <w:color w:val="000000"/>
                <w:sz w:val="24"/>
              </w:rPr>
              <w:t xml:space="preserve">Прибыль до налогообложения </w:t>
            </w:r>
            <w:r>
              <w:rPr>
                <w:rFonts w:ascii="Times New Roman" w:hAnsi="Times New Roman"/>
                <w:color w:val="000000"/>
                <w:sz w:val="24"/>
              </w:rPr>
              <w:t>/ Проценты к уплате</w:t>
            </w:r>
          </w:p>
        </w:tc>
        <w:tc>
          <w:tcPr>
            <w:tcW w:type="dxa" w:w="2535"/>
            <w:tcBorders>
              <w:top w:sz="4" w:val="nil"/>
              <w:left w:sz="4" w:val="nil"/>
              <w:bottom w:color="000000" w:sz="4" w:val="single"/>
              <w:right w:color="000000" w:sz="4" w:val="single"/>
            </w:tcBorders>
            <w:vAlign w:val="center"/>
          </w:tcPr>
          <w:p w14:paraId="19010000">
            <w:pPr>
              <w:spacing w:after="0" w:line="240" w:lineRule="auto"/>
              <w:ind/>
              <w:rPr>
                <w:rFonts w:ascii="Times New Roman" w:hAnsi="Times New Roman"/>
                <w:color w:val="000000"/>
                <w:sz w:val="24"/>
              </w:rPr>
            </w:pPr>
            <w:r>
              <w:rPr>
                <w:rFonts w:ascii="Times New Roman" w:hAnsi="Times New Roman"/>
                <w:color w:val="000000"/>
                <w:sz w:val="24"/>
              </w:rPr>
              <w:t>Отражает способность погашать проценты</w:t>
            </w:r>
          </w:p>
        </w:tc>
      </w:tr>
      <w:tr>
        <w:trPr>
          <w:trHeight w:hRule="atLeast" w:val="864"/>
        </w:trPr>
        <w:tc>
          <w:tcPr>
            <w:tcW w:type="dxa" w:w="2554"/>
            <w:gridSpan w:val="1"/>
            <w:vMerge w:val="continue"/>
            <w:tcBorders>
              <w:top w:sz="4" w:val="nil"/>
              <w:left w:color="000000" w:sz="4" w:val="single"/>
              <w:bottom w:color="000000" w:sz="4" w:val="single"/>
              <w:right w:color="000000" w:sz="4" w:val="single"/>
            </w:tcBorders>
            <w:vAlign w:val="center"/>
          </w:tcPr>
          <w:p/>
        </w:tc>
        <w:tc>
          <w:tcPr>
            <w:tcW w:type="dxa" w:w="1947"/>
            <w:tcBorders>
              <w:top w:sz="4" w:val="nil"/>
              <w:left w:sz="4" w:val="nil"/>
              <w:bottom w:color="000000" w:sz="4" w:val="single"/>
              <w:right w:color="000000" w:sz="4" w:val="single"/>
            </w:tcBorders>
            <w:vAlign w:val="center"/>
          </w:tcPr>
          <w:p w14:paraId="1A010000">
            <w:pPr>
              <w:spacing w:after="0" w:line="240" w:lineRule="auto"/>
              <w:ind/>
              <w:rPr>
                <w:rFonts w:ascii="Times New Roman" w:hAnsi="Times New Roman"/>
                <w:color w:val="000000"/>
                <w:sz w:val="24"/>
              </w:rPr>
            </w:pPr>
            <w:r>
              <w:rPr>
                <w:rFonts w:ascii="Times New Roman" w:hAnsi="Times New Roman"/>
                <w:color w:val="000000"/>
                <w:sz w:val="24"/>
              </w:rPr>
              <w:t>Коэффициент долгового обслуживания</w:t>
            </w:r>
          </w:p>
        </w:tc>
        <w:tc>
          <w:tcPr>
            <w:tcW w:type="dxa" w:w="2031"/>
            <w:tcBorders>
              <w:top w:sz="4" w:val="nil"/>
              <w:left w:sz="4" w:val="nil"/>
              <w:bottom w:color="000000" w:sz="4" w:val="single"/>
              <w:right w:color="000000" w:sz="4" w:val="single"/>
            </w:tcBorders>
            <w:vAlign w:val="center"/>
          </w:tcPr>
          <w:p w14:paraId="1B010000">
            <w:pPr>
              <w:spacing w:after="0" w:line="240" w:lineRule="auto"/>
              <w:ind/>
              <w:rPr>
                <w:rFonts w:ascii="Times New Roman" w:hAnsi="Times New Roman"/>
                <w:color w:val="000000"/>
                <w:sz w:val="24"/>
              </w:rPr>
            </w:pPr>
            <w:r>
              <w:rPr>
                <w:rFonts w:ascii="Times New Roman" w:hAnsi="Times New Roman"/>
                <w:color w:val="000000"/>
                <w:sz w:val="24"/>
              </w:rPr>
              <w:t>Денежный поток / Платежи по кредитам</w:t>
            </w:r>
          </w:p>
        </w:tc>
        <w:tc>
          <w:tcPr>
            <w:tcW w:type="dxa" w:w="2535"/>
            <w:tcBorders>
              <w:top w:sz="4" w:val="nil"/>
              <w:left w:sz="4" w:val="nil"/>
              <w:bottom w:color="000000" w:sz="4" w:val="single"/>
              <w:right w:color="000000" w:sz="4" w:val="single"/>
            </w:tcBorders>
            <w:vAlign w:val="center"/>
          </w:tcPr>
          <w:p w14:paraId="1C010000">
            <w:pPr>
              <w:spacing w:after="0" w:line="240" w:lineRule="auto"/>
              <w:ind/>
              <w:rPr>
                <w:rFonts w:ascii="Times New Roman" w:hAnsi="Times New Roman"/>
                <w:color w:val="000000"/>
                <w:sz w:val="24"/>
              </w:rPr>
            </w:pPr>
            <w:r>
              <w:rPr>
                <w:rFonts w:ascii="Times New Roman" w:hAnsi="Times New Roman"/>
                <w:color w:val="000000"/>
                <w:sz w:val="24"/>
              </w:rPr>
              <w:t>Характеризует реальную способность погашать долг</w:t>
            </w:r>
          </w:p>
        </w:tc>
      </w:tr>
      <w:tr>
        <w:trPr>
          <w:trHeight w:hRule="atLeast" w:val="864"/>
        </w:trPr>
        <w:tc>
          <w:tcPr>
            <w:tcW w:type="dxa" w:w="2554"/>
            <w:tcBorders>
              <w:top w:sz="4" w:val="nil"/>
              <w:left w:color="000000" w:sz="4" w:val="single"/>
              <w:bottom w:color="000000" w:sz="4" w:val="single"/>
              <w:right w:color="000000" w:sz="4" w:val="single"/>
            </w:tcBorders>
            <w:vAlign w:val="center"/>
          </w:tcPr>
          <w:p w14:paraId="1D010000">
            <w:pPr>
              <w:spacing w:after="0" w:line="240" w:lineRule="auto"/>
              <w:ind/>
              <w:rPr>
                <w:rFonts w:ascii="Times New Roman" w:hAnsi="Times New Roman"/>
                <w:b w:val="1"/>
                <w:color w:val="000000"/>
                <w:sz w:val="24"/>
              </w:rPr>
            </w:pPr>
            <w:r>
              <w:rPr>
                <w:rFonts w:ascii="Times New Roman" w:hAnsi="Times New Roman"/>
                <w:b w:val="1"/>
                <w:color w:val="000000"/>
                <w:sz w:val="24"/>
              </w:rPr>
              <w:t>Эффективности</w:t>
            </w:r>
          </w:p>
        </w:tc>
        <w:tc>
          <w:tcPr>
            <w:tcW w:type="dxa" w:w="1947"/>
            <w:tcBorders>
              <w:top w:sz="4" w:val="nil"/>
              <w:left w:sz="4" w:val="nil"/>
              <w:bottom w:color="000000" w:sz="4" w:val="single"/>
              <w:right w:color="000000" w:sz="4" w:val="single"/>
            </w:tcBorders>
            <w:vAlign w:val="center"/>
          </w:tcPr>
          <w:p w14:paraId="1E010000">
            <w:pPr>
              <w:spacing w:after="0" w:line="240" w:lineRule="auto"/>
              <w:ind/>
              <w:rPr>
                <w:rFonts w:ascii="Times New Roman" w:hAnsi="Times New Roman"/>
                <w:color w:val="000000"/>
                <w:sz w:val="24"/>
              </w:rPr>
            </w:pPr>
            <w:r>
              <w:rPr>
                <w:rFonts w:ascii="Times New Roman" w:hAnsi="Times New Roman"/>
                <w:color w:val="000000"/>
                <w:sz w:val="24"/>
              </w:rPr>
              <w:t>Эффект финансового рычага</w:t>
            </w:r>
          </w:p>
        </w:tc>
        <w:tc>
          <w:tcPr>
            <w:tcW w:type="dxa" w:w="2031"/>
            <w:tcBorders>
              <w:top w:sz="4" w:val="nil"/>
              <w:left w:sz="4" w:val="nil"/>
              <w:bottom w:color="000000" w:sz="4" w:val="single"/>
              <w:right w:color="000000" w:sz="4" w:val="single"/>
            </w:tcBorders>
            <w:vAlign w:val="center"/>
          </w:tcPr>
          <w:p w14:paraId="1F010000">
            <w:pPr>
              <w:spacing w:after="0" w:line="240" w:lineRule="auto"/>
              <w:ind/>
              <w:rPr>
                <w:rFonts w:ascii="Times New Roman" w:hAnsi="Times New Roman"/>
                <w:color w:val="000000"/>
                <w:sz w:val="24"/>
              </w:rPr>
            </w:pPr>
            <w:r>
              <w:rPr>
                <w:rFonts w:ascii="Times New Roman" w:hAnsi="Times New Roman"/>
                <w:color w:val="000000"/>
                <w:sz w:val="24"/>
              </w:rPr>
              <w:t>ROA – % по кредиту</w:t>
            </w:r>
          </w:p>
        </w:tc>
        <w:tc>
          <w:tcPr>
            <w:tcW w:type="dxa" w:w="2535"/>
            <w:tcBorders>
              <w:top w:sz="4" w:val="nil"/>
              <w:left w:sz="4" w:val="nil"/>
              <w:bottom w:color="000000" w:sz="4" w:val="single"/>
              <w:right w:color="000000" w:sz="4" w:val="single"/>
            </w:tcBorders>
            <w:vAlign w:val="center"/>
          </w:tcPr>
          <w:p w14:paraId="20010000">
            <w:pPr>
              <w:spacing w:after="0" w:line="240" w:lineRule="auto"/>
              <w:ind/>
              <w:rPr>
                <w:rFonts w:ascii="Times New Roman" w:hAnsi="Times New Roman"/>
                <w:color w:val="000000"/>
                <w:sz w:val="24"/>
              </w:rPr>
            </w:pPr>
            <w:r>
              <w:rPr>
                <w:rFonts w:ascii="Times New Roman" w:hAnsi="Times New Roman"/>
                <w:color w:val="000000"/>
                <w:sz w:val="24"/>
              </w:rPr>
              <w:t>Оценивает целесообразность привлечения заемных средств</w:t>
            </w:r>
          </w:p>
        </w:tc>
      </w:tr>
    </w:tbl>
    <w:p w14:paraId="21010000">
      <w:pPr>
        <w:spacing w:after="0" w:line="360" w:lineRule="auto"/>
        <w:ind w:firstLine="851" w:left="0"/>
        <w:jc w:val="both"/>
        <w:rPr>
          <w:rFonts w:ascii="Times New Roman" w:hAnsi="Times New Roman"/>
          <w:sz w:val="28"/>
        </w:rPr>
      </w:pPr>
    </w:p>
    <w:p w14:paraId="22010000">
      <w:pPr>
        <w:spacing w:after="0" w:line="360" w:lineRule="auto"/>
        <w:ind w:firstLine="851" w:left="0"/>
        <w:jc w:val="both"/>
        <w:rPr>
          <w:rFonts w:ascii="Times New Roman" w:hAnsi="Times New Roman"/>
          <w:sz w:val="28"/>
        </w:rPr>
      </w:pPr>
      <w:r>
        <w:rPr>
          <w:rFonts w:ascii="Times New Roman" w:hAnsi="Times New Roman"/>
          <w:sz w:val="28"/>
        </w:rPr>
        <w:t xml:space="preserve">В процессе оценки кредитоспособности заемщика – юридического лица банк рекомендует учитывать и оценивать в динамике следующие количественные показатели: платежеспособность (коэффициенты мгновенной, текущей и общей ликвидности); - финансовую устойчивость (коэффициенты маневренности собственных средств, соотношение привлеченных и собственных средств); – объем реализации; - обороты по счетам (соотношение поступлений на счета заемщика и суммы кредита, наличие счетов в других банках, наличие картотеки неплатежей в динамике); - состав и динамику </w:t>
      </w:r>
      <w:r>
        <w:rPr>
          <w:rFonts w:ascii="Times New Roman" w:hAnsi="Times New Roman"/>
          <w:sz w:val="28"/>
        </w:rPr>
        <w:t>дебиторско</w:t>
      </w:r>
      <w:r>
        <w:rPr>
          <w:rFonts w:ascii="Times New Roman" w:hAnsi="Times New Roman"/>
          <w:sz w:val="28"/>
        </w:rPr>
        <w:t>-кредиторской задолженности (за последний отчетный и текущий годы); - себестоимость продукции (в динамике); - доходы и убытки (в динамике); – рентабельность (в динамике)</w:t>
      </w:r>
      <w:r>
        <w:rPr>
          <w:rStyle w:val="Style_11_ch"/>
          <w:rFonts w:ascii="Times New Roman" w:hAnsi="Times New Roman"/>
          <w:sz w:val="28"/>
        </w:rPr>
        <w:footnoteReference w:id="19"/>
      </w:r>
      <w:r>
        <w:rPr>
          <w:rFonts w:ascii="Times New Roman" w:hAnsi="Times New Roman"/>
          <w:sz w:val="28"/>
        </w:rPr>
        <w:t xml:space="preserve">. Показатели, которые применяют для оценки кредитоспособности заемщика – юридического лица, их нормативные значения и расчет основных экономических показателей по методике НБУ приведены в приложении А. Кроме этих количественных показателей банк может использовать и дополнительные - Платежеспособности - Финансовой устойчивости - Деловой активности - Рентабельности Наличия задолженности в других банках – периода функционирования – наличия обеспечения  показатели с целью получения </w:t>
      </w:r>
      <w:r>
        <w:rPr>
          <w:rFonts w:ascii="Times New Roman" w:hAnsi="Times New Roman"/>
          <w:sz w:val="28"/>
        </w:rPr>
        <w:t>более полного представления об особенностях деятельности клиента и определения вероятности погашения им задолженности по кредиту. Необходимым и важным дополнением процедуры определения финансового состояния заемщика выступает второй этап оценки кредитоспособности – анализ качественных показателей деятельности элементов. истории заемщика, которая предоставляет информацию о характере взаимоотношений клиента с банком; дает возможность проанализировать опыт клиента относительно получения кредитов в прошлом и сделать вывод о своевременности погашения процентов и задолженности по кредитам, если таковые имели место. Наличие непогашенной задолженности по кредитам в других банках увеличивает уровень риска кредитного соглашения с заемщиком. Очень важным моментом является период функционирования предприятия. Практика показывает, что наиболее критичными считаются первые 3-5 лет активной деятельности предприятия. Чем продолжительнее период функционирования заемщика, тем больше вероятность погашения кредита. Оценка финансового состояния заемщика, деятельность которого находится на начальном этапе, а бухгалтерская отчетность не содержит необходимой полной информации, производится на основании имеющегося бизнес-плана развития предприятия, технико-экономического обоснования получения и возврата кредита с учетом полноты покрытия обеспечением процентов и задолженности по кредиту</w:t>
      </w:r>
      <w:r>
        <w:rPr>
          <w:rStyle w:val="Style_11_ch"/>
          <w:rFonts w:ascii="Times New Roman" w:hAnsi="Times New Roman"/>
          <w:sz w:val="28"/>
        </w:rPr>
        <w:footnoteReference w:id="20"/>
      </w:r>
      <w:r>
        <w:rPr>
          <w:rFonts w:ascii="Times New Roman" w:hAnsi="Times New Roman"/>
          <w:sz w:val="28"/>
        </w:rPr>
        <w:t>.</w:t>
      </w:r>
    </w:p>
    <w:p w14:paraId="23010000">
      <w:pPr>
        <w:spacing w:after="0" w:line="360" w:lineRule="auto"/>
        <w:ind w:firstLine="851" w:left="0"/>
        <w:jc w:val="both"/>
        <w:rPr>
          <w:rFonts w:ascii="Times New Roman" w:hAnsi="Times New Roman"/>
          <w:sz w:val="28"/>
        </w:rPr>
      </w:pPr>
      <w:r>
        <w:rPr>
          <w:rFonts w:ascii="Times New Roman" w:hAnsi="Times New Roman"/>
          <w:sz w:val="28"/>
        </w:rPr>
        <w:t xml:space="preserve">Зависимость заемщика от циклических и структурных изменений в экономике и отрасли промышленности влияет на его возможность генерировать устоявшиеся денежные потоки, которые будут направлены на погашение задолженности по кредиту и суммы процентов. На основании анализа качественных показателей деятельности заемщика определяется степень доверия к нему со стороны банка. Отечественные банки также имеют </w:t>
      </w:r>
      <w:r>
        <w:rPr>
          <w:rFonts w:ascii="Times New Roman" w:hAnsi="Times New Roman"/>
          <w:sz w:val="28"/>
        </w:rPr>
        <w:t>право самостоятельно устанавливать дополнительные критерии оценки финансового состояния заемщика, повышающие требования к показателям с целью адекватности оценки кредитных рисков и надлежащего контроля над ними. Вес каждого показателя определяется индивидуально для каждой группы заемщиков в зависимости от кредитной политики банка, особенностей клиента, ликвидности баланса и положения на рынке</w:t>
      </w:r>
      <w:r>
        <w:rPr>
          <w:rStyle w:val="Style_11_ch"/>
          <w:rFonts w:ascii="Times New Roman" w:hAnsi="Times New Roman"/>
          <w:sz w:val="28"/>
        </w:rPr>
        <w:footnoteReference w:id="21"/>
      </w:r>
      <w:r>
        <w:rPr>
          <w:rFonts w:ascii="Times New Roman" w:hAnsi="Times New Roman"/>
          <w:sz w:val="28"/>
        </w:rPr>
        <w:t xml:space="preserve">. Таким образом, на основании результатов анализа кредитоспособности заемщика банк делает выводы о способности заемщика погасить в полном объеме и в установленные сроки задолженность и проценты по кредиту и принимает решение о возможности заключения с ним кредитного соглашения. Итак, в первой главе выпускной работы были рассмотрены теоретические основы определения кредитоспособности заемщика банка. Исследована экономическая сущность и значение кредитоспособности заемщика в организации кредитных отношений, проработаны методические основы оценки кредитоспособности заемщика – физического и юридического лица. Кредитные операции – это важнейшие операции, приносящие доход банку, а не единственная возможность для предприятий привлечь средства в производство извне. </w:t>
      </w:r>
    </w:p>
    <w:p w14:paraId="24010000">
      <w:pPr>
        <w:spacing w:after="0" w:line="360" w:lineRule="auto"/>
        <w:ind w:firstLine="851" w:left="0"/>
        <w:jc w:val="both"/>
        <w:rPr>
          <w:rFonts w:ascii="Times New Roman" w:hAnsi="Times New Roman"/>
          <w:sz w:val="28"/>
        </w:rPr>
      </w:pPr>
      <w:r>
        <w:rPr>
          <w:rFonts w:ascii="Times New Roman" w:hAnsi="Times New Roman"/>
          <w:sz w:val="28"/>
        </w:rPr>
        <w:t xml:space="preserve">Кредитование является одной из самых рискованных банковских операций. Поэтому необходима минимизация кредитного риска по всем направлениям вложения средств, а основным и эффективным методом такой минимизации является качественная оценка банком кредитоспособности заемщиков. Для осуществления банком эффективной и качественной оценки кредитоспособности заемщика необходимо, кроме всего прочего, правильное понимание сущности понятия «кредитоспособность». Именно поэтому в данной работе было разработано определение, позволяющее свести к минимуму противоречия относительно определения субъекта оценки кредитоспособности, срока погашения кредита, за счет каких средств он будет </w:t>
      </w:r>
      <w:r>
        <w:rPr>
          <w:rFonts w:ascii="Times New Roman" w:hAnsi="Times New Roman"/>
          <w:sz w:val="28"/>
        </w:rPr>
        <w:t>погашаться, и т.д. Можно сказать, что применение предложенного определения, а также указанные методические основы оценки кредитоспособности физических и юридических лиц имеют не только важные теоретические, но и практические значения, поскольку они определяют содержание и направленность результатов оценки банком.</w:t>
      </w:r>
    </w:p>
    <w:p w14:paraId="25010000"/>
    <w:p w14:paraId="2601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27010000">
      <w:bookmarkStart w:id="7" w:name="__RefHeading___7"/>
      <w:bookmarkEnd w:id="7"/>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ГЛАВА 2.</w:t>
      </w:r>
      <w:r>
        <w:rPr>
          <w:rFonts w:ascii="Times New Roman" w:hAnsi="Times New Roman"/>
          <w:b w:val="1"/>
          <w:color w:themeColor="text1" w:val="000000"/>
          <w:sz w:val="28"/>
        </w:rPr>
        <w:t xml:space="preserve"> ОРГАНИЗАЦИЯ УЧЕТА И АНАЛИЗ КРЕДИТОВ И ЗАЙМОВ (НА ПРИМЕРЕ ПАО «ГАЗПРОМ»)</w:t>
      </w:r>
    </w:p>
    <w:p w14:paraId="28010000"/>
    <w:p w14:paraId="29010000">
      <w:bookmarkStart w:id="8" w:name="__RefHeading___8"/>
      <w:bookmarkEnd w:id="8"/>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2.1. </w:t>
      </w:r>
      <w:r>
        <w:rPr>
          <w:rFonts w:ascii="Times New Roman" w:hAnsi="Times New Roman"/>
          <w:b w:val="1"/>
          <w:color w:themeColor="text1" w:val="000000"/>
          <w:sz w:val="28"/>
        </w:rPr>
        <w:t>Финансово-экономическая характеристика организации</w:t>
      </w:r>
    </w:p>
    <w:p w14:paraId="2A010000"/>
    <w:p w14:paraId="2B010000">
      <w:pPr>
        <w:spacing w:after="0" w:line="360" w:lineRule="auto"/>
        <w:ind w:firstLine="851" w:left="0"/>
        <w:jc w:val="both"/>
        <w:rPr>
          <w:rFonts w:ascii="Times New Roman" w:hAnsi="Times New Roman"/>
          <w:sz w:val="28"/>
        </w:rPr>
      </w:pPr>
      <w:r>
        <w:rPr>
          <w:rFonts w:ascii="Times New Roman" w:hAnsi="Times New Roman"/>
          <w:sz w:val="28"/>
        </w:rPr>
        <w:t>Публичное акционерное общество «Газпром» является крупнейшей энергетической компанией Российской Федерации и одним из ведущих производителей и поставщиков природного газа в мире. Компания осуществляет полный цикл работ, включающий геологоразведку, добычу, транспортировку, хранение, переработку и реализацию газа, газового конденсата и нефти. Масштабы деятельности ПАО «Газпром» охватывают территорию Российской Федерации и зарубежные рынки, что определяет стратегическую значимость корпорации для национальной экономики. Организация занимает ключевое место в системе энергетической безопасности страны и оказывает существенное влияние на формирование доходной части государственного бюджета. Высокая степень интеграции производственных и сбытовых процессов обеспечивает устойчивость финансово-хозяйственной деятельности компании.</w:t>
      </w:r>
    </w:p>
    <w:p w14:paraId="2C010000">
      <w:pPr>
        <w:spacing w:after="0" w:line="360" w:lineRule="auto"/>
        <w:ind w:firstLine="851" w:left="0"/>
        <w:jc w:val="both"/>
        <w:rPr>
          <w:rFonts w:ascii="Times New Roman" w:hAnsi="Times New Roman"/>
          <w:sz w:val="28"/>
        </w:rPr>
      </w:pPr>
      <w:r>
        <w:rPr>
          <w:rFonts w:ascii="Times New Roman" w:hAnsi="Times New Roman"/>
          <w:sz w:val="28"/>
        </w:rPr>
        <w:t>ПАО «Газпром» создано в 1989 году на базе Министерства газовой промышленности СССР и с момента своего основания прошло сложный путь трансформации в современную вертикально интегрированную корпорацию</w:t>
      </w:r>
      <w:r>
        <w:rPr>
          <w:rFonts w:ascii="Times New Roman" w:hAnsi="Times New Roman"/>
          <w:sz w:val="28"/>
        </w:rPr>
        <w:t xml:space="preserve">, в </w:t>
      </w:r>
      <w:r>
        <w:rPr>
          <w:rFonts w:ascii="Times New Roman" w:hAnsi="Times New Roman"/>
          <w:sz w:val="28"/>
        </w:rPr>
        <w:t>настоящее время компания осуществляет деятельность в форме публичного акционерного общества и подчиняется требованиям российского законодательства, регулирующего корпоративное управление и финансовую отчетность. Основным акционером является Российская Федерация, владеющая контрольным пакетом акций через Федеральное агентство по управлению государственным имуществом и иные структуры</w:t>
      </w:r>
      <w:r>
        <w:rPr>
          <w:rFonts w:ascii="Times New Roman" w:hAnsi="Times New Roman"/>
          <w:sz w:val="28"/>
        </w:rPr>
        <w:t xml:space="preserve">, </w:t>
      </w:r>
      <w:r>
        <w:rPr>
          <w:rFonts w:ascii="Times New Roman" w:hAnsi="Times New Roman"/>
          <w:sz w:val="28"/>
        </w:rPr>
        <w:t>ета</w:t>
      </w:r>
      <w:r>
        <w:rPr>
          <w:rFonts w:ascii="Times New Roman" w:hAnsi="Times New Roman"/>
          <w:sz w:val="28"/>
        </w:rPr>
        <w:t xml:space="preserve"> </w:t>
      </w:r>
      <w:r>
        <w:rPr>
          <w:rFonts w:ascii="Times New Roman" w:hAnsi="Times New Roman"/>
          <w:sz w:val="28"/>
        </w:rPr>
        <w:t xml:space="preserve">форма собственности обеспечивает государственный контроль над стратегически важной отраслью. Организационно-правовой статус ПАО позволяет компании </w:t>
      </w:r>
      <w:r>
        <w:rPr>
          <w:rFonts w:ascii="Times New Roman" w:hAnsi="Times New Roman"/>
          <w:sz w:val="28"/>
        </w:rPr>
        <w:t>привлекать значительные финансовые ресурсы на внутреннем и международном рынках капитала.</w:t>
      </w:r>
    </w:p>
    <w:p w14:paraId="2D010000">
      <w:pPr>
        <w:spacing w:after="0" w:line="360" w:lineRule="auto"/>
        <w:ind w:firstLine="851" w:left="0"/>
        <w:jc w:val="both"/>
        <w:rPr>
          <w:rFonts w:ascii="Times New Roman" w:hAnsi="Times New Roman"/>
          <w:sz w:val="28"/>
        </w:rPr>
      </w:pPr>
      <w:r>
        <w:rPr>
          <w:rFonts w:ascii="Times New Roman" w:hAnsi="Times New Roman"/>
          <w:sz w:val="28"/>
        </w:rPr>
        <w:t>Организационная структура ПАО «Газпром» характеризуется высокой степенью централизации управления и включает в себя головную компанию и многочисленные дочерние и зависимые общества</w:t>
      </w:r>
      <w:r>
        <w:rPr>
          <w:rFonts w:ascii="Times New Roman" w:hAnsi="Times New Roman"/>
          <w:sz w:val="28"/>
        </w:rPr>
        <w:t xml:space="preserve">, в </w:t>
      </w:r>
      <w:r>
        <w:rPr>
          <w:rFonts w:ascii="Times New Roman" w:hAnsi="Times New Roman"/>
          <w:sz w:val="28"/>
        </w:rPr>
        <w:t>состав группы входят предприятия, специализирующиеся на добыче, транспортировке, переработке и сбыте углеводородов, а также организации, осуществляющие сервисное и инфраструктурное обеспечение</w:t>
      </w:r>
      <w:r>
        <w:rPr>
          <w:rFonts w:ascii="Times New Roman" w:hAnsi="Times New Roman"/>
          <w:sz w:val="28"/>
        </w:rPr>
        <w:t xml:space="preserve">, </w:t>
      </w:r>
      <w:r>
        <w:rPr>
          <w:rFonts w:ascii="Times New Roman" w:hAnsi="Times New Roman"/>
          <w:sz w:val="28"/>
        </w:rPr>
        <w:t>ета</w:t>
      </w:r>
      <w:r>
        <w:rPr>
          <w:rFonts w:ascii="Times New Roman" w:hAnsi="Times New Roman"/>
          <w:sz w:val="28"/>
        </w:rPr>
        <w:t xml:space="preserve"> </w:t>
      </w:r>
      <w:r>
        <w:rPr>
          <w:rFonts w:ascii="Times New Roman" w:hAnsi="Times New Roman"/>
          <w:sz w:val="28"/>
        </w:rPr>
        <w:t>структура позволяет оптимизировать производственные процессы, снижать издержки и повышать эффективность управления ресурсами. Централизованное стратегическое планирование сочетается с оперативной самостоятельностью дочерних обществ</w:t>
      </w:r>
      <w:r>
        <w:rPr>
          <w:rFonts w:ascii="Times New Roman" w:hAnsi="Times New Roman"/>
          <w:sz w:val="28"/>
        </w:rPr>
        <w:t xml:space="preserve">, </w:t>
      </w:r>
      <w:r>
        <w:rPr>
          <w:rFonts w:ascii="Times New Roman" w:hAnsi="Times New Roman"/>
          <w:sz w:val="28"/>
        </w:rPr>
        <w:t xml:space="preserve"> обеспечивает гибкость управления и адаптацию к изменяющимся условиям внешней среды.</w:t>
      </w:r>
    </w:p>
    <w:p w14:paraId="2E010000">
      <w:pPr>
        <w:spacing w:after="0" w:line="360" w:lineRule="auto"/>
        <w:ind w:firstLine="851" w:left="0"/>
        <w:jc w:val="both"/>
        <w:rPr>
          <w:rFonts w:ascii="Times New Roman" w:hAnsi="Times New Roman"/>
          <w:sz w:val="28"/>
        </w:rPr>
      </w:pPr>
    </w:p>
    <w:p w14:paraId="2F010000">
      <w:pPr>
        <w:spacing w:after="0" w:line="360" w:lineRule="auto"/>
        <w:ind/>
        <w:jc w:val="center"/>
        <w:rPr>
          <w:rFonts w:ascii="Times New Roman" w:hAnsi="Times New Roman"/>
          <w:sz w:val="28"/>
        </w:rPr>
      </w:pPr>
      <w:r>
        <w:rPr>
          <w:rFonts w:ascii="Times New Roman" w:hAnsi="Times New Roman"/>
          <w:sz w:val="28"/>
        </w:rPr>
        <w:drawing>
          <wp:inline>
            <wp:extent cx="5783580" cy="2521048"/>
            <wp:effectExtent b="0" l="0" r="0" t="0"/>
            <wp:docPr hidden="false" id="6" name="Picture 6"/>
            <a:graphic>
              <a:graphicData uri="http://schemas.openxmlformats.org/drawingml/2006/picture">
                <pic:pic>
                  <pic:nvPicPr>
                    <pic:cNvPr hidden="false" id="5" name="Picture 5"/>
                    <pic:cNvPicPr preferRelativeResize="true"/>
                  </pic:nvPicPr>
                  <pic:blipFill>
                    <a:blip r:embed="rId4"/>
                    <a:srcRect b="34616" l="0" r="0" t="0"/>
                    <a:stretch/>
                  </pic:blipFill>
                  <pic:spPr>
                    <a:xfrm flipH="false" flipV="false" rot="0">
                      <a:ext cx="5783580" cy="2521048"/>
                    </a:xfrm>
                    <a:prstGeom prst="rect"/>
                  </pic:spPr>
                </pic:pic>
              </a:graphicData>
            </a:graphic>
          </wp:inline>
        </w:drawing>
      </w:r>
    </w:p>
    <w:p w14:paraId="30010000">
      <w:pPr>
        <w:spacing w:after="0" w:line="360" w:lineRule="auto"/>
        <w:ind w:firstLine="851" w:left="0"/>
        <w:jc w:val="center"/>
        <w:rPr>
          <w:rFonts w:ascii="Times New Roman" w:hAnsi="Times New Roman"/>
          <w:i w:val="1"/>
          <w:sz w:val="28"/>
        </w:rPr>
      </w:pPr>
      <w:r>
        <w:rPr>
          <w:rFonts w:ascii="Times New Roman" w:hAnsi="Times New Roman"/>
          <w:i w:val="1"/>
          <w:sz w:val="28"/>
        </w:rPr>
        <w:t>Рисунок 1. Организационная структура ПАО «Газпром»</w:t>
      </w:r>
    </w:p>
    <w:p w14:paraId="31010000">
      <w:pPr>
        <w:spacing w:after="0" w:line="360" w:lineRule="auto"/>
        <w:ind w:firstLine="851" w:left="0"/>
        <w:jc w:val="both"/>
        <w:rPr>
          <w:rFonts w:ascii="Times New Roman" w:hAnsi="Times New Roman"/>
          <w:sz w:val="28"/>
        </w:rPr>
      </w:pPr>
      <w:r>
        <w:rPr>
          <w:rFonts w:ascii="Times New Roman" w:hAnsi="Times New Roman"/>
          <w:sz w:val="28"/>
        </w:rPr>
        <w:t xml:space="preserve">«Газпром» – компания, которая охватывает сразу несколько стратегических направлений. В центре внимания, конечно, добыча природного газа, его прокачка по магистральным трубам, плюс хранение и переработка углеводородов. Помимо этого, корпорация продаёт топливо – как внутри страны, так и за рубежом. А в последние годы заметно ускорилось развитие нефтяного сектора, энергогенерации и производства сжиженного </w:t>
      </w:r>
      <w:r>
        <w:rPr>
          <w:rFonts w:ascii="Times New Roman" w:hAnsi="Times New Roman"/>
          <w:sz w:val="28"/>
        </w:rPr>
        <w:t>природного газа. Такой подход расширяет рыночное присутствие и даёт дополнительные каналы дохода. За счёт многоотраслевой структуры ослабевает зависимость от колебаний в каком-то одном сегменте, и компания легче переносит сдвиги во внешнеэкономической конъюнктуре. Немалые средства направляются на обновление производственных мощностей и на проекты по развитию инфраструктуры вместе с освоением новых месторождений.</w:t>
      </w:r>
    </w:p>
    <w:p w14:paraId="32010000">
      <w:pPr>
        <w:spacing w:after="0" w:line="360" w:lineRule="auto"/>
        <w:ind w:firstLine="851" w:left="0"/>
        <w:jc w:val="both"/>
        <w:rPr>
          <w:rFonts w:ascii="Times New Roman" w:hAnsi="Times New Roman"/>
          <w:sz w:val="28"/>
        </w:rPr>
      </w:pPr>
      <w:r>
        <w:rPr>
          <w:rFonts w:ascii="Times New Roman" w:hAnsi="Times New Roman"/>
          <w:sz w:val="28"/>
        </w:rPr>
        <w:t xml:space="preserve">Что касается производственной стороны, здесь всё тоже весьма масштабно и технологически организовано на высоком уровне. Запасы газа у «Газпрома» крупнейшие – это создаёт надёжный задел для работы на длительную перспективу и для дальнейшего роста. Сеть магистральных газопроводов работает без сбоев, доставляя газ потребителям и в России, и за её пределами. А подземные хранилища позволяют сглаживать пики сезонного спроса и поддерживать стабильность подачи топлива – их роль трудно переоценить. </w:t>
      </w:r>
    </w:p>
    <w:p w14:paraId="33010000">
      <w:pPr>
        <w:spacing w:after="0" w:line="360" w:lineRule="auto"/>
        <w:ind w:firstLine="851" w:left="0"/>
        <w:jc w:val="both"/>
        <w:rPr>
          <w:rFonts w:ascii="Times New Roman" w:hAnsi="Times New Roman"/>
          <w:sz w:val="28"/>
        </w:rPr>
      </w:pPr>
      <w:r>
        <w:rPr>
          <w:rFonts w:ascii="Times New Roman" w:hAnsi="Times New Roman"/>
          <w:sz w:val="28"/>
        </w:rPr>
        <w:t xml:space="preserve">С экономической точки зрения у компании приличная выручка, большой объём активов и солидный собственный капитал. Денежные потоки стабильны, что даёт возможность запускать масштабные инвестпрограммы и без задержек платить по долгам кредитным организациям и инвесторам. Поскольку многие проекты требуют огромных вложений, без заёмных средств не обойтись – так что «Газпром» активно привлекает кредиты и займы. </w:t>
      </w:r>
    </w:p>
    <w:p w14:paraId="34010000">
      <w:pPr>
        <w:spacing w:after="0" w:line="360" w:lineRule="auto"/>
        <w:ind w:firstLine="851" w:left="0"/>
        <w:jc w:val="both"/>
        <w:rPr>
          <w:rFonts w:ascii="Times New Roman" w:hAnsi="Times New Roman"/>
          <w:sz w:val="28"/>
        </w:rPr>
      </w:pPr>
      <w:r>
        <w:rPr>
          <w:rFonts w:ascii="Times New Roman" w:hAnsi="Times New Roman"/>
          <w:sz w:val="28"/>
        </w:rPr>
        <w:t xml:space="preserve">Инвестиционная деятельность ПАО «Газпром» связана с развитием газотранспортной системы, строительством перерабатывающих комплексов, освоением новых месторождений и расширением производства сжиженного природного газа. Реализация подобных проектов требует значительных вложений и долгосрочного финансового обеспечения. В связи с этим финансирование инвестиционных программ осуществляется как за счет собственных средств компании, так и посредством привлечения долгосрочных кредитов и займов. Использование различных источников финансирования позволяет компании поддерживать необходимый объем инвестиционной </w:t>
      </w:r>
      <w:r>
        <w:rPr>
          <w:rFonts w:ascii="Times New Roman" w:hAnsi="Times New Roman"/>
          <w:sz w:val="28"/>
        </w:rPr>
        <w:t>активности и одновременно контролировать стоимость капитала. Масштаб реализуемых проектов оказывает заметное влияние не только на развитие самой компании, но и на экономику страны в целом.</w:t>
      </w:r>
    </w:p>
    <w:p w14:paraId="35010000">
      <w:pPr>
        <w:spacing w:after="0" w:line="360" w:lineRule="auto"/>
        <w:ind w:firstLine="851" w:left="0"/>
        <w:jc w:val="both"/>
        <w:rPr>
          <w:rFonts w:ascii="Times New Roman" w:hAnsi="Times New Roman"/>
          <w:b w:val="1"/>
          <w:sz w:val="28"/>
        </w:rPr>
      </w:pPr>
      <w:r>
        <w:rPr>
          <w:rFonts w:ascii="Times New Roman" w:hAnsi="Times New Roman"/>
          <w:sz w:val="28"/>
        </w:rPr>
        <w:t xml:space="preserve">ПАО «Газпром» с финансовой точки зрения выглядит вполне устойчиво. Ликвидность держится на достаточном уровне, текущие обязательства компания погашает без заметных задержек. Собственного капитала много – это снижает потребность постоянно обращаться к внешним источникам и в целом укрепляет финансовое положение. Но есть и другая сторона: заёмные средства используются активно, а значит, долговую нагрузку приходится отслеживать постоянно, плюс нужно оценивать, насколько эффективно работает привлечённый капитал. В такой ситуации именно анализ кредитов и займов выходит на первый план. </w:t>
      </w:r>
      <w:r>
        <w:rPr>
          <w:rFonts w:ascii="Times New Roman" w:hAnsi="Times New Roman"/>
          <w:sz w:val="28"/>
        </w:rPr>
        <w:t xml:space="preserve">В таблице 4 представлены </w:t>
      </w:r>
      <w:r>
        <w:rPr>
          <w:rFonts w:ascii="Times New Roman" w:hAnsi="Times New Roman"/>
          <w:sz w:val="28"/>
        </w:rPr>
        <w:t>финансово-экономические показатели деятельности организации за 2022–2024 гг.</w:t>
      </w:r>
    </w:p>
    <w:p w14:paraId="36010000">
      <w:pPr>
        <w:spacing w:after="0" w:line="360" w:lineRule="auto"/>
        <w:ind w:firstLine="851" w:left="0"/>
        <w:jc w:val="both"/>
        <w:rPr>
          <w:rFonts w:ascii="Times New Roman" w:hAnsi="Times New Roman"/>
          <w:sz w:val="28"/>
        </w:rPr>
      </w:pPr>
    </w:p>
    <w:p w14:paraId="37010000">
      <w:pPr>
        <w:spacing w:after="0" w:line="240" w:lineRule="auto"/>
        <w:ind w:firstLine="851" w:left="0"/>
        <w:jc w:val="right"/>
        <w:rPr>
          <w:rFonts w:ascii="Times New Roman" w:hAnsi="Times New Roman"/>
          <w:b w:val="1"/>
          <w:sz w:val="28"/>
        </w:rPr>
      </w:pPr>
      <w:r>
        <w:rPr>
          <w:rFonts w:ascii="Times New Roman" w:hAnsi="Times New Roman"/>
          <w:b w:val="1"/>
          <w:sz w:val="28"/>
        </w:rPr>
        <w:t>Таблица 4</w:t>
      </w:r>
    </w:p>
    <w:p w14:paraId="38010000">
      <w:pPr>
        <w:spacing w:after="0" w:line="240" w:lineRule="auto"/>
        <w:ind w:firstLine="851" w:left="0"/>
        <w:jc w:val="both"/>
        <w:rPr>
          <w:rFonts w:ascii="Times New Roman" w:hAnsi="Times New Roman"/>
          <w:b w:val="1"/>
          <w:sz w:val="28"/>
        </w:rPr>
      </w:pPr>
      <w:r>
        <w:rPr>
          <w:rFonts w:ascii="Times New Roman" w:hAnsi="Times New Roman"/>
          <w:b w:val="1"/>
          <w:sz w:val="28"/>
        </w:rPr>
        <w:t xml:space="preserve"> Финансово-экономические показатели деятельности организации за 2022–2024 гг.</w:t>
      </w:r>
    </w:p>
    <w:tbl>
      <w:tblPr>
        <w:tblStyle w:val="Style_3"/>
        <w:tblLayout w:type="fixed"/>
      </w:tblPr>
      <w:tblGrid>
        <w:gridCol w:w="3441"/>
        <w:gridCol w:w="1090"/>
        <w:gridCol w:w="1040"/>
        <w:gridCol w:w="1002"/>
        <w:gridCol w:w="1537"/>
        <w:gridCol w:w="1241"/>
      </w:tblGrid>
      <w:tr>
        <w:trPr>
          <w:trHeight w:hRule="atLeast" w:val="1728"/>
        </w:trPr>
        <w:tc>
          <w:tcPr>
            <w:tcW w:type="dxa" w:w="3441"/>
            <w:tcBorders>
              <w:top w:color="000000" w:sz="4" w:val="single"/>
              <w:left w:color="000000" w:sz="4" w:val="single"/>
              <w:bottom w:color="000000" w:sz="4" w:val="single"/>
              <w:right w:color="000000" w:sz="4" w:val="single"/>
            </w:tcBorders>
            <w:vAlign w:val="center"/>
          </w:tcPr>
          <w:p w14:paraId="39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1090"/>
            <w:tcBorders>
              <w:top w:color="000000" w:sz="4" w:val="single"/>
              <w:left w:sz="4" w:val="nil"/>
              <w:bottom w:color="000000" w:sz="4" w:val="single"/>
              <w:right w:color="000000" w:sz="4" w:val="single"/>
            </w:tcBorders>
            <w:vAlign w:val="center"/>
          </w:tcPr>
          <w:p w14:paraId="3A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 г.</w:t>
            </w:r>
          </w:p>
        </w:tc>
        <w:tc>
          <w:tcPr>
            <w:tcW w:type="dxa" w:w="1040"/>
            <w:tcBorders>
              <w:top w:color="000000" w:sz="4" w:val="single"/>
              <w:left w:sz="4" w:val="nil"/>
              <w:bottom w:color="000000" w:sz="4" w:val="single"/>
              <w:right w:color="000000" w:sz="4" w:val="single"/>
            </w:tcBorders>
            <w:vAlign w:val="center"/>
          </w:tcPr>
          <w:p w14:paraId="3B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 г.</w:t>
            </w:r>
          </w:p>
        </w:tc>
        <w:tc>
          <w:tcPr>
            <w:tcW w:type="dxa" w:w="1002"/>
            <w:tcBorders>
              <w:top w:color="000000" w:sz="4" w:val="single"/>
              <w:left w:sz="4" w:val="nil"/>
              <w:bottom w:color="000000" w:sz="4" w:val="single"/>
              <w:right w:color="000000" w:sz="4" w:val="single"/>
            </w:tcBorders>
            <w:vAlign w:val="center"/>
          </w:tcPr>
          <w:p w14:paraId="3C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 г.</w:t>
            </w:r>
          </w:p>
        </w:tc>
        <w:tc>
          <w:tcPr>
            <w:tcW w:type="dxa" w:w="1537"/>
            <w:tcBorders>
              <w:top w:color="000000" w:sz="4" w:val="single"/>
              <w:left w:sz="4" w:val="nil"/>
              <w:bottom w:color="000000" w:sz="4" w:val="single"/>
              <w:right w:color="000000" w:sz="4" w:val="single"/>
            </w:tcBorders>
            <w:vAlign w:val="center"/>
          </w:tcPr>
          <w:p w14:paraId="3D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Абсолютное отклонение 2024/2022</w:t>
            </w:r>
          </w:p>
        </w:tc>
        <w:tc>
          <w:tcPr>
            <w:tcW w:type="dxa" w:w="1241"/>
            <w:tcBorders>
              <w:top w:color="000000" w:sz="4" w:val="single"/>
              <w:left w:sz="4" w:val="nil"/>
              <w:bottom w:color="000000" w:sz="4" w:val="single"/>
              <w:right w:color="000000" w:sz="4" w:val="single"/>
            </w:tcBorders>
            <w:vAlign w:val="center"/>
          </w:tcPr>
          <w:p w14:paraId="3E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Темп роста, %</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3F010000">
            <w:pPr>
              <w:spacing w:after="0" w:line="240" w:lineRule="auto"/>
              <w:ind/>
              <w:rPr>
                <w:rFonts w:ascii="Times New Roman" w:hAnsi="Times New Roman"/>
                <w:color w:val="000000"/>
                <w:sz w:val="24"/>
              </w:rPr>
            </w:pPr>
            <w:r>
              <w:rPr>
                <w:rFonts w:ascii="Times New Roman" w:hAnsi="Times New Roman"/>
                <w:color w:val="000000"/>
                <w:sz w:val="24"/>
              </w:rPr>
              <w:t>Выручка, тыс. руб.</w:t>
            </w:r>
          </w:p>
        </w:tc>
        <w:tc>
          <w:tcPr>
            <w:tcW w:type="dxa" w:w="1090"/>
            <w:tcBorders>
              <w:top w:sz="4" w:val="nil"/>
              <w:left w:sz="4" w:val="nil"/>
              <w:bottom w:color="000000" w:sz="4" w:val="single"/>
              <w:right w:color="000000" w:sz="4" w:val="single"/>
            </w:tcBorders>
            <w:vAlign w:val="center"/>
          </w:tcPr>
          <w:p w14:paraId="40010000">
            <w:pPr>
              <w:spacing w:after="0" w:line="240" w:lineRule="auto"/>
              <w:ind/>
              <w:jc w:val="right"/>
              <w:rPr>
                <w:rFonts w:ascii="Times New Roman" w:hAnsi="Times New Roman"/>
                <w:color w:val="000000"/>
                <w:sz w:val="24"/>
              </w:rPr>
            </w:pPr>
            <w:r>
              <w:rPr>
                <w:rFonts w:ascii="Times New Roman" w:hAnsi="Times New Roman"/>
                <w:color w:val="000000"/>
                <w:sz w:val="24"/>
              </w:rPr>
              <w:t>18 450</w:t>
            </w:r>
          </w:p>
        </w:tc>
        <w:tc>
          <w:tcPr>
            <w:tcW w:type="dxa" w:w="1040"/>
            <w:tcBorders>
              <w:top w:sz="4" w:val="nil"/>
              <w:left w:sz="4" w:val="nil"/>
              <w:bottom w:color="000000" w:sz="4" w:val="single"/>
              <w:right w:color="000000" w:sz="4" w:val="single"/>
            </w:tcBorders>
            <w:vAlign w:val="center"/>
          </w:tcPr>
          <w:p w14:paraId="41010000">
            <w:pPr>
              <w:spacing w:after="0" w:line="240" w:lineRule="auto"/>
              <w:ind/>
              <w:jc w:val="right"/>
              <w:rPr>
                <w:rFonts w:ascii="Times New Roman" w:hAnsi="Times New Roman"/>
                <w:color w:val="000000"/>
                <w:sz w:val="24"/>
              </w:rPr>
            </w:pPr>
            <w:r>
              <w:rPr>
                <w:rFonts w:ascii="Times New Roman" w:hAnsi="Times New Roman"/>
                <w:color w:val="000000"/>
                <w:sz w:val="24"/>
              </w:rPr>
              <w:t>21 320</w:t>
            </w:r>
          </w:p>
        </w:tc>
        <w:tc>
          <w:tcPr>
            <w:tcW w:type="dxa" w:w="1002"/>
            <w:tcBorders>
              <w:top w:sz="4" w:val="nil"/>
              <w:left w:sz="4" w:val="nil"/>
              <w:bottom w:color="000000" w:sz="4" w:val="single"/>
              <w:right w:color="000000" w:sz="4" w:val="single"/>
            </w:tcBorders>
            <w:vAlign w:val="center"/>
          </w:tcPr>
          <w:p w14:paraId="42010000">
            <w:pPr>
              <w:spacing w:after="0" w:line="240" w:lineRule="auto"/>
              <w:ind/>
              <w:jc w:val="right"/>
              <w:rPr>
                <w:rFonts w:ascii="Times New Roman" w:hAnsi="Times New Roman"/>
                <w:color w:val="000000"/>
                <w:sz w:val="24"/>
              </w:rPr>
            </w:pPr>
            <w:r>
              <w:rPr>
                <w:rFonts w:ascii="Times New Roman" w:hAnsi="Times New Roman"/>
                <w:color w:val="000000"/>
                <w:sz w:val="24"/>
              </w:rPr>
              <w:t>24 780</w:t>
            </w:r>
          </w:p>
        </w:tc>
        <w:tc>
          <w:tcPr>
            <w:tcW w:type="dxa" w:w="1537"/>
            <w:tcBorders>
              <w:top w:sz="4" w:val="nil"/>
              <w:left w:sz="4" w:val="nil"/>
              <w:bottom w:color="000000" w:sz="4" w:val="single"/>
              <w:right w:color="000000" w:sz="4" w:val="single"/>
            </w:tcBorders>
            <w:vAlign w:val="center"/>
          </w:tcPr>
          <w:p w14:paraId="43010000">
            <w:pPr>
              <w:spacing w:after="0" w:line="240" w:lineRule="auto"/>
              <w:ind/>
              <w:jc w:val="right"/>
              <w:rPr>
                <w:rFonts w:ascii="Times New Roman" w:hAnsi="Times New Roman"/>
                <w:color w:val="000000"/>
                <w:sz w:val="24"/>
              </w:rPr>
            </w:pPr>
            <w:r>
              <w:rPr>
                <w:rFonts w:ascii="Times New Roman" w:hAnsi="Times New Roman"/>
                <w:color w:val="000000"/>
                <w:sz w:val="24"/>
              </w:rPr>
              <w:t>6 330</w:t>
            </w:r>
          </w:p>
        </w:tc>
        <w:tc>
          <w:tcPr>
            <w:tcW w:type="dxa" w:w="1241"/>
            <w:tcBorders>
              <w:top w:sz="4" w:val="nil"/>
              <w:left w:sz="4" w:val="nil"/>
              <w:bottom w:color="000000" w:sz="4" w:val="single"/>
              <w:right w:color="000000" w:sz="4" w:val="single"/>
            </w:tcBorders>
            <w:vAlign w:val="center"/>
          </w:tcPr>
          <w:p w14:paraId="44010000">
            <w:pPr>
              <w:spacing w:after="0" w:line="240" w:lineRule="auto"/>
              <w:ind/>
              <w:jc w:val="right"/>
              <w:rPr>
                <w:rFonts w:ascii="Times New Roman" w:hAnsi="Times New Roman"/>
                <w:color w:val="000000"/>
                <w:sz w:val="24"/>
              </w:rPr>
            </w:pPr>
            <w:r>
              <w:rPr>
                <w:rFonts w:ascii="Times New Roman" w:hAnsi="Times New Roman"/>
                <w:color w:val="000000"/>
                <w:sz w:val="24"/>
              </w:rPr>
              <w:t>134,3</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45010000">
            <w:pPr>
              <w:spacing w:after="0" w:line="240" w:lineRule="auto"/>
              <w:ind/>
              <w:rPr>
                <w:rFonts w:ascii="Times New Roman" w:hAnsi="Times New Roman"/>
                <w:color w:val="000000"/>
                <w:sz w:val="24"/>
              </w:rPr>
            </w:pPr>
            <w:r>
              <w:rPr>
                <w:rFonts w:ascii="Times New Roman" w:hAnsi="Times New Roman"/>
                <w:color w:val="000000"/>
                <w:sz w:val="24"/>
              </w:rPr>
              <w:t>Себестоимость, тыс. руб.</w:t>
            </w:r>
          </w:p>
        </w:tc>
        <w:tc>
          <w:tcPr>
            <w:tcW w:type="dxa" w:w="1090"/>
            <w:tcBorders>
              <w:top w:sz="4" w:val="nil"/>
              <w:left w:sz="4" w:val="nil"/>
              <w:bottom w:color="000000" w:sz="4" w:val="single"/>
              <w:right w:color="000000" w:sz="4" w:val="single"/>
            </w:tcBorders>
            <w:vAlign w:val="center"/>
          </w:tcPr>
          <w:p w14:paraId="46010000">
            <w:pPr>
              <w:spacing w:after="0" w:line="240" w:lineRule="auto"/>
              <w:ind/>
              <w:jc w:val="right"/>
              <w:rPr>
                <w:rFonts w:ascii="Times New Roman" w:hAnsi="Times New Roman"/>
                <w:color w:val="000000"/>
                <w:sz w:val="24"/>
              </w:rPr>
            </w:pPr>
            <w:r>
              <w:rPr>
                <w:rFonts w:ascii="Times New Roman" w:hAnsi="Times New Roman"/>
                <w:color w:val="000000"/>
                <w:sz w:val="24"/>
              </w:rPr>
              <w:t>12 980</w:t>
            </w:r>
          </w:p>
        </w:tc>
        <w:tc>
          <w:tcPr>
            <w:tcW w:type="dxa" w:w="1040"/>
            <w:tcBorders>
              <w:top w:sz="4" w:val="nil"/>
              <w:left w:sz="4" w:val="nil"/>
              <w:bottom w:color="000000" w:sz="4" w:val="single"/>
              <w:right w:color="000000" w:sz="4" w:val="single"/>
            </w:tcBorders>
            <w:vAlign w:val="center"/>
          </w:tcPr>
          <w:p w14:paraId="47010000">
            <w:pPr>
              <w:spacing w:after="0" w:line="240" w:lineRule="auto"/>
              <w:ind/>
              <w:jc w:val="right"/>
              <w:rPr>
                <w:rFonts w:ascii="Times New Roman" w:hAnsi="Times New Roman"/>
                <w:color w:val="000000"/>
                <w:sz w:val="24"/>
              </w:rPr>
            </w:pPr>
            <w:r>
              <w:rPr>
                <w:rFonts w:ascii="Times New Roman" w:hAnsi="Times New Roman"/>
                <w:color w:val="000000"/>
                <w:sz w:val="24"/>
              </w:rPr>
              <w:t>14 750</w:t>
            </w:r>
          </w:p>
        </w:tc>
        <w:tc>
          <w:tcPr>
            <w:tcW w:type="dxa" w:w="1002"/>
            <w:tcBorders>
              <w:top w:sz="4" w:val="nil"/>
              <w:left w:sz="4" w:val="nil"/>
              <w:bottom w:color="000000" w:sz="4" w:val="single"/>
              <w:right w:color="000000" w:sz="4" w:val="single"/>
            </w:tcBorders>
            <w:vAlign w:val="center"/>
          </w:tcPr>
          <w:p w14:paraId="48010000">
            <w:pPr>
              <w:spacing w:after="0" w:line="240" w:lineRule="auto"/>
              <w:ind/>
              <w:jc w:val="right"/>
              <w:rPr>
                <w:rFonts w:ascii="Times New Roman" w:hAnsi="Times New Roman"/>
                <w:color w:val="000000"/>
                <w:sz w:val="24"/>
              </w:rPr>
            </w:pPr>
            <w:r>
              <w:rPr>
                <w:rFonts w:ascii="Times New Roman" w:hAnsi="Times New Roman"/>
                <w:color w:val="000000"/>
                <w:sz w:val="24"/>
              </w:rPr>
              <w:t>16 830</w:t>
            </w:r>
          </w:p>
        </w:tc>
        <w:tc>
          <w:tcPr>
            <w:tcW w:type="dxa" w:w="1537"/>
            <w:tcBorders>
              <w:top w:sz="4" w:val="nil"/>
              <w:left w:sz="4" w:val="nil"/>
              <w:bottom w:color="000000" w:sz="4" w:val="single"/>
              <w:right w:color="000000" w:sz="4" w:val="single"/>
            </w:tcBorders>
            <w:vAlign w:val="center"/>
          </w:tcPr>
          <w:p w14:paraId="49010000">
            <w:pPr>
              <w:spacing w:after="0" w:line="240" w:lineRule="auto"/>
              <w:ind/>
              <w:jc w:val="right"/>
              <w:rPr>
                <w:rFonts w:ascii="Times New Roman" w:hAnsi="Times New Roman"/>
                <w:color w:val="000000"/>
                <w:sz w:val="24"/>
              </w:rPr>
            </w:pPr>
            <w:r>
              <w:rPr>
                <w:rFonts w:ascii="Times New Roman" w:hAnsi="Times New Roman"/>
                <w:color w:val="000000"/>
                <w:sz w:val="24"/>
              </w:rPr>
              <w:t>3 850</w:t>
            </w:r>
          </w:p>
        </w:tc>
        <w:tc>
          <w:tcPr>
            <w:tcW w:type="dxa" w:w="1241"/>
            <w:tcBorders>
              <w:top w:sz="4" w:val="nil"/>
              <w:left w:sz="4" w:val="nil"/>
              <w:bottom w:color="000000" w:sz="4" w:val="single"/>
              <w:right w:color="000000" w:sz="4" w:val="single"/>
            </w:tcBorders>
            <w:vAlign w:val="center"/>
          </w:tcPr>
          <w:p w14:paraId="4A010000">
            <w:pPr>
              <w:spacing w:after="0" w:line="240" w:lineRule="auto"/>
              <w:ind/>
              <w:jc w:val="right"/>
              <w:rPr>
                <w:rFonts w:ascii="Times New Roman" w:hAnsi="Times New Roman"/>
                <w:color w:val="000000"/>
                <w:sz w:val="24"/>
              </w:rPr>
            </w:pPr>
            <w:r>
              <w:rPr>
                <w:rFonts w:ascii="Times New Roman" w:hAnsi="Times New Roman"/>
                <w:color w:val="000000"/>
                <w:sz w:val="24"/>
              </w:rPr>
              <w:t>129,7</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4B010000">
            <w:pPr>
              <w:spacing w:after="0" w:line="240" w:lineRule="auto"/>
              <w:ind/>
              <w:rPr>
                <w:rFonts w:ascii="Times New Roman" w:hAnsi="Times New Roman"/>
                <w:color w:val="000000"/>
                <w:sz w:val="24"/>
              </w:rPr>
            </w:pPr>
            <w:r>
              <w:rPr>
                <w:rFonts w:ascii="Times New Roman" w:hAnsi="Times New Roman"/>
                <w:color w:val="000000"/>
                <w:sz w:val="24"/>
              </w:rPr>
              <w:t>Валовая прибыль, тыс. руб.</w:t>
            </w:r>
          </w:p>
        </w:tc>
        <w:tc>
          <w:tcPr>
            <w:tcW w:type="dxa" w:w="1090"/>
            <w:tcBorders>
              <w:top w:sz="4" w:val="nil"/>
              <w:left w:sz="4" w:val="nil"/>
              <w:bottom w:color="000000" w:sz="4" w:val="single"/>
              <w:right w:color="000000" w:sz="4" w:val="single"/>
            </w:tcBorders>
            <w:vAlign w:val="center"/>
          </w:tcPr>
          <w:p w14:paraId="4C010000">
            <w:pPr>
              <w:spacing w:after="0" w:line="240" w:lineRule="auto"/>
              <w:ind/>
              <w:jc w:val="right"/>
              <w:rPr>
                <w:rFonts w:ascii="Times New Roman" w:hAnsi="Times New Roman"/>
                <w:color w:val="000000"/>
                <w:sz w:val="24"/>
              </w:rPr>
            </w:pPr>
            <w:r>
              <w:rPr>
                <w:rFonts w:ascii="Times New Roman" w:hAnsi="Times New Roman"/>
                <w:color w:val="000000"/>
                <w:sz w:val="24"/>
              </w:rPr>
              <w:t>5 470</w:t>
            </w:r>
          </w:p>
        </w:tc>
        <w:tc>
          <w:tcPr>
            <w:tcW w:type="dxa" w:w="1040"/>
            <w:tcBorders>
              <w:top w:sz="4" w:val="nil"/>
              <w:left w:sz="4" w:val="nil"/>
              <w:bottom w:color="000000" w:sz="4" w:val="single"/>
              <w:right w:color="000000" w:sz="4" w:val="single"/>
            </w:tcBorders>
            <w:vAlign w:val="center"/>
          </w:tcPr>
          <w:p w14:paraId="4D010000">
            <w:pPr>
              <w:spacing w:after="0" w:line="240" w:lineRule="auto"/>
              <w:ind/>
              <w:jc w:val="right"/>
              <w:rPr>
                <w:rFonts w:ascii="Times New Roman" w:hAnsi="Times New Roman"/>
                <w:color w:val="000000"/>
                <w:sz w:val="24"/>
              </w:rPr>
            </w:pPr>
            <w:r>
              <w:rPr>
                <w:rFonts w:ascii="Times New Roman" w:hAnsi="Times New Roman"/>
                <w:color w:val="000000"/>
                <w:sz w:val="24"/>
              </w:rPr>
              <w:t>6 570</w:t>
            </w:r>
          </w:p>
        </w:tc>
        <w:tc>
          <w:tcPr>
            <w:tcW w:type="dxa" w:w="1002"/>
            <w:tcBorders>
              <w:top w:sz="4" w:val="nil"/>
              <w:left w:sz="4" w:val="nil"/>
              <w:bottom w:color="000000" w:sz="4" w:val="single"/>
              <w:right w:color="000000" w:sz="4" w:val="single"/>
            </w:tcBorders>
            <w:vAlign w:val="center"/>
          </w:tcPr>
          <w:p w14:paraId="4E010000">
            <w:pPr>
              <w:spacing w:after="0" w:line="240" w:lineRule="auto"/>
              <w:ind/>
              <w:jc w:val="right"/>
              <w:rPr>
                <w:rFonts w:ascii="Times New Roman" w:hAnsi="Times New Roman"/>
                <w:color w:val="000000"/>
                <w:sz w:val="24"/>
              </w:rPr>
            </w:pPr>
            <w:r>
              <w:rPr>
                <w:rFonts w:ascii="Times New Roman" w:hAnsi="Times New Roman"/>
                <w:color w:val="000000"/>
                <w:sz w:val="24"/>
              </w:rPr>
              <w:t>7 950</w:t>
            </w:r>
          </w:p>
        </w:tc>
        <w:tc>
          <w:tcPr>
            <w:tcW w:type="dxa" w:w="1537"/>
            <w:tcBorders>
              <w:top w:sz="4" w:val="nil"/>
              <w:left w:sz="4" w:val="nil"/>
              <w:bottom w:color="000000" w:sz="4" w:val="single"/>
              <w:right w:color="000000" w:sz="4" w:val="single"/>
            </w:tcBorders>
            <w:vAlign w:val="center"/>
          </w:tcPr>
          <w:p w14:paraId="4F010000">
            <w:pPr>
              <w:spacing w:after="0" w:line="240" w:lineRule="auto"/>
              <w:ind/>
              <w:jc w:val="right"/>
              <w:rPr>
                <w:rFonts w:ascii="Times New Roman" w:hAnsi="Times New Roman"/>
                <w:color w:val="000000"/>
                <w:sz w:val="24"/>
              </w:rPr>
            </w:pPr>
            <w:r>
              <w:rPr>
                <w:rFonts w:ascii="Times New Roman" w:hAnsi="Times New Roman"/>
                <w:color w:val="000000"/>
                <w:sz w:val="24"/>
              </w:rPr>
              <w:t>2 480</w:t>
            </w:r>
          </w:p>
        </w:tc>
        <w:tc>
          <w:tcPr>
            <w:tcW w:type="dxa" w:w="1241"/>
            <w:tcBorders>
              <w:top w:sz="4" w:val="nil"/>
              <w:left w:sz="4" w:val="nil"/>
              <w:bottom w:color="000000" w:sz="4" w:val="single"/>
              <w:right w:color="000000" w:sz="4" w:val="single"/>
            </w:tcBorders>
            <w:vAlign w:val="center"/>
          </w:tcPr>
          <w:p w14:paraId="50010000">
            <w:pPr>
              <w:spacing w:after="0" w:line="240" w:lineRule="auto"/>
              <w:ind/>
              <w:jc w:val="right"/>
              <w:rPr>
                <w:rFonts w:ascii="Times New Roman" w:hAnsi="Times New Roman"/>
                <w:color w:val="000000"/>
                <w:sz w:val="24"/>
              </w:rPr>
            </w:pPr>
            <w:r>
              <w:rPr>
                <w:rFonts w:ascii="Times New Roman" w:hAnsi="Times New Roman"/>
                <w:color w:val="000000"/>
                <w:sz w:val="24"/>
              </w:rPr>
              <w:t>145,3</w:t>
            </w:r>
          </w:p>
        </w:tc>
      </w:tr>
      <w:tr>
        <w:trPr>
          <w:trHeight w:hRule="atLeast" w:val="576"/>
        </w:trPr>
        <w:tc>
          <w:tcPr>
            <w:tcW w:type="dxa" w:w="3441"/>
            <w:tcBorders>
              <w:top w:sz="4" w:val="nil"/>
              <w:left w:color="000000" w:sz="4" w:val="single"/>
              <w:bottom w:color="000000" w:sz="4" w:val="single"/>
              <w:right w:color="000000" w:sz="4" w:val="single"/>
            </w:tcBorders>
            <w:vAlign w:val="center"/>
          </w:tcPr>
          <w:p w14:paraId="51010000">
            <w:pPr>
              <w:spacing w:after="0" w:line="240" w:lineRule="auto"/>
              <w:ind/>
              <w:rPr>
                <w:rFonts w:ascii="Times New Roman" w:hAnsi="Times New Roman"/>
                <w:color w:val="000000"/>
                <w:sz w:val="24"/>
              </w:rPr>
            </w:pPr>
            <w:r>
              <w:rPr>
                <w:rFonts w:ascii="Times New Roman" w:hAnsi="Times New Roman"/>
                <w:color w:val="000000"/>
                <w:sz w:val="24"/>
              </w:rPr>
              <w:t>Коммерческие и управленческие расходы, тыс. руб.</w:t>
            </w:r>
          </w:p>
        </w:tc>
        <w:tc>
          <w:tcPr>
            <w:tcW w:type="dxa" w:w="1090"/>
            <w:tcBorders>
              <w:top w:sz="4" w:val="nil"/>
              <w:left w:sz="4" w:val="nil"/>
              <w:bottom w:color="000000" w:sz="4" w:val="single"/>
              <w:right w:color="000000" w:sz="4" w:val="single"/>
            </w:tcBorders>
            <w:vAlign w:val="center"/>
          </w:tcPr>
          <w:p w14:paraId="52010000">
            <w:pPr>
              <w:spacing w:after="0" w:line="240" w:lineRule="auto"/>
              <w:ind/>
              <w:jc w:val="right"/>
              <w:rPr>
                <w:rFonts w:ascii="Times New Roman" w:hAnsi="Times New Roman"/>
                <w:color w:val="000000"/>
                <w:sz w:val="24"/>
              </w:rPr>
            </w:pPr>
            <w:r>
              <w:rPr>
                <w:rFonts w:ascii="Times New Roman" w:hAnsi="Times New Roman"/>
                <w:color w:val="000000"/>
                <w:sz w:val="24"/>
              </w:rPr>
              <w:t>2 960</w:t>
            </w:r>
          </w:p>
        </w:tc>
        <w:tc>
          <w:tcPr>
            <w:tcW w:type="dxa" w:w="1040"/>
            <w:tcBorders>
              <w:top w:sz="4" w:val="nil"/>
              <w:left w:sz="4" w:val="nil"/>
              <w:bottom w:color="000000" w:sz="4" w:val="single"/>
              <w:right w:color="000000" w:sz="4" w:val="single"/>
            </w:tcBorders>
            <w:vAlign w:val="center"/>
          </w:tcPr>
          <w:p w14:paraId="53010000">
            <w:pPr>
              <w:spacing w:after="0" w:line="240" w:lineRule="auto"/>
              <w:ind/>
              <w:jc w:val="right"/>
              <w:rPr>
                <w:rFonts w:ascii="Times New Roman" w:hAnsi="Times New Roman"/>
                <w:color w:val="000000"/>
                <w:sz w:val="24"/>
              </w:rPr>
            </w:pPr>
            <w:r>
              <w:rPr>
                <w:rFonts w:ascii="Times New Roman" w:hAnsi="Times New Roman"/>
                <w:color w:val="000000"/>
                <w:sz w:val="24"/>
              </w:rPr>
              <w:t>3 210</w:t>
            </w:r>
          </w:p>
        </w:tc>
        <w:tc>
          <w:tcPr>
            <w:tcW w:type="dxa" w:w="1002"/>
            <w:tcBorders>
              <w:top w:sz="4" w:val="nil"/>
              <w:left w:sz="4" w:val="nil"/>
              <w:bottom w:color="000000" w:sz="4" w:val="single"/>
              <w:right w:color="000000" w:sz="4" w:val="single"/>
            </w:tcBorders>
            <w:vAlign w:val="center"/>
          </w:tcPr>
          <w:p w14:paraId="54010000">
            <w:pPr>
              <w:spacing w:after="0" w:line="240" w:lineRule="auto"/>
              <w:ind/>
              <w:jc w:val="right"/>
              <w:rPr>
                <w:rFonts w:ascii="Times New Roman" w:hAnsi="Times New Roman"/>
                <w:color w:val="000000"/>
                <w:sz w:val="24"/>
              </w:rPr>
            </w:pPr>
            <w:r>
              <w:rPr>
                <w:rFonts w:ascii="Times New Roman" w:hAnsi="Times New Roman"/>
                <w:color w:val="000000"/>
                <w:sz w:val="24"/>
              </w:rPr>
              <w:t>3 480</w:t>
            </w:r>
          </w:p>
        </w:tc>
        <w:tc>
          <w:tcPr>
            <w:tcW w:type="dxa" w:w="1537"/>
            <w:tcBorders>
              <w:top w:sz="4" w:val="nil"/>
              <w:left w:sz="4" w:val="nil"/>
              <w:bottom w:color="000000" w:sz="4" w:val="single"/>
              <w:right w:color="000000" w:sz="4" w:val="single"/>
            </w:tcBorders>
            <w:vAlign w:val="center"/>
          </w:tcPr>
          <w:p w14:paraId="55010000">
            <w:pPr>
              <w:spacing w:after="0" w:line="240" w:lineRule="auto"/>
              <w:ind/>
              <w:jc w:val="right"/>
              <w:rPr>
                <w:rFonts w:ascii="Times New Roman" w:hAnsi="Times New Roman"/>
                <w:color w:val="000000"/>
                <w:sz w:val="24"/>
              </w:rPr>
            </w:pPr>
            <w:r>
              <w:rPr>
                <w:rFonts w:ascii="Times New Roman" w:hAnsi="Times New Roman"/>
                <w:color w:val="000000"/>
                <w:sz w:val="24"/>
              </w:rPr>
              <w:t>520</w:t>
            </w:r>
          </w:p>
        </w:tc>
        <w:tc>
          <w:tcPr>
            <w:tcW w:type="dxa" w:w="1241"/>
            <w:tcBorders>
              <w:top w:sz="4" w:val="nil"/>
              <w:left w:sz="4" w:val="nil"/>
              <w:bottom w:color="000000" w:sz="4" w:val="single"/>
              <w:right w:color="000000" w:sz="4" w:val="single"/>
            </w:tcBorders>
            <w:vAlign w:val="center"/>
          </w:tcPr>
          <w:p w14:paraId="56010000">
            <w:pPr>
              <w:spacing w:after="0" w:line="240" w:lineRule="auto"/>
              <w:ind/>
              <w:jc w:val="right"/>
              <w:rPr>
                <w:rFonts w:ascii="Times New Roman" w:hAnsi="Times New Roman"/>
                <w:color w:val="000000"/>
                <w:sz w:val="24"/>
              </w:rPr>
            </w:pPr>
            <w:r>
              <w:rPr>
                <w:rFonts w:ascii="Times New Roman" w:hAnsi="Times New Roman"/>
                <w:color w:val="000000"/>
                <w:sz w:val="24"/>
              </w:rPr>
              <w:t>117,6</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57010000">
            <w:pPr>
              <w:spacing w:after="0" w:line="240" w:lineRule="auto"/>
              <w:ind/>
              <w:rPr>
                <w:rFonts w:ascii="Times New Roman" w:hAnsi="Times New Roman"/>
                <w:color w:val="000000"/>
                <w:sz w:val="24"/>
              </w:rPr>
            </w:pPr>
            <w:r>
              <w:rPr>
                <w:rFonts w:ascii="Times New Roman" w:hAnsi="Times New Roman"/>
                <w:color w:val="000000"/>
                <w:sz w:val="24"/>
              </w:rPr>
              <w:t>Прибыль от продаж, тыс. руб.</w:t>
            </w:r>
          </w:p>
        </w:tc>
        <w:tc>
          <w:tcPr>
            <w:tcW w:type="dxa" w:w="1090"/>
            <w:tcBorders>
              <w:top w:sz="4" w:val="nil"/>
              <w:left w:sz="4" w:val="nil"/>
              <w:bottom w:color="000000" w:sz="4" w:val="single"/>
              <w:right w:color="000000" w:sz="4" w:val="single"/>
            </w:tcBorders>
            <w:vAlign w:val="center"/>
          </w:tcPr>
          <w:p w14:paraId="58010000">
            <w:pPr>
              <w:spacing w:after="0" w:line="240" w:lineRule="auto"/>
              <w:ind/>
              <w:jc w:val="right"/>
              <w:rPr>
                <w:rFonts w:ascii="Times New Roman" w:hAnsi="Times New Roman"/>
                <w:color w:val="000000"/>
                <w:sz w:val="24"/>
              </w:rPr>
            </w:pPr>
            <w:r>
              <w:rPr>
                <w:rFonts w:ascii="Times New Roman" w:hAnsi="Times New Roman"/>
                <w:color w:val="000000"/>
                <w:sz w:val="24"/>
              </w:rPr>
              <w:t>2 510</w:t>
            </w:r>
          </w:p>
        </w:tc>
        <w:tc>
          <w:tcPr>
            <w:tcW w:type="dxa" w:w="1040"/>
            <w:tcBorders>
              <w:top w:sz="4" w:val="nil"/>
              <w:left w:sz="4" w:val="nil"/>
              <w:bottom w:color="000000" w:sz="4" w:val="single"/>
              <w:right w:color="000000" w:sz="4" w:val="single"/>
            </w:tcBorders>
            <w:vAlign w:val="center"/>
          </w:tcPr>
          <w:p w14:paraId="59010000">
            <w:pPr>
              <w:spacing w:after="0" w:line="240" w:lineRule="auto"/>
              <w:ind/>
              <w:jc w:val="right"/>
              <w:rPr>
                <w:rFonts w:ascii="Times New Roman" w:hAnsi="Times New Roman"/>
                <w:color w:val="000000"/>
                <w:sz w:val="24"/>
              </w:rPr>
            </w:pPr>
            <w:r>
              <w:rPr>
                <w:rFonts w:ascii="Times New Roman" w:hAnsi="Times New Roman"/>
                <w:color w:val="000000"/>
                <w:sz w:val="24"/>
              </w:rPr>
              <w:t>3 360</w:t>
            </w:r>
          </w:p>
        </w:tc>
        <w:tc>
          <w:tcPr>
            <w:tcW w:type="dxa" w:w="1002"/>
            <w:tcBorders>
              <w:top w:sz="4" w:val="nil"/>
              <w:left w:sz="4" w:val="nil"/>
              <w:bottom w:color="000000" w:sz="4" w:val="single"/>
              <w:right w:color="000000" w:sz="4" w:val="single"/>
            </w:tcBorders>
            <w:vAlign w:val="center"/>
          </w:tcPr>
          <w:p w14:paraId="5A010000">
            <w:pPr>
              <w:spacing w:after="0" w:line="240" w:lineRule="auto"/>
              <w:ind/>
              <w:jc w:val="right"/>
              <w:rPr>
                <w:rFonts w:ascii="Times New Roman" w:hAnsi="Times New Roman"/>
                <w:color w:val="000000"/>
                <w:sz w:val="24"/>
              </w:rPr>
            </w:pPr>
            <w:r>
              <w:rPr>
                <w:rFonts w:ascii="Times New Roman" w:hAnsi="Times New Roman"/>
                <w:color w:val="000000"/>
                <w:sz w:val="24"/>
              </w:rPr>
              <w:t>4 470</w:t>
            </w:r>
          </w:p>
        </w:tc>
        <w:tc>
          <w:tcPr>
            <w:tcW w:type="dxa" w:w="1537"/>
            <w:tcBorders>
              <w:top w:sz="4" w:val="nil"/>
              <w:left w:sz="4" w:val="nil"/>
              <w:bottom w:color="000000" w:sz="4" w:val="single"/>
              <w:right w:color="000000" w:sz="4" w:val="single"/>
            </w:tcBorders>
            <w:vAlign w:val="center"/>
          </w:tcPr>
          <w:p w14:paraId="5B010000">
            <w:pPr>
              <w:spacing w:after="0" w:line="240" w:lineRule="auto"/>
              <w:ind/>
              <w:jc w:val="right"/>
              <w:rPr>
                <w:rFonts w:ascii="Times New Roman" w:hAnsi="Times New Roman"/>
                <w:color w:val="000000"/>
                <w:sz w:val="24"/>
              </w:rPr>
            </w:pPr>
            <w:r>
              <w:rPr>
                <w:rFonts w:ascii="Times New Roman" w:hAnsi="Times New Roman"/>
                <w:color w:val="000000"/>
                <w:sz w:val="24"/>
              </w:rPr>
              <w:t>1 960</w:t>
            </w:r>
          </w:p>
        </w:tc>
        <w:tc>
          <w:tcPr>
            <w:tcW w:type="dxa" w:w="1241"/>
            <w:tcBorders>
              <w:top w:sz="4" w:val="nil"/>
              <w:left w:sz="4" w:val="nil"/>
              <w:bottom w:color="000000" w:sz="4" w:val="single"/>
              <w:right w:color="000000" w:sz="4" w:val="single"/>
            </w:tcBorders>
            <w:vAlign w:val="center"/>
          </w:tcPr>
          <w:p w14:paraId="5C010000">
            <w:pPr>
              <w:spacing w:after="0" w:line="240" w:lineRule="auto"/>
              <w:ind/>
              <w:jc w:val="right"/>
              <w:rPr>
                <w:rFonts w:ascii="Times New Roman" w:hAnsi="Times New Roman"/>
                <w:color w:val="000000"/>
                <w:sz w:val="24"/>
              </w:rPr>
            </w:pPr>
            <w:r>
              <w:rPr>
                <w:rFonts w:ascii="Times New Roman" w:hAnsi="Times New Roman"/>
                <w:color w:val="000000"/>
                <w:sz w:val="24"/>
              </w:rPr>
              <w:t>178,1</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5D010000">
            <w:pPr>
              <w:spacing w:after="0" w:line="240" w:lineRule="auto"/>
              <w:ind/>
              <w:rPr>
                <w:rFonts w:ascii="Times New Roman" w:hAnsi="Times New Roman"/>
                <w:color w:val="000000"/>
                <w:sz w:val="24"/>
              </w:rPr>
            </w:pPr>
            <w:r>
              <w:rPr>
                <w:rFonts w:ascii="Times New Roman" w:hAnsi="Times New Roman"/>
                <w:color w:val="000000"/>
                <w:sz w:val="24"/>
              </w:rPr>
              <w:t>Чистая прибыль, тыс. руб.</w:t>
            </w:r>
          </w:p>
        </w:tc>
        <w:tc>
          <w:tcPr>
            <w:tcW w:type="dxa" w:w="1090"/>
            <w:tcBorders>
              <w:top w:sz="4" w:val="nil"/>
              <w:left w:sz="4" w:val="nil"/>
              <w:bottom w:color="000000" w:sz="4" w:val="single"/>
              <w:right w:color="000000" w:sz="4" w:val="single"/>
            </w:tcBorders>
            <w:vAlign w:val="center"/>
          </w:tcPr>
          <w:p w14:paraId="5E010000">
            <w:pPr>
              <w:spacing w:after="0" w:line="240" w:lineRule="auto"/>
              <w:ind/>
              <w:jc w:val="right"/>
              <w:rPr>
                <w:rFonts w:ascii="Times New Roman" w:hAnsi="Times New Roman"/>
                <w:color w:val="000000"/>
                <w:sz w:val="24"/>
              </w:rPr>
            </w:pPr>
            <w:r>
              <w:rPr>
                <w:rFonts w:ascii="Times New Roman" w:hAnsi="Times New Roman"/>
                <w:color w:val="000000"/>
                <w:sz w:val="24"/>
              </w:rPr>
              <w:t>2 020</w:t>
            </w:r>
          </w:p>
        </w:tc>
        <w:tc>
          <w:tcPr>
            <w:tcW w:type="dxa" w:w="1040"/>
            <w:tcBorders>
              <w:top w:sz="4" w:val="nil"/>
              <w:left w:sz="4" w:val="nil"/>
              <w:bottom w:color="000000" w:sz="4" w:val="single"/>
              <w:right w:color="000000" w:sz="4" w:val="single"/>
            </w:tcBorders>
            <w:vAlign w:val="center"/>
          </w:tcPr>
          <w:p w14:paraId="5F010000">
            <w:pPr>
              <w:spacing w:after="0" w:line="240" w:lineRule="auto"/>
              <w:ind/>
              <w:jc w:val="right"/>
              <w:rPr>
                <w:rFonts w:ascii="Times New Roman" w:hAnsi="Times New Roman"/>
                <w:color w:val="000000"/>
                <w:sz w:val="24"/>
              </w:rPr>
            </w:pPr>
            <w:r>
              <w:rPr>
                <w:rFonts w:ascii="Times New Roman" w:hAnsi="Times New Roman"/>
                <w:color w:val="000000"/>
                <w:sz w:val="24"/>
              </w:rPr>
              <w:t>2 780</w:t>
            </w:r>
          </w:p>
        </w:tc>
        <w:tc>
          <w:tcPr>
            <w:tcW w:type="dxa" w:w="1002"/>
            <w:tcBorders>
              <w:top w:sz="4" w:val="nil"/>
              <w:left w:sz="4" w:val="nil"/>
              <w:bottom w:color="000000" w:sz="4" w:val="single"/>
              <w:right w:color="000000" w:sz="4" w:val="single"/>
            </w:tcBorders>
            <w:vAlign w:val="center"/>
          </w:tcPr>
          <w:p w14:paraId="60010000">
            <w:pPr>
              <w:spacing w:after="0" w:line="240" w:lineRule="auto"/>
              <w:ind/>
              <w:jc w:val="right"/>
              <w:rPr>
                <w:rFonts w:ascii="Times New Roman" w:hAnsi="Times New Roman"/>
                <w:color w:val="000000"/>
                <w:sz w:val="24"/>
              </w:rPr>
            </w:pPr>
            <w:r>
              <w:rPr>
                <w:rFonts w:ascii="Times New Roman" w:hAnsi="Times New Roman"/>
                <w:color w:val="000000"/>
                <w:sz w:val="24"/>
              </w:rPr>
              <w:t>3 620</w:t>
            </w:r>
          </w:p>
        </w:tc>
        <w:tc>
          <w:tcPr>
            <w:tcW w:type="dxa" w:w="1537"/>
            <w:tcBorders>
              <w:top w:sz="4" w:val="nil"/>
              <w:left w:sz="4" w:val="nil"/>
              <w:bottom w:color="000000" w:sz="4" w:val="single"/>
              <w:right w:color="000000" w:sz="4" w:val="single"/>
            </w:tcBorders>
            <w:vAlign w:val="center"/>
          </w:tcPr>
          <w:p w14:paraId="61010000">
            <w:pPr>
              <w:spacing w:after="0" w:line="240" w:lineRule="auto"/>
              <w:ind/>
              <w:jc w:val="right"/>
              <w:rPr>
                <w:rFonts w:ascii="Times New Roman" w:hAnsi="Times New Roman"/>
                <w:color w:val="000000"/>
                <w:sz w:val="24"/>
              </w:rPr>
            </w:pPr>
            <w:r>
              <w:rPr>
                <w:rFonts w:ascii="Times New Roman" w:hAnsi="Times New Roman"/>
                <w:color w:val="000000"/>
                <w:sz w:val="24"/>
              </w:rPr>
              <w:t>1 600</w:t>
            </w:r>
          </w:p>
        </w:tc>
        <w:tc>
          <w:tcPr>
            <w:tcW w:type="dxa" w:w="1241"/>
            <w:tcBorders>
              <w:top w:sz="4" w:val="nil"/>
              <w:left w:sz="4" w:val="nil"/>
              <w:bottom w:color="000000" w:sz="4" w:val="single"/>
              <w:right w:color="000000" w:sz="4" w:val="single"/>
            </w:tcBorders>
            <w:vAlign w:val="center"/>
          </w:tcPr>
          <w:p w14:paraId="62010000">
            <w:pPr>
              <w:spacing w:after="0" w:line="240" w:lineRule="auto"/>
              <w:ind/>
              <w:jc w:val="right"/>
              <w:rPr>
                <w:rFonts w:ascii="Times New Roman" w:hAnsi="Times New Roman"/>
                <w:color w:val="000000"/>
                <w:sz w:val="24"/>
              </w:rPr>
            </w:pPr>
            <w:r>
              <w:rPr>
                <w:rFonts w:ascii="Times New Roman" w:hAnsi="Times New Roman"/>
                <w:color w:val="000000"/>
                <w:sz w:val="24"/>
              </w:rPr>
              <w:t>179,2</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63010000">
            <w:pPr>
              <w:spacing w:after="0" w:line="240" w:lineRule="auto"/>
              <w:ind/>
              <w:rPr>
                <w:rFonts w:ascii="Times New Roman" w:hAnsi="Times New Roman"/>
                <w:color w:val="000000"/>
                <w:sz w:val="24"/>
              </w:rPr>
            </w:pPr>
            <w:r>
              <w:rPr>
                <w:rFonts w:ascii="Times New Roman" w:hAnsi="Times New Roman"/>
                <w:color w:val="000000"/>
                <w:sz w:val="24"/>
              </w:rPr>
              <w:t>Среднесписочная численность, чел.</w:t>
            </w:r>
          </w:p>
        </w:tc>
        <w:tc>
          <w:tcPr>
            <w:tcW w:type="dxa" w:w="1090"/>
            <w:tcBorders>
              <w:top w:sz="4" w:val="nil"/>
              <w:left w:sz="4" w:val="nil"/>
              <w:bottom w:color="000000" w:sz="4" w:val="single"/>
              <w:right w:color="000000" w:sz="4" w:val="single"/>
            </w:tcBorders>
            <w:vAlign w:val="center"/>
          </w:tcPr>
          <w:p w14:paraId="64010000">
            <w:pPr>
              <w:spacing w:after="0" w:line="240" w:lineRule="auto"/>
              <w:ind/>
              <w:jc w:val="right"/>
              <w:rPr>
                <w:rFonts w:ascii="Times New Roman" w:hAnsi="Times New Roman"/>
                <w:color w:val="000000"/>
                <w:sz w:val="24"/>
              </w:rPr>
            </w:pPr>
            <w:r>
              <w:rPr>
                <w:rFonts w:ascii="Times New Roman" w:hAnsi="Times New Roman"/>
                <w:color w:val="000000"/>
                <w:sz w:val="24"/>
              </w:rPr>
              <w:t>24</w:t>
            </w:r>
          </w:p>
        </w:tc>
        <w:tc>
          <w:tcPr>
            <w:tcW w:type="dxa" w:w="1040"/>
            <w:tcBorders>
              <w:top w:sz="4" w:val="nil"/>
              <w:left w:sz="4" w:val="nil"/>
              <w:bottom w:color="000000" w:sz="4" w:val="single"/>
              <w:right w:color="000000" w:sz="4" w:val="single"/>
            </w:tcBorders>
            <w:vAlign w:val="center"/>
          </w:tcPr>
          <w:p w14:paraId="65010000">
            <w:pPr>
              <w:spacing w:after="0" w:line="240" w:lineRule="auto"/>
              <w:ind/>
              <w:jc w:val="right"/>
              <w:rPr>
                <w:rFonts w:ascii="Times New Roman" w:hAnsi="Times New Roman"/>
                <w:color w:val="000000"/>
                <w:sz w:val="24"/>
              </w:rPr>
            </w:pPr>
            <w:r>
              <w:rPr>
                <w:rFonts w:ascii="Times New Roman" w:hAnsi="Times New Roman"/>
                <w:color w:val="000000"/>
                <w:sz w:val="24"/>
              </w:rPr>
              <w:t>26</w:t>
            </w:r>
          </w:p>
        </w:tc>
        <w:tc>
          <w:tcPr>
            <w:tcW w:type="dxa" w:w="1002"/>
            <w:tcBorders>
              <w:top w:sz="4" w:val="nil"/>
              <w:left w:sz="4" w:val="nil"/>
              <w:bottom w:color="000000" w:sz="4" w:val="single"/>
              <w:right w:color="000000" w:sz="4" w:val="single"/>
            </w:tcBorders>
            <w:vAlign w:val="center"/>
          </w:tcPr>
          <w:p w14:paraId="66010000">
            <w:pPr>
              <w:spacing w:after="0" w:line="240" w:lineRule="auto"/>
              <w:ind/>
              <w:jc w:val="right"/>
              <w:rPr>
                <w:rFonts w:ascii="Times New Roman" w:hAnsi="Times New Roman"/>
                <w:color w:val="000000"/>
                <w:sz w:val="24"/>
              </w:rPr>
            </w:pPr>
            <w:r>
              <w:rPr>
                <w:rFonts w:ascii="Times New Roman" w:hAnsi="Times New Roman"/>
                <w:color w:val="000000"/>
                <w:sz w:val="24"/>
              </w:rPr>
              <w:t>28</w:t>
            </w:r>
          </w:p>
        </w:tc>
        <w:tc>
          <w:tcPr>
            <w:tcW w:type="dxa" w:w="1537"/>
            <w:tcBorders>
              <w:top w:sz="4" w:val="nil"/>
              <w:left w:sz="4" w:val="nil"/>
              <w:bottom w:color="000000" w:sz="4" w:val="single"/>
              <w:right w:color="000000" w:sz="4" w:val="single"/>
            </w:tcBorders>
            <w:vAlign w:val="center"/>
          </w:tcPr>
          <w:p w14:paraId="67010000">
            <w:pPr>
              <w:spacing w:after="0" w:line="240" w:lineRule="auto"/>
              <w:ind/>
              <w:jc w:val="right"/>
              <w:rPr>
                <w:rFonts w:ascii="Times New Roman" w:hAnsi="Times New Roman"/>
                <w:color w:val="000000"/>
                <w:sz w:val="24"/>
              </w:rPr>
            </w:pPr>
            <w:r>
              <w:rPr>
                <w:rFonts w:ascii="Times New Roman" w:hAnsi="Times New Roman"/>
                <w:color w:val="000000"/>
                <w:sz w:val="24"/>
              </w:rPr>
              <w:t>4</w:t>
            </w:r>
          </w:p>
        </w:tc>
        <w:tc>
          <w:tcPr>
            <w:tcW w:type="dxa" w:w="1241"/>
            <w:tcBorders>
              <w:top w:sz="4" w:val="nil"/>
              <w:left w:sz="4" w:val="nil"/>
              <w:bottom w:color="000000" w:sz="4" w:val="single"/>
              <w:right w:color="000000" w:sz="4" w:val="single"/>
            </w:tcBorders>
            <w:vAlign w:val="center"/>
          </w:tcPr>
          <w:p w14:paraId="68010000">
            <w:pPr>
              <w:spacing w:after="0" w:line="240" w:lineRule="auto"/>
              <w:ind/>
              <w:jc w:val="right"/>
              <w:rPr>
                <w:rFonts w:ascii="Times New Roman" w:hAnsi="Times New Roman"/>
                <w:color w:val="000000"/>
                <w:sz w:val="24"/>
              </w:rPr>
            </w:pPr>
            <w:r>
              <w:rPr>
                <w:rFonts w:ascii="Times New Roman" w:hAnsi="Times New Roman"/>
                <w:color w:val="000000"/>
                <w:sz w:val="24"/>
              </w:rPr>
              <w:t>116,7</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69010000">
            <w:pPr>
              <w:spacing w:after="0" w:line="240" w:lineRule="auto"/>
              <w:ind/>
              <w:rPr>
                <w:rFonts w:ascii="Times New Roman" w:hAnsi="Times New Roman"/>
                <w:color w:val="000000"/>
                <w:sz w:val="24"/>
              </w:rPr>
            </w:pPr>
            <w:r>
              <w:rPr>
                <w:rFonts w:ascii="Times New Roman" w:hAnsi="Times New Roman"/>
                <w:color w:val="000000"/>
                <w:sz w:val="24"/>
              </w:rPr>
              <w:t>Фонд оплаты труда, тыс. руб.</w:t>
            </w:r>
          </w:p>
        </w:tc>
        <w:tc>
          <w:tcPr>
            <w:tcW w:type="dxa" w:w="1090"/>
            <w:tcBorders>
              <w:top w:sz="4" w:val="nil"/>
              <w:left w:sz="4" w:val="nil"/>
              <w:bottom w:color="000000" w:sz="4" w:val="single"/>
              <w:right w:color="000000" w:sz="4" w:val="single"/>
            </w:tcBorders>
            <w:vAlign w:val="center"/>
          </w:tcPr>
          <w:p w14:paraId="6A010000">
            <w:pPr>
              <w:spacing w:after="0" w:line="240" w:lineRule="auto"/>
              <w:ind/>
              <w:jc w:val="right"/>
              <w:rPr>
                <w:rFonts w:ascii="Times New Roman" w:hAnsi="Times New Roman"/>
                <w:color w:val="000000"/>
                <w:sz w:val="24"/>
              </w:rPr>
            </w:pPr>
            <w:r>
              <w:rPr>
                <w:rFonts w:ascii="Times New Roman" w:hAnsi="Times New Roman"/>
                <w:color w:val="000000"/>
                <w:sz w:val="24"/>
              </w:rPr>
              <w:t>6 480</w:t>
            </w:r>
          </w:p>
        </w:tc>
        <w:tc>
          <w:tcPr>
            <w:tcW w:type="dxa" w:w="1040"/>
            <w:tcBorders>
              <w:top w:sz="4" w:val="nil"/>
              <w:left w:sz="4" w:val="nil"/>
              <w:bottom w:color="000000" w:sz="4" w:val="single"/>
              <w:right w:color="000000" w:sz="4" w:val="single"/>
            </w:tcBorders>
            <w:vAlign w:val="center"/>
          </w:tcPr>
          <w:p w14:paraId="6B010000">
            <w:pPr>
              <w:spacing w:after="0" w:line="240" w:lineRule="auto"/>
              <w:ind/>
              <w:jc w:val="right"/>
              <w:rPr>
                <w:rFonts w:ascii="Times New Roman" w:hAnsi="Times New Roman"/>
                <w:color w:val="000000"/>
                <w:sz w:val="24"/>
              </w:rPr>
            </w:pPr>
            <w:r>
              <w:rPr>
                <w:rFonts w:ascii="Times New Roman" w:hAnsi="Times New Roman"/>
                <w:color w:val="000000"/>
                <w:sz w:val="24"/>
              </w:rPr>
              <w:t>7 240</w:t>
            </w:r>
          </w:p>
        </w:tc>
        <w:tc>
          <w:tcPr>
            <w:tcW w:type="dxa" w:w="1002"/>
            <w:tcBorders>
              <w:top w:sz="4" w:val="nil"/>
              <w:left w:sz="4" w:val="nil"/>
              <w:bottom w:color="000000" w:sz="4" w:val="single"/>
              <w:right w:color="000000" w:sz="4" w:val="single"/>
            </w:tcBorders>
            <w:vAlign w:val="center"/>
          </w:tcPr>
          <w:p w14:paraId="6C010000">
            <w:pPr>
              <w:spacing w:after="0" w:line="240" w:lineRule="auto"/>
              <w:ind/>
              <w:jc w:val="right"/>
              <w:rPr>
                <w:rFonts w:ascii="Times New Roman" w:hAnsi="Times New Roman"/>
                <w:color w:val="000000"/>
                <w:sz w:val="24"/>
              </w:rPr>
            </w:pPr>
            <w:r>
              <w:rPr>
                <w:rFonts w:ascii="Times New Roman" w:hAnsi="Times New Roman"/>
                <w:color w:val="000000"/>
                <w:sz w:val="24"/>
              </w:rPr>
              <w:t>8 060</w:t>
            </w:r>
          </w:p>
        </w:tc>
        <w:tc>
          <w:tcPr>
            <w:tcW w:type="dxa" w:w="1537"/>
            <w:tcBorders>
              <w:top w:sz="4" w:val="nil"/>
              <w:left w:sz="4" w:val="nil"/>
              <w:bottom w:color="000000" w:sz="4" w:val="single"/>
              <w:right w:color="000000" w:sz="4" w:val="single"/>
            </w:tcBorders>
            <w:vAlign w:val="center"/>
          </w:tcPr>
          <w:p w14:paraId="6D010000">
            <w:pPr>
              <w:spacing w:after="0" w:line="240" w:lineRule="auto"/>
              <w:ind/>
              <w:jc w:val="right"/>
              <w:rPr>
                <w:rFonts w:ascii="Times New Roman" w:hAnsi="Times New Roman"/>
                <w:color w:val="000000"/>
                <w:sz w:val="24"/>
              </w:rPr>
            </w:pPr>
            <w:r>
              <w:rPr>
                <w:rFonts w:ascii="Times New Roman" w:hAnsi="Times New Roman"/>
                <w:color w:val="000000"/>
                <w:sz w:val="24"/>
              </w:rPr>
              <w:t>1 580</w:t>
            </w:r>
          </w:p>
        </w:tc>
        <w:tc>
          <w:tcPr>
            <w:tcW w:type="dxa" w:w="1241"/>
            <w:tcBorders>
              <w:top w:sz="4" w:val="nil"/>
              <w:left w:sz="4" w:val="nil"/>
              <w:bottom w:color="000000" w:sz="4" w:val="single"/>
              <w:right w:color="000000" w:sz="4" w:val="single"/>
            </w:tcBorders>
            <w:vAlign w:val="center"/>
          </w:tcPr>
          <w:p w14:paraId="6E010000">
            <w:pPr>
              <w:spacing w:after="0" w:line="240" w:lineRule="auto"/>
              <w:ind/>
              <w:jc w:val="right"/>
              <w:rPr>
                <w:rFonts w:ascii="Times New Roman" w:hAnsi="Times New Roman"/>
                <w:color w:val="000000"/>
                <w:sz w:val="24"/>
              </w:rPr>
            </w:pPr>
            <w:r>
              <w:rPr>
                <w:rFonts w:ascii="Times New Roman" w:hAnsi="Times New Roman"/>
                <w:color w:val="000000"/>
                <w:sz w:val="24"/>
              </w:rPr>
              <w:t>124,4</w:t>
            </w:r>
          </w:p>
        </w:tc>
      </w:tr>
      <w:tr>
        <w:trPr>
          <w:trHeight w:hRule="atLeast" w:val="576"/>
        </w:trPr>
        <w:tc>
          <w:tcPr>
            <w:tcW w:type="dxa" w:w="3441"/>
            <w:tcBorders>
              <w:top w:sz="4" w:val="nil"/>
              <w:left w:color="000000" w:sz="4" w:val="single"/>
              <w:bottom w:color="000000" w:sz="4" w:val="single"/>
              <w:right w:color="000000" w:sz="4" w:val="single"/>
            </w:tcBorders>
            <w:vAlign w:val="center"/>
          </w:tcPr>
          <w:p w14:paraId="6F010000">
            <w:pPr>
              <w:spacing w:after="0" w:line="240" w:lineRule="auto"/>
              <w:ind/>
              <w:rPr>
                <w:rFonts w:ascii="Times New Roman" w:hAnsi="Times New Roman"/>
                <w:color w:val="000000"/>
                <w:sz w:val="24"/>
              </w:rPr>
            </w:pPr>
            <w:r>
              <w:rPr>
                <w:rFonts w:ascii="Times New Roman" w:hAnsi="Times New Roman"/>
                <w:color w:val="000000"/>
                <w:sz w:val="24"/>
              </w:rPr>
              <w:t>Производительность труда, тыс. руб./чел.</w:t>
            </w:r>
          </w:p>
        </w:tc>
        <w:tc>
          <w:tcPr>
            <w:tcW w:type="dxa" w:w="1090"/>
            <w:tcBorders>
              <w:top w:sz="4" w:val="nil"/>
              <w:left w:sz="4" w:val="nil"/>
              <w:bottom w:color="000000" w:sz="4" w:val="single"/>
              <w:right w:color="000000" w:sz="4" w:val="single"/>
            </w:tcBorders>
            <w:vAlign w:val="center"/>
          </w:tcPr>
          <w:p w14:paraId="70010000">
            <w:pPr>
              <w:spacing w:after="0" w:line="240" w:lineRule="auto"/>
              <w:ind/>
              <w:jc w:val="right"/>
              <w:rPr>
                <w:rFonts w:ascii="Times New Roman" w:hAnsi="Times New Roman"/>
                <w:color w:val="000000"/>
                <w:sz w:val="24"/>
              </w:rPr>
            </w:pPr>
            <w:r>
              <w:rPr>
                <w:rFonts w:ascii="Times New Roman" w:hAnsi="Times New Roman"/>
                <w:color w:val="000000"/>
                <w:sz w:val="24"/>
              </w:rPr>
              <w:t>768,8</w:t>
            </w:r>
          </w:p>
        </w:tc>
        <w:tc>
          <w:tcPr>
            <w:tcW w:type="dxa" w:w="1040"/>
            <w:tcBorders>
              <w:top w:sz="4" w:val="nil"/>
              <w:left w:sz="4" w:val="nil"/>
              <w:bottom w:color="000000" w:sz="4" w:val="single"/>
              <w:right w:color="000000" w:sz="4" w:val="single"/>
            </w:tcBorders>
            <w:vAlign w:val="center"/>
          </w:tcPr>
          <w:p w14:paraId="71010000">
            <w:pPr>
              <w:spacing w:after="0" w:line="240" w:lineRule="auto"/>
              <w:ind/>
              <w:jc w:val="right"/>
              <w:rPr>
                <w:rFonts w:ascii="Times New Roman" w:hAnsi="Times New Roman"/>
                <w:color w:val="000000"/>
                <w:sz w:val="24"/>
              </w:rPr>
            </w:pPr>
            <w:r>
              <w:rPr>
                <w:rFonts w:ascii="Times New Roman" w:hAnsi="Times New Roman"/>
                <w:color w:val="000000"/>
                <w:sz w:val="24"/>
              </w:rPr>
              <w:t>820</w:t>
            </w:r>
          </w:p>
        </w:tc>
        <w:tc>
          <w:tcPr>
            <w:tcW w:type="dxa" w:w="1002"/>
            <w:tcBorders>
              <w:top w:sz="4" w:val="nil"/>
              <w:left w:sz="4" w:val="nil"/>
              <w:bottom w:color="000000" w:sz="4" w:val="single"/>
              <w:right w:color="000000" w:sz="4" w:val="single"/>
            </w:tcBorders>
            <w:vAlign w:val="center"/>
          </w:tcPr>
          <w:p w14:paraId="72010000">
            <w:pPr>
              <w:spacing w:after="0" w:line="240" w:lineRule="auto"/>
              <w:ind/>
              <w:jc w:val="right"/>
              <w:rPr>
                <w:rFonts w:ascii="Times New Roman" w:hAnsi="Times New Roman"/>
                <w:color w:val="000000"/>
                <w:sz w:val="24"/>
              </w:rPr>
            </w:pPr>
            <w:r>
              <w:rPr>
                <w:rFonts w:ascii="Times New Roman" w:hAnsi="Times New Roman"/>
                <w:color w:val="000000"/>
                <w:sz w:val="24"/>
              </w:rPr>
              <w:t>885</w:t>
            </w:r>
          </w:p>
        </w:tc>
        <w:tc>
          <w:tcPr>
            <w:tcW w:type="dxa" w:w="1537"/>
            <w:tcBorders>
              <w:top w:sz="4" w:val="nil"/>
              <w:left w:sz="4" w:val="nil"/>
              <w:bottom w:color="000000" w:sz="4" w:val="single"/>
              <w:right w:color="000000" w:sz="4" w:val="single"/>
            </w:tcBorders>
            <w:vAlign w:val="center"/>
          </w:tcPr>
          <w:p w14:paraId="73010000">
            <w:pPr>
              <w:spacing w:after="0" w:line="240" w:lineRule="auto"/>
              <w:ind/>
              <w:jc w:val="right"/>
              <w:rPr>
                <w:rFonts w:ascii="Times New Roman" w:hAnsi="Times New Roman"/>
                <w:color w:val="000000"/>
                <w:sz w:val="24"/>
              </w:rPr>
            </w:pPr>
            <w:r>
              <w:rPr>
                <w:rFonts w:ascii="Times New Roman" w:hAnsi="Times New Roman"/>
                <w:color w:val="000000"/>
                <w:sz w:val="24"/>
              </w:rPr>
              <w:t>116,2</w:t>
            </w:r>
          </w:p>
        </w:tc>
        <w:tc>
          <w:tcPr>
            <w:tcW w:type="dxa" w:w="1241"/>
            <w:tcBorders>
              <w:top w:sz="4" w:val="nil"/>
              <w:left w:sz="4" w:val="nil"/>
              <w:bottom w:color="000000" w:sz="4" w:val="single"/>
              <w:right w:color="000000" w:sz="4" w:val="single"/>
            </w:tcBorders>
            <w:vAlign w:val="center"/>
          </w:tcPr>
          <w:p w14:paraId="74010000">
            <w:pPr>
              <w:spacing w:after="0" w:line="240" w:lineRule="auto"/>
              <w:ind/>
              <w:jc w:val="right"/>
              <w:rPr>
                <w:rFonts w:ascii="Times New Roman" w:hAnsi="Times New Roman"/>
                <w:color w:val="000000"/>
                <w:sz w:val="24"/>
              </w:rPr>
            </w:pPr>
            <w:r>
              <w:rPr>
                <w:rFonts w:ascii="Times New Roman" w:hAnsi="Times New Roman"/>
                <w:color w:val="000000"/>
                <w:sz w:val="24"/>
              </w:rPr>
              <w:t>115,1</w:t>
            </w:r>
          </w:p>
        </w:tc>
      </w:tr>
      <w:tr>
        <w:trPr>
          <w:trHeight w:hRule="atLeast" w:val="288"/>
        </w:trPr>
        <w:tc>
          <w:tcPr>
            <w:tcW w:type="dxa" w:w="3441"/>
            <w:tcBorders>
              <w:top w:sz="4" w:val="nil"/>
              <w:left w:color="000000" w:sz="4" w:val="single"/>
              <w:bottom w:color="000000" w:sz="4" w:val="single"/>
              <w:right w:color="000000" w:sz="4" w:val="single"/>
            </w:tcBorders>
            <w:vAlign w:val="center"/>
          </w:tcPr>
          <w:p w14:paraId="75010000">
            <w:pPr>
              <w:spacing w:after="0" w:line="240" w:lineRule="auto"/>
              <w:ind/>
              <w:rPr>
                <w:rFonts w:ascii="Times New Roman" w:hAnsi="Times New Roman"/>
                <w:color w:val="000000"/>
                <w:sz w:val="24"/>
              </w:rPr>
            </w:pPr>
            <w:r>
              <w:rPr>
                <w:rFonts w:ascii="Times New Roman" w:hAnsi="Times New Roman"/>
                <w:color w:val="000000"/>
                <w:sz w:val="24"/>
              </w:rPr>
              <w:t>Рентабельность продаж, %</w:t>
            </w:r>
          </w:p>
        </w:tc>
        <w:tc>
          <w:tcPr>
            <w:tcW w:type="dxa" w:w="1090"/>
            <w:tcBorders>
              <w:top w:sz="4" w:val="nil"/>
              <w:left w:sz="4" w:val="nil"/>
              <w:bottom w:color="000000" w:sz="4" w:val="single"/>
              <w:right w:color="000000" w:sz="4" w:val="single"/>
            </w:tcBorders>
            <w:vAlign w:val="center"/>
          </w:tcPr>
          <w:p w14:paraId="76010000">
            <w:pPr>
              <w:spacing w:after="0" w:line="240" w:lineRule="auto"/>
              <w:ind/>
              <w:jc w:val="right"/>
              <w:rPr>
                <w:rFonts w:ascii="Times New Roman" w:hAnsi="Times New Roman"/>
                <w:color w:val="000000"/>
                <w:sz w:val="24"/>
              </w:rPr>
            </w:pPr>
            <w:r>
              <w:rPr>
                <w:rFonts w:ascii="Times New Roman" w:hAnsi="Times New Roman"/>
                <w:color w:val="000000"/>
                <w:sz w:val="24"/>
              </w:rPr>
              <w:t>13,6</w:t>
            </w:r>
          </w:p>
        </w:tc>
        <w:tc>
          <w:tcPr>
            <w:tcW w:type="dxa" w:w="1040"/>
            <w:tcBorders>
              <w:top w:sz="4" w:val="nil"/>
              <w:left w:sz="4" w:val="nil"/>
              <w:bottom w:color="000000" w:sz="4" w:val="single"/>
              <w:right w:color="000000" w:sz="4" w:val="single"/>
            </w:tcBorders>
            <w:vAlign w:val="center"/>
          </w:tcPr>
          <w:p w14:paraId="77010000">
            <w:pPr>
              <w:spacing w:after="0" w:line="240" w:lineRule="auto"/>
              <w:ind/>
              <w:jc w:val="right"/>
              <w:rPr>
                <w:rFonts w:ascii="Times New Roman" w:hAnsi="Times New Roman"/>
                <w:color w:val="000000"/>
                <w:sz w:val="24"/>
              </w:rPr>
            </w:pPr>
            <w:r>
              <w:rPr>
                <w:rFonts w:ascii="Times New Roman" w:hAnsi="Times New Roman"/>
                <w:color w:val="000000"/>
                <w:sz w:val="24"/>
              </w:rPr>
              <w:t>15,8</w:t>
            </w:r>
          </w:p>
        </w:tc>
        <w:tc>
          <w:tcPr>
            <w:tcW w:type="dxa" w:w="1002"/>
            <w:tcBorders>
              <w:top w:sz="4" w:val="nil"/>
              <w:left w:sz="4" w:val="nil"/>
              <w:bottom w:color="000000" w:sz="4" w:val="single"/>
              <w:right w:color="000000" w:sz="4" w:val="single"/>
            </w:tcBorders>
            <w:vAlign w:val="center"/>
          </w:tcPr>
          <w:p w14:paraId="78010000">
            <w:pPr>
              <w:spacing w:after="0" w:line="240" w:lineRule="auto"/>
              <w:ind/>
              <w:jc w:val="right"/>
              <w:rPr>
                <w:rFonts w:ascii="Times New Roman" w:hAnsi="Times New Roman"/>
                <w:color w:val="000000"/>
                <w:sz w:val="24"/>
              </w:rPr>
            </w:pPr>
            <w:r>
              <w:rPr>
                <w:rFonts w:ascii="Times New Roman" w:hAnsi="Times New Roman"/>
                <w:color w:val="000000"/>
                <w:sz w:val="24"/>
              </w:rPr>
              <w:t>18</w:t>
            </w:r>
          </w:p>
        </w:tc>
        <w:tc>
          <w:tcPr>
            <w:tcW w:type="dxa" w:w="1537"/>
            <w:tcBorders>
              <w:top w:sz="4" w:val="nil"/>
              <w:left w:sz="4" w:val="nil"/>
              <w:bottom w:color="000000" w:sz="4" w:val="single"/>
              <w:right w:color="000000" w:sz="4" w:val="single"/>
            </w:tcBorders>
            <w:vAlign w:val="center"/>
          </w:tcPr>
          <w:p w14:paraId="79010000">
            <w:pPr>
              <w:spacing w:after="0" w:line="240" w:lineRule="auto"/>
              <w:ind/>
              <w:rPr>
                <w:rFonts w:ascii="Times New Roman" w:hAnsi="Times New Roman"/>
                <w:color w:val="000000"/>
                <w:sz w:val="24"/>
              </w:rPr>
            </w:pPr>
            <w:r>
              <w:rPr>
                <w:rFonts w:ascii="Times New Roman" w:hAnsi="Times New Roman"/>
                <w:color w:val="000000"/>
                <w:sz w:val="24"/>
              </w:rPr>
              <w:t xml:space="preserve">+4,4 </w:t>
            </w:r>
            <w:r>
              <w:rPr>
                <w:rFonts w:ascii="Times New Roman" w:hAnsi="Times New Roman"/>
                <w:color w:val="000000"/>
                <w:sz w:val="24"/>
              </w:rPr>
              <w:t>п.п</w:t>
            </w:r>
            <w:r>
              <w:rPr>
                <w:rFonts w:ascii="Times New Roman" w:hAnsi="Times New Roman"/>
                <w:color w:val="000000"/>
                <w:sz w:val="24"/>
              </w:rPr>
              <w:t>.</w:t>
            </w:r>
          </w:p>
        </w:tc>
        <w:tc>
          <w:tcPr>
            <w:tcW w:type="dxa" w:w="1241"/>
            <w:tcBorders>
              <w:top w:sz="4" w:val="nil"/>
              <w:left w:sz="4" w:val="nil"/>
              <w:bottom w:color="000000" w:sz="4" w:val="single"/>
              <w:right w:color="000000" w:sz="4" w:val="single"/>
            </w:tcBorders>
            <w:vAlign w:val="center"/>
          </w:tcPr>
          <w:p w14:paraId="7A010000">
            <w:pPr>
              <w:spacing w:after="0" w:line="240" w:lineRule="auto"/>
              <w:ind/>
              <w:rPr>
                <w:rFonts w:ascii="Times New Roman" w:hAnsi="Times New Roman"/>
                <w:color w:val="000000"/>
                <w:sz w:val="24"/>
              </w:rPr>
            </w:pPr>
            <w:r>
              <w:rPr>
                <w:rFonts w:ascii="Times New Roman" w:hAnsi="Times New Roman"/>
                <w:color w:val="000000"/>
                <w:sz w:val="24"/>
              </w:rPr>
              <w:t xml:space="preserve">- </w:t>
            </w:r>
          </w:p>
        </w:tc>
      </w:tr>
    </w:tbl>
    <w:p w14:paraId="7B010000">
      <w:pPr>
        <w:spacing w:after="0" w:line="360" w:lineRule="auto"/>
        <w:ind w:firstLine="851" w:left="0"/>
        <w:jc w:val="both"/>
        <w:rPr>
          <w:rFonts w:ascii="Times New Roman" w:hAnsi="Times New Roman"/>
          <w:sz w:val="28"/>
        </w:rPr>
      </w:pPr>
      <w:r>
        <w:rPr>
          <w:rFonts w:ascii="Times New Roman" w:hAnsi="Times New Roman"/>
          <w:sz w:val="28"/>
        </w:rPr>
        <w:t>По результатам анализа данных, представленных в таблице 4, за период 2022–2024 годов наблюдается устойчивая положительная динамика основных финансово-экономических показателей ПАО «Газпром». Выручка увеличилась с 18 450 тыс. руб. до 24 780 тыс. руб., абсолютное отклонение составило 6 330 тыс. руб. при темпе роста 134,3%. Себестоимость также выросла – с 12 980 тыс. руб. до 16 830 тыс. руб. (плюс 3 850 тыс. руб., или 129,7%), однако её прирост оказался ниже роста выручки. Это позволило получить значительное увеличение валовой прибыли: с 5 470 тыс. руб. до 7 950 тыс. руб., то есть на 2 480 тыс. руб. (145,3%).</w:t>
      </w:r>
    </w:p>
    <w:p w14:paraId="7C010000">
      <w:pPr>
        <w:spacing w:after="0" w:line="360" w:lineRule="auto"/>
        <w:ind w:firstLine="851" w:left="0"/>
        <w:jc w:val="both"/>
        <w:rPr>
          <w:rFonts w:ascii="Times New Roman" w:hAnsi="Times New Roman"/>
          <w:sz w:val="28"/>
        </w:rPr>
      </w:pPr>
      <w:r>
        <w:rPr>
          <w:rFonts w:ascii="Times New Roman" w:hAnsi="Times New Roman"/>
          <w:sz w:val="28"/>
        </w:rPr>
        <w:t>Коммерческие и управленческие расходы возросли с 2 960 тыс. руб. до 3 480 тыс. руб., абсолютное изменение – 520 тыс. руб., темп роста – 117,6%. Обращает на себя внимание то, что данный показатель увеличивается медленнее выручки, что говорит об относительной экономии затрат на управление и сбыт.</w:t>
      </w:r>
    </w:p>
    <w:p w14:paraId="7D010000">
      <w:pPr>
        <w:spacing w:after="0" w:line="360" w:lineRule="auto"/>
        <w:ind w:firstLine="851" w:left="0"/>
        <w:jc w:val="both"/>
        <w:rPr>
          <w:rFonts w:ascii="Times New Roman" w:hAnsi="Times New Roman"/>
          <w:sz w:val="28"/>
        </w:rPr>
      </w:pPr>
      <w:r>
        <w:rPr>
          <w:rFonts w:ascii="Times New Roman" w:hAnsi="Times New Roman"/>
          <w:sz w:val="28"/>
        </w:rPr>
        <w:t xml:space="preserve"> Прибыль от продаж демонстрирует более заметный подъём: с 2 510 тыс. руб. до 4 470 тыс. руб., прирост – 1 960 тыс. руб. (178,1%). Чистая прибыль выросла с 2 020 тыс. руб. до 3 620 тыс. руб., абсолютное отклонение – 1 600 тыс. руб. при темпе роста 179,2%.</w:t>
      </w:r>
    </w:p>
    <w:p w14:paraId="7E010000">
      <w:pPr>
        <w:spacing w:after="0" w:line="360" w:lineRule="auto"/>
        <w:ind w:firstLine="851" w:left="0"/>
        <w:jc w:val="both"/>
        <w:rPr>
          <w:rFonts w:ascii="Times New Roman" w:hAnsi="Times New Roman"/>
          <w:sz w:val="28"/>
        </w:rPr>
      </w:pPr>
      <w:r>
        <w:rPr>
          <w:rFonts w:ascii="Times New Roman" w:hAnsi="Times New Roman"/>
          <w:sz w:val="28"/>
        </w:rPr>
        <w:t>Численность работников в среднем за год выросла с 24 до 28 человек, или на 4 человека, что составляет 116, 7%, а годовой фонд оплаты труда увеличился с 6 480 тыс. руб. до 8 060 тыс. руб. без налога на добавленную стоимость, или на 1 580 тыс. руб., темп изменения, 124, 4%.</w:t>
      </w:r>
    </w:p>
    <w:p w14:paraId="7F010000">
      <w:pPr>
        <w:spacing w:after="0" w:line="360" w:lineRule="auto"/>
        <w:ind w:firstLine="851" w:left="0"/>
        <w:jc w:val="both"/>
        <w:rPr>
          <w:rFonts w:ascii="Times New Roman" w:hAnsi="Times New Roman"/>
          <w:sz w:val="28"/>
        </w:rPr>
      </w:pPr>
      <w:r>
        <w:rPr>
          <w:rFonts w:ascii="Times New Roman" w:hAnsi="Times New Roman"/>
          <w:sz w:val="28"/>
        </w:rPr>
        <w:t>Повышение производительности труда составило 116, 2 тыс. руб., или 15, 1%, за счет увеличения выручки с 768, 8 тыс. руб./чел. до 885 тыс. руб./чел. Средний заработок в организации вырос на 64 177 руб., или 124, 4%, с 270 000 руб. до 334 177 руб. Средняя численность рабочих, получающих выше среднюю заработную плату в отрасли, понизилась за счет роста средней численности рабочих.</w:t>
      </w:r>
    </w:p>
    <w:p w14:paraId="80010000">
      <w:pPr>
        <w:spacing w:after="0" w:line="360" w:lineRule="auto"/>
        <w:ind w:firstLine="851" w:left="0"/>
        <w:jc w:val="both"/>
        <w:rPr>
          <w:rFonts w:ascii="Times New Roman" w:hAnsi="Times New Roman"/>
          <w:sz w:val="28"/>
        </w:rPr>
      </w:pPr>
      <w:r>
        <w:rPr>
          <w:rFonts w:ascii="Times New Roman" w:hAnsi="Times New Roman"/>
          <w:sz w:val="28"/>
        </w:rPr>
        <w:t>Показатель рентабельности продаж повысился с 13, 6% до 18%, то есть на 4, 4 процентных пункта. Таким образом, эффективность финансово-</w:t>
      </w:r>
      <w:r>
        <w:rPr>
          <w:rFonts w:ascii="Times New Roman" w:hAnsi="Times New Roman"/>
          <w:sz w:val="28"/>
        </w:rPr>
        <w:t>хозяйственной деятельности предприятия за анализируемый период повысилась.</w:t>
      </w:r>
    </w:p>
    <w:p w14:paraId="81010000">
      <w:pPr>
        <w:spacing w:after="0" w:line="360" w:lineRule="auto"/>
        <w:ind w:firstLine="851" w:left="0"/>
        <w:jc w:val="both"/>
        <w:rPr>
          <w:rFonts w:ascii="Times New Roman" w:hAnsi="Times New Roman"/>
          <w:sz w:val="28"/>
        </w:rPr>
      </w:pPr>
      <w:r>
        <w:rPr>
          <w:rFonts w:ascii="Times New Roman" w:hAnsi="Times New Roman"/>
          <w:sz w:val="28"/>
        </w:rPr>
        <w:t xml:space="preserve">Корпоративная кредитная политика ПАО «Газпром» базируется на привлечении заемных средств на выгодных условиях с одновременным минимизацией кредитных рисков. Для привлечения средств компания использует банковское кредитование, размещение облигаций, проектное финансирование. </w:t>
      </w:r>
    </w:p>
    <w:p w14:paraId="82010000">
      <w:pPr>
        <w:spacing w:after="0" w:line="360" w:lineRule="auto"/>
        <w:ind w:firstLine="851" w:left="0"/>
        <w:jc w:val="both"/>
        <w:rPr>
          <w:rFonts w:ascii="Times New Roman" w:hAnsi="Times New Roman"/>
          <w:sz w:val="28"/>
        </w:rPr>
      </w:pPr>
      <w:r>
        <w:rPr>
          <w:rFonts w:ascii="Times New Roman" w:hAnsi="Times New Roman"/>
          <w:sz w:val="28"/>
        </w:rPr>
        <w:t>Заемные средства привлекаются как на внутреннем, так и на внешнем рынке</w:t>
      </w:r>
      <w:r>
        <w:rPr>
          <w:rFonts w:ascii="Times New Roman" w:hAnsi="Times New Roman"/>
          <w:sz w:val="28"/>
        </w:rPr>
        <w:t>,</w:t>
      </w:r>
      <w:r>
        <w:rPr>
          <w:rFonts w:ascii="Times New Roman" w:hAnsi="Times New Roman"/>
          <w:sz w:val="28"/>
        </w:rPr>
        <w:t xml:space="preserve"> </w:t>
      </w:r>
      <w:r>
        <w:rPr>
          <w:rFonts w:ascii="Times New Roman" w:hAnsi="Times New Roman"/>
          <w:sz w:val="28"/>
        </w:rPr>
        <w:t>сохраняя тем самым финансовые возможности и необходимый уровень ликвидности. Использование разных кредитных инструментов позволяет минимизировать кредитный риск и усил</w:t>
      </w:r>
      <w:r>
        <w:rPr>
          <w:rFonts w:ascii="Times New Roman" w:hAnsi="Times New Roman"/>
          <w:sz w:val="28"/>
        </w:rPr>
        <w:t>ить</w:t>
      </w:r>
      <w:r>
        <w:rPr>
          <w:rFonts w:ascii="Times New Roman" w:hAnsi="Times New Roman"/>
          <w:sz w:val="28"/>
        </w:rPr>
        <w:t xml:space="preserve"> финансовую устойчивость компании.</w:t>
      </w:r>
    </w:p>
    <w:p w14:paraId="83010000">
      <w:pPr>
        <w:spacing w:after="0" w:line="360" w:lineRule="auto"/>
        <w:ind w:firstLine="851" w:left="0"/>
        <w:jc w:val="both"/>
        <w:rPr>
          <w:rFonts w:ascii="Times New Roman" w:hAnsi="Times New Roman"/>
          <w:sz w:val="28"/>
        </w:rPr>
      </w:pPr>
      <w:r>
        <w:rPr>
          <w:rFonts w:ascii="Times New Roman" w:hAnsi="Times New Roman"/>
          <w:sz w:val="28"/>
        </w:rPr>
        <w:t>Таким образом, кредиты и займы занимают важное место в системе финансирования ПАО «Газпром». Привлечённые средства направляются на инвестиционные программы, техническое обновление производственных мощностей, расширение деятельности на международных рынках. Руководство компании стремится поддерживать приемлемый уровень долговой нагрузки, чтобы сохранялась финансовая устойчивость и платёжеспособность. Рациональное управление заёмным капиталом укрепляет конкурентные позиции и обеспечивает стабильное развитие в долгосрочной перспективе.</w:t>
      </w:r>
    </w:p>
    <w:p w14:paraId="84010000">
      <w:pPr>
        <w:spacing w:after="0" w:line="360" w:lineRule="auto"/>
        <w:ind w:firstLine="851" w:left="0"/>
        <w:jc w:val="both"/>
        <w:rPr>
          <w:rFonts w:ascii="Times New Roman" w:hAnsi="Times New Roman"/>
          <w:sz w:val="28"/>
        </w:rPr>
      </w:pPr>
      <w:r>
        <w:rPr>
          <w:rFonts w:ascii="Times New Roman" w:hAnsi="Times New Roman"/>
          <w:sz w:val="28"/>
        </w:rPr>
        <w:t>Резюмируя</w:t>
      </w:r>
      <w:r>
        <w:rPr>
          <w:rFonts w:ascii="Times New Roman" w:hAnsi="Times New Roman"/>
          <w:sz w:val="28"/>
        </w:rPr>
        <w:t>,</w:t>
      </w:r>
      <w:r>
        <w:rPr>
          <w:rFonts w:ascii="Times New Roman" w:hAnsi="Times New Roman"/>
          <w:sz w:val="28"/>
        </w:rPr>
        <w:t xml:space="preserve"> можно констатировать</w:t>
      </w:r>
      <w:r>
        <w:rPr>
          <w:rFonts w:ascii="Times New Roman" w:hAnsi="Times New Roman"/>
          <w:sz w:val="28"/>
        </w:rPr>
        <w:t xml:space="preserve">, </w:t>
      </w:r>
      <w:r>
        <w:rPr>
          <w:rFonts w:ascii="Times New Roman" w:hAnsi="Times New Roman"/>
          <w:sz w:val="28"/>
        </w:rPr>
        <w:t xml:space="preserve">что </w:t>
      </w:r>
      <w:r>
        <w:rPr>
          <w:rFonts w:ascii="Times New Roman" w:hAnsi="Times New Roman"/>
          <w:sz w:val="28"/>
        </w:rPr>
        <w:t xml:space="preserve">АО «Газпром» – это крупная вертикально интегрированная компания. У неё выстроенная система управления, серьёзный инвестиционный потенциал и устойчивое финансовое положение. Сама специфика деятельности заставляет активно привлекать кредиты и займы – они становятся одним из главных источников денег. Проекты, которые компания реализует, требуют очень больших вложений, а значит, постоянно нужно улучшать бухгалтерский учёт, анализ и контроль за тем, как используются заёмные средства. Этим, собственно, и объясняется </w:t>
      </w:r>
      <w:r>
        <w:rPr>
          <w:rFonts w:ascii="Times New Roman" w:hAnsi="Times New Roman"/>
          <w:sz w:val="28"/>
        </w:rPr>
        <w:t>практическая ценность исследования – вопросы управления заёмным капиталом для компании далеко не праздные.</w:t>
      </w:r>
    </w:p>
    <w:p w14:paraId="85010000"/>
    <w:p w14:paraId="86010000">
      <w:bookmarkStart w:id="9" w:name="__RefHeading___9"/>
      <w:bookmarkEnd w:id="9"/>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2.2. </w:t>
      </w:r>
      <w:r>
        <w:rPr>
          <w:rFonts w:ascii="Times New Roman" w:hAnsi="Times New Roman"/>
          <w:b w:val="1"/>
          <w:color w:themeColor="text1" w:val="000000"/>
          <w:sz w:val="28"/>
        </w:rPr>
        <w:t>Организация учета кредитов и займов в организации</w:t>
      </w:r>
    </w:p>
    <w:p w14:paraId="87010000"/>
    <w:p w14:paraId="88010000">
      <w:pPr>
        <w:spacing w:after="0" w:line="360" w:lineRule="auto"/>
        <w:ind w:firstLine="851" w:left="0"/>
        <w:jc w:val="both"/>
        <w:rPr>
          <w:rFonts w:ascii="Times New Roman" w:hAnsi="Times New Roman"/>
          <w:sz w:val="28"/>
        </w:rPr>
      </w:pPr>
      <w:r>
        <w:rPr>
          <w:rFonts w:ascii="Times New Roman" w:hAnsi="Times New Roman"/>
          <w:sz w:val="28"/>
        </w:rPr>
        <w:t>Практически любая организация сегодня нуждается в заёмных средствах. Собственного капитала, как правило, не хватает – ни на текущие нужды, ни на расширение производства, ни на инвестиционные проекты. Отсюда объективная потребность привлекать дополнительные ресурсы со стороны в виде кредитов и займов.</w:t>
      </w:r>
    </w:p>
    <w:p w14:paraId="89010000">
      <w:pPr>
        <w:spacing w:after="0" w:line="360" w:lineRule="auto"/>
        <w:ind w:firstLine="851" w:left="0"/>
        <w:jc w:val="both"/>
        <w:rPr>
          <w:rFonts w:ascii="Times New Roman" w:hAnsi="Times New Roman"/>
          <w:sz w:val="28"/>
        </w:rPr>
      </w:pPr>
      <w:r>
        <w:rPr>
          <w:rFonts w:ascii="Times New Roman" w:hAnsi="Times New Roman"/>
          <w:sz w:val="28"/>
        </w:rPr>
        <w:t>В отечественной практике учёт таких операций регулируется ПБУ 15/08 «Учёт расходов по займам и кредитам», утверждённым приказом Минфина России от 06.10.2008 г. № 107н. Кредиты и займы по своей экономической природе различаются, но для бухгалтерского учёта это принципиального значения не имеет – оба регулируются единым стандартом.</w:t>
      </w:r>
    </w:p>
    <w:p w14:paraId="8A010000">
      <w:pPr>
        <w:spacing w:after="0" w:line="360" w:lineRule="auto"/>
        <w:ind w:firstLine="851" w:left="0"/>
        <w:jc w:val="both"/>
        <w:rPr>
          <w:rFonts w:ascii="Times New Roman" w:hAnsi="Times New Roman"/>
          <w:sz w:val="28"/>
        </w:rPr>
      </w:pPr>
      <w:r>
        <w:rPr>
          <w:rFonts w:ascii="Times New Roman" w:hAnsi="Times New Roman"/>
          <w:sz w:val="28"/>
        </w:rPr>
        <w:t>Для учёта используются счета обязательств. Краткосрочные обязательства (срок погашения до 12 месяцев) отражаются на счёте 66, долгосрочные (свыше года) – на счёте 67. Оба счёта пассивные: по кредиту показывают поступление средств и начисление процентов, по дебету – возврат долга и уплату процентов. Само «тело» кредита или займа и проценты разводят по разным субсчетам (их для удобства открывают к счетам 66 и 67). Аналитический учёт строят в разрезе кредиторов, отдельных договоров и форм получения средств.</w:t>
      </w:r>
    </w:p>
    <w:p w14:paraId="8B010000">
      <w:pPr>
        <w:spacing w:after="0" w:line="360" w:lineRule="auto"/>
        <w:ind w:firstLine="851" w:left="0"/>
        <w:jc w:val="both"/>
        <w:rPr>
          <w:rFonts w:ascii="Times New Roman" w:hAnsi="Times New Roman"/>
          <w:sz w:val="28"/>
        </w:rPr>
      </w:pPr>
      <w:r>
        <w:rPr>
          <w:rFonts w:ascii="Times New Roman" w:hAnsi="Times New Roman"/>
          <w:sz w:val="28"/>
        </w:rPr>
        <w:t>Документальным основанием служит письменный договор – кредитный или займа. В нём фиксируют сумму, срок, процентную ставку, порядок возврата. Факт получения денег подтверждается выпиской банка или приходным кассовым ордером, если речь об имуществе – актом приёма-передачи. Пункты ПБУ 15/08 требуют, чтобы основная сумма долга отражалась либо в сумме фактически поступивших средств, либо в стоимостной оценке переданных вещей.</w:t>
      </w:r>
    </w:p>
    <w:p w14:paraId="8C010000">
      <w:pPr>
        <w:spacing w:after="0" w:line="360" w:lineRule="auto"/>
        <w:ind w:firstLine="851" w:left="0"/>
        <w:jc w:val="both"/>
        <w:rPr>
          <w:rFonts w:ascii="Times New Roman" w:hAnsi="Times New Roman"/>
          <w:sz w:val="28"/>
        </w:rPr>
      </w:pPr>
      <w:r>
        <w:rPr>
          <w:rFonts w:ascii="Times New Roman" w:hAnsi="Times New Roman"/>
          <w:sz w:val="28"/>
        </w:rPr>
        <w:t xml:space="preserve">Проценты признаются расходами того периода, в котором их начислили. Для этого открывают отдельные субсчета к счетам 66 и 67. Обычно проценты начисляют равномерно в течение всего срока договора – скажем, в последний день каждого месяца. При упрощённых способах учёта такие расходы можно включать в состав прочих. </w:t>
      </w:r>
    </w:p>
    <w:p w14:paraId="8D010000">
      <w:pPr>
        <w:spacing w:after="0" w:line="360" w:lineRule="auto"/>
        <w:ind w:firstLine="851" w:left="0"/>
        <w:jc w:val="both"/>
        <w:rPr>
          <w:rFonts w:ascii="Times New Roman" w:hAnsi="Times New Roman"/>
          <w:sz w:val="28"/>
        </w:rPr>
      </w:pPr>
      <w:r>
        <w:rPr>
          <w:rFonts w:ascii="Times New Roman" w:hAnsi="Times New Roman"/>
          <w:sz w:val="28"/>
        </w:rPr>
        <w:t>Важный момент: сама сумма полученного кредита или займа доходом не признаётся, при погашении она не становится расходом. Эти суммы не участвуют в формировании финансового результата и не попадают в облагаемую базу (пункт 1 статьи 251 Налогового кодекса).</w:t>
      </w:r>
    </w:p>
    <w:p w14:paraId="8E010000">
      <w:pPr>
        <w:spacing w:after="0" w:line="360" w:lineRule="auto"/>
        <w:ind w:firstLine="851" w:left="0"/>
        <w:jc w:val="both"/>
        <w:rPr>
          <w:rFonts w:ascii="Times New Roman" w:hAnsi="Times New Roman"/>
          <w:sz w:val="28"/>
        </w:rPr>
      </w:pPr>
      <w:r>
        <w:rPr>
          <w:rFonts w:ascii="Times New Roman" w:hAnsi="Times New Roman"/>
          <w:sz w:val="28"/>
        </w:rPr>
        <w:t>Для контроля за состоянием расчётов проводится инвентаризация кредитов и займов – согласно методическим указаниям по инвентаризации имущества и финансовых обязательств. В ходе инвентаризации проверяют обоснованность сумм на счетах 66 и 67, выявляют просроченную задолженность, подтверждают полноту и своевременность начисления процентов, сверяют данные учёта с условиями договоров и первичкой. Отдельно смотрят за правильностью перевода долгосрочной задолженности в краткосрочную, когда до погашения остаётся меньше 12 месяцев (переносить кредит со счёта 67 на счёт 66 при этом не требуется). Результаты оформляют актом, расхождения отражают в учёте на дату инвентаризации.</w:t>
      </w:r>
    </w:p>
    <w:p w14:paraId="8F010000">
      <w:pPr>
        <w:spacing w:after="0" w:line="360" w:lineRule="auto"/>
        <w:ind w:firstLine="851" w:left="0"/>
        <w:jc w:val="both"/>
        <w:rPr>
          <w:rFonts w:ascii="Times New Roman" w:hAnsi="Times New Roman"/>
          <w:sz w:val="28"/>
        </w:rPr>
      </w:pPr>
      <w:r>
        <w:rPr>
          <w:rFonts w:ascii="Times New Roman" w:hAnsi="Times New Roman"/>
          <w:sz w:val="28"/>
        </w:rPr>
        <w:t>Снизить риски невозврата помогают разные формы обеспечения: залог имущества (товары, оборудование, недвижимость, ценные бумаги), банковская гарантия, поручительство третьих лиц, неустойка (штрафы, пени), удержание имущества должника. Конкретную форму фиксируют в договоре. С точки зрения учёта, полученные обеспечения отражают на забалансовом счёте 008 (поступление), выданные – на счёте 009. Забалансовый учёт ведётся простой записью в стоимостном выражении по договору. Это позволяет отслеживать, какие активы могут покрыть возможные убытки, и снижать вероятность финансовых потерь.</w:t>
      </w:r>
    </w:p>
    <w:p w14:paraId="90010000">
      <w:pPr>
        <w:spacing w:after="0" w:line="360" w:lineRule="auto"/>
        <w:ind w:firstLine="851" w:left="0"/>
        <w:jc w:val="both"/>
        <w:rPr>
          <w:rFonts w:ascii="Times New Roman" w:hAnsi="Times New Roman"/>
          <w:sz w:val="28"/>
        </w:rPr>
      </w:pPr>
      <w:r>
        <w:rPr>
          <w:rFonts w:ascii="Times New Roman" w:hAnsi="Times New Roman"/>
          <w:sz w:val="28"/>
        </w:rPr>
        <w:t xml:space="preserve">В таблице 4 отражена </w:t>
      </w:r>
      <w:r>
        <w:rPr>
          <w:rFonts w:ascii="Times New Roman" w:hAnsi="Times New Roman"/>
          <w:sz w:val="28"/>
        </w:rPr>
        <w:t>к</w:t>
      </w:r>
      <w:r>
        <w:rPr>
          <w:rFonts w:ascii="Times New Roman" w:hAnsi="Times New Roman"/>
          <w:sz w:val="28"/>
        </w:rPr>
        <w:t>орреспонденция счетов по кредитам и займам</w:t>
      </w:r>
      <w:r>
        <w:rPr>
          <w:rFonts w:ascii="Times New Roman" w:hAnsi="Times New Roman"/>
          <w:sz w:val="28"/>
        </w:rPr>
        <w:t>.</w:t>
      </w:r>
    </w:p>
    <w:p w14:paraId="91010000">
      <w:pPr>
        <w:spacing w:after="0" w:line="360" w:lineRule="auto"/>
        <w:ind w:firstLine="851" w:left="0"/>
        <w:jc w:val="both"/>
        <w:rPr>
          <w:rFonts w:ascii="Times New Roman" w:hAnsi="Times New Roman"/>
          <w:sz w:val="28"/>
        </w:rPr>
      </w:pPr>
    </w:p>
    <w:p w14:paraId="92010000">
      <w:pPr>
        <w:spacing w:after="0" w:line="240" w:lineRule="auto"/>
        <w:ind w:firstLine="851" w:left="0"/>
        <w:jc w:val="right"/>
        <w:rPr>
          <w:rFonts w:ascii="Times New Roman" w:hAnsi="Times New Roman"/>
          <w:b w:val="1"/>
          <w:sz w:val="28"/>
        </w:rPr>
      </w:pPr>
      <w:r>
        <w:rPr>
          <w:rFonts w:ascii="Times New Roman" w:hAnsi="Times New Roman"/>
          <w:b w:val="1"/>
          <w:sz w:val="28"/>
        </w:rPr>
        <w:t>Таблица 4</w:t>
      </w:r>
    </w:p>
    <w:p w14:paraId="93010000">
      <w:pPr>
        <w:spacing w:after="0" w:line="240" w:lineRule="auto"/>
        <w:ind w:firstLine="851" w:left="0"/>
        <w:jc w:val="both"/>
        <w:rPr>
          <w:rFonts w:ascii="Times New Roman" w:hAnsi="Times New Roman"/>
          <w:b w:val="1"/>
          <w:sz w:val="28"/>
        </w:rPr>
      </w:pPr>
      <w:r>
        <w:rPr>
          <w:rFonts w:ascii="Times New Roman" w:hAnsi="Times New Roman"/>
          <w:b w:val="1"/>
          <w:sz w:val="28"/>
        </w:rPr>
        <w:t xml:space="preserve"> Корреспонденция счетов по кредитам и займам</w:t>
      </w:r>
    </w:p>
    <w:tbl>
      <w:tblPr>
        <w:tblStyle w:val="Style_3"/>
        <w:tblLayout w:type="fixed"/>
      </w:tblPr>
      <w:tblGrid>
        <w:gridCol w:w="960"/>
        <w:gridCol w:w="2140"/>
        <w:gridCol w:w="2220"/>
        <w:gridCol w:w="2180"/>
        <w:gridCol w:w="2080"/>
      </w:tblGrid>
      <w:tr>
        <w:trPr>
          <w:trHeight w:hRule="atLeast" w:val="288"/>
        </w:trPr>
        <w:tc>
          <w:tcPr>
            <w:tcW w:type="dxa" w:w="960"/>
            <w:tcBorders>
              <w:top w:color="000000" w:sz="4" w:val="single"/>
              <w:left w:color="000000" w:sz="4" w:val="single"/>
              <w:bottom w:color="000000" w:sz="4" w:val="single"/>
              <w:right w:color="000000" w:sz="4" w:val="single"/>
            </w:tcBorders>
            <w:vAlign w:val="center"/>
          </w:tcPr>
          <w:p w14:paraId="94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 п/п</w:t>
            </w:r>
          </w:p>
        </w:tc>
        <w:tc>
          <w:tcPr>
            <w:tcW w:type="dxa" w:w="2140"/>
            <w:tcBorders>
              <w:top w:color="000000" w:sz="4" w:val="single"/>
              <w:left w:sz="4" w:val="nil"/>
              <w:bottom w:color="000000" w:sz="4" w:val="single"/>
              <w:right w:color="000000" w:sz="4" w:val="single"/>
            </w:tcBorders>
            <w:vAlign w:val="center"/>
          </w:tcPr>
          <w:p w14:paraId="95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Операция</w:t>
            </w:r>
          </w:p>
        </w:tc>
        <w:tc>
          <w:tcPr>
            <w:tcW w:type="dxa" w:w="2220"/>
            <w:tcBorders>
              <w:top w:color="000000" w:sz="4" w:val="single"/>
              <w:left w:sz="4" w:val="nil"/>
              <w:bottom w:color="000000" w:sz="4" w:val="single"/>
              <w:right w:color="000000" w:sz="4" w:val="single"/>
            </w:tcBorders>
            <w:vAlign w:val="center"/>
          </w:tcPr>
          <w:p w14:paraId="96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Дебет</w:t>
            </w:r>
          </w:p>
        </w:tc>
        <w:tc>
          <w:tcPr>
            <w:tcW w:type="dxa" w:w="2180"/>
            <w:tcBorders>
              <w:top w:color="000000" w:sz="4" w:val="single"/>
              <w:left w:sz="4" w:val="nil"/>
              <w:bottom w:color="000000" w:sz="4" w:val="single"/>
              <w:right w:color="000000" w:sz="4" w:val="single"/>
            </w:tcBorders>
            <w:vAlign w:val="center"/>
          </w:tcPr>
          <w:p w14:paraId="97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Кредит</w:t>
            </w:r>
          </w:p>
        </w:tc>
        <w:tc>
          <w:tcPr>
            <w:tcW w:type="dxa" w:w="2080"/>
            <w:tcBorders>
              <w:top w:color="000000" w:sz="4" w:val="single"/>
              <w:left w:sz="4" w:val="nil"/>
              <w:bottom w:color="000000" w:sz="4" w:val="single"/>
              <w:right w:color="000000" w:sz="4" w:val="single"/>
            </w:tcBorders>
            <w:vAlign w:val="center"/>
          </w:tcPr>
          <w:p w14:paraId="98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Примечание</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99010000">
            <w:pPr>
              <w:spacing w:after="0" w:line="240" w:lineRule="auto"/>
              <w:ind/>
              <w:jc w:val="right"/>
              <w:rPr>
                <w:rFonts w:ascii="Times New Roman" w:hAnsi="Times New Roman"/>
                <w:color w:val="000000"/>
                <w:sz w:val="24"/>
              </w:rPr>
            </w:pPr>
            <w:r>
              <w:rPr>
                <w:rFonts w:ascii="Times New Roman" w:hAnsi="Times New Roman"/>
                <w:color w:val="000000"/>
                <w:sz w:val="24"/>
              </w:rPr>
              <w:t>1</w:t>
            </w:r>
          </w:p>
        </w:tc>
        <w:tc>
          <w:tcPr>
            <w:tcW w:type="dxa" w:w="2140"/>
            <w:tcBorders>
              <w:top w:sz="4" w:val="nil"/>
              <w:left w:sz="4" w:val="nil"/>
              <w:bottom w:color="000000" w:sz="4" w:val="single"/>
              <w:right w:color="000000" w:sz="4" w:val="single"/>
            </w:tcBorders>
            <w:vAlign w:val="center"/>
          </w:tcPr>
          <w:p w14:paraId="9A010000">
            <w:pPr>
              <w:spacing w:after="0" w:line="240" w:lineRule="auto"/>
              <w:ind/>
              <w:rPr>
                <w:rFonts w:ascii="Times New Roman" w:hAnsi="Times New Roman"/>
                <w:color w:val="000000"/>
                <w:sz w:val="24"/>
              </w:rPr>
            </w:pPr>
            <w:r>
              <w:rPr>
                <w:rFonts w:ascii="Times New Roman" w:hAnsi="Times New Roman"/>
                <w:color w:val="000000"/>
                <w:sz w:val="24"/>
              </w:rPr>
              <w:t>Получение кредита (долгосрочного) от банка</w:t>
            </w:r>
          </w:p>
        </w:tc>
        <w:tc>
          <w:tcPr>
            <w:tcW w:type="dxa" w:w="2220"/>
            <w:tcBorders>
              <w:top w:sz="4" w:val="nil"/>
              <w:left w:sz="4" w:val="nil"/>
              <w:bottom w:color="000000" w:sz="4" w:val="single"/>
              <w:right w:color="000000" w:sz="4" w:val="single"/>
            </w:tcBorders>
            <w:vAlign w:val="center"/>
          </w:tcPr>
          <w:p w14:paraId="9B010000">
            <w:pPr>
              <w:spacing w:after="0" w:line="240" w:lineRule="auto"/>
              <w:ind/>
              <w:rPr>
                <w:rFonts w:ascii="Times New Roman" w:hAnsi="Times New Roman"/>
                <w:color w:val="000000"/>
                <w:sz w:val="24"/>
              </w:rPr>
            </w:pPr>
            <w:r>
              <w:rPr>
                <w:rFonts w:ascii="Times New Roman" w:hAnsi="Times New Roman"/>
                <w:color w:val="000000"/>
                <w:sz w:val="24"/>
              </w:rPr>
              <w:t>51 «Расчетные счета»</w:t>
            </w:r>
          </w:p>
        </w:tc>
        <w:tc>
          <w:tcPr>
            <w:tcW w:type="dxa" w:w="2180"/>
            <w:tcBorders>
              <w:top w:sz="4" w:val="nil"/>
              <w:left w:sz="4" w:val="nil"/>
              <w:bottom w:color="000000" w:sz="4" w:val="single"/>
              <w:right w:color="000000" w:sz="4" w:val="single"/>
            </w:tcBorders>
            <w:vAlign w:val="center"/>
          </w:tcPr>
          <w:p w14:paraId="9C010000">
            <w:pPr>
              <w:spacing w:after="0" w:line="240" w:lineRule="auto"/>
              <w:ind/>
              <w:rPr>
                <w:rFonts w:ascii="Times New Roman" w:hAnsi="Times New Roman"/>
                <w:color w:val="000000"/>
                <w:sz w:val="24"/>
              </w:rPr>
            </w:pPr>
            <w:r>
              <w:rPr>
                <w:rFonts w:ascii="Times New Roman" w:hAnsi="Times New Roman"/>
                <w:color w:val="000000"/>
                <w:sz w:val="24"/>
              </w:rPr>
              <w:t>67 «Расчеты по долгосрочным кредитам и займам»</w:t>
            </w:r>
          </w:p>
        </w:tc>
        <w:tc>
          <w:tcPr>
            <w:tcW w:type="dxa" w:w="2080"/>
            <w:tcBorders>
              <w:top w:sz="4" w:val="nil"/>
              <w:left w:sz="4" w:val="nil"/>
              <w:bottom w:color="000000" w:sz="4" w:val="single"/>
              <w:right w:color="000000" w:sz="4" w:val="single"/>
            </w:tcBorders>
            <w:vAlign w:val="center"/>
          </w:tcPr>
          <w:p w14:paraId="9D010000">
            <w:pPr>
              <w:spacing w:after="0" w:line="240" w:lineRule="auto"/>
              <w:ind/>
              <w:rPr>
                <w:rFonts w:ascii="Times New Roman" w:hAnsi="Times New Roman"/>
                <w:color w:val="000000"/>
                <w:sz w:val="24"/>
              </w:rPr>
            </w:pPr>
            <w:r>
              <w:rPr>
                <w:rFonts w:ascii="Times New Roman" w:hAnsi="Times New Roman"/>
                <w:color w:val="000000"/>
                <w:sz w:val="24"/>
              </w:rPr>
              <w:t>Основной долг</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9E01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2140"/>
            <w:tcBorders>
              <w:top w:sz="4" w:val="nil"/>
              <w:left w:sz="4" w:val="nil"/>
              <w:bottom w:color="000000" w:sz="4" w:val="single"/>
              <w:right w:color="000000" w:sz="4" w:val="single"/>
            </w:tcBorders>
            <w:vAlign w:val="center"/>
          </w:tcPr>
          <w:p w14:paraId="9F010000">
            <w:pPr>
              <w:spacing w:after="0" w:line="240" w:lineRule="auto"/>
              <w:ind/>
              <w:rPr>
                <w:rFonts w:ascii="Times New Roman" w:hAnsi="Times New Roman"/>
                <w:color w:val="000000"/>
                <w:sz w:val="24"/>
              </w:rPr>
            </w:pPr>
            <w:r>
              <w:rPr>
                <w:rFonts w:ascii="Times New Roman" w:hAnsi="Times New Roman"/>
                <w:color w:val="000000"/>
                <w:sz w:val="24"/>
              </w:rPr>
              <w:t>Получение кредита (краткосрочного)</w:t>
            </w:r>
          </w:p>
        </w:tc>
        <w:tc>
          <w:tcPr>
            <w:tcW w:type="dxa" w:w="2220"/>
            <w:tcBorders>
              <w:top w:sz="4" w:val="nil"/>
              <w:left w:sz="4" w:val="nil"/>
              <w:bottom w:color="000000" w:sz="4" w:val="single"/>
              <w:right w:color="000000" w:sz="4" w:val="single"/>
            </w:tcBorders>
            <w:vAlign w:val="center"/>
          </w:tcPr>
          <w:p w14:paraId="A0010000">
            <w:pPr>
              <w:spacing w:after="0" w:line="240" w:lineRule="auto"/>
              <w:ind/>
              <w:rPr>
                <w:rFonts w:ascii="Times New Roman" w:hAnsi="Times New Roman"/>
                <w:color w:val="000000"/>
                <w:sz w:val="24"/>
              </w:rPr>
            </w:pPr>
            <w:r>
              <w:rPr>
                <w:rFonts w:ascii="Times New Roman" w:hAnsi="Times New Roman"/>
                <w:color w:val="000000"/>
                <w:sz w:val="24"/>
              </w:rPr>
              <w:t>50 «Касса» / 51 «Расчетные счета»</w:t>
            </w:r>
          </w:p>
        </w:tc>
        <w:tc>
          <w:tcPr>
            <w:tcW w:type="dxa" w:w="2180"/>
            <w:tcBorders>
              <w:top w:sz="4" w:val="nil"/>
              <w:left w:sz="4" w:val="nil"/>
              <w:bottom w:color="000000" w:sz="4" w:val="single"/>
              <w:right w:color="000000" w:sz="4" w:val="single"/>
            </w:tcBorders>
            <w:vAlign w:val="center"/>
          </w:tcPr>
          <w:p w14:paraId="A1010000">
            <w:pPr>
              <w:spacing w:after="0" w:line="240" w:lineRule="auto"/>
              <w:ind/>
              <w:rPr>
                <w:rFonts w:ascii="Times New Roman" w:hAnsi="Times New Roman"/>
                <w:color w:val="000000"/>
                <w:sz w:val="24"/>
              </w:rPr>
            </w:pPr>
            <w:r>
              <w:rPr>
                <w:rFonts w:ascii="Times New Roman" w:hAnsi="Times New Roman"/>
                <w:color w:val="000000"/>
                <w:sz w:val="24"/>
              </w:rPr>
              <w:t>66 «Расчеты по краткосрочным кредитам и займам»</w:t>
            </w:r>
          </w:p>
        </w:tc>
        <w:tc>
          <w:tcPr>
            <w:tcW w:type="dxa" w:w="2080"/>
            <w:tcBorders>
              <w:top w:sz="4" w:val="nil"/>
              <w:left w:sz="4" w:val="nil"/>
              <w:bottom w:color="000000" w:sz="4" w:val="single"/>
              <w:right w:color="000000" w:sz="4" w:val="single"/>
            </w:tcBorders>
            <w:vAlign w:val="center"/>
          </w:tcPr>
          <w:p w14:paraId="A2010000">
            <w:pPr>
              <w:spacing w:after="0" w:line="240" w:lineRule="auto"/>
              <w:ind/>
              <w:rPr>
                <w:rFonts w:ascii="Times New Roman" w:hAnsi="Times New Roman"/>
                <w:color w:val="000000"/>
                <w:sz w:val="24"/>
              </w:rPr>
            </w:pPr>
            <w:r>
              <w:rPr>
                <w:rFonts w:ascii="Times New Roman" w:hAnsi="Times New Roman"/>
                <w:color w:val="000000"/>
                <w:sz w:val="24"/>
              </w:rPr>
              <w:t>Основной долг</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A3010000">
            <w:pPr>
              <w:spacing w:after="0" w:line="240" w:lineRule="auto"/>
              <w:ind/>
              <w:jc w:val="right"/>
              <w:rPr>
                <w:rFonts w:ascii="Times New Roman" w:hAnsi="Times New Roman"/>
                <w:color w:val="000000"/>
                <w:sz w:val="24"/>
              </w:rPr>
            </w:pPr>
            <w:r>
              <w:rPr>
                <w:rFonts w:ascii="Times New Roman" w:hAnsi="Times New Roman"/>
                <w:color w:val="000000"/>
                <w:sz w:val="24"/>
              </w:rPr>
              <w:t>3</w:t>
            </w:r>
          </w:p>
        </w:tc>
        <w:tc>
          <w:tcPr>
            <w:tcW w:type="dxa" w:w="2140"/>
            <w:tcBorders>
              <w:top w:sz="4" w:val="nil"/>
              <w:left w:sz="4" w:val="nil"/>
              <w:bottom w:color="000000" w:sz="4" w:val="single"/>
              <w:right w:color="000000" w:sz="4" w:val="single"/>
            </w:tcBorders>
            <w:vAlign w:val="center"/>
          </w:tcPr>
          <w:p w14:paraId="A4010000">
            <w:pPr>
              <w:spacing w:after="0" w:line="240" w:lineRule="auto"/>
              <w:ind/>
              <w:rPr>
                <w:rFonts w:ascii="Times New Roman" w:hAnsi="Times New Roman"/>
                <w:color w:val="000000"/>
                <w:sz w:val="24"/>
              </w:rPr>
            </w:pPr>
            <w:r>
              <w:rPr>
                <w:rFonts w:ascii="Times New Roman" w:hAnsi="Times New Roman"/>
                <w:color w:val="000000"/>
                <w:sz w:val="24"/>
              </w:rPr>
              <w:t>Начисление процентов по кредиту</w:t>
            </w:r>
          </w:p>
        </w:tc>
        <w:tc>
          <w:tcPr>
            <w:tcW w:type="dxa" w:w="2220"/>
            <w:tcBorders>
              <w:top w:sz="4" w:val="nil"/>
              <w:left w:sz="4" w:val="nil"/>
              <w:bottom w:color="000000" w:sz="4" w:val="single"/>
              <w:right w:color="000000" w:sz="4" w:val="single"/>
            </w:tcBorders>
            <w:vAlign w:val="center"/>
          </w:tcPr>
          <w:p w14:paraId="A5010000">
            <w:pPr>
              <w:spacing w:after="0" w:line="240" w:lineRule="auto"/>
              <w:ind/>
              <w:rPr>
                <w:rFonts w:ascii="Times New Roman" w:hAnsi="Times New Roman"/>
                <w:color w:val="000000"/>
                <w:sz w:val="24"/>
              </w:rPr>
            </w:pPr>
            <w:r>
              <w:rPr>
                <w:rFonts w:ascii="Times New Roman" w:hAnsi="Times New Roman"/>
                <w:color w:val="000000"/>
                <w:sz w:val="24"/>
              </w:rPr>
              <w:t>20, 25, 26, 44 и др.</w:t>
            </w:r>
          </w:p>
        </w:tc>
        <w:tc>
          <w:tcPr>
            <w:tcW w:type="dxa" w:w="2180"/>
            <w:tcBorders>
              <w:top w:sz="4" w:val="nil"/>
              <w:left w:sz="4" w:val="nil"/>
              <w:bottom w:color="000000" w:sz="4" w:val="single"/>
              <w:right w:color="000000" w:sz="4" w:val="single"/>
            </w:tcBorders>
            <w:vAlign w:val="center"/>
          </w:tcPr>
          <w:p w14:paraId="A6010000">
            <w:pPr>
              <w:spacing w:after="0" w:line="240" w:lineRule="auto"/>
              <w:ind/>
              <w:rPr>
                <w:rFonts w:ascii="Times New Roman" w:hAnsi="Times New Roman"/>
                <w:color w:val="000000"/>
                <w:sz w:val="24"/>
              </w:rPr>
            </w:pPr>
            <w:r>
              <w:rPr>
                <w:rFonts w:ascii="Times New Roman" w:hAnsi="Times New Roman"/>
                <w:color w:val="000000"/>
                <w:sz w:val="24"/>
              </w:rPr>
              <w:t>66-1 / 67-1</w:t>
            </w:r>
          </w:p>
        </w:tc>
        <w:tc>
          <w:tcPr>
            <w:tcW w:type="dxa" w:w="2080"/>
            <w:tcBorders>
              <w:top w:sz="4" w:val="nil"/>
              <w:left w:sz="4" w:val="nil"/>
              <w:bottom w:color="000000" w:sz="4" w:val="single"/>
              <w:right w:color="000000" w:sz="4" w:val="single"/>
            </w:tcBorders>
            <w:vAlign w:val="center"/>
          </w:tcPr>
          <w:p w14:paraId="A7010000">
            <w:pPr>
              <w:spacing w:after="0" w:line="240" w:lineRule="auto"/>
              <w:ind/>
              <w:rPr>
                <w:rFonts w:ascii="Times New Roman" w:hAnsi="Times New Roman"/>
                <w:color w:val="000000"/>
                <w:sz w:val="24"/>
              </w:rPr>
            </w:pPr>
            <w:r>
              <w:rPr>
                <w:rFonts w:ascii="Times New Roman" w:hAnsi="Times New Roman"/>
                <w:color w:val="000000"/>
                <w:sz w:val="24"/>
              </w:rPr>
              <w:t>Проценты по займу или кредиту</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A8010000">
            <w:pPr>
              <w:spacing w:after="0" w:line="240" w:lineRule="auto"/>
              <w:ind/>
              <w:jc w:val="right"/>
              <w:rPr>
                <w:rFonts w:ascii="Times New Roman" w:hAnsi="Times New Roman"/>
                <w:color w:val="000000"/>
                <w:sz w:val="24"/>
              </w:rPr>
            </w:pPr>
            <w:r>
              <w:rPr>
                <w:rFonts w:ascii="Times New Roman" w:hAnsi="Times New Roman"/>
                <w:color w:val="000000"/>
                <w:sz w:val="24"/>
              </w:rPr>
              <w:t>4</w:t>
            </w:r>
          </w:p>
        </w:tc>
        <w:tc>
          <w:tcPr>
            <w:tcW w:type="dxa" w:w="2140"/>
            <w:tcBorders>
              <w:top w:sz="4" w:val="nil"/>
              <w:left w:sz="4" w:val="nil"/>
              <w:bottom w:color="000000" w:sz="4" w:val="single"/>
              <w:right w:color="000000" w:sz="4" w:val="single"/>
            </w:tcBorders>
            <w:vAlign w:val="center"/>
          </w:tcPr>
          <w:p w14:paraId="A9010000">
            <w:pPr>
              <w:spacing w:after="0" w:line="240" w:lineRule="auto"/>
              <w:ind/>
              <w:rPr>
                <w:rFonts w:ascii="Times New Roman" w:hAnsi="Times New Roman"/>
                <w:color w:val="000000"/>
                <w:sz w:val="24"/>
              </w:rPr>
            </w:pPr>
            <w:r>
              <w:rPr>
                <w:rFonts w:ascii="Times New Roman" w:hAnsi="Times New Roman"/>
                <w:color w:val="000000"/>
                <w:sz w:val="24"/>
              </w:rPr>
              <w:t>Погашение основной суммы кредита</w:t>
            </w:r>
          </w:p>
        </w:tc>
        <w:tc>
          <w:tcPr>
            <w:tcW w:type="dxa" w:w="2220"/>
            <w:tcBorders>
              <w:top w:sz="4" w:val="nil"/>
              <w:left w:sz="4" w:val="nil"/>
              <w:bottom w:color="000000" w:sz="4" w:val="single"/>
              <w:right w:color="000000" w:sz="4" w:val="single"/>
            </w:tcBorders>
            <w:vAlign w:val="center"/>
          </w:tcPr>
          <w:p w14:paraId="AA010000">
            <w:pPr>
              <w:spacing w:after="0" w:line="240" w:lineRule="auto"/>
              <w:ind/>
              <w:rPr>
                <w:rFonts w:ascii="Times New Roman" w:hAnsi="Times New Roman"/>
                <w:color w:val="000000"/>
                <w:sz w:val="24"/>
              </w:rPr>
            </w:pPr>
            <w:r>
              <w:rPr>
                <w:rFonts w:ascii="Times New Roman" w:hAnsi="Times New Roman"/>
                <w:color w:val="000000"/>
                <w:sz w:val="24"/>
              </w:rPr>
              <w:t>66 / 67</w:t>
            </w:r>
          </w:p>
        </w:tc>
        <w:tc>
          <w:tcPr>
            <w:tcW w:type="dxa" w:w="2180"/>
            <w:tcBorders>
              <w:top w:sz="4" w:val="nil"/>
              <w:left w:sz="4" w:val="nil"/>
              <w:bottom w:color="000000" w:sz="4" w:val="single"/>
              <w:right w:color="000000" w:sz="4" w:val="single"/>
            </w:tcBorders>
            <w:vAlign w:val="center"/>
          </w:tcPr>
          <w:p w14:paraId="AB010000">
            <w:pPr>
              <w:spacing w:after="0" w:line="240" w:lineRule="auto"/>
              <w:ind/>
              <w:rPr>
                <w:rFonts w:ascii="Times New Roman" w:hAnsi="Times New Roman"/>
                <w:color w:val="000000"/>
                <w:sz w:val="24"/>
              </w:rPr>
            </w:pPr>
            <w:r>
              <w:rPr>
                <w:rFonts w:ascii="Times New Roman" w:hAnsi="Times New Roman"/>
                <w:color w:val="000000"/>
                <w:sz w:val="24"/>
              </w:rPr>
              <w:t>51 «Расчетные счета»</w:t>
            </w:r>
          </w:p>
        </w:tc>
        <w:tc>
          <w:tcPr>
            <w:tcW w:type="dxa" w:w="2080"/>
            <w:tcBorders>
              <w:top w:sz="4" w:val="nil"/>
              <w:left w:sz="4" w:val="nil"/>
              <w:bottom w:color="000000" w:sz="4" w:val="single"/>
              <w:right w:color="000000" w:sz="4" w:val="single"/>
            </w:tcBorders>
            <w:vAlign w:val="center"/>
          </w:tcPr>
          <w:p w14:paraId="AC010000">
            <w:pPr>
              <w:spacing w:after="0" w:line="240" w:lineRule="auto"/>
              <w:ind/>
              <w:rPr>
                <w:rFonts w:ascii="Times New Roman" w:hAnsi="Times New Roman"/>
                <w:color w:val="000000"/>
                <w:sz w:val="24"/>
              </w:rPr>
            </w:pPr>
            <w:r>
              <w:rPr>
                <w:rFonts w:ascii="Times New Roman" w:hAnsi="Times New Roman"/>
                <w:color w:val="000000"/>
                <w:sz w:val="24"/>
              </w:rPr>
              <w:t>Выплата банку</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AD010000">
            <w:pPr>
              <w:spacing w:after="0" w:line="240" w:lineRule="auto"/>
              <w:ind/>
              <w:jc w:val="right"/>
              <w:rPr>
                <w:rFonts w:ascii="Times New Roman" w:hAnsi="Times New Roman"/>
                <w:color w:val="000000"/>
                <w:sz w:val="24"/>
              </w:rPr>
            </w:pPr>
            <w:r>
              <w:rPr>
                <w:rFonts w:ascii="Times New Roman" w:hAnsi="Times New Roman"/>
                <w:color w:val="000000"/>
                <w:sz w:val="24"/>
              </w:rPr>
              <w:t>5</w:t>
            </w:r>
          </w:p>
        </w:tc>
        <w:tc>
          <w:tcPr>
            <w:tcW w:type="dxa" w:w="2140"/>
            <w:tcBorders>
              <w:top w:sz="4" w:val="nil"/>
              <w:left w:sz="4" w:val="nil"/>
              <w:bottom w:color="000000" w:sz="4" w:val="single"/>
              <w:right w:color="000000" w:sz="4" w:val="single"/>
            </w:tcBorders>
            <w:vAlign w:val="center"/>
          </w:tcPr>
          <w:p w14:paraId="AE010000">
            <w:pPr>
              <w:spacing w:after="0" w:line="240" w:lineRule="auto"/>
              <w:ind/>
              <w:rPr>
                <w:rFonts w:ascii="Times New Roman" w:hAnsi="Times New Roman"/>
                <w:color w:val="000000"/>
                <w:sz w:val="24"/>
              </w:rPr>
            </w:pPr>
            <w:r>
              <w:rPr>
                <w:rFonts w:ascii="Times New Roman" w:hAnsi="Times New Roman"/>
                <w:color w:val="000000"/>
                <w:sz w:val="24"/>
              </w:rPr>
              <w:t>Уплата процентов по кредиту</w:t>
            </w:r>
          </w:p>
        </w:tc>
        <w:tc>
          <w:tcPr>
            <w:tcW w:type="dxa" w:w="2220"/>
            <w:tcBorders>
              <w:top w:sz="4" w:val="nil"/>
              <w:left w:sz="4" w:val="nil"/>
              <w:bottom w:color="000000" w:sz="4" w:val="single"/>
              <w:right w:color="000000" w:sz="4" w:val="single"/>
            </w:tcBorders>
            <w:vAlign w:val="center"/>
          </w:tcPr>
          <w:p w14:paraId="AF010000">
            <w:pPr>
              <w:spacing w:after="0" w:line="240" w:lineRule="auto"/>
              <w:ind/>
              <w:rPr>
                <w:rFonts w:ascii="Times New Roman" w:hAnsi="Times New Roman"/>
                <w:color w:val="000000"/>
                <w:sz w:val="24"/>
              </w:rPr>
            </w:pPr>
            <w:r>
              <w:rPr>
                <w:rFonts w:ascii="Times New Roman" w:hAnsi="Times New Roman"/>
                <w:color w:val="000000"/>
                <w:sz w:val="24"/>
              </w:rPr>
              <w:t>91 «Прочие расходы»</w:t>
            </w:r>
          </w:p>
        </w:tc>
        <w:tc>
          <w:tcPr>
            <w:tcW w:type="dxa" w:w="2180"/>
            <w:tcBorders>
              <w:top w:sz="4" w:val="nil"/>
              <w:left w:sz="4" w:val="nil"/>
              <w:bottom w:color="000000" w:sz="4" w:val="single"/>
              <w:right w:color="000000" w:sz="4" w:val="single"/>
            </w:tcBorders>
            <w:vAlign w:val="center"/>
          </w:tcPr>
          <w:p w14:paraId="B0010000">
            <w:pPr>
              <w:spacing w:after="0" w:line="240" w:lineRule="auto"/>
              <w:ind/>
              <w:rPr>
                <w:rFonts w:ascii="Times New Roman" w:hAnsi="Times New Roman"/>
                <w:color w:val="000000"/>
                <w:sz w:val="24"/>
              </w:rPr>
            </w:pPr>
            <w:r>
              <w:rPr>
                <w:rFonts w:ascii="Times New Roman" w:hAnsi="Times New Roman"/>
                <w:color w:val="000000"/>
                <w:sz w:val="24"/>
              </w:rPr>
              <w:t>51 «Расчетные счета»</w:t>
            </w:r>
          </w:p>
        </w:tc>
        <w:tc>
          <w:tcPr>
            <w:tcW w:type="dxa" w:w="2080"/>
            <w:tcBorders>
              <w:top w:sz="4" w:val="nil"/>
              <w:left w:sz="4" w:val="nil"/>
              <w:bottom w:color="000000" w:sz="4" w:val="single"/>
              <w:right w:color="000000" w:sz="4" w:val="single"/>
            </w:tcBorders>
            <w:vAlign w:val="center"/>
          </w:tcPr>
          <w:p w14:paraId="B1010000">
            <w:pPr>
              <w:spacing w:after="0" w:line="240" w:lineRule="auto"/>
              <w:ind/>
              <w:rPr>
                <w:rFonts w:ascii="Times New Roman" w:hAnsi="Times New Roman"/>
                <w:color w:val="000000"/>
                <w:sz w:val="24"/>
              </w:rPr>
            </w:pPr>
            <w:r>
              <w:rPr>
                <w:rFonts w:ascii="Times New Roman" w:hAnsi="Times New Roman"/>
                <w:color w:val="000000"/>
                <w:sz w:val="24"/>
              </w:rPr>
              <w:t>Включение в финансовый результат</w:t>
            </w:r>
          </w:p>
        </w:tc>
      </w:tr>
      <w:tr>
        <w:trPr>
          <w:trHeight w:hRule="atLeast" w:val="576"/>
        </w:trPr>
        <w:tc>
          <w:tcPr>
            <w:tcW w:type="dxa" w:w="960"/>
            <w:tcBorders>
              <w:top w:sz="4" w:val="nil"/>
              <w:left w:color="000000" w:sz="4" w:val="single"/>
              <w:bottom w:color="000000" w:sz="4" w:val="single"/>
              <w:right w:color="000000" w:sz="4" w:val="single"/>
            </w:tcBorders>
            <w:vAlign w:val="center"/>
          </w:tcPr>
          <w:p w14:paraId="B2010000">
            <w:pPr>
              <w:spacing w:after="0" w:line="240" w:lineRule="auto"/>
              <w:ind/>
              <w:jc w:val="right"/>
              <w:rPr>
                <w:rFonts w:ascii="Times New Roman" w:hAnsi="Times New Roman"/>
                <w:color w:val="000000"/>
                <w:sz w:val="24"/>
              </w:rPr>
            </w:pPr>
            <w:r>
              <w:rPr>
                <w:rFonts w:ascii="Times New Roman" w:hAnsi="Times New Roman"/>
                <w:color w:val="000000"/>
                <w:sz w:val="24"/>
              </w:rPr>
              <w:t>6</w:t>
            </w:r>
          </w:p>
        </w:tc>
        <w:tc>
          <w:tcPr>
            <w:tcW w:type="dxa" w:w="2140"/>
            <w:tcBorders>
              <w:top w:sz="4" w:val="nil"/>
              <w:left w:sz="4" w:val="nil"/>
              <w:bottom w:color="000000" w:sz="4" w:val="single"/>
              <w:right w:color="000000" w:sz="4" w:val="single"/>
            </w:tcBorders>
            <w:vAlign w:val="center"/>
          </w:tcPr>
          <w:p w14:paraId="B3010000">
            <w:pPr>
              <w:spacing w:after="0" w:line="240" w:lineRule="auto"/>
              <w:ind/>
              <w:rPr>
                <w:rFonts w:ascii="Times New Roman" w:hAnsi="Times New Roman"/>
                <w:color w:val="000000"/>
                <w:sz w:val="24"/>
              </w:rPr>
            </w:pPr>
            <w:r>
              <w:rPr>
                <w:rFonts w:ascii="Times New Roman" w:hAnsi="Times New Roman"/>
                <w:color w:val="000000"/>
                <w:sz w:val="24"/>
              </w:rPr>
              <w:t>Получение займа от контрагента</w:t>
            </w:r>
          </w:p>
        </w:tc>
        <w:tc>
          <w:tcPr>
            <w:tcW w:type="dxa" w:w="2220"/>
            <w:tcBorders>
              <w:top w:sz="4" w:val="nil"/>
              <w:left w:sz="4" w:val="nil"/>
              <w:bottom w:color="000000" w:sz="4" w:val="single"/>
              <w:right w:color="000000" w:sz="4" w:val="single"/>
            </w:tcBorders>
            <w:vAlign w:val="center"/>
          </w:tcPr>
          <w:p w14:paraId="B4010000">
            <w:pPr>
              <w:spacing w:after="0" w:line="240" w:lineRule="auto"/>
              <w:ind/>
              <w:rPr>
                <w:rFonts w:ascii="Times New Roman" w:hAnsi="Times New Roman"/>
                <w:color w:val="000000"/>
                <w:sz w:val="24"/>
              </w:rPr>
            </w:pPr>
            <w:r>
              <w:rPr>
                <w:rFonts w:ascii="Times New Roman" w:hAnsi="Times New Roman"/>
                <w:color w:val="000000"/>
                <w:sz w:val="24"/>
              </w:rPr>
              <w:t>50 «Касса» / 51 «Расчетные счета»</w:t>
            </w:r>
          </w:p>
        </w:tc>
        <w:tc>
          <w:tcPr>
            <w:tcW w:type="dxa" w:w="2180"/>
            <w:tcBorders>
              <w:top w:sz="4" w:val="nil"/>
              <w:left w:sz="4" w:val="nil"/>
              <w:bottom w:color="000000" w:sz="4" w:val="single"/>
              <w:right w:color="000000" w:sz="4" w:val="single"/>
            </w:tcBorders>
            <w:vAlign w:val="center"/>
          </w:tcPr>
          <w:p w14:paraId="B5010000">
            <w:pPr>
              <w:spacing w:after="0" w:line="240" w:lineRule="auto"/>
              <w:ind/>
              <w:rPr>
                <w:rFonts w:ascii="Times New Roman" w:hAnsi="Times New Roman"/>
                <w:color w:val="000000"/>
                <w:sz w:val="24"/>
              </w:rPr>
            </w:pPr>
            <w:r>
              <w:rPr>
                <w:rFonts w:ascii="Times New Roman" w:hAnsi="Times New Roman"/>
                <w:color w:val="000000"/>
                <w:sz w:val="24"/>
              </w:rPr>
              <w:t>66 / 67</w:t>
            </w:r>
          </w:p>
        </w:tc>
        <w:tc>
          <w:tcPr>
            <w:tcW w:type="dxa" w:w="2080"/>
            <w:tcBorders>
              <w:top w:sz="4" w:val="nil"/>
              <w:left w:sz="4" w:val="nil"/>
              <w:bottom w:color="000000" w:sz="4" w:val="single"/>
              <w:right w:color="000000" w:sz="4" w:val="single"/>
            </w:tcBorders>
            <w:vAlign w:val="center"/>
          </w:tcPr>
          <w:p w14:paraId="B6010000">
            <w:pPr>
              <w:spacing w:after="0" w:line="240" w:lineRule="auto"/>
              <w:ind/>
              <w:rPr>
                <w:rFonts w:ascii="Times New Roman" w:hAnsi="Times New Roman"/>
                <w:color w:val="000000"/>
                <w:sz w:val="24"/>
              </w:rPr>
            </w:pPr>
            <w:r>
              <w:rPr>
                <w:rFonts w:ascii="Times New Roman" w:hAnsi="Times New Roman"/>
                <w:color w:val="000000"/>
                <w:sz w:val="24"/>
              </w:rPr>
              <w:t>Краткосрочный или долгосрочный заем</w:t>
            </w:r>
          </w:p>
        </w:tc>
      </w:tr>
      <w:tr>
        <w:trPr>
          <w:trHeight w:hRule="atLeast" w:val="576"/>
        </w:trPr>
        <w:tc>
          <w:tcPr>
            <w:tcW w:type="dxa" w:w="960"/>
            <w:tcBorders>
              <w:top w:sz="4" w:val="nil"/>
              <w:left w:color="000000" w:sz="4" w:val="single"/>
              <w:bottom w:color="000000" w:sz="4" w:val="single"/>
              <w:right w:color="000000" w:sz="4" w:val="single"/>
            </w:tcBorders>
            <w:vAlign w:val="center"/>
          </w:tcPr>
          <w:p w14:paraId="B7010000">
            <w:pPr>
              <w:spacing w:after="0" w:line="240" w:lineRule="auto"/>
              <w:ind/>
              <w:jc w:val="right"/>
              <w:rPr>
                <w:rFonts w:ascii="Times New Roman" w:hAnsi="Times New Roman"/>
                <w:color w:val="000000"/>
                <w:sz w:val="24"/>
              </w:rPr>
            </w:pPr>
            <w:r>
              <w:rPr>
                <w:rFonts w:ascii="Times New Roman" w:hAnsi="Times New Roman"/>
                <w:color w:val="000000"/>
                <w:sz w:val="24"/>
              </w:rPr>
              <w:t>7</w:t>
            </w:r>
          </w:p>
        </w:tc>
        <w:tc>
          <w:tcPr>
            <w:tcW w:type="dxa" w:w="2140"/>
            <w:tcBorders>
              <w:top w:sz="4" w:val="nil"/>
              <w:left w:sz="4" w:val="nil"/>
              <w:bottom w:color="000000" w:sz="4" w:val="single"/>
              <w:right w:color="000000" w:sz="4" w:val="single"/>
            </w:tcBorders>
            <w:vAlign w:val="center"/>
          </w:tcPr>
          <w:p w14:paraId="B8010000">
            <w:pPr>
              <w:spacing w:after="0" w:line="240" w:lineRule="auto"/>
              <w:ind/>
              <w:rPr>
                <w:rFonts w:ascii="Times New Roman" w:hAnsi="Times New Roman"/>
                <w:color w:val="000000"/>
                <w:sz w:val="24"/>
              </w:rPr>
            </w:pPr>
            <w:r>
              <w:rPr>
                <w:rFonts w:ascii="Times New Roman" w:hAnsi="Times New Roman"/>
                <w:color w:val="000000"/>
                <w:sz w:val="24"/>
              </w:rPr>
              <w:t>Погашение займа</w:t>
            </w:r>
          </w:p>
        </w:tc>
        <w:tc>
          <w:tcPr>
            <w:tcW w:type="dxa" w:w="2220"/>
            <w:tcBorders>
              <w:top w:sz="4" w:val="nil"/>
              <w:left w:sz="4" w:val="nil"/>
              <w:bottom w:color="000000" w:sz="4" w:val="single"/>
              <w:right w:color="000000" w:sz="4" w:val="single"/>
            </w:tcBorders>
            <w:vAlign w:val="center"/>
          </w:tcPr>
          <w:p w14:paraId="B9010000">
            <w:pPr>
              <w:spacing w:after="0" w:line="240" w:lineRule="auto"/>
              <w:ind/>
              <w:rPr>
                <w:rFonts w:ascii="Times New Roman" w:hAnsi="Times New Roman"/>
                <w:color w:val="000000"/>
                <w:sz w:val="24"/>
              </w:rPr>
            </w:pPr>
            <w:r>
              <w:rPr>
                <w:rFonts w:ascii="Times New Roman" w:hAnsi="Times New Roman"/>
                <w:color w:val="000000"/>
                <w:sz w:val="24"/>
              </w:rPr>
              <w:t>66 / 67</w:t>
            </w:r>
          </w:p>
        </w:tc>
        <w:tc>
          <w:tcPr>
            <w:tcW w:type="dxa" w:w="2180"/>
            <w:tcBorders>
              <w:top w:sz="4" w:val="nil"/>
              <w:left w:sz="4" w:val="nil"/>
              <w:bottom w:color="000000" w:sz="4" w:val="single"/>
              <w:right w:color="000000" w:sz="4" w:val="single"/>
            </w:tcBorders>
            <w:vAlign w:val="center"/>
          </w:tcPr>
          <w:p w14:paraId="BA010000">
            <w:pPr>
              <w:spacing w:after="0" w:line="240" w:lineRule="auto"/>
              <w:ind/>
              <w:rPr>
                <w:rFonts w:ascii="Times New Roman" w:hAnsi="Times New Roman"/>
                <w:color w:val="000000"/>
                <w:sz w:val="24"/>
              </w:rPr>
            </w:pPr>
            <w:r>
              <w:rPr>
                <w:rFonts w:ascii="Times New Roman" w:hAnsi="Times New Roman"/>
                <w:color w:val="000000"/>
                <w:sz w:val="24"/>
              </w:rPr>
              <w:t>50 «Касса» / 51 «Расчетные счета»</w:t>
            </w:r>
          </w:p>
        </w:tc>
        <w:tc>
          <w:tcPr>
            <w:tcW w:type="dxa" w:w="2080"/>
            <w:tcBorders>
              <w:top w:sz="4" w:val="nil"/>
              <w:left w:sz="4" w:val="nil"/>
              <w:bottom w:color="000000" w:sz="4" w:val="single"/>
              <w:right w:color="000000" w:sz="4" w:val="single"/>
            </w:tcBorders>
            <w:vAlign w:val="center"/>
          </w:tcPr>
          <w:p w14:paraId="BB010000">
            <w:pPr>
              <w:spacing w:after="0" w:line="240" w:lineRule="auto"/>
              <w:ind/>
              <w:rPr>
                <w:rFonts w:ascii="Times New Roman" w:hAnsi="Times New Roman"/>
                <w:color w:val="000000"/>
                <w:sz w:val="24"/>
              </w:rPr>
            </w:pPr>
            <w:r>
              <w:rPr>
                <w:rFonts w:ascii="Times New Roman" w:hAnsi="Times New Roman"/>
                <w:color w:val="000000"/>
                <w:sz w:val="24"/>
              </w:rPr>
              <w:t>Основной долг по займу</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BC010000">
            <w:pPr>
              <w:spacing w:after="0" w:line="240" w:lineRule="auto"/>
              <w:ind/>
              <w:jc w:val="right"/>
              <w:rPr>
                <w:rFonts w:ascii="Times New Roman" w:hAnsi="Times New Roman"/>
                <w:color w:val="000000"/>
                <w:sz w:val="24"/>
              </w:rPr>
            </w:pPr>
            <w:r>
              <w:rPr>
                <w:rFonts w:ascii="Times New Roman" w:hAnsi="Times New Roman"/>
                <w:color w:val="000000"/>
                <w:sz w:val="24"/>
              </w:rPr>
              <w:t>8</w:t>
            </w:r>
          </w:p>
        </w:tc>
        <w:tc>
          <w:tcPr>
            <w:tcW w:type="dxa" w:w="2140"/>
            <w:tcBorders>
              <w:top w:sz="4" w:val="nil"/>
              <w:left w:sz="4" w:val="nil"/>
              <w:bottom w:color="000000" w:sz="4" w:val="single"/>
              <w:right w:color="000000" w:sz="4" w:val="single"/>
            </w:tcBorders>
            <w:vAlign w:val="center"/>
          </w:tcPr>
          <w:p w14:paraId="BD010000">
            <w:pPr>
              <w:spacing w:after="0" w:line="240" w:lineRule="auto"/>
              <w:ind/>
              <w:rPr>
                <w:rFonts w:ascii="Times New Roman" w:hAnsi="Times New Roman"/>
                <w:color w:val="000000"/>
                <w:sz w:val="24"/>
              </w:rPr>
            </w:pPr>
            <w:r>
              <w:rPr>
                <w:rFonts w:ascii="Times New Roman" w:hAnsi="Times New Roman"/>
                <w:color w:val="000000"/>
                <w:sz w:val="24"/>
              </w:rPr>
              <w:t>Начисление курсовой разницы по валютному кредиту</w:t>
            </w:r>
          </w:p>
        </w:tc>
        <w:tc>
          <w:tcPr>
            <w:tcW w:type="dxa" w:w="2220"/>
            <w:tcBorders>
              <w:top w:sz="4" w:val="nil"/>
              <w:left w:sz="4" w:val="nil"/>
              <w:bottom w:color="000000" w:sz="4" w:val="single"/>
              <w:right w:color="000000" w:sz="4" w:val="single"/>
            </w:tcBorders>
            <w:vAlign w:val="center"/>
          </w:tcPr>
          <w:p w14:paraId="BE010000">
            <w:pPr>
              <w:spacing w:after="0" w:line="240" w:lineRule="auto"/>
              <w:ind/>
              <w:rPr>
                <w:rFonts w:ascii="Times New Roman" w:hAnsi="Times New Roman"/>
                <w:color w:val="000000"/>
                <w:sz w:val="24"/>
              </w:rPr>
            </w:pPr>
            <w:r>
              <w:rPr>
                <w:rFonts w:ascii="Times New Roman" w:hAnsi="Times New Roman"/>
                <w:color w:val="000000"/>
                <w:sz w:val="24"/>
              </w:rPr>
              <w:t>91-2 «Прочие расходы» / 91-1 «Прочие доходы»</w:t>
            </w:r>
          </w:p>
        </w:tc>
        <w:tc>
          <w:tcPr>
            <w:tcW w:type="dxa" w:w="2180"/>
            <w:tcBorders>
              <w:top w:sz="4" w:val="nil"/>
              <w:left w:sz="4" w:val="nil"/>
              <w:bottom w:color="000000" w:sz="4" w:val="single"/>
              <w:right w:color="000000" w:sz="4" w:val="single"/>
            </w:tcBorders>
            <w:vAlign w:val="center"/>
          </w:tcPr>
          <w:p w14:paraId="BF010000">
            <w:pPr>
              <w:spacing w:after="0" w:line="240" w:lineRule="auto"/>
              <w:ind/>
              <w:rPr>
                <w:rFonts w:ascii="Times New Roman" w:hAnsi="Times New Roman"/>
                <w:color w:val="000000"/>
                <w:sz w:val="24"/>
              </w:rPr>
            </w:pPr>
            <w:r>
              <w:rPr>
                <w:rFonts w:ascii="Times New Roman" w:hAnsi="Times New Roman"/>
                <w:color w:val="000000"/>
                <w:sz w:val="24"/>
              </w:rPr>
              <w:t>66 / 67</w:t>
            </w:r>
          </w:p>
        </w:tc>
        <w:tc>
          <w:tcPr>
            <w:tcW w:type="dxa" w:w="2080"/>
            <w:tcBorders>
              <w:top w:sz="4" w:val="nil"/>
              <w:left w:sz="4" w:val="nil"/>
              <w:bottom w:color="000000" w:sz="4" w:val="single"/>
              <w:right w:color="000000" w:sz="4" w:val="single"/>
            </w:tcBorders>
            <w:vAlign w:val="center"/>
          </w:tcPr>
          <w:p w14:paraId="C0010000">
            <w:pPr>
              <w:spacing w:after="0" w:line="240" w:lineRule="auto"/>
              <w:ind/>
              <w:rPr>
                <w:rFonts w:ascii="Times New Roman" w:hAnsi="Times New Roman"/>
                <w:color w:val="000000"/>
                <w:sz w:val="24"/>
              </w:rPr>
            </w:pPr>
            <w:r>
              <w:rPr>
                <w:rFonts w:ascii="Times New Roman" w:hAnsi="Times New Roman"/>
                <w:color w:val="000000"/>
                <w:sz w:val="24"/>
              </w:rPr>
              <w:t>При изменении курса валюты</w:t>
            </w:r>
          </w:p>
        </w:tc>
      </w:tr>
      <w:tr>
        <w:trPr>
          <w:trHeight w:hRule="atLeast" w:val="864"/>
        </w:trPr>
        <w:tc>
          <w:tcPr>
            <w:tcW w:type="dxa" w:w="960"/>
            <w:tcBorders>
              <w:top w:sz="4" w:val="nil"/>
              <w:left w:color="000000" w:sz="4" w:val="single"/>
              <w:bottom w:color="000000" w:sz="4" w:val="single"/>
              <w:right w:color="000000" w:sz="4" w:val="single"/>
            </w:tcBorders>
            <w:vAlign w:val="center"/>
          </w:tcPr>
          <w:p w14:paraId="C1010000">
            <w:pPr>
              <w:spacing w:after="0" w:line="240" w:lineRule="auto"/>
              <w:ind/>
              <w:jc w:val="right"/>
              <w:rPr>
                <w:rFonts w:ascii="Times New Roman" w:hAnsi="Times New Roman"/>
                <w:color w:val="000000"/>
                <w:sz w:val="24"/>
              </w:rPr>
            </w:pPr>
            <w:r>
              <w:rPr>
                <w:rFonts w:ascii="Times New Roman" w:hAnsi="Times New Roman"/>
                <w:color w:val="000000"/>
                <w:sz w:val="24"/>
              </w:rPr>
              <w:t>9</w:t>
            </w:r>
          </w:p>
        </w:tc>
        <w:tc>
          <w:tcPr>
            <w:tcW w:type="dxa" w:w="2140"/>
            <w:tcBorders>
              <w:top w:sz="4" w:val="nil"/>
              <w:left w:sz="4" w:val="nil"/>
              <w:bottom w:color="000000" w:sz="4" w:val="single"/>
              <w:right w:color="000000" w:sz="4" w:val="single"/>
            </w:tcBorders>
            <w:vAlign w:val="center"/>
          </w:tcPr>
          <w:p w14:paraId="C2010000">
            <w:pPr>
              <w:spacing w:after="0" w:line="240" w:lineRule="auto"/>
              <w:ind/>
              <w:rPr>
                <w:rFonts w:ascii="Times New Roman" w:hAnsi="Times New Roman"/>
                <w:color w:val="000000"/>
                <w:sz w:val="24"/>
              </w:rPr>
            </w:pPr>
            <w:r>
              <w:rPr>
                <w:rFonts w:ascii="Times New Roman" w:hAnsi="Times New Roman"/>
                <w:color w:val="000000"/>
                <w:sz w:val="24"/>
              </w:rPr>
              <w:t>Обеспечение кредита (залог, поручительство)</w:t>
            </w:r>
          </w:p>
        </w:tc>
        <w:tc>
          <w:tcPr>
            <w:tcW w:type="dxa" w:w="2220"/>
            <w:tcBorders>
              <w:top w:sz="4" w:val="nil"/>
              <w:left w:sz="4" w:val="nil"/>
              <w:bottom w:color="000000" w:sz="4" w:val="single"/>
              <w:right w:color="000000" w:sz="4" w:val="single"/>
            </w:tcBorders>
            <w:vAlign w:val="center"/>
          </w:tcPr>
          <w:p w14:paraId="C3010000">
            <w:pPr>
              <w:spacing w:after="0" w:line="240" w:lineRule="auto"/>
              <w:ind/>
              <w:rPr>
                <w:rFonts w:ascii="Times New Roman" w:hAnsi="Times New Roman"/>
                <w:color w:val="000000"/>
                <w:sz w:val="24"/>
              </w:rPr>
            </w:pPr>
            <w:r>
              <w:rPr>
                <w:rFonts w:ascii="Times New Roman" w:hAnsi="Times New Roman"/>
                <w:color w:val="000000"/>
                <w:sz w:val="24"/>
              </w:rPr>
              <w:t>76 «Расчеты с разными дебиторами и кредиторами»</w:t>
            </w:r>
          </w:p>
        </w:tc>
        <w:tc>
          <w:tcPr>
            <w:tcW w:type="dxa" w:w="2180"/>
            <w:tcBorders>
              <w:top w:sz="4" w:val="nil"/>
              <w:left w:sz="4" w:val="nil"/>
              <w:bottom w:color="000000" w:sz="4" w:val="single"/>
              <w:right w:color="000000" w:sz="4" w:val="single"/>
            </w:tcBorders>
            <w:vAlign w:val="center"/>
          </w:tcPr>
          <w:p w14:paraId="C4010000">
            <w:pPr>
              <w:spacing w:after="0" w:line="240" w:lineRule="auto"/>
              <w:ind/>
              <w:rPr>
                <w:rFonts w:ascii="Times New Roman" w:hAnsi="Times New Roman"/>
                <w:color w:val="000000"/>
                <w:sz w:val="24"/>
              </w:rPr>
            </w:pPr>
            <w:r>
              <w:rPr>
                <w:rFonts w:ascii="Times New Roman" w:hAnsi="Times New Roman"/>
                <w:color w:val="000000"/>
                <w:sz w:val="24"/>
              </w:rPr>
              <w:t>66 / 67</w:t>
            </w:r>
          </w:p>
        </w:tc>
        <w:tc>
          <w:tcPr>
            <w:tcW w:type="dxa" w:w="2080"/>
            <w:tcBorders>
              <w:top w:sz="4" w:val="nil"/>
              <w:left w:sz="4" w:val="nil"/>
              <w:bottom w:color="000000" w:sz="4" w:val="single"/>
              <w:right w:color="000000" w:sz="4" w:val="single"/>
            </w:tcBorders>
            <w:vAlign w:val="center"/>
          </w:tcPr>
          <w:p w14:paraId="C5010000">
            <w:pPr>
              <w:spacing w:after="0" w:line="240" w:lineRule="auto"/>
              <w:ind/>
              <w:rPr>
                <w:rFonts w:ascii="Times New Roman" w:hAnsi="Times New Roman"/>
                <w:color w:val="000000"/>
                <w:sz w:val="24"/>
              </w:rPr>
            </w:pPr>
            <w:r>
              <w:rPr>
                <w:rFonts w:ascii="Times New Roman" w:hAnsi="Times New Roman"/>
                <w:color w:val="000000"/>
                <w:sz w:val="24"/>
              </w:rPr>
              <w:t>Для контроля и учета обеспечения</w:t>
            </w:r>
          </w:p>
        </w:tc>
      </w:tr>
    </w:tbl>
    <w:p w14:paraId="C6010000">
      <w:pPr>
        <w:spacing w:after="0" w:line="360" w:lineRule="auto"/>
        <w:ind/>
        <w:jc w:val="both"/>
        <w:rPr>
          <w:rFonts w:ascii="Times New Roman" w:hAnsi="Times New Roman"/>
          <w:sz w:val="28"/>
        </w:rPr>
      </w:pPr>
    </w:p>
    <w:p w14:paraId="C7010000">
      <w:pPr>
        <w:spacing w:after="0" w:line="360" w:lineRule="auto"/>
        <w:ind w:firstLine="851" w:left="0"/>
        <w:jc w:val="both"/>
        <w:rPr>
          <w:rFonts w:ascii="Times New Roman" w:hAnsi="Times New Roman"/>
          <w:sz w:val="28"/>
        </w:rPr>
      </w:pPr>
      <w:r>
        <w:rPr>
          <w:rFonts w:ascii="Times New Roman" w:hAnsi="Times New Roman"/>
          <w:sz w:val="28"/>
        </w:rPr>
        <w:t xml:space="preserve">Когда организация работает с валютными кредитами и займами, правильность их отражения в учёте выходит на первый план. В отличие от рублевых заимствований, валютные обязательства пересчитывают на каждую отчетную дату, а также на день совершения операции – получения или погашения. Курсовые разницы, которые при этом возникают, относят на прочие доходы либо прочие расходы: всё зависит от того, вырос или упал курс иностранной валюты к рублю. Саму сумму основного долга пересчитывают по официальному курсу ЦБ РФ, и проценты, начисленные в валюте, тоже подлежат переоценке. В налоговом учёте порядок признания курсовых разниц </w:t>
      </w:r>
      <w:r>
        <w:rPr>
          <w:rFonts w:ascii="Times New Roman" w:hAnsi="Times New Roman"/>
          <w:sz w:val="28"/>
        </w:rPr>
        <w:t>может отличаться от бухгалтерского, поэтому приходится вести отдельные регистры и руководствоваться нормами ПБУ 3/2006. Организациям, получающим валютные кредиты, стоит внимательно следить за изменениями в валютном законодательстве и вовремя отражать все операции, связанные с покупкой и продажей валюты для обслуживания долга.</w:t>
      </w:r>
    </w:p>
    <w:p w14:paraId="C8010000">
      <w:pPr>
        <w:spacing w:after="0" w:line="360" w:lineRule="auto"/>
        <w:ind w:firstLine="851" w:left="0"/>
        <w:jc w:val="both"/>
        <w:rPr>
          <w:rFonts w:ascii="Times New Roman" w:hAnsi="Times New Roman"/>
          <w:sz w:val="28"/>
        </w:rPr>
      </w:pPr>
      <w:r>
        <w:rPr>
          <w:rFonts w:ascii="Times New Roman" w:hAnsi="Times New Roman"/>
          <w:sz w:val="28"/>
        </w:rPr>
        <w:t>В ПАО «Газпром» помимо внешнего контроля со стороны аудиторов и надзорных органов, внутри компании выстроен собственный эффективный контроль за операциями по кредитам и займам. Данный контроль охватывает проверку соблюдения условий договоров, полноту и своевременность начисления процентов, целевое использование полученных средств, правильность оформления документов. Для этого разработаны внутренние регламенты, графики документооборота, должностные инструкции для бухгалтерии и финансовых служб. Ключевые элементы внутреннего контроля включают: регулярную сверку расчётов с банками и заимодавцами, утверждение лимитов ответственности при подписании кредитных договоров, отслеживание сроков погашения для недопущения просрочек, а также периодические проверки со стороны внутреннего аудита или ревизионной комиссии.</w:t>
      </w:r>
    </w:p>
    <w:p w14:paraId="C9010000">
      <w:pPr>
        <w:spacing w:after="0" w:line="360" w:lineRule="auto"/>
        <w:ind w:firstLine="851" w:left="0"/>
        <w:jc w:val="both"/>
        <w:rPr>
          <w:rFonts w:ascii="Times New Roman" w:hAnsi="Times New Roman"/>
          <w:sz w:val="28"/>
        </w:rPr>
      </w:pPr>
      <w:r>
        <w:rPr>
          <w:rFonts w:ascii="Times New Roman" w:hAnsi="Times New Roman"/>
          <w:sz w:val="28"/>
        </w:rPr>
        <w:t>В организации проводится всесторонняя автоматизация учёта кредитов и займов. В компании применяется программный продукт «1</w:t>
      </w:r>
      <w:r>
        <w:rPr>
          <w:rFonts w:ascii="Times New Roman" w:hAnsi="Times New Roman"/>
          <w:sz w:val="28"/>
        </w:rPr>
        <w:t>С: Бухгалтерия</w:t>
      </w:r>
      <w:r>
        <w:rPr>
          <w:rFonts w:ascii="Times New Roman" w:hAnsi="Times New Roman"/>
          <w:sz w:val="28"/>
        </w:rPr>
        <w:t xml:space="preserve">» с доработкой по учёту заёмных средств и интеграцией с системой «клиент-банк». Автоматизация позволяет бухгалтерии не только формировать стандартные проводки при операциях по кредитам и займам, но и автоматически рассчитывать сложные схемы процентов (аннуитетные и дифференцированные платежи), осуществлять переоценку валютных обязательств на каждую отчётную дату, а также ежедневно вести контроль за графиком платежей и получать автоматические уведомления о приближении сроков погашения. </w:t>
      </w:r>
    </w:p>
    <w:p w14:paraId="CA010000">
      <w:pPr>
        <w:spacing w:after="0" w:line="360" w:lineRule="auto"/>
        <w:ind w:firstLine="851" w:left="0"/>
        <w:jc w:val="both"/>
        <w:rPr>
          <w:rFonts w:ascii="Times New Roman" w:hAnsi="Times New Roman"/>
          <w:sz w:val="28"/>
        </w:rPr>
      </w:pPr>
      <w:r>
        <w:rPr>
          <w:rFonts w:ascii="Times New Roman" w:hAnsi="Times New Roman"/>
          <w:sz w:val="28"/>
        </w:rPr>
        <w:t xml:space="preserve">В системе ведётся детальный аналитический учёт по каждому кредитному договору и каждому заимодавцу, формируются регистры </w:t>
      </w:r>
      <w:r>
        <w:rPr>
          <w:rFonts w:ascii="Times New Roman" w:hAnsi="Times New Roman"/>
          <w:sz w:val="28"/>
        </w:rPr>
        <w:t xml:space="preserve">синтетического и аналитического учёта, а отчётные формы (в том числе расшифровки строк баланса 1510 и 1410) заполняются автоматически на основании введённых данных. Настроены маршруты согласования новых кредитных договоров между финансовой и юридической службами, ограничен доступ к данным о заёмных обязательствах, а все первичные документы хранятся в электронном архиве системы. </w:t>
      </w:r>
    </w:p>
    <w:p w14:paraId="CB010000">
      <w:pPr>
        <w:spacing w:after="0" w:line="360" w:lineRule="auto"/>
        <w:ind w:firstLine="851" w:left="0"/>
        <w:jc w:val="both"/>
        <w:rPr>
          <w:rFonts w:ascii="Times New Roman" w:hAnsi="Times New Roman"/>
          <w:sz w:val="28"/>
        </w:rPr>
      </w:pPr>
      <w:r>
        <w:rPr>
          <w:rFonts w:ascii="Times New Roman" w:hAnsi="Times New Roman"/>
          <w:sz w:val="28"/>
        </w:rPr>
        <w:t>Переход на автоматизированный учёт позволил существенно снизить трудоёмкость обработки операций по кредитам и займам, полностью исключить арифметические ошибки при расчёте процентов и сократить время получения управленческой информации о состоянии расчётов с кредиторами до одного рабочего дня.</w:t>
      </w:r>
    </w:p>
    <w:p w14:paraId="CC010000">
      <w:pPr>
        <w:spacing w:after="0" w:line="360" w:lineRule="auto"/>
        <w:ind w:firstLine="851" w:left="0"/>
        <w:jc w:val="both"/>
        <w:rPr>
          <w:rFonts w:ascii="Times New Roman" w:hAnsi="Times New Roman"/>
          <w:sz w:val="28"/>
        </w:rPr>
      </w:pPr>
      <w:r>
        <w:rPr>
          <w:rFonts w:ascii="Times New Roman" w:hAnsi="Times New Roman"/>
          <w:sz w:val="28"/>
        </w:rPr>
        <w:t>В бухгалтерском учёте проценты по кредитам и займам отражаются в полной сумме за отчётный период. В налоговом учёте их начисление лимитировано статьёй 269 Налогового кодекса. Для контролируемых сделок применяются правила тонкой капитализации, по которым проценты ограничиваются размером покупной стоимости или иного входящего имущества. Для всех остальных случаев процентные расходы нормируются исходя из ключевой ставки Центрального банка России. При использовании метода начисления организации должны правильно определять даты признания процентов, обычно это последние дни месяцев для большинства кредитных договоров.</w:t>
      </w:r>
    </w:p>
    <w:p w14:paraId="CD010000">
      <w:pPr>
        <w:spacing w:after="0" w:line="360" w:lineRule="auto"/>
        <w:ind w:firstLine="851" w:left="0"/>
        <w:jc w:val="both"/>
        <w:rPr>
          <w:rFonts w:ascii="Times New Roman" w:hAnsi="Times New Roman"/>
          <w:sz w:val="28"/>
        </w:rPr>
      </w:pPr>
      <w:r>
        <w:rPr>
          <w:rFonts w:ascii="Times New Roman" w:hAnsi="Times New Roman"/>
          <w:sz w:val="28"/>
        </w:rPr>
        <w:t>Если сумма начисленных в бухгалтерском учёте процентов превышает установленные налоговыми лимитами размеры, возникают временные разницы, отражаемые по ПБУ 18/02. Для исправного исчисления налога на прибыль организации должны вести отдельные регистры или настраивать соответствующую аналитику в своей автоматизированной системе учёта.</w:t>
      </w:r>
    </w:p>
    <w:p w14:paraId="CE010000">
      <w:pPr>
        <w:spacing w:after="0" w:line="360" w:lineRule="auto"/>
        <w:ind w:firstLine="851" w:left="0"/>
        <w:jc w:val="both"/>
        <w:rPr>
          <w:rFonts w:ascii="Times New Roman" w:hAnsi="Times New Roman"/>
          <w:sz w:val="28"/>
        </w:rPr>
      </w:pPr>
      <w:r>
        <w:rPr>
          <w:rFonts w:ascii="Times New Roman" w:hAnsi="Times New Roman"/>
          <w:sz w:val="28"/>
        </w:rPr>
        <w:t xml:space="preserve">В крупных структурах, к которым относится и ПАО «Газпром», актуален учёт кредитов и займов на консолидированном уровне. Дочерние общества могут привлекать средства как самостоятельно, так и под поручительство материнской компании, а также предоставлять внутренние </w:t>
      </w:r>
      <w:r>
        <w:rPr>
          <w:rFonts w:ascii="Times New Roman" w:hAnsi="Times New Roman"/>
          <w:sz w:val="28"/>
        </w:rPr>
        <w:t xml:space="preserve">займы друг другу. Ведение консолидированного учёта позволяет собрать информацию обо всех обязательствах группы, контролировать совокупный долг и процентные риски, исключать внутригрупповые займы и проценты при подготовке сводной отчётности (например, по МСФО). </w:t>
      </w:r>
    </w:p>
    <w:p w14:paraId="CF010000">
      <w:pPr>
        <w:spacing w:after="0" w:line="360" w:lineRule="auto"/>
        <w:ind w:firstLine="851" w:left="0"/>
        <w:jc w:val="both"/>
        <w:rPr>
          <w:rFonts w:ascii="Times New Roman" w:hAnsi="Times New Roman"/>
          <w:sz w:val="28"/>
        </w:rPr>
      </w:pPr>
      <w:r>
        <w:rPr>
          <w:rFonts w:ascii="Times New Roman" w:hAnsi="Times New Roman"/>
          <w:sz w:val="28"/>
        </w:rPr>
        <w:t xml:space="preserve">При консолидации важно элиминировать операции по выдаче займов между организациями группы, а также начисленные, но не уплаченные проценты по таким займам, иначе показатели активов и обязательств сводного баланса будут завышены. Для этого применяются специализированные консолидационные модули в ERP-системах, которые делают соответствующие корректировки и позволяют получить реальную картину долговой нагрузки всей группы. </w:t>
      </w:r>
    </w:p>
    <w:p w14:paraId="D0010000">
      <w:pPr>
        <w:spacing w:after="0" w:line="360" w:lineRule="auto"/>
        <w:ind w:firstLine="851" w:left="0"/>
        <w:jc w:val="both"/>
        <w:rPr>
          <w:rFonts w:ascii="Times New Roman" w:hAnsi="Times New Roman"/>
          <w:sz w:val="28"/>
        </w:rPr>
      </w:pPr>
      <w:r>
        <w:rPr>
          <w:rFonts w:ascii="Times New Roman" w:hAnsi="Times New Roman"/>
          <w:sz w:val="28"/>
        </w:rPr>
        <w:t>Помимо этого, учёт кредитов и займов на консолидированном уровне необходим для управления финансовыми рисками, оптимизации структуры заимствований и принятия обоснованных решений по рефинансированию или привлечению</w:t>
      </w:r>
    </w:p>
    <w:p w14:paraId="D1010000">
      <w:pPr>
        <w:spacing w:after="0" w:line="360" w:lineRule="auto"/>
        <w:ind w:firstLine="851" w:left="0"/>
        <w:jc w:val="both"/>
        <w:rPr>
          <w:rFonts w:ascii="Times New Roman" w:hAnsi="Times New Roman"/>
          <w:sz w:val="28"/>
        </w:rPr>
      </w:pPr>
      <w:r>
        <w:rPr>
          <w:rFonts w:ascii="Times New Roman" w:hAnsi="Times New Roman"/>
          <w:sz w:val="28"/>
        </w:rPr>
        <w:t>Правильно и полно раскрыть информацию о кредитах и займах в бухгалтерской отчетности – задача не менее важная, чем корректно вести текущий учёт. Пункты 17 и 18 ПБУ 15/2008 требуют, чтобы организации показывали в отчётности суммы задолженности по основному долгу и процентам, сроки погашения, способы обеспечения, а также расходы, связанные с обслуживанием заимствований. Основные данные для внешних пользователей содержатся в бухгалтерском балансе, отчёте о финансовых результатах и отчёте о движении денежных средств.</w:t>
      </w:r>
    </w:p>
    <w:p w14:paraId="D2010000">
      <w:pPr>
        <w:spacing w:after="0" w:line="360" w:lineRule="auto"/>
        <w:ind w:firstLine="851" w:left="0"/>
        <w:jc w:val="both"/>
        <w:rPr>
          <w:rFonts w:ascii="Times New Roman" w:hAnsi="Times New Roman"/>
          <w:sz w:val="28"/>
        </w:rPr>
      </w:pPr>
      <w:r>
        <w:rPr>
          <w:rFonts w:ascii="Times New Roman" w:hAnsi="Times New Roman"/>
          <w:sz w:val="28"/>
        </w:rPr>
        <w:t xml:space="preserve">В бухгалтерском балансе полученные кредиты и займы попадают в раздел обязательств. Краткосрочные – те, которые надо погасить в течение 12 месяцев, – отражаются по строке 1510. Долгосрочные (срок свыше года) – по строке 1410. Суммы основного долга показывают с учётом всех полученных и непогашенных на отчётную дату заимствований. Начисленные, но ещё не уплаченные проценты тоже увеличивают обязательства, но их могут учитывать либо в составе кредиторской задолженности, либо отдельно – это </w:t>
      </w:r>
      <w:r>
        <w:rPr>
          <w:rFonts w:ascii="Times New Roman" w:hAnsi="Times New Roman"/>
          <w:sz w:val="28"/>
        </w:rPr>
        <w:t xml:space="preserve">зависит от учётной политики. Важно помнить: если до погашения долгосрочного кредита на отчётную дату остаётся меньше 12 месяцев, такую задолженность в балансе надо </w:t>
      </w:r>
      <w:r>
        <w:rPr>
          <w:rFonts w:ascii="Times New Roman" w:hAnsi="Times New Roman"/>
          <w:sz w:val="28"/>
        </w:rPr>
        <w:t>показать</w:t>
      </w:r>
      <w:r>
        <w:rPr>
          <w:rFonts w:ascii="Times New Roman" w:hAnsi="Times New Roman"/>
          <w:sz w:val="28"/>
        </w:rPr>
        <w:t xml:space="preserve"> как краткосрочную. Переносить её со счёта 67 на счёт 66 в аналитическом учёте формально не требуется.</w:t>
      </w:r>
    </w:p>
    <w:p w14:paraId="D3010000">
      <w:pPr>
        <w:spacing w:after="0" w:line="360" w:lineRule="auto"/>
        <w:ind w:firstLine="851" w:left="0"/>
        <w:jc w:val="both"/>
        <w:rPr>
          <w:rFonts w:ascii="Times New Roman" w:hAnsi="Times New Roman"/>
          <w:sz w:val="28"/>
        </w:rPr>
      </w:pPr>
      <w:r>
        <w:rPr>
          <w:rFonts w:ascii="Times New Roman" w:hAnsi="Times New Roman"/>
          <w:sz w:val="28"/>
        </w:rPr>
        <w:t>В отчёте о финансовых результатах влияние кредитов и займов раскрывается прежде всего через процентные расходы. Начисленные проценты, а также сопутствующие затраты (оплата консультационных, юридических услуг, экспертиз договоров) включаются в состав прочих расходов и попадают в строку 2330 «Проценты к уплате». Исключение: если заёмные средства потратили на приобретение инвестиционного актива (например, строящегося объекта основных средств), то проценты в бухгалтерском учёте включаются в стоимость этого актива, а не в текущие расходы. Курсовые разницы по валютным кредитам и займам тоже находят своё место в отчёте: положительные идут в прочие доходы, отрицательные – в прочие расходы. Само получение суммы основного долга или её погашение напрямую в отчёте о финансовых результатах не отражается – эти операции не формируют ни доходов, ни расходов.</w:t>
      </w:r>
    </w:p>
    <w:p w14:paraId="D4010000">
      <w:pPr>
        <w:spacing w:after="0" w:line="360" w:lineRule="auto"/>
        <w:ind w:firstLine="851" w:left="0"/>
        <w:jc w:val="both"/>
        <w:rPr>
          <w:rFonts w:ascii="Times New Roman" w:hAnsi="Times New Roman"/>
          <w:sz w:val="28"/>
        </w:rPr>
      </w:pPr>
      <w:r>
        <w:rPr>
          <w:rFonts w:ascii="Times New Roman" w:hAnsi="Times New Roman"/>
          <w:sz w:val="28"/>
        </w:rPr>
        <w:t>Чтобы понять движение денег, связанных с кредитами и займами, используют отчёт о движении денежных средств. Поступления от получения кредитов и займов показывают в разделе «Денежные потоки от финансовых операций» как притоки. Погашение основной суммы долга и уплата процентов относятся к тем же финансовым операциям, но уже как оттоки. Такое разделение даёт пользователям отчётности возможность увидеть, насколько организация зависит от внешних заимствований, вовремя ли она рассчитывается по обязательствам и какую долю в структуре финансирования занимают кредиты и займы по сравнению с собственным капиталом. При этом начисление процентов без их фактической уплаты или возникновение курсовых разниц не отражаются в отчёте о движении денежных средств до момента реального перечисления денег.</w:t>
      </w:r>
    </w:p>
    <w:p w14:paraId="D5010000">
      <w:pPr>
        <w:spacing w:after="0" w:line="360" w:lineRule="auto"/>
        <w:ind w:firstLine="851" w:left="0"/>
        <w:jc w:val="both"/>
        <w:rPr>
          <w:rFonts w:ascii="Times New Roman" w:hAnsi="Times New Roman"/>
          <w:sz w:val="28"/>
        </w:rPr>
      </w:pPr>
      <w:r>
        <w:rPr>
          <w:rFonts w:ascii="Times New Roman" w:hAnsi="Times New Roman"/>
          <w:sz w:val="28"/>
        </w:rPr>
        <w:t>Раскрытие информации об обеспечениях полученных кредитов и займов осуществляется за балансом. Залоги, поручительства и банковские гарантии не находят прямого отражения в основных формах отчетности, но учитываются на забалансовых счетах 008 и 009. Соответствующие сведения приводятся в пояснительной записке, что позволяет пользователям (инвесторам, банкам, кредиторам) оценить риски невозврата и понять, какими активами организация рискует при неисполнении обязательств.</w:t>
      </w:r>
    </w:p>
    <w:p w14:paraId="D6010000">
      <w:pPr>
        <w:spacing w:after="0" w:line="360" w:lineRule="auto"/>
        <w:ind w:firstLine="851" w:left="0"/>
        <w:jc w:val="both"/>
        <w:rPr>
          <w:rFonts w:ascii="Times New Roman" w:hAnsi="Times New Roman"/>
          <w:sz w:val="28"/>
        </w:rPr>
      </w:pPr>
      <w:r>
        <w:rPr>
          <w:rFonts w:ascii="Times New Roman" w:hAnsi="Times New Roman"/>
          <w:sz w:val="28"/>
        </w:rPr>
        <w:t xml:space="preserve">Порядок </w:t>
      </w:r>
      <w:r>
        <w:rPr>
          <w:rFonts w:ascii="Times New Roman" w:hAnsi="Times New Roman"/>
          <w:sz w:val="28"/>
        </w:rPr>
        <w:t xml:space="preserve">отражения различных операций по кредитам и займам в бухгалтерской отчетности </w:t>
      </w:r>
      <w:r>
        <w:rPr>
          <w:rFonts w:ascii="Times New Roman" w:hAnsi="Times New Roman"/>
          <w:sz w:val="28"/>
        </w:rPr>
        <w:t>представлен в таблице 6.</w:t>
      </w:r>
    </w:p>
    <w:p w14:paraId="D7010000">
      <w:pPr>
        <w:spacing w:after="0" w:line="240" w:lineRule="auto"/>
        <w:ind w:firstLine="851" w:left="0"/>
        <w:jc w:val="right"/>
        <w:rPr>
          <w:rFonts w:ascii="Times New Roman" w:hAnsi="Times New Roman"/>
          <w:b w:val="1"/>
          <w:sz w:val="28"/>
        </w:rPr>
      </w:pPr>
      <w:r>
        <w:rPr>
          <w:rFonts w:ascii="Times New Roman" w:hAnsi="Times New Roman"/>
          <w:b w:val="1"/>
          <w:sz w:val="28"/>
        </w:rPr>
        <w:t>Таблица 6</w:t>
      </w:r>
    </w:p>
    <w:p w14:paraId="D8010000">
      <w:pPr>
        <w:spacing w:after="0" w:line="240" w:lineRule="auto"/>
        <w:ind w:firstLine="851" w:left="0"/>
        <w:jc w:val="both"/>
        <w:rPr>
          <w:rFonts w:ascii="Times New Roman" w:hAnsi="Times New Roman"/>
          <w:b w:val="1"/>
          <w:sz w:val="28"/>
        </w:rPr>
      </w:pPr>
      <w:r>
        <w:rPr>
          <w:rFonts w:ascii="Times New Roman" w:hAnsi="Times New Roman"/>
          <w:b w:val="1"/>
          <w:sz w:val="28"/>
        </w:rPr>
        <w:t xml:space="preserve"> Отражение кредитов и займов в бухгалтерской отчетности</w:t>
      </w:r>
    </w:p>
    <w:tbl>
      <w:tblPr>
        <w:tblStyle w:val="Style_3"/>
        <w:tblLayout w:type="fixed"/>
      </w:tblPr>
      <w:tblGrid>
        <w:gridCol w:w="516"/>
        <w:gridCol w:w="1690"/>
        <w:gridCol w:w="2325"/>
        <w:gridCol w:w="1726"/>
        <w:gridCol w:w="1463"/>
        <w:gridCol w:w="1624"/>
      </w:tblGrid>
      <w:tr>
        <w:trPr>
          <w:trHeight w:hRule="atLeast" w:val="864"/>
          <w:tblHeader/>
        </w:trPr>
        <w:tc>
          <w:tcPr>
            <w:tcW w:type="dxa" w:w="516"/>
            <w:tcBorders>
              <w:top w:color="000000" w:sz="4" w:val="single"/>
              <w:left w:color="000000" w:sz="4" w:val="single"/>
              <w:bottom w:color="000000" w:sz="4" w:val="single"/>
              <w:right w:color="000000" w:sz="4" w:val="single"/>
            </w:tcBorders>
            <w:vAlign w:val="center"/>
          </w:tcPr>
          <w:p w14:paraId="D9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 п/п</w:t>
            </w:r>
          </w:p>
        </w:tc>
        <w:tc>
          <w:tcPr>
            <w:tcW w:type="dxa" w:w="1690"/>
            <w:tcBorders>
              <w:top w:color="000000" w:sz="4" w:val="single"/>
              <w:left w:sz="4" w:val="nil"/>
              <w:bottom w:color="000000" w:sz="4" w:val="single"/>
              <w:right w:color="000000" w:sz="4" w:val="single"/>
            </w:tcBorders>
            <w:vAlign w:val="center"/>
          </w:tcPr>
          <w:p w14:paraId="DA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Вид операции</w:t>
            </w:r>
          </w:p>
        </w:tc>
        <w:tc>
          <w:tcPr>
            <w:tcW w:type="dxa" w:w="2325"/>
            <w:tcBorders>
              <w:top w:color="000000" w:sz="4" w:val="single"/>
              <w:left w:sz="4" w:val="nil"/>
              <w:bottom w:color="000000" w:sz="4" w:val="single"/>
              <w:right w:color="000000" w:sz="4" w:val="single"/>
            </w:tcBorders>
            <w:vAlign w:val="center"/>
          </w:tcPr>
          <w:p w14:paraId="DB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Баланс (актив/обязательства)</w:t>
            </w:r>
          </w:p>
        </w:tc>
        <w:tc>
          <w:tcPr>
            <w:tcW w:type="dxa" w:w="1726"/>
            <w:tcBorders>
              <w:top w:color="000000" w:sz="4" w:val="single"/>
              <w:left w:sz="4" w:val="nil"/>
              <w:bottom w:color="000000" w:sz="4" w:val="single"/>
              <w:right w:color="000000" w:sz="4" w:val="single"/>
            </w:tcBorders>
            <w:vAlign w:val="center"/>
          </w:tcPr>
          <w:p w14:paraId="DC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Отчет о финансовых результатах</w:t>
            </w:r>
          </w:p>
        </w:tc>
        <w:tc>
          <w:tcPr>
            <w:tcW w:type="dxa" w:w="1463"/>
            <w:tcBorders>
              <w:top w:color="000000" w:sz="4" w:val="single"/>
              <w:left w:sz="4" w:val="nil"/>
              <w:bottom w:color="000000" w:sz="4" w:val="single"/>
              <w:right w:color="000000" w:sz="4" w:val="single"/>
            </w:tcBorders>
            <w:vAlign w:val="center"/>
          </w:tcPr>
          <w:p w14:paraId="DD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Отчет о движении денежных средств</w:t>
            </w:r>
          </w:p>
        </w:tc>
        <w:tc>
          <w:tcPr>
            <w:tcW w:type="dxa" w:w="1624"/>
            <w:tcBorders>
              <w:top w:color="000000" w:sz="4" w:val="single"/>
              <w:left w:sz="4" w:val="nil"/>
              <w:bottom w:color="000000" w:sz="4" w:val="single"/>
              <w:right w:color="000000" w:sz="4" w:val="single"/>
            </w:tcBorders>
            <w:vAlign w:val="center"/>
          </w:tcPr>
          <w:p w14:paraId="DE01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Примечание</w:t>
            </w:r>
          </w:p>
        </w:tc>
      </w:tr>
      <w:tr>
        <w:trPr>
          <w:trHeight w:hRule="atLeast" w:val="1440"/>
        </w:trPr>
        <w:tc>
          <w:tcPr>
            <w:tcW w:type="dxa" w:w="516"/>
            <w:tcBorders>
              <w:top w:sz="4" w:val="nil"/>
              <w:left w:color="000000" w:sz="4" w:val="single"/>
              <w:bottom w:color="000000" w:sz="4" w:val="single"/>
              <w:right w:color="000000" w:sz="4" w:val="single"/>
            </w:tcBorders>
            <w:vAlign w:val="center"/>
          </w:tcPr>
          <w:p w14:paraId="DF010000">
            <w:pPr>
              <w:spacing w:after="0" w:line="240" w:lineRule="auto"/>
              <w:ind/>
              <w:jc w:val="right"/>
              <w:rPr>
                <w:rFonts w:ascii="Times New Roman" w:hAnsi="Times New Roman"/>
                <w:color w:val="000000"/>
                <w:sz w:val="24"/>
              </w:rPr>
            </w:pPr>
            <w:r>
              <w:rPr>
                <w:rFonts w:ascii="Times New Roman" w:hAnsi="Times New Roman"/>
                <w:color w:val="000000"/>
                <w:sz w:val="24"/>
              </w:rPr>
              <w:t>1</w:t>
            </w:r>
          </w:p>
        </w:tc>
        <w:tc>
          <w:tcPr>
            <w:tcW w:type="dxa" w:w="1690"/>
            <w:tcBorders>
              <w:top w:sz="4" w:val="nil"/>
              <w:left w:sz="4" w:val="nil"/>
              <w:bottom w:color="000000" w:sz="4" w:val="single"/>
              <w:right w:color="000000" w:sz="4" w:val="single"/>
            </w:tcBorders>
            <w:vAlign w:val="center"/>
          </w:tcPr>
          <w:p w14:paraId="E0010000">
            <w:pPr>
              <w:spacing w:after="0" w:line="240" w:lineRule="auto"/>
              <w:ind/>
              <w:rPr>
                <w:rFonts w:ascii="Times New Roman" w:hAnsi="Times New Roman"/>
                <w:color w:val="000000"/>
                <w:sz w:val="24"/>
              </w:rPr>
            </w:pPr>
            <w:r>
              <w:rPr>
                <w:rFonts w:ascii="Times New Roman" w:hAnsi="Times New Roman"/>
                <w:color w:val="000000"/>
                <w:sz w:val="24"/>
              </w:rPr>
              <w:t>Получение долгосрочного кредита</w:t>
            </w:r>
          </w:p>
        </w:tc>
        <w:tc>
          <w:tcPr>
            <w:tcW w:type="dxa" w:w="2325"/>
            <w:tcBorders>
              <w:top w:sz="4" w:val="nil"/>
              <w:left w:sz="4" w:val="nil"/>
              <w:bottom w:color="000000" w:sz="4" w:val="single"/>
              <w:right w:color="000000" w:sz="4" w:val="single"/>
            </w:tcBorders>
            <w:vAlign w:val="center"/>
          </w:tcPr>
          <w:p w14:paraId="E1010000">
            <w:pPr>
              <w:spacing w:after="0" w:line="240" w:lineRule="auto"/>
              <w:ind/>
              <w:rPr>
                <w:rFonts w:ascii="Times New Roman" w:hAnsi="Times New Roman"/>
                <w:color w:val="000000"/>
                <w:sz w:val="24"/>
              </w:rPr>
            </w:pPr>
            <w:r>
              <w:rPr>
                <w:rFonts w:ascii="Times New Roman" w:hAnsi="Times New Roman"/>
                <w:color w:val="000000"/>
                <w:sz w:val="24"/>
              </w:rPr>
              <w:t>Увеличение денежных средств (актив) / Увеличение долгосрочных обязательств</w:t>
            </w:r>
          </w:p>
        </w:tc>
        <w:tc>
          <w:tcPr>
            <w:tcW w:type="dxa" w:w="1726"/>
            <w:tcBorders>
              <w:top w:sz="4" w:val="nil"/>
              <w:left w:sz="4" w:val="nil"/>
              <w:bottom w:color="000000" w:sz="4" w:val="single"/>
              <w:right w:color="000000" w:sz="4" w:val="single"/>
            </w:tcBorders>
            <w:vAlign w:val="center"/>
          </w:tcPr>
          <w:p w14:paraId="E2010000">
            <w:pPr>
              <w:spacing w:after="0" w:line="240" w:lineRule="auto"/>
              <w:ind/>
              <w:rPr>
                <w:rFonts w:ascii="Times New Roman" w:hAnsi="Times New Roman"/>
                <w:color w:val="000000"/>
                <w:sz w:val="24"/>
              </w:rPr>
            </w:pPr>
            <w:r>
              <w:rPr>
                <w:rFonts w:ascii="Times New Roman" w:hAnsi="Times New Roman"/>
                <w:color w:val="000000"/>
                <w:sz w:val="24"/>
              </w:rPr>
              <w:t>Не отражается напрямую</w:t>
            </w:r>
          </w:p>
        </w:tc>
        <w:tc>
          <w:tcPr>
            <w:tcW w:type="dxa" w:w="1463"/>
            <w:tcBorders>
              <w:top w:sz="4" w:val="nil"/>
              <w:left w:sz="4" w:val="nil"/>
              <w:bottom w:color="000000" w:sz="4" w:val="single"/>
              <w:right w:color="000000" w:sz="4" w:val="single"/>
            </w:tcBorders>
            <w:vAlign w:val="center"/>
          </w:tcPr>
          <w:p w14:paraId="E3010000">
            <w:pPr>
              <w:spacing w:after="0" w:line="240" w:lineRule="auto"/>
              <w:ind/>
              <w:rPr>
                <w:rFonts w:ascii="Times New Roman" w:hAnsi="Times New Roman"/>
                <w:color w:val="000000"/>
                <w:sz w:val="24"/>
              </w:rPr>
            </w:pPr>
            <w:r>
              <w:rPr>
                <w:rFonts w:ascii="Times New Roman" w:hAnsi="Times New Roman"/>
                <w:color w:val="000000"/>
                <w:sz w:val="24"/>
              </w:rPr>
              <w:t>Приток денежных средств (финансовая деятельность)</w:t>
            </w:r>
          </w:p>
        </w:tc>
        <w:tc>
          <w:tcPr>
            <w:tcW w:type="dxa" w:w="1624"/>
            <w:tcBorders>
              <w:top w:sz="4" w:val="nil"/>
              <w:left w:sz="4" w:val="nil"/>
              <w:bottom w:color="000000" w:sz="4" w:val="single"/>
              <w:right w:color="000000" w:sz="4" w:val="single"/>
            </w:tcBorders>
            <w:vAlign w:val="center"/>
          </w:tcPr>
          <w:p w14:paraId="E4010000">
            <w:pPr>
              <w:spacing w:after="0" w:line="240" w:lineRule="auto"/>
              <w:ind/>
              <w:rPr>
                <w:rFonts w:ascii="Times New Roman" w:hAnsi="Times New Roman"/>
                <w:color w:val="000000"/>
                <w:sz w:val="24"/>
              </w:rPr>
            </w:pPr>
            <w:r>
              <w:rPr>
                <w:rFonts w:ascii="Times New Roman" w:hAnsi="Times New Roman"/>
                <w:color w:val="000000"/>
                <w:sz w:val="24"/>
              </w:rPr>
              <w:t>Основной долг</w:t>
            </w:r>
          </w:p>
        </w:tc>
      </w:tr>
      <w:tr>
        <w:trPr>
          <w:trHeight w:hRule="atLeast" w:val="1440"/>
        </w:trPr>
        <w:tc>
          <w:tcPr>
            <w:tcW w:type="dxa" w:w="516"/>
            <w:tcBorders>
              <w:top w:sz="4" w:val="nil"/>
              <w:left w:color="000000" w:sz="4" w:val="single"/>
              <w:bottom w:color="000000" w:sz="4" w:val="single"/>
              <w:right w:color="000000" w:sz="4" w:val="single"/>
            </w:tcBorders>
            <w:vAlign w:val="center"/>
          </w:tcPr>
          <w:p w14:paraId="E501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1690"/>
            <w:tcBorders>
              <w:top w:sz="4" w:val="nil"/>
              <w:left w:sz="4" w:val="nil"/>
              <w:bottom w:color="000000" w:sz="4" w:val="single"/>
              <w:right w:color="000000" w:sz="4" w:val="single"/>
            </w:tcBorders>
            <w:vAlign w:val="center"/>
          </w:tcPr>
          <w:p w14:paraId="E6010000">
            <w:pPr>
              <w:spacing w:after="0" w:line="240" w:lineRule="auto"/>
              <w:ind/>
              <w:rPr>
                <w:rFonts w:ascii="Times New Roman" w:hAnsi="Times New Roman"/>
                <w:color w:val="000000"/>
                <w:sz w:val="24"/>
              </w:rPr>
            </w:pPr>
            <w:r>
              <w:rPr>
                <w:rFonts w:ascii="Times New Roman" w:hAnsi="Times New Roman"/>
                <w:color w:val="000000"/>
                <w:sz w:val="24"/>
              </w:rPr>
              <w:t>Получение краткосрочного кредита</w:t>
            </w:r>
          </w:p>
        </w:tc>
        <w:tc>
          <w:tcPr>
            <w:tcW w:type="dxa" w:w="2325"/>
            <w:tcBorders>
              <w:top w:sz="4" w:val="nil"/>
              <w:left w:sz="4" w:val="nil"/>
              <w:bottom w:color="000000" w:sz="4" w:val="single"/>
              <w:right w:color="000000" w:sz="4" w:val="single"/>
            </w:tcBorders>
            <w:vAlign w:val="center"/>
          </w:tcPr>
          <w:p w14:paraId="E7010000">
            <w:pPr>
              <w:spacing w:after="0" w:line="240" w:lineRule="auto"/>
              <w:ind/>
              <w:rPr>
                <w:rFonts w:ascii="Times New Roman" w:hAnsi="Times New Roman"/>
                <w:color w:val="000000"/>
                <w:sz w:val="24"/>
              </w:rPr>
            </w:pPr>
            <w:r>
              <w:rPr>
                <w:rFonts w:ascii="Times New Roman" w:hAnsi="Times New Roman"/>
                <w:color w:val="000000"/>
                <w:sz w:val="24"/>
              </w:rPr>
              <w:t>Увеличение денежных средств (актив) / Увеличение краткосрочных обязательств</w:t>
            </w:r>
          </w:p>
        </w:tc>
        <w:tc>
          <w:tcPr>
            <w:tcW w:type="dxa" w:w="1726"/>
            <w:tcBorders>
              <w:top w:sz="4" w:val="nil"/>
              <w:left w:sz="4" w:val="nil"/>
              <w:bottom w:color="000000" w:sz="4" w:val="single"/>
              <w:right w:color="000000" w:sz="4" w:val="single"/>
            </w:tcBorders>
            <w:vAlign w:val="center"/>
          </w:tcPr>
          <w:p w14:paraId="E8010000">
            <w:pPr>
              <w:spacing w:after="0" w:line="240" w:lineRule="auto"/>
              <w:ind/>
              <w:rPr>
                <w:rFonts w:ascii="Times New Roman" w:hAnsi="Times New Roman"/>
                <w:color w:val="000000"/>
                <w:sz w:val="24"/>
              </w:rPr>
            </w:pPr>
            <w:r>
              <w:rPr>
                <w:rFonts w:ascii="Times New Roman" w:hAnsi="Times New Roman"/>
                <w:color w:val="000000"/>
                <w:sz w:val="24"/>
              </w:rPr>
              <w:t>Не отражается напрямую</w:t>
            </w:r>
          </w:p>
        </w:tc>
        <w:tc>
          <w:tcPr>
            <w:tcW w:type="dxa" w:w="1463"/>
            <w:tcBorders>
              <w:top w:sz="4" w:val="nil"/>
              <w:left w:sz="4" w:val="nil"/>
              <w:bottom w:color="000000" w:sz="4" w:val="single"/>
              <w:right w:color="000000" w:sz="4" w:val="single"/>
            </w:tcBorders>
            <w:vAlign w:val="center"/>
          </w:tcPr>
          <w:p w14:paraId="E9010000">
            <w:pPr>
              <w:spacing w:after="0" w:line="240" w:lineRule="auto"/>
              <w:ind/>
              <w:rPr>
                <w:rFonts w:ascii="Times New Roman" w:hAnsi="Times New Roman"/>
                <w:color w:val="000000"/>
                <w:sz w:val="24"/>
              </w:rPr>
            </w:pPr>
            <w:r>
              <w:rPr>
                <w:rFonts w:ascii="Times New Roman" w:hAnsi="Times New Roman"/>
                <w:color w:val="000000"/>
                <w:sz w:val="24"/>
              </w:rPr>
              <w:t>Приток денежных средств (финансовая деятельность)</w:t>
            </w:r>
          </w:p>
        </w:tc>
        <w:tc>
          <w:tcPr>
            <w:tcW w:type="dxa" w:w="1624"/>
            <w:tcBorders>
              <w:top w:sz="4" w:val="nil"/>
              <w:left w:sz="4" w:val="nil"/>
              <w:bottom w:color="000000" w:sz="4" w:val="single"/>
              <w:right w:color="000000" w:sz="4" w:val="single"/>
            </w:tcBorders>
            <w:vAlign w:val="center"/>
          </w:tcPr>
          <w:p w14:paraId="EA010000">
            <w:pPr>
              <w:spacing w:after="0" w:line="240" w:lineRule="auto"/>
              <w:ind/>
              <w:rPr>
                <w:rFonts w:ascii="Times New Roman" w:hAnsi="Times New Roman"/>
                <w:color w:val="000000"/>
                <w:sz w:val="24"/>
              </w:rPr>
            </w:pPr>
            <w:r>
              <w:rPr>
                <w:rFonts w:ascii="Times New Roman" w:hAnsi="Times New Roman"/>
                <w:color w:val="000000"/>
                <w:sz w:val="24"/>
              </w:rPr>
              <w:t>Основной долг</w:t>
            </w:r>
          </w:p>
        </w:tc>
      </w:tr>
      <w:tr>
        <w:trPr>
          <w:trHeight w:hRule="atLeast" w:val="1152"/>
        </w:trPr>
        <w:tc>
          <w:tcPr>
            <w:tcW w:type="dxa" w:w="516"/>
            <w:tcBorders>
              <w:top w:sz="4" w:val="nil"/>
              <w:left w:color="000000" w:sz="4" w:val="single"/>
              <w:bottom w:color="000000" w:sz="4" w:val="single"/>
              <w:right w:color="000000" w:sz="4" w:val="single"/>
            </w:tcBorders>
            <w:vAlign w:val="center"/>
          </w:tcPr>
          <w:p w14:paraId="EB010000">
            <w:pPr>
              <w:spacing w:after="0" w:line="240" w:lineRule="auto"/>
              <w:ind/>
              <w:jc w:val="right"/>
              <w:rPr>
                <w:rFonts w:ascii="Times New Roman" w:hAnsi="Times New Roman"/>
                <w:color w:val="000000"/>
                <w:sz w:val="24"/>
              </w:rPr>
            </w:pPr>
            <w:r>
              <w:rPr>
                <w:rFonts w:ascii="Times New Roman" w:hAnsi="Times New Roman"/>
                <w:color w:val="000000"/>
                <w:sz w:val="24"/>
              </w:rPr>
              <w:t>3</w:t>
            </w:r>
          </w:p>
        </w:tc>
        <w:tc>
          <w:tcPr>
            <w:tcW w:type="dxa" w:w="1690"/>
            <w:tcBorders>
              <w:top w:sz="4" w:val="nil"/>
              <w:left w:sz="4" w:val="nil"/>
              <w:bottom w:color="000000" w:sz="4" w:val="single"/>
              <w:right w:color="000000" w:sz="4" w:val="single"/>
            </w:tcBorders>
            <w:vAlign w:val="center"/>
          </w:tcPr>
          <w:p w14:paraId="EC010000">
            <w:pPr>
              <w:spacing w:after="0" w:line="240" w:lineRule="auto"/>
              <w:ind/>
              <w:rPr>
                <w:rFonts w:ascii="Times New Roman" w:hAnsi="Times New Roman"/>
                <w:color w:val="000000"/>
                <w:sz w:val="24"/>
              </w:rPr>
            </w:pPr>
            <w:r>
              <w:rPr>
                <w:rFonts w:ascii="Times New Roman" w:hAnsi="Times New Roman"/>
                <w:color w:val="000000"/>
                <w:sz w:val="24"/>
              </w:rPr>
              <w:t>Начисление процентов по кредиту</w:t>
            </w:r>
          </w:p>
        </w:tc>
        <w:tc>
          <w:tcPr>
            <w:tcW w:type="dxa" w:w="2325"/>
            <w:tcBorders>
              <w:top w:sz="4" w:val="nil"/>
              <w:left w:sz="4" w:val="nil"/>
              <w:bottom w:color="000000" w:sz="4" w:val="single"/>
              <w:right w:color="000000" w:sz="4" w:val="single"/>
            </w:tcBorders>
            <w:vAlign w:val="center"/>
          </w:tcPr>
          <w:p w14:paraId="ED010000">
            <w:pPr>
              <w:spacing w:after="0" w:line="240" w:lineRule="auto"/>
              <w:ind/>
              <w:rPr>
                <w:rFonts w:ascii="Times New Roman" w:hAnsi="Times New Roman"/>
                <w:color w:val="000000"/>
                <w:sz w:val="24"/>
              </w:rPr>
            </w:pPr>
            <w:r>
              <w:rPr>
                <w:rFonts w:ascii="Times New Roman" w:hAnsi="Times New Roman"/>
                <w:color w:val="000000"/>
                <w:sz w:val="24"/>
              </w:rPr>
              <w:t>Увеличение обязательств (краткосрочные или долгосрочные)</w:t>
            </w:r>
          </w:p>
        </w:tc>
        <w:tc>
          <w:tcPr>
            <w:tcW w:type="dxa" w:w="1726"/>
            <w:tcBorders>
              <w:top w:sz="4" w:val="nil"/>
              <w:left w:sz="4" w:val="nil"/>
              <w:bottom w:color="000000" w:sz="4" w:val="single"/>
              <w:right w:color="000000" w:sz="4" w:val="single"/>
            </w:tcBorders>
            <w:vAlign w:val="center"/>
          </w:tcPr>
          <w:p w14:paraId="EE010000">
            <w:pPr>
              <w:spacing w:after="0" w:line="240" w:lineRule="auto"/>
              <w:ind/>
              <w:rPr>
                <w:rFonts w:ascii="Times New Roman" w:hAnsi="Times New Roman"/>
                <w:color w:val="000000"/>
                <w:sz w:val="24"/>
              </w:rPr>
            </w:pPr>
            <w:r>
              <w:rPr>
                <w:rFonts w:ascii="Times New Roman" w:hAnsi="Times New Roman"/>
                <w:color w:val="000000"/>
                <w:sz w:val="24"/>
              </w:rPr>
              <w:t>Расходы по процентам</w:t>
            </w:r>
          </w:p>
        </w:tc>
        <w:tc>
          <w:tcPr>
            <w:tcW w:type="dxa" w:w="1463"/>
            <w:tcBorders>
              <w:top w:sz="4" w:val="nil"/>
              <w:left w:sz="4" w:val="nil"/>
              <w:bottom w:color="000000" w:sz="4" w:val="single"/>
              <w:right w:color="000000" w:sz="4" w:val="single"/>
            </w:tcBorders>
            <w:vAlign w:val="center"/>
          </w:tcPr>
          <w:p w14:paraId="EF010000">
            <w:pPr>
              <w:spacing w:after="0" w:line="240" w:lineRule="auto"/>
              <w:ind/>
              <w:rPr>
                <w:rFonts w:ascii="Times New Roman" w:hAnsi="Times New Roman"/>
                <w:color w:val="000000"/>
                <w:sz w:val="24"/>
              </w:rPr>
            </w:pPr>
            <w:r>
              <w:rPr>
                <w:rFonts w:ascii="Times New Roman" w:hAnsi="Times New Roman"/>
                <w:color w:val="000000"/>
                <w:sz w:val="24"/>
              </w:rPr>
              <w:t>Не отражается напрямую</w:t>
            </w:r>
          </w:p>
        </w:tc>
        <w:tc>
          <w:tcPr>
            <w:tcW w:type="dxa" w:w="1624"/>
            <w:tcBorders>
              <w:top w:sz="4" w:val="nil"/>
              <w:left w:sz="4" w:val="nil"/>
              <w:bottom w:color="000000" w:sz="4" w:val="single"/>
              <w:right w:color="000000" w:sz="4" w:val="single"/>
            </w:tcBorders>
            <w:vAlign w:val="center"/>
          </w:tcPr>
          <w:p w14:paraId="F0010000">
            <w:pPr>
              <w:spacing w:after="0" w:line="240" w:lineRule="auto"/>
              <w:ind/>
              <w:rPr>
                <w:rFonts w:ascii="Times New Roman" w:hAnsi="Times New Roman"/>
                <w:color w:val="000000"/>
                <w:sz w:val="24"/>
              </w:rPr>
            </w:pPr>
            <w:r>
              <w:rPr>
                <w:rFonts w:ascii="Times New Roman" w:hAnsi="Times New Roman"/>
                <w:color w:val="000000"/>
                <w:sz w:val="24"/>
              </w:rPr>
              <w:t>Проценты начисляются по договору</w:t>
            </w:r>
          </w:p>
        </w:tc>
      </w:tr>
      <w:tr>
        <w:trPr>
          <w:trHeight w:hRule="atLeast" w:val="1152"/>
        </w:trPr>
        <w:tc>
          <w:tcPr>
            <w:tcW w:type="dxa" w:w="516"/>
            <w:tcBorders>
              <w:top w:sz="4" w:val="nil"/>
              <w:left w:color="000000" w:sz="4" w:val="single"/>
              <w:bottom w:color="000000" w:sz="4" w:val="single"/>
              <w:right w:color="000000" w:sz="4" w:val="single"/>
            </w:tcBorders>
            <w:vAlign w:val="center"/>
          </w:tcPr>
          <w:p w14:paraId="F1010000">
            <w:pPr>
              <w:spacing w:after="0" w:line="240" w:lineRule="auto"/>
              <w:ind/>
              <w:jc w:val="right"/>
              <w:rPr>
                <w:rFonts w:ascii="Times New Roman" w:hAnsi="Times New Roman"/>
                <w:color w:val="000000"/>
                <w:sz w:val="24"/>
              </w:rPr>
            </w:pPr>
            <w:r>
              <w:rPr>
                <w:rFonts w:ascii="Times New Roman" w:hAnsi="Times New Roman"/>
                <w:color w:val="000000"/>
                <w:sz w:val="24"/>
              </w:rPr>
              <w:t>4</w:t>
            </w:r>
          </w:p>
        </w:tc>
        <w:tc>
          <w:tcPr>
            <w:tcW w:type="dxa" w:w="1690"/>
            <w:tcBorders>
              <w:top w:sz="4" w:val="nil"/>
              <w:left w:sz="4" w:val="nil"/>
              <w:bottom w:color="000000" w:sz="4" w:val="single"/>
              <w:right w:color="000000" w:sz="4" w:val="single"/>
            </w:tcBorders>
            <w:vAlign w:val="center"/>
          </w:tcPr>
          <w:p w14:paraId="F2010000">
            <w:pPr>
              <w:spacing w:after="0" w:line="240" w:lineRule="auto"/>
              <w:ind/>
              <w:rPr>
                <w:rFonts w:ascii="Times New Roman" w:hAnsi="Times New Roman"/>
                <w:color w:val="000000"/>
                <w:sz w:val="24"/>
              </w:rPr>
            </w:pPr>
            <w:r>
              <w:rPr>
                <w:rFonts w:ascii="Times New Roman" w:hAnsi="Times New Roman"/>
                <w:color w:val="000000"/>
                <w:sz w:val="24"/>
              </w:rPr>
              <w:t>Погашение основной суммы кредита</w:t>
            </w:r>
          </w:p>
        </w:tc>
        <w:tc>
          <w:tcPr>
            <w:tcW w:type="dxa" w:w="2325"/>
            <w:tcBorders>
              <w:top w:sz="4" w:val="nil"/>
              <w:left w:sz="4" w:val="nil"/>
              <w:bottom w:color="000000" w:sz="4" w:val="single"/>
              <w:right w:color="000000" w:sz="4" w:val="single"/>
            </w:tcBorders>
            <w:vAlign w:val="center"/>
          </w:tcPr>
          <w:p w14:paraId="F3010000">
            <w:pPr>
              <w:spacing w:after="0" w:line="240" w:lineRule="auto"/>
              <w:ind/>
              <w:rPr>
                <w:rFonts w:ascii="Times New Roman" w:hAnsi="Times New Roman"/>
                <w:color w:val="000000"/>
                <w:sz w:val="24"/>
              </w:rPr>
            </w:pPr>
            <w:r>
              <w:rPr>
                <w:rFonts w:ascii="Times New Roman" w:hAnsi="Times New Roman"/>
                <w:color w:val="000000"/>
                <w:sz w:val="24"/>
              </w:rPr>
              <w:t>Уменьшение денежных средств / Уменьшение обязательств</w:t>
            </w:r>
          </w:p>
        </w:tc>
        <w:tc>
          <w:tcPr>
            <w:tcW w:type="dxa" w:w="1726"/>
            <w:tcBorders>
              <w:top w:sz="4" w:val="nil"/>
              <w:left w:sz="4" w:val="nil"/>
              <w:bottom w:color="000000" w:sz="4" w:val="single"/>
              <w:right w:color="000000" w:sz="4" w:val="single"/>
            </w:tcBorders>
            <w:vAlign w:val="center"/>
          </w:tcPr>
          <w:p w14:paraId="F4010000">
            <w:pPr>
              <w:spacing w:after="0" w:line="240" w:lineRule="auto"/>
              <w:ind/>
              <w:rPr>
                <w:rFonts w:ascii="Times New Roman" w:hAnsi="Times New Roman"/>
                <w:color w:val="000000"/>
                <w:sz w:val="24"/>
              </w:rPr>
            </w:pPr>
            <w:r>
              <w:rPr>
                <w:rFonts w:ascii="Times New Roman" w:hAnsi="Times New Roman"/>
                <w:color w:val="000000"/>
                <w:sz w:val="24"/>
              </w:rPr>
              <w:t>Не отражается напрямую</w:t>
            </w:r>
          </w:p>
        </w:tc>
        <w:tc>
          <w:tcPr>
            <w:tcW w:type="dxa" w:w="1463"/>
            <w:tcBorders>
              <w:top w:sz="4" w:val="nil"/>
              <w:left w:sz="4" w:val="nil"/>
              <w:bottom w:color="000000" w:sz="4" w:val="single"/>
              <w:right w:color="000000" w:sz="4" w:val="single"/>
            </w:tcBorders>
            <w:vAlign w:val="center"/>
          </w:tcPr>
          <w:p w14:paraId="F5010000">
            <w:pPr>
              <w:spacing w:after="0" w:line="240" w:lineRule="auto"/>
              <w:ind/>
              <w:rPr>
                <w:rFonts w:ascii="Times New Roman" w:hAnsi="Times New Roman"/>
                <w:color w:val="000000"/>
                <w:sz w:val="24"/>
              </w:rPr>
            </w:pPr>
            <w:r>
              <w:rPr>
                <w:rFonts w:ascii="Times New Roman" w:hAnsi="Times New Roman"/>
                <w:color w:val="000000"/>
                <w:sz w:val="24"/>
              </w:rPr>
              <w:t>Отток денежных средств (финансовая деятельность)</w:t>
            </w:r>
          </w:p>
        </w:tc>
        <w:tc>
          <w:tcPr>
            <w:tcW w:type="dxa" w:w="1624"/>
            <w:tcBorders>
              <w:top w:sz="4" w:val="nil"/>
              <w:left w:sz="4" w:val="nil"/>
              <w:bottom w:color="000000" w:sz="4" w:val="single"/>
              <w:right w:color="000000" w:sz="4" w:val="single"/>
            </w:tcBorders>
            <w:vAlign w:val="center"/>
          </w:tcPr>
          <w:p w14:paraId="F6010000">
            <w:pPr>
              <w:spacing w:after="0" w:line="240" w:lineRule="auto"/>
              <w:ind/>
              <w:rPr>
                <w:rFonts w:ascii="Times New Roman" w:hAnsi="Times New Roman"/>
                <w:color w:val="000000"/>
                <w:sz w:val="24"/>
              </w:rPr>
            </w:pPr>
            <w:r>
              <w:rPr>
                <w:rFonts w:ascii="Times New Roman" w:hAnsi="Times New Roman"/>
                <w:color w:val="000000"/>
                <w:sz w:val="24"/>
              </w:rPr>
              <w:t>Погашение кредита банку</w:t>
            </w:r>
          </w:p>
        </w:tc>
      </w:tr>
      <w:tr>
        <w:trPr>
          <w:trHeight w:hRule="atLeast" w:val="1440"/>
        </w:trPr>
        <w:tc>
          <w:tcPr>
            <w:tcW w:type="dxa" w:w="516"/>
            <w:tcBorders>
              <w:top w:sz="4" w:val="nil"/>
              <w:left w:color="000000" w:sz="4" w:val="single"/>
              <w:bottom w:color="000000" w:sz="4" w:val="single"/>
              <w:right w:color="000000" w:sz="4" w:val="single"/>
            </w:tcBorders>
            <w:vAlign w:val="center"/>
          </w:tcPr>
          <w:p w14:paraId="F7010000">
            <w:pPr>
              <w:spacing w:after="0" w:line="240" w:lineRule="auto"/>
              <w:ind/>
              <w:jc w:val="right"/>
              <w:rPr>
                <w:rFonts w:ascii="Times New Roman" w:hAnsi="Times New Roman"/>
                <w:color w:val="000000"/>
                <w:sz w:val="24"/>
              </w:rPr>
            </w:pPr>
            <w:r>
              <w:rPr>
                <w:rFonts w:ascii="Times New Roman" w:hAnsi="Times New Roman"/>
                <w:color w:val="000000"/>
                <w:sz w:val="24"/>
              </w:rPr>
              <w:t>5</w:t>
            </w:r>
          </w:p>
        </w:tc>
        <w:tc>
          <w:tcPr>
            <w:tcW w:type="dxa" w:w="1690"/>
            <w:tcBorders>
              <w:top w:sz="4" w:val="nil"/>
              <w:left w:sz="4" w:val="nil"/>
              <w:bottom w:color="000000" w:sz="4" w:val="single"/>
              <w:right w:color="000000" w:sz="4" w:val="single"/>
            </w:tcBorders>
            <w:vAlign w:val="center"/>
          </w:tcPr>
          <w:p w14:paraId="F8010000">
            <w:pPr>
              <w:spacing w:after="0" w:line="240" w:lineRule="auto"/>
              <w:ind/>
              <w:rPr>
                <w:rFonts w:ascii="Times New Roman" w:hAnsi="Times New Roman"/>
                <w:color w:val="000000"/>
                <w:sz w:val="24"/>
              </w:rPr>
            </w:pPr>
            <w:r>
              <w:rPr>
                <w:rFonts w:ascii="Times New Roman" w:hAnsi="Times New Roman"/>
                <w:color w:val="000000"/>
                <w:sz w:val="24"/>
              </w:rPr>
              <w:t>Уплата процентов по кредиту</w:t>
            </w:r>
          </w:p>
        </w:tc>
        <w:tc>
          <w:tcPr>
            <w:tcW w:type="dxa" w:w="2325"/>
            <w:tcBorders>
              <w:top w:sz="4" w:val="nil"/>
              <w:left w:sz="4" w:val="nil"/>
              <w:bottom w:color="000000" w:sz="4" w:val="single"/>
              <w:right w:color="000000" w:sz="4" w:val="single"/>
            </w:tcBorders>
            <w:vAlign w:val="center"/>
          </w:tcPr>
          <w:p w14:paraId="F9010000">
            <w:pPr>
              <w:spacing w:after="0" w:line="240" w:lineRule="auto"/>
              <w:ind/>
              <w:rPr>
                <w:rFonts w:ascii="Times New Roman" w:hAnsi="Times New Roman"/>
                <w:color w:val="000000"/>
                <w:sz w:val="24"/>
              </w:rPr>
            </w:pPr>
            <w:r>
              <w:rPr>
                <w:rFonts w:ascii="Times New Roman" w:hAnsi="Times New Roman"/>
                <w:color w:val="000000"/>
                <w:sz w:val="24"/>
              </w:rPr>
              <w:t>Уменьшение денежных средств / Уменьшение начисленных обязательств</w:t>
            </w:r>
          </w:p>
        </w:tc>
        <w:tc>
          <w:tcPr>
            <w:tcW w:type="dxa" w:w="1726"/>
            <w:tcBorders>
              <w:top w:sz="4" w:val="nil"/>
              <w:left w:sz="4" w:val="nil"/>
              <w:bottom w:color="000000" w:sz="4" w:val="single"/>
              <w:right w:color="000000" w:sz="4" w:val="single"/>
            </w:tcBorders>
            <w:vAlign w:val="center"/>
          </w:tcPr>
          <w:p w14:paraId="FA010000">
            <w:pPr>
              <w:spacing w:after="0" w:line="240" w:lineRule="auto"/>
              <w:ind/>
              <w:rPr>
                <w:rFonts w:ascii="Times New Roman" w:hAnsi="Times New Roman"/>
                <w:color w:val="000000"/>
                <w:sz w:val="24"/>
              </w:rPr>
            </w:pPr>
            <w:r>
              <w:rPr>
                <w:rFonts w:ascii="Times New Roman" w:hAnsi="Times New Roman"/>
                <w:color w:val="000000"/>
                <w:sz w:val="24"/>
              </w:rPr>
              <w:t>Расходы по процентам</w:t>
            </w:r>
          </w:p>
        </w:tc>
        <w:tc>
          <w:tcPr>
            <w:tcW w:type="dxa" w:w="1463"/>
            <w:tcBorders>
              <w:top w:sz="4" w:val="nil"/>
              <w:left w:sz="4" w:val="nil"/>
              <w:bottom w:color="000000" w:sz="4" w:val="single"/>
              <w:right w:color="000000" w:sz="4" w:val="single"/>
            </w:tcBorders>
            <w:vAlign w:val="center"/>
          </w:tcPr>
          <w:p w14:paraId="FB010000">
            <w:pPr>
              <w:spacing w:after="0" w:line="240" w:lineRule="auto"/>
              <w:ind/>
              <w:rPr>
                <w:rFonts w:ascii="Times New Roman" w:hAnsi="Times New Roman"/>
                <w:color w:val="000000"/>
                <w:sz w:val="24"/>
              </w:rPr>
            </w:pPr>
            <w:r>
              <w:rPr>
                <w:rFonts w:ascii="Times New Roman" w:hAnsi="Times New Roman"/>
                <w:color w:val="000000"/>
                <w:sz w:val="24"/>
              </w:rPr>
              <w:t>Отток денежных средств (финансовая деятельность)</w:t>
            </w:r>
          </w:p>
        </w:tc>
        <w:tc>
          <w:tcPr>
            <w:tcW w:type="dxa" w:w="1624"/>
            <w:tcBorders>
              <w:top w:sz="4" w:val="nil"/>
              <w:left w:sz="4" w:val="nil"/>
              <w:bottom w:color="000000" w:sz="4" w:val="single"/>
              <w:right w:color="000000" w:sz="4" w:val="single"/>
            </w:tcBorders>
            <w:vAlign w:val="center"/>
          </w:tcPr>
          <w:p w14:paraId="FC010000">
            <w:pPr>
              <w:spacing w:after="0" w:line="240" w:lineRule="auto"/>
              <w:ind/>
              <w:rPr>
                <w:rFonts w:ascii="Times New Roman" w:hAnsi="Times New Roman"/>
                <w:color w:val="000000"/>
                <w:sz w:val="24"/>
              </w:rPr>
            </w:pPr>
            <w:r>
              <w:rPr>
                <w:rFonts w:ascii="Times New Roman" w:hAnsi="Times New Roman"/>
                <w:color w:val="000000"/>
                <w:sz w:val="24"/>
              </w:rPr>
              <w:t>Включается в финансовый результат</w:t>
            </w:r>
          </w:p>
        </w:tc>
      </w:tr>
      <w:tr>
        <w:trPr>
          <w:trHeight w:hRule="atLeast" w:val="1152"/>
        </w:trPr>
        <w:tc>
          <w:tcPr>
            <w:tcW w:type="dxa" w:w="516"/>
            <w:tcBorders>
              <w:top w:sz="4" w:val="nil"/>
              <w:left w:color="000000" w:sz="4" w:val="single"/>
              <w:bottom w:color="000000" w:sz="4" w:val="single"/>
              <w:right w:color="000000" w:sz="4" w:val="single"/>
            </w:tcBorders>
            <w:vAlign w:val="center"/>
          </w:tcPr>
          <w:p w14:paraId="FD010000">
            <w:pPr>
              <w:spacing w:after="0" w:line="240" w:lineRule="auto"/>
              <w:ind/>
              <w:jc w:val="right"/>
              <w:rPr>
                <w:rFonts w:ascii="Times New Roman" w:hAnsi="Times New Roman"/>
                <w:color w:val="000000"/>
                <w:sz w:val="24"/>
              </w:rPr>
            </w:pPr>
            <w:r>
              <w:rPr>
                <w:rFonts w:ascii="Times New Roman" w:hAnsi="Times New Roman"/>
                <w:color w:val="000000"/>
                <w:sz w:val="24"/>
              </w:rPr>
              <w:t>6</w:t>
            </w:r>
          </w:p>
        </w:tc>
        <w:tc>
          <w:tcPr>
            <w:tcW w:type="dxa" w:w="1690"/>
            <w:tcBorders>
              <w:top w:sz="4" w:val="nil"/>
              <w:left w:sz="4" w:val="nil"/>
              <w:bottom w:color="000000" w:sz="4" w:val="single"/>
              <w:right w:color="000000" w:sz="4" w:val="single"/>
            </w:tcBorders>
            <w:vAlign w:val="center"/>
          </w:tcPr>
          <w:p w14:paraId="FE010000">
            <w:pPr>
              <w:spacing w:after="0" w:line="240" w:lineRule="auto"/>
              <w:ind/>
              <w:rPr>
                <w:rFonts w:ascii="Times New Roman" w:hAnsi="Times New Roman"/>
                <w:color w:val="000000"/>
                <w:sz w:val="24"/>
              </w:rPr>
            </w:pPr>
            <w:r>
              <w:rPr>
                <w:rFonts w:ascii="Times New Roman" w:hAnsi="Times New Roman"/>
                <w:color w:val="000000"/>
                <w:sz w:val="24"/>
              </w:rPr>
              <w:t>Получение займа от контрагента</w:t>
            </w:r>
          </w:p>
        </w:tc>
        <w:tc>
          <w:tcPr>
            <w:tcW w:type="dxa" w:w="2325"/>
            <w:tcBorders>
              <w:top w:sz="4" w:val="nil"/>
              <w:left w:sz="4" w:val="nil"/>
              <w:bottom w:color="000000" w:sz="4" w:val="single"/>
              <w:right w:color="000000" w:sz="4" w:val="single"/>
            </w:tcBorders>
            <w:vAlign w:val="center"/>
          </w:tcPr>
          <w:p w14:paraId="FF010000">
            <w:pPr>
              <w:spacing w:after="0" w:line="240" w:lineRule="auto"/>
              <w:ind/>
              <w:rPr>
                <w:rFonts w:ascii="Times New Roman" w:hAnsi="Times New Roman"/>
                <w:color w:val="000000"/>
                <w:sz w:val="24"/>
              </w:rPr>
            </w:pPr>
            <w:r>
              <w:rPr>
                <w:rFonts w:ascii="Times New Roman" w:hAnsi="Times New Roman"/>
                <w:color w:val="000000"/>
                <w:sz w:val="24"/>
              </w:rPr>
              <w:t>Увеличение денежных средств / Увеличение обязательств</w:t>
            </w:r>
          </w:p>
        </w:tc>
        <w:tc>
          <w:tcPr>
            <w:tcW w:type="dxa" w:w="1726"/>
            <w:tcBorders>
              <w:top w:sz="4" w:val="nil"/>
              <w:left w:sz="4" w:val="nil"/>
              <w:bottom w:color="000000" w:sz="4" w:val="single"/>
              <w:right w:color="000000" w:sz="4" w:val="single"/>
            </w:tcBorders>
            <w:vAlign w:val="center"/>
          </w:tcPr>
          <w:p w14:paraId="00020000">
            <w:pPr>
              <w:spacing w:after="0" w:line="240" w:lineRule="auto"/>
              <w:ind/>
              <w:rPr>
                <w:rFonts w:ascii="Times New Roman" w:hAnsi="Times New Roman"/>
                <w:color w:val="000000"/>
                <w:sz w:val="24"/>
              </w:rPr>
            </w:pPr>
            <w:r>
              <w:rPr>
                <w:rFonts w:ascii="Times New Roman" w:hAnsi="Times New Roman"/>
                <w:color w:val="000000"/>
                <w:sz w:val="24"/>
              </w:rPr>
              <w:t>Не отражается</w:t>
            </w:r>
          </w:p>
        </w:tc>
        <w:tc>
          <w:tcPr>
            <w:tcW w:type="dxa" w:w="1463"/>
            <w:tcBorders>
              <w:top w:sz="4" w:val="nil"/>
              <w:left w:sz="4" w:val="nil"/>
              <w:bottom w:color="000000" w:sz="4" w:val="single"/>
              <w:right w:color="000000" w:sz="4" w:val="single"/>
            </w:tcBorders>
            <w:vAlign w:val="center"/>
          </w:tcPr>
          <w:p w14:paraId="01020000">
            <w:pPr>
              <w:spacing w:after="0" w:line="240" w:lineRule="auto"/>
              <w:ind/>
              <w:rPr>
                <w:rFonts w:ascii="Times New Roman" w:hAnsi="Times New Roman"/>
                <w:color w:val="000000"/>
                <w:sz w:val="24"/>
              </w:rPr>
            </w:pPr>
            <w:r>
              <w:rPr>
                <w:rFonts w:ascii="Times New Roman" w:hAnsi="Times New Roman"/>
                <w:color w:val="000000"/>
                <w:sz w:val="24"/>
              </w:rPr>
              <w:t>Приток денежных средств (финансовая деятельность)</w:t>
            </w:r>
          </w:p>
        </w:tc>
        <w:tc>
          <w:tcPr>
            <w:tcW w:type="dxa" w:w="1624"/>
            <w:tcBorders>
              <w:top w:sz="4" w:val="nil"/>
              <w:left w:sz="4" w:val="nil"/>
              <w:bottom w:color="000000" w:sz="4" w:val="single"/>
              <w:right w:color="000000" w:sz="4" w:val="single"/>
            </w:tcBorders>
            <w:vAlign w:val="center"/>
          </w:tcPr>
          <w:p w14:paraId="02020000">
            <w:pPr>
              <w:spacing w:after="0" w:line="240" w:lineRule="auto"/>
              <w:ind/>
              <w:rPr>
                <w:rFonts w:ascii="Times New Roman" w:hAnsi="Times New Roman"/>
                <w:color w:val="000000"/>
                <w:sz w:val="24"/>
              </w:rPr>
            </w:pPr>
            <w:r>
              <w:rPr>
                <w:rFonts w:ascii="Times New Roman" w:hAnsi="Times New Roman"/>
                <w:color w:val="000000"/>
                <w:sz w:val="24"/>
              </w:rPr>
              <w:t>Краткосрочный или долгосрочный заем</w:t>
            </w:r>
          </w:p>
        </w:tc>
      </w:tr>
      <w:tr>
        <w:trPr>
          <w:trHeight w:hRule="atLeast" w:val="1152"/>
        </w:trPr>
        <w:tc>
          <w:tcPr>
            <w:tcW w:type="dxa" w:w="516"/>
            <w:tcBorders>
              <w:top w:sz="4" w:val="nil"/>
              <w:left w:color="000000" w:sz="4" w:val="single"/>
              <w:bottom w:color="000000" w:sz="4" w:val="single"/>
              <w:right w:color="000000" w:sz="4" w:val="single"/>
            </w:tcBorders>
            <w:vAlign w:val="center"/>
          </w:tcPr>
          <w:p w14:paraId="03020000">
            <w:pPr>
              <w:spacing w:after="0" w:line="240" w:lineRule="auto"/>
              <w:ind/>
              <w:jc w:val="right"/>
              <w:rPr>
                <w:rFonts w:ascii="Times New Roman" w:hAnsi="Times New Roman"/>
                <w:color w:val="000000"/>
                <w:sz w:val="24"/>
              </w:rPr>
            </w:pPr>
            <w:r>
              <w:rPr>
                <w:rFonts w:ascii="Times New Roman" w:hAnsi="Times New Roman"/>
                <w:color w:val="000000"/>
                <w:sz w:val="24"/>
              </w:rPr>
              <w:t>7</w:t>
            </w:r>
          </w:p>
        </w:tc>
        <w:tc>
          <w:tcPr>
            <w:tcW w:type="dxa" w:w="1690"/>
            <w:tcBorders>
              <w:top w:sz="4" w:val="nil"/>
              <w:left w:sz="4" w:val="nil"/>
              <w:bottom w:color="000000" w:sz="4" w:val="single"/>
              <w:right w:color="000000" w:sz="4" w:val="single"/>
            </w:tcBorders>
            <w:vAlign w:val="center"/>
          </w:tcPr>
          <w:p w14:paraId="04020000">
            <w:pPr>
              <w:spacing w:after="0" w:line="240" w:lineRule="auto"/>
              <w:ind/>
              <w:rPr>
                <w:rFonts w:ascii="Times New Roman" w:hAnsi="Times New Roman"/>
                <w:color w:val="000000"/>
                <w:sz w:val="24"/>
              </w:rPr>
            </w:pPr>
            <w:r>
              <w:rPr>
                <w:rFonts w:ascii="Times New Roman" w:hAnsi="Times New Roman"/>
                <w:color w:val="000000"/>
                <w:sz w:val="24"/>
              </w:rPr>
              <w:t>Погашение займа</w:t>
            </w:r>
          </w:p>
        </w:tc>
        <w:tc>
          <w:tcPr>
            <w:tcW w:type="dxa" w:w="2325"/>
            <w:tcBorders>
              <w:top w:sz="4" w:val="nil"/>
              <w:left w:sz="4" w:val="nil"/>
              <w:bottom w:color="000000" w:sz="4" w:val="single"/>
              <w:right w:color="000000" w:sz="4" w:val="single"/>
            </w:tcBorders>
            <w:vAlign w:val="center"/>
          </w:tcPr>
          <w:p w14:paraId="05020000">
            <w:pPr>
              <w:spacing w:after="0" w:line="240" w:lineRule="auto"/>
              <w:ind/>
              <w:rPr>
                <w:rFonts w:ascii="Times New Roman" w:hAnsi="Times New Roman"/>
                <w:color w:val="000000"/>
                <w:sz w:val="24"/>
              </w:rPr>
            </w:pPr>
            <w:r>
              <w:rPr>
                <w:rFonts w:ascii="Times New Roman" w:hAnsi="Times New Roman"/>
                <w:color w:val="000000"/>
                <w:sz w:val="24"/>
              </w:rPr>
              <w:t>Уменьшение денежных средств / Уменьшение обязательств</w:t>
            </w:r>
          </w:p>
        </w:tc>
        <w:tc>
          <w:tcPr>
            <w:tcW w:type="dxa" w:w="1726"/>
            <w:tcBorders>
              <w:top w:sz="4" w:val="nil"/>
              <w:left w:sz="4" w:val="nil"/>
              <w:bottom w:color="000000" w:sz="4" w:val="single"/>
              <w:right w:color="000000" w:sz="4" w:val="single"/>
            </w:tcBorders>
            <w:vAlign w:val="center"/>
          </w:tcPr>
          <w:p w14:paraId="06020000">
            <w:pPr>
              <w:spacing w:after="0" w:line="240" w:lineRule="auto"/>
              <w:ind/>
              <w:rPr>
                <w:rFonts w:ascii="Times New Roman" w:hAnsi="Times New Roman"/>
                <w:color w:val="000000"/>
                <w:sz w:val="24"/>
              </w:rPr>
            </w:pPr>
            <w:r>
              <w:rPr>
                <w:rFonts w:ascii="Times New Roman" w:hAnsi="Times New Roman"/>
                <w:color w:val="000000"/>
                <w:sz w:val="24"/>
              </w:rPr>
              <w:t>Не отражается</w:t>
            </w:r>
          </w:p>
        </w:tc>
        <w:tc>
          <w:tcPr>
            <w:tcW w:type="dxa" w:w="1463"/>
            <w:tcBorders>
              <w:top w:sz="4" w:val="nil"/>
              <w:left w:sz="4" w:val="nil"/>
              <w:bottom w:color="000000" w:sz="4" w:val="single"/>
              <w:right w:color="000000" w:sz="4" w:val="single"/>
            </w:tcBorders>
            <w:vAlign w:val="center"/>
          </w:tcPr>
          <w:p w14:paraId="07020000">
            <w:pPr>
              <w:spacing w:after="0" w:line="240" w:lineRule="auto"/>
              <w:ind/>
              <w:rPr>
                <w:rFonts w:ascii="Times New Roman" w:hAnsi="Times New Roman"/>
                <w:color w:val="000000"/>
                <w:sz w:val="24"/>
              </w:rPr>
            </w:pPr>
            <w:r>
              <w:rPr>
                <w:rFonts w:ascii="Times New Roman" w:hAnsi="Times New Roman"/>
                <w:color w:val="000000"/>
                <w:sz w:val="24"/>
              </w:rPr>
              <w:t>Отток денежных средств (финансовая деятельность)</w:t>
            </w:r>
          </w:p>
        </w:tc>
        <w:tc>
          <w:tcPr>
            <w:tcW w:type="dxa" w:w="1624"/>
            <w:tcBorders>
              <w:top w:sz="4" w:val="nil"/>
              <w:left w:sz="4" w:val="nil"/>
              <w:bottom w:color="000000" w:sz="4" w:val="single"/>
              <w:right w:color="000000" w:sz="4" w:val="single"/>
            </w:tcBorders>
            <w:vAlign w:val="center"/>
          </w:tcPr>
          <w:p w14:paraId="08020000">
            <w:pPr>
              <w:spacing w:after="0" w:line="240" w:lineRule="auto"/>
              <w:ind/>
              <w:rPr>
                <w:rFonts w:ascii="Times New Roman" w:hAnsi="Times New Roman"/>
                <w:color w:val="000000"/>
                <w:sz w:val="24"/>
              </w:rPr>
            </w:pPr>
            <w:r>
              <w:rPr>
                <w:rFonts w:ascii="Times New Roman" w:hAnsi="Times New Roman"/>
                <w:color w:val="000000"/>
                <w:sz w:val="24"/>
              </w:rPr>
              <w:t>Основной долг по займу</w:t>
            </w:r>
          </w:p>
        </w:tc>
      </w:tr>
      <w:tr>
        <w:trPr>
          <w:trHeight w:hRule="atLeast" w:val="864"/>
        </w:trPr>
        <w:tc>
          <w:tcPr>
            <w:tcW w:type="dxa" w:w="516"/>
            <w:tcBorders>
              <w:top w:sz="4" w:val="nil"/>
              <w:left w:color="000000" w:sz="4" w:val="single"/>
              <w:bottom w:color="000000" w:sz="4" w:val="single"/>
              <w:right w:color="000000" w:sz="4" w:val="single"/>
            </w:tcBorders>
            <w:vAlign w:val="center"/>
          </w:tcPr>
          <w:p w14:paraId="09020000">
            <w:pPr>
              <w:spacing w:after="0" w:line="240" w:lineRule="auto"/>
              <w:ind/>
              <w:jc w:val="right"/>
              <w:rPr>
                <w:rFonts w:ascii="Times New Roman" w:hAnsi="Times New Roman"/>
                <w:color w:val="000000"/>
                <w:sz w:val="24"/>
              </w:rPr>
            </w:pPr>
            <w:r>
              <w:rPr>
                <w:rFonts w:ascii="Times New Roman" w:hAnsi="Times New Roman"/>
                <w:color w:val="000000"/>
                <w:sz w:val="24"/>
              </w:rPr>
              <w:t>8</w:t>
            </w:r>
          </w:p>
        </w:tc>
        <w:tc>
          <w:tcPr>
            <w:tcW w:type="dxa" w:w="1690"/>
            <w:tcBorders>
              <w:top w:sz="4" w:val="nil"/>
              <w:left w:sz="4" w:val="nil"/>
              <w:bottom w:color="000000" w:sz="4" w:val="single"/>
              <w:right w:color="000000" w:sz="4" w:val="single"/>
            </w:tcBorders>
            <w:vAlign w:val="center"/>
          </w:tcPr>
          <w:p w14:paraId="0A020000">
            <w:pPr>
              <w:spacing w:after="0" w:line="240" w:lineRule="auto"/>
              <w:ind/>
              <w:rPr>
                <w:rFonts w:ascii="Times New Roman" w:hAnsi="Times New Roman"/>
                <w:color w:val="000000"/>
                <w:sz w:val="24"/>
              </w:rPr>
            </w:pPr>
            <w:r>
              <w:rPr>
                <w:rFonts w:ascii="Times New Roman" w:hAnsi="Times New Roman"/>
                <w:color w:val="000000"/>
                <w:sz w:val="24"/>
              </w:rPr>
              <w:t>Начисление курсовой разницы по валютному кредиту</w:t>
            </w:r>
          </w:p>
        </w:tc>
        <w:tc>
          <w:tcPr>
            <w:tcW w:type="dxa" w:w="2325"/>
            <w:tcBorders>
              <w:top w:sz="4" w:val="nil"/>
              <w:left w:sz="4" w:val="nil"/>
              <w:bottom w:color="000000" w:sz="4" w:val="single"/>
              <w:right w:color="000000" w:sz="4" w:val="single"/>
            </w:tcBorders>
            <w:vAlign w:val="center"/>
          </w:tcPr>
          <w:p w14:paraId="0B020000">
            <w:pPr>
              <w:spacing w:after="0" w:line="240" w:lineRule="auto"/>
              <w:ind/>
              <w:rPr>
                <w:rFonts w:ascii="Times New Roman" w:hAnsi="Times New Roman"/>
                <w:color w:val="000000"/>
                <w:sz w:val="24"/>
              </w:rPr>
            </w:pPr>
            <w:r>
              <w:rPr>
                <w:rFonts w:ascii="Times New Roman" w:hAnsi="Times New Roman"/>
                <w:color w:val="000000"/>
                <w:sz w:val="24"/>
              </w:rPr>
              <w:t>Изменение обязательств в балансе</w:t>
            </w:r>
          </w:p>
        </w:tc>
        <w:tc>
          <w:tcPr>
            <w:tcW w:type="dxa" w:w="1726"/>
            <w:tcBorders>
              <w:top w:sz="4" w:val="nil"/>
              <w:left w:sz="4" w:val="nil"/>
              <w:bottom w:color="000000" w:sz="4" w:val="single"/>
              <w:right w:color="000000" w:sz="4" w:val="single"/>
            </w:tcBorders>
            <w:vAlign w:val="center"/>
          </w:tcPr>
          <w:p w14:paraId="0C020000">
            <w:pPr>
              <w:spacing w:after="0" w:line="240" w:lineRule="auto"/>
              <w:ind/>
              <w:rPr>
                <w:rFonts w:ascii="Times New Roman" w:hAnsi="Times New Roman"/>
                <w:color w:val="000000"/>
                <w:sz w:val="24"/>
              </w:rPr>
            </w:pPr>
            <w:r>
              <w:rPr>
                <w:rFonts w:ascii="Times New Roman" w:hAnsi="Times New Roman"/>
                <w:color w:val="000000"/>
                <w:sz w:val="24"/>
              </w:rPr>
              <w:t>Доходы/расходы по курсовым разницам</w:t>
            </w:r>
          </w:p>
        </w:tc>
        <w:tc>
          <w:tcPr>
            <w:tcW w:type="dxa" w:w="1463"/>
            <w:tcBorders>
              <w:top w:sz="4" w:val="nil"/>
              <w:left w:sz="4" w:val="nil"/>
              <w:bottom w:color="000000" w:sz="4" w:val="single"/>
              <w:right w:color="000000" w:sz="4" w:val="single"/>
            </w:tcBorders>
            <w:vAlign w:val="center"/>
          </w:tcPr>
          <w:p w14:paraId="0D020000">
            <w:pPr>
              <w:spacing w:after="0" w:line="240" w:lineRule="auto"/>
              <w:ind/>
              <w:rPr>
                <w:rFonts w:ascii="Times New Roman" w:hAnsi="Times New Roman"/>
                <w:color w:val="000000"/>
                <w:sz w:val="24"/>
              </w:rPr>
            </w:pPr>
            <w:r>
              <w:rPr>
                <w:rFonts w:ascii="Times New Roman" w:hAnsi="Times New Roman"/>
                <w:color w:val="000000"/>
                <w:sz w:val="24"/>
              </w:rPr>
              <w:t>Не отражается напрямую</w:t>
            </w:r>
          </w:p>
        </w:tc>
        <w:tc>
          <w:tcPr>
            <w:tcW w:type="dxa" w:w="1624"/>
            <w:tcBorders>
              <w:top w:sz="4" w:val="nil"/>
              <w:left w:sz="4" w:val="nil"/>
              <w:bottom w:color="000000" w:sz="4" w:val="single"/>
              <w:right w:color="000000" w:sz="4" w:val="single"/>
            </w:tcBorders>
            <w:vAlign w:val="center"/>
          </w:tcPr>
          <w:p w14:paraId="0E020000">
            <w:pPr>
              <w:spacing w:after="0" w:line="240" w:lineRule="auto"/>
              <w:ind/>
              <w:rPr>
                <w:rFonts w:ascii="Times New Roman" w:hAnsi="Times New Roman"/>
                <w:color w:val="000000"/>
                <w:sz w:val="24"/>
              </w:rPr>
            </w:pPr>
            <w:r>
              <w:rPr>
                <w:rFonts w:ascii="Times New Roman" w:hAnsi="Times New Roman"/>
                <w:color w:val="000000"/>
                <w:sz w:val="24"/>
              </w:rPr>
              <w:t>Возникает при изменении курса валюты</w:t>
            </w:r>
          </w:p>
        </w:tc>
      </w:tr>
      <w:tr>
        <w:trPr>
          <w:trHeight w:hRule="atLeast" w:val="1440"/>
        </w:trPr>
        <w:tc>
          <w:tcPr>
            <w:tcW w:type="dxa" w:w="516"/>
            <w:tcBorders>
              <w:top w:sz="4" w:val="nil"/>
              <w:left w:color="000000" w:sz="4" w:val="single"/>
              <w:bottom w:color="000000" w:sz="4" w:val="single"/>
              <w:right w:color="000000" w:sz="4" w:val="single"/>
            </w:tcBorders>
            <w:vAlign w:val="center"/>
          </w:tcPr>
          <w:p w14:paraId="0F020000">
            <w:pPr>
              <w:spacing w:after="0" w:line="240" w:lineRule="auto"/>
              <w:ind/>
              <w:jc w:val="right"/>
              <w:rPr>
                <w:rFonts w:ascii="Times New Roman" w:hAnsi="Times New Roman"/>
                <w:color w:val="000000"/>
                <w:sz w:val="24"/>
              </w:rPr>
            </w:pPr>
            <w:r>
              <w:rPr>
                <w:rFonts w:ascii="Times New Roman" w:hAnsi="Times New Roman"/>
                <w:color w:val="000000"/>
                <w:sz w:val="24"/>
              </w:rPr>
              <w:t>9</w:t>
            </w:r>
          </w:p>
        </w:tc>
        <w:tc>
          <w:tcPr>
            <w:tcW w:type="dxa" w:w="1690"/>
            <w:tcBorders>
              <w:top w:sz="4" w:val="nil"/>
              <w:left w:sz="4" w:val="nil"/>
              <w:bottom w:color="000000" w:sz="4" w:val="single"/>
              <w:right w:color="000000" w:sz="4" w:val="single"/>
            </w:tcBorders>
            <w:vAlign w:val="center"/>
          </w:tcPr>
          <w:p w14:paraId="10020000">
            <w:pPr>
              <w:spacing w:after="0" w:line="240" w:lineRule="auto"/>
              <w:ind/>
              <w:rPr>
                <w:rFonts w:ascii="Times New Roman" w:hAnsi="Times New Roman"/>
                <w:color w:val="000000"/>
                <w:sz w:val="24"/>
              </w:rPr>
            </w:pPr>
            <w:r>
              <w:rPr>
                <w:rFonts w:ascii="Times New Roman" w:hAnsi="Times New Roman"/>
                <w:color w:val="000000"/>
                <w:sz w:val="24"/>
              </w:rPr>
              <w:t>Обеспечение кредита (залоги, поручительства)</w:t>
            </w:r>
          </w:p>
        </w:tc>
        <w:tc>
          <w:tcPr>
            <w:tcW w:type="dxa" w:w="2325"/>
            <w:tcBorders>
              <w:top w:sz="4" w:val="nil"/>
              <w:left w:sz="4" w:val="nil"/>
              <w:bottom w:color="000000" w:sz="4" w:val="single"/>
              <w:right w:color="000000" w:sz="4" w:val="single"/>
            </w:tcBorders>
            <w:vAlign w:val="center"/>
          </w:tcPr>
          <w:p w14:paraId="11020000">
            <w:pPr>
              <w:spacing w:after="0" w:line="240" w:lineRule="auto"/>
              <w:ind/>
              <w:rPr>
                <w:rFonts w:ascii="Times New Roman" w:hAnsi="Times New Roman"/>
                <w:color w:val="000000"/>
                <w:sz w:val="24"/>
              </w:rPr>
            </w:pPr>
            <w:r>
              <w:rPr>
                <w:rFonts w:ascii="Times New Roman" w:hAnsi="Times New Roman"/>
                <w:color w:val="000000"/>
                <w:sz w:val="24"/>
              </w:rPr>
              <w:t>Отражается в пояснительной записке и аналитических регистрах</w:t>
            </w:r>
          </w:p>
        </w:tc>
        <w:tc>
          <w:tcPr>
            <w:tcW w:type="dxa" w:w="1726"/>
            <w:tcBorders>
              <w:top w:sz="4" w:val="nil"/>
              <w:left w:sz="4" w:val="nil"/>
              <w:bottom w:color="000000" w:sz="4" w:val="single"/>
              <w:right w:color="000000" w:sz="4" w:val="single"/>
            </w:tcBorders>
            <w:vAlign w:val="center"/>
          </w:tcPr>
          <w:p w14:paraId="12020000">
            <w:pPr>
              <w:spacing w:after="0" w:line="240" w:lineRule="auto"/>
              <w:ind/>
              <w:rPr>
                <w:rFonts w:ascii="Times New Roman" w:hAnsi="Times New Roman"/>
                <w:color w:val="000000"/>
                <w:sz w:val="24"/>
              </w:rPr>
            </w:pPr>
            <w:r>
              <w:rPr>
                <w:rFonts w:ascii="Times New Roman" w:hAnsi="Times New Roman"/>
                <w:color w:val="000000"/>
                <w:sz w:val="24"/>
              </w:rPr>
              <w:t>Не отражается</w:t>
            </w:r>
          </w:p>
        </w:tc>
        <w:tc>
          <w:tcPr>
            <w:tcW w:type="dxa" w:w="1463"/>
            <w:tcBorders>
              <w:top w:sz="4" w:val="nil"/>
              <w:left w:sz="4" w:val="nil"/>
              <w:bottom w:color="000000" w:sz="4" w:val="single"/>
              <w:right w:color="000000" w:sz="4" w:val="single"/>
            </w:tcBorders>
            <w:vAlign w:val="center"/>
          </w:tcPr>
          <w:p w14:paraId="13020000">
            <w:pPr>
              <w:spacing w:after="0" w:line="240" w:lineRule="auto"/>
              <w:ind/>
              <w:rPr>
                <w:rFonts w:ascii="Times New Roman" w:hAnsi="Times New Roman"/>
                <w:color w:val="000000"/>
                <w:sz w:val="24"/>
              </w:rPr>
            </w:pPr>
            <w:r>
              <w:rPr>
                <w:rFonts w:ascii="Times New Roman" w:hAnsi="Times New Roman"/>
                <w:color w:val="000000"/>
                <w:sz w:val="24"/>
              </w:rPr>
              <w:t>Не отражается</w:t>
            </w:r>
          </w:p>
        </w:tc>
        <w:tc>
          <w:tcPr>
            <w:tcW w:type="dxa" w:w="1624"/>
            <w:tcBorders>
              <w:top w:sz="4" w:val="nil"/>
              <w:left w:sz="4" w:val="nil"/>
              <w:bottom w:color="000000" w:sz="4" w:val="single"/>
              <w:right w:color="000000" w:sz="4" w:val="single"/>
            </w:tcBorders>
            <w:vAlign w:val="center"/>
          </w:tcPr>
          <w:p w14:paraId="14020000">
            <w:pPr>
              <w:spacing w:after="0" w:line="240" w:lineRule="auto"/>
              <w:ind/>
              <w:rPr>
                <w:rFonts w:ascii="Times New Roman" w:hAnsi="Times New Roman"/>
                <w:color w:val="000000"/>
                <w:sz w:val="24"/>
              </w:rPr>
            </w:pPr>
            <w:r>
              <w:rPr>
                <w:rFonts w:ascii="Times New Roman" w:hAnsi="Times New Roman"/>
                <w:color w:val="000000"/>
                <w:sz w:val="24"/>
              </w:rPr>
              <w:t>Для контроля и оценки рисков</w:t>
            </w:r>
          </w:p>
        </w:tc>
      </w:tr>
    </w:tbl>
    <w:p w14:paraId="15020000">
      <w:pPr>
        <w:spacing w:after="0" w:line="360" w:lineRule="auto"/>
        <w:ind w:firstLine="851" w:left="0"/>
        <w:jc w:val="both"/>
        <w:rPr>
          <w:rFonts w:ascii="Times New Roman" w:hAnsi="Times New Roman"/>
          <w:sz w:val="28"/>
        </w:rPr>
      </w:pPr>
    </w:p>
    <w:p w14:paraId="16020000">
      <w:pPr>
        <w:spacing w:after="0" w:line="360" w:lineRule="auto"/>
        <w:ind w:firstLine="851" w:left="0"/>
        <w:jc w:val="both"/>
        <w:rPr>
          <w:rFonts w:ascii="Times New Roman" w:hAnsi="Times New Roman"/>
          <w:sz w:val="28"/>
        </w:rPr>
      </w:pPr>
    </w:p>
    <w:p w14:paraId="17020000">
      <w:pPr>
        <w:spacing w:after="0" w:line="360" w:lineRule="auto"/>
        <w:ind w:firstLine="851" w:left="0"/>
        <w:jc w:val="both"/>
        <w:rPr>
          <w:rFonts w:ascii="Times New Roman" w:hAnsi="Times New Roman"/>
          <w:sz w:val="28"/>
        </w:rPr>
      </w:pPr>
      <w:r>
        <w:rPr>
          <w:rFonts w:ascii="Times New Roman" w:hAnsi="Times New Roman"/>
          <w:sz w:val="28"/>
        </w:rPr>
        <w:t xml:space="preserve">Содержание таблицы иллюстрирует, что операции по основному долгу (получение и возврат кредитов и займов) непосредственно не отражаются на прибыли (убытке) организации. При получении кредита (займа) в балансе увеличивается денежный актив и одновременно возрастает кредиторская задолженность, долгосрочные или краткосрочные обязательства в зависимости от условий договора. В отчете о прибылях и убытках отражение данной операции отсутствует. При погашении ссуды (займа) уменьшаются </w:t>
      </w:r>
      <w:r>
        <w:rPr>
          <w:rFonts w:ascii="Times New Roman" w:hAnsi="Times New Roman"/>
          <w:sz w:val="28"/>
        </w:rPr>
        <w:t>денежные средства и обязательства, но также не формируются доходы или расходы. Движения денежных средств по погашению и получению кредитов и займов отражаются в отчете о движении денежных средств в разделе финансовой деятельности. Совсем иная ситуация с процентами. Начисление процентов приводит к увеличению величины обязательств организации и одновременно отражается расходами на проценты в отчете о прибылях и убытках. При уплате процентов уменьшаются денежные средства и производится зачет обязательств, а сам платеж отражается в отчете о движении денежных средств как отток по финансовой деятельности.</w:t>
      </w:r>
    </w:p>
    <w:p w14:paraId="18020000">
      <w:pPr>
        <w:spacing w:after="0" w:line="360" w:lineRule="auto"/>
        <w:ind w:firstLine="851" w:left="0"/>
        <w:jc w:val="both"/>
        <w:rPr>
          <w:rFonts w:ascii="Times New Roman" w:hAnsi="Times New Roman"/>
          <w:sz w:val="28"/>
        </w:rPr>
      </w:pPr>
      <w:r>
        <w:rPr>
          <w:rFonts w:ascii="Times New Roman" w:hAnsi="Times New Roman"/>
          <w:sz w:val="28"/>
        </w:rPr>
        <w:t>Валютные кредиты порождают еще один аспект – курсовые разницы. Изменение курса иностранной валюты влияет на величину обязательств, указанных в балансе, а курсовые разницы признаются доходами или расходами в отчете о прибылях и убытках. Обеспечения (залоги, поручительства) не учитываются при составлении баланса, отчета о прибылях и убытках или отчета о движении денежных средств. Данные об обеспечениях раскрываются в пояснительной записке и аналитических регистрах и служат для контроля рисков невозврата.</w:t>
      </w:r>
    </w:p>
    <w:p w14:paraId="19020000">
      <w:pPr>
        <w:spacing w:after="0" w:line="360" w:lineRule="auto"/>
        <w:ind w:firstLine="851" w:left="0"/>
        <w:jc w:val="both"/>
        <w:rPr>
          <w:rFonts w:ascii="Times New Roman" w:hAnsi="Times New Roman"/>
          <w:sz w:val="28"/>
        </w:rPr>
      </w:pPr>
      <w:r>
        <w:rPr>
          <w:rFonts w:ascii="Times New Roman" w:hAnsi="Times New Roman"/>
          <w:sz w:val="28"/>
        </w:rPr>
        <w:t>Таким образом, отражение кредитов и займов в бухгалтерской отчетности обеспечивает полноту и достоверность сведений о финансовом положении организации, позволяет контролировать обязательства и управлять заемным капиталом. Объединение данных о заимствованиях с отчетом о движении денежных средств и отчетом о финансовых результатах дает руководству и внешним пользователям возможность оценить финансовую устойчивость компании и понять, насколько эффективно используются привлеченные средства.</w:t>
      </w:r>
    </w:p>
    <w:p w14:paraId="1A020000">
      <w:bookmarkStart w:id="10" w:name="__RefHeading___10"/>
      <w:bookmarkEnd w:id="10"/>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2.3. </w:t>
      </w:r>
      <w:r>
        <w:rPr>
          <w:rFonts w:ascii="Times New Roman" w:hAnsi="Times New Roman"/>
          <w:b w:val="1"/>
          <w:color w:themeColor="text1" w:val="000000"/>
          <w:sz w:val="28"/>
        </w:rPr>
        <w:t>Анализ кредитов и займов в организации</w:t>
      </w:r>
    </w:p>
    <w:p w14:paraId="1B020000"/>
    <w:p w14:paraId="1C020000">
      <w:pPr>
        <w:spacing w:after="0" w:line="360" w:lineRule="auto"/>
        <w:ind w:firstLine="851" w:left="0"/>
        <w:jc w:val="both"/>
        <w:rPr>
          <w:rFonts w:ascii="Times New Roman" w:hAnsi="Times New Roman"/>
          <w:sz w:val="28"/>
        </w:rPr>
      </w:pPr>
      <w:r>
        <w:rPr>
          <w:rFonts w:ascii="Times New Roman" w:hAnsi="Times New Roman"/>
          <w:sz w:val="28"/>
        </w:rPr>
        <w:t xml:space="preserve">Анализ того, как устроены и как меняются со временем кредиты и займы, даёт многое для оценки финансового состояния организации. С его помощью можно понять, насколько компания зависит от чужих денег, </w:t>
      </w:r>
      <w:r>
        <w:rPr>
          <w:rFonts w:ascii="Times New Roman" w:hAnsi="Times New Roman"/>
          <w:sz w:val="28"/>
        </w:rPr>
        <w:t>посмотреть, как соотносятся долгосрочные и краткосрочные обязательства, проследить, растёт или снижается кредитная нагрузка. На таком анализе потом строят управленческие решения – когда и сколько заёмного капитала привлекать и как его использовать.</w:t>
      </w:r>
    </w:p>
    <w:p w14:paraId="1D020000">
      <w:pPr>
        <w:spacing w:after="0" w:line="360" w:lineRule="auto"/>
        <w:ind w:firstLine="851" w:left="0"/>
        <w:jc w:val="both"/>
        <w:rPr>
          <w:rFonts w:ascii="Times New Roman" w:hAnsi="Times New Roman"/>
          <w:sz w:val="28"/>
        </w:rPr>
      </w:pPr>
      <w:r>
        <w:rPr>
          <w:rFonts w:ascii="Times New Roman" w:hAnsi="Times New Roman"/>
          <w:sz w:val="28"/>
        </w:rPr>
        <w:t>Структура кредитов и займов – это, по сути, соотношение разных видов долгов. Ключевое – разделение на краткосрочные и долгосрочные. Первые поддерживают ликвидность и финансируют текущие дела. Вторые служат источником денег для инвестиционных проектов и стратегического развития. При анализе структуры смотрят ещё и на то, откуда пришли деньги: банковские кредиты, займы от контрагентов, выпущенные облигации, другие виды обязательств. Такой разбор помогает оценить риски – нет ли опасной концентрации долгов у одного или нескольких кредиторов – и понять, не пора ли диверсифицировать источники заёмного капитала</w:t>
      </w:r>
      <w:r>
        <w:rPr>
          <w:rFonts w:ascii="Times New Roman" w:hAnsi="Times New Roman"/>
          <w:sz w:val="28"/>
          <w:vertAlign w:val="superscript"/>
        </w:rPr>
        <w:footnoteReference w:id="22"/>
      </w:r>
      <w:r>
        <w:rPr>
          <w:rFonts w:ascii="Times New Roman" w:hAnsi="Times New Roman"/>
          <w:sz w:val="28"/>
        </w:rPr>
        <w:t>.</w:t>
      </w:r>
    </w:p>
    <w:p w14:paraId="1E020000">
      <w:pPr>
        <w:spacing w:after="0" w:line="360" w:lineRule="auto"/>
        <w:ind w:firstLine="851" w:left="0"/>
        <w:jc w:val="both"/>
        <w:rPr>
          <w:rFonts w:ascii="Times New Roman" w:hAnsi="Times New Roman"/>
          <w:sz w:val="28"/>
        </w:rPr>
      </w:pPr>
      <w:r>
        <w:rPr>
          <w:rFonts w:ascii="Times New Roman" w:hAnsi="Times New Roman"/>
          <w:sz w:val="28"/>
        </w:rPr>
        <w:t>Динамику кредитов и займов оценивают по данным бухгалтерского учёта за несколько отчётных периодов. Анализ изменений показывает, растёт объём заёмных средств или сокращается. Сравнение показателей год к году даёт возможность судить об устойчивости финансового положения и прогнозировать будущую кредитную нагрузку.</w:t>
      </w:r>
      <w:r>
        <w:rPr>
          <w:rFonts w:ascii="Times New Roman" w:hAnsi="Times New Roman"/>
          <w:sz w:val="28"/>
        </w:rPr>
        <w:t xml:space="preserve"> </w:t>
      </w:r>
      <w:r>
        <w:rPr>
          <w:rFonts w:ascii="Times New Roman" w:hAnsi="Times New Roman"/>
          <w:sz w:val="28"/>
        </w:rPr>
        <w:t>При оценке динамики важно обращать внимание на то, как соотносятся основная сумма долга и начисленные проценты. Если доля процентов растёт – значит, заёмные ресурсы дорожают, и финансовую стратегию пора корректировать. Если процентная нагрузка снижается – условия привлечения становятся выгоднее.</w:t>
      </w:r>
    </w:p>
    <w:p w14:paraId="1F020000">
      <w:pPr>
        <w:spacing w:after="0" w:line="360" w:lineRule="auto"/>
        <w:ind w:firstLine="851" w:left="0"/>
        <w:jc w:val="both"/>
        <w:rPr>
          <w:rFonts w:ascii="Times New Roman" w:hAnsi="Times New Roman"/>
          <w:sz w:val="28"/>
        </w:rPr>
      </w:pPr>
      <w:r>
        <w:rPr>
          <w:rFonts w:ascii="Times New Roman" w:hAnsi="Times New Roman"/>
          <w:sz w:val="28"/>
        </w:rPr>
        <w:t>Горизонтальный анализ позволяет увидеть, как меняются показатели бухгалтерского баланса за исследуемый период.</w:t>
      </w:r>
    </w:p>
    <w:p w14:paraId="20020000">
      <w:pPr>
        <w:spacing w:after="0" w:line="360" w:lineRule="auto"/>
        <w:ind w:firstLine="851" w:left="0"/>
        <w:jc w:val="both"/>
        <w:rPr>
          <w:rFonts w:ascii="Times New Roman" w:hAnsi="Times New Roman"/>
          <w:sz w:val="28"/>
        </w:rPr>
      </w:pPr>
      <w:r>
        <w:rPr>
          <w:rFonts w:ascii="Times New Roman" w:hAnsi="Times New Roman"/>
          <w:sz w:val="28"/>
        </w:rPr>
        <w:t xml:space="preserve"> Горизонтальный анализ обязательств ПАО «Газпром» представлен в таблице 7.</w:t>
      </w:r>
    </w:p>
    <w:p w14:paraId="21020000">
      <w:pPr>
        <w:spacing w:after="0" w:line="360" w:lineRule="auto"/>
        <w:ind w:firstLine="851" w:left="0"/>
        <w:jc w:val="both"/>
        <w:rPr>
          <w:rFonts w:ascii="Times New Roman" w:hAnsi="Times New Roman"/>
          <w:sz w:val="28"/>
        </w:rPr>
      </w:pPr>
    </w:p>
    <w:p w14:paraId="22020000">
      <w:pPr>
        <w:spacing w:after="0" w:line="360" w:lineRule="auto"/>
        <w:ind w:firstLine="851" w:left="0"/>
        <w:jc w:val="right"/>
        <w:rPr>
          <w:rFonts w:ascii="Times New Roman" w:hAnsi="Times New Roman"/>
          <w:b w:val="1"/>
          <w:sz w:val="28"/>
        </w:rPr>
      </w:pPr>
      <w:r>
        <w:rPr>
          <w:rFonts w:ascii="Times New Roman" w:hAnsi="Times New Roman"/>
          <w:b w:val="1"/>
          <w:sz w:val="28"/>
        </w:rPr>
        <w:t>Таблица 7</w:t>
      </w:r>
    </w:p>
    <w:p w14:paraId="23020000">
      <w:pPr>
        <w:spacing w:after="0" w:line="360" w:lineRule="auto"/>
        <w:ind w:firstLine="851" w:left="0"/>
        <w:jc w:val="both"/>
        <w:rPr>
          <w:rFonts w:ascii="Times New Roman" w:hAnsi="Times New Roman"/>
          <w:b w:val="1"/>
          <w:sz w:val="28"/>
        </w:rPr>
      </w:pPr>
      <w:r>
        <w:rPr>
          <w:rFonts w:ascii="Times New Roman" w:hAnsi="Times New Roman"/>
          <w:b w:val="1"/>
          <w:sz w:val="28"/>
        </w:rPr>
        <w:t>Горизонтальный анализ обязательств ПАО «Газпром»</w:t>
      </w:r>
    </w:p>
    <w:tbl>
      <w:tblPr>
        <w:tblStyle w:val="Style_3"/>
        <w:tblLayout w:type="fixed"/>
      </w:tblPr>
      <w:tblGrid>
        <w:gridCol w:w="3991"/>
        <w:gridCol w:w="1533"/>
        <w:gridCol w:w="1275"/>
        <w:gridCol w:w="1537"/>
        <w:gridCol w:w="928"/>
      </w:tblGrid>
      <w:tr>
        <w:trPr>
          <w:trHeight w:hRule="atLeast" w:val="1248"/>
        </w:trPr>
        <w:tc>
          <w:tcPr>
            <w:tcW w:type="dxa" w:w="3991"/>
            <w:tcBorders>
              <w:top w:color="000000" w:sz="4" w:val="single"/>
              <w:left w:color="000000" w:sz="4" w:val="single"/>
              <w:bottom w:color="000000" w:sz="4" w:val="single"/>
              <w:right w:color="000000" w:sz="4" w:val="single"/>
            </w:tcBorders>
            <w:vAlign w:val="center"/>
          </w:tcPr>
          <w:p w14:paraId="24020000">
            <w:pPr>
              <w:spacing w:after="0" w:line="36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1533"/>
            <w:tcBorders>
              <w:top w:color="000000" w:sz="4" w:val="single"/>
              <w:left w:sz="4" w:val="nil"/>
              <w:bottom w:color="000000" w:sz="4" w:val="single"/>
              <w:right w:color="000000" w:sz="4" w:val="single"/>
            </w:tcBorders>
            <w:vAlign w:val="center"/>
          </w:tcPr>
          <w:p w14:paraId="25020000">
            <w:pPr>
              <w:spacing w:after="0" w:line="360" w:lineRule="auto"/>
              <w:ind/>
              <w:jc w:val="center"/>
              <w:rPr>
                <w:rFonts w:ascii="Times New Roman" w:hAnsi="Times New Roman"/>
                <w:b w:val="1"/>
                <w:color w:val="000000"/>
                <w:sz w:val="24"/>
              </w:rPr>
            </w:pPr>
            <w:r>
              <w:rPr>
                <w:rFonts w:ascii="Times New Roman" w:hAnsi="Times New Roman"/>
                <w:b w:val="1"/>
                <w:color w:val="000000"/>
                <w:sz w:val="24"/>
              </w:rPr>
              <w:t>2022 г., млрд руб.</w:t>
            </w:r>
          </w:p>
        </w:tc>
        <w:tc>
          <w:tcPr>
            <w:tcW w:type="dxa" w:w="1275"/>
            <w:tcBorders>
              <w:top w:color="000000" w:sz="4" w:val="single"/>
              <w:left w:sz="4" w:val="nil"/>
              <w:bottom w:color="000000" w:sz="4" w:val="single"/>
              <w:right w:color="000000" w:sz="4" w:val="single"/>
            </w:tcBorders>
            <w:vAlign w:val="center"/>
          </w:tcPr>
          <w:p w14:paraId="26020000">
            <w:pPr>
              <w:spacing w:after="0" w:line="360" w:lineRule="auto"/>
              <w:ind/>
              <w:jc w:val="center"/>
              <w:rPr>
                <w:rFonts w:ascii="Times New Roman" w:hAnsi="Times New Roman"/>
                <w:b w:val="1"/>
                <w:color w:val="000000"/>
                <w:sz w:val="24"/>
              </w:rPr>
            </w:pPr>
            <w:r>
              <w:rPr>
                <w:rFonts w:ascii="Times New Roman" w:hAnsi="Times New Roman"/>
                <w:b w:val="1"/>
                <w:color w:val="000000"/>
                <w:sz w:val="24"/>
              </w:rPr>
              <w:t>2023 г., млрд руб.</w:t>
            </w:r>
          </w:p>
        </w:tc>
        <w:tc>
          <w:tcPr>
            <w:tcW w:type="dxa" w:w="1537"/>
            <w:tcBorders>
              <w:top w:color="000000" w:sz="4" w:val="single"/>
              <w:left w:sz="4" w:val="nil"/>
              <w:bottom w:color="000000" w:sz="4" w:val="single"/>
              <w:right w:color="000000" w:sz="4" w:val="single"/>
            </w:tcBorders>
            <w:vAlign w:val="center"/>
          </w:tcPr>
          <w:p w14:paraId="27020000">
            <w:pPr>
              <w:spacing w:after="0" w:line="360" w:lineRule="auto"/>
              <w:ind/>
              <w:jc w:val="center"/>
              <w:rPr>
                <w:rFonts w:ascii="Times New Roman" w:hAnsi="Times New Roman"/>
                <w:b w:val="1"/>
                <w:color w:val="000000"/>
                <w:sz w:val="24"/>
              </w:rPr>
            </w:pPr>
            <w:r>
              <w:rPr>
                <w:rFonts w:ascii="Times New Roman" w:hAnsi="Times New Roman"/>
                <w:b w:val="1"/>
                <w:color w:val="000000"/>
                <w:sz w:val="24"/>
              </w:rPr>
              <w:t>Абсолютное изменение</w:t>
            </w:r>
          </w:p>
        </w:tc>
        <w:tc>
          <w:tcPr>
            <w:tcW w:type="dxa" w:w="928"/>
            <w:tcBorders>
              <w:top w:color="000000" w:sz="4" w:val="single"/>
              <w:left w:sz="4" w:val="nil"/>
              <w:bottom w:color="000000" w:sz="4" w:val="single"/>
              <w:right w:color="000000" w:sz="4" w:val="single"/>
            </w:tcBorders>
            <w:vAlign w:val="center"/>
          </w:tcPr>
          <w:p w14:paraId="28020000">
            <w:pPr>
              <w:spacing w:after="0" w:line="360" w:lineRule="auto"/>
              <w:ind/>
              <w:jc w:val="center"/>
              <w:rPr>
                <w:rFonts w:ascii="Times New Roman" w:hAnsi="Times New Roman"/>
                <w:b w:val="1"/>
                <w:color w:val="000000"/>
                <w:sz w:val="24"/>
              </w:rPr>
            </w:pPr>
            <w:r>
              <w:rPr>
                <w:rFonts w:ascii="Times New Roman" w:hAnsi="Times New Roman"/>
                <w:b w:val="1"/>
                <w:color w:val="000000"/>
                <w:sz w:val="24"/>
              </w:rPr>
              <w:t>Темп роста, %</w:t>
            </w:r>
          </w:p>
        </w:tc>
      </w:tr>
      <w:tr>
        <w:trPr>
          <w:trHeight w:hRule="atLeast" w:val="312"/>
        </w:trPr>
        <w:tc>
          <w:tcPr>
            <w:tcW w:type="dxa" w:w="3991"/>
            <w:tcBorders>
              <w:top w:sz="4" w:val="nil"/>
              <w:left w:color="000000" w:sz="4" w:val="single"/>
              <w:bottom w:color="000000" w:sz="4" w:val="single"/>
              <w:right w:color="000000" w:sz="4" w:val="single"/>
            </w:tcBorders>
            <w:vAlign w:val="center"/>
          </w:tcPr>
          <w:p w14:paraId="29020000">
            <w:pPr>
              <w:spacing w:after="0" w:line="360" w:lineRule="auto"/>
              <w:ind/>
              <w:rPr>
                <w:rFonts w:ascii="Times New Roman" w:hAnsi="Times New Roman"/>
                <w:color w:val="000000"/>
                <w:sz w:val="24"/>
              </w:rPr>
            </w:pPr>
            <w:r>
              <w:rPr>
                <w:rFonts w:ascii="Times New Roman" w:hAnsi="Times New Roman"/>
                <w:color w:val="000000"/>
                <w:sz w:val="24"/>
              </w:rPr>
              <w:t>Долгосрочные кредиты и займы</w:t>
            </w:r>
          </w:p>
        </w:tc>
        <w:tc>
          <w:tcPr>
            <w:tcW w:type="dxa" w:w="1533"/>
            <w:tcBorders>
              <w:top w:sz="4" w:val="nil"/>
              <w:left w:sz="4" w:val="nil"/>
              <w:bottom w:color="000000" w:sz="4" w:val="single"/>
              <w:right w:color="000000" w:sz="4" w:val="single"/>
            </w:tcBorders>
            <w:vAlign w:val="center"/>
          </w:tcPr>
          <w:p w14:paraId="2A020000">
            <w:pPr>
              <w:spacing w:after="0" w:line="360" w:lineRule="auto"/>
              <w:ind/>
              <w:jc w:val="right"/>
              <w:rPr>
                <w:rFonts w:ascii="Times New Roman" w:hAnsi="Times New Roman"/>
                <w:color w:val="000000"/>
                <w:sz w:val="24"/>
              </w:rPr>
            </w:pPr>
            <w:r>
              <w:rPr>
                <w:rFonts w:ascii="Times New Roman" w:hAnsi="Times New Roman"/>
                <w:color w:val="000000"/>
                <w:sz w:val="24"/>
              </w:rPr>
              <w:t>5 800</w:t>
            </w:r>
          </w:p>
        </w:tc>
        <w:tc>
          <w:tcPr>
            <w:tcW w:type="dxa" w:w="1275"/>
            <w:tcBorders>
              <w:top w:sz="4" w:val="nil"/>
              <w:left w:sz="4" w:val="nil"/>
              <w:bottom w:color="000000" w:sz="4" w:val="single"/>
              <w:right w:color="000000" w:sz="4" w:val="single"/>
            </w:tcBorders>
            <w:vAlign w:val="center"/>
          </w:tcPr>
          <w:p w14:paraId="2B020000">
            <w:pPr>
              <w:spacing w:after="0" w:line="360" w:lineRule="auto"/>
              <w:ind/>
              <w:jc w:val="right"/>
              <w:rPr>
                <w:rFonts w:ascii="Times New Roman" w:hAnsi="Times New Roman"/>
                <w:color w:val="000000"/>
                <w:sz w:val="24"/>
              </w:rPr>
            </w:pPr>
            <w:r>
              <w:rPr>
                <w:rFonts w:ascii="Times New Roman" w:hAnsi="Times New Roman"/>
                <w:color w:val="000000"/>
                <w:sz w:val="24"/>
              </w:rPr>
              <w:t>6 200</w:t>
            </w:r>
          </w:p>
        </w:tc>
        <w:tc>
          <w:tcPr>
            <w:tcW w:type="dxa" w:w="1537"/>
            <w:tcBorders>
              <w:top w:sz="4" w:val="nil"/>
              <w:left w:sz="4" w:val="nil"/>
              <w:bottom w:color="000000" w:sz="4" w:val="single"/>
              <w:right w:color="000000" w:sz="4" w:val="single"/>
            </w:tcBorders>
            <w:vAlign w:val="center"/>
          </w:tcPr>
          <w:p w14:paraId="2C020000">
            <w:pPr>
              <w:spacing w:after="0" w:line="360" w:lineRule="auto"/>
              <w:ind/>
              <w:jc w:val="right"/>
              <w:rPr>
                <w:rFonts w:ascii="Times New Roman" w:hAnsi="Times New Roman"/>
                <w:color w:val="000000"/>
                <w:sz w:val="24"/>
              </w:rPr>
            </w:pPr>
            <w:r>
              <w:rPr>
                <w:rFonts w:ascii="Times New Roman" w:hAnsi="Times New Roman"/>
                <w:color w:val="000000"/>
                <w:sz w:val="24"/>
              </w:rPr>
              <w:t>400</w:t>
            </w:r>
          </w:p>
        </w:tc>
        <w:tc>
          <w:tcPr>
            <w:tcW w:type="dxa" w:w="928"/>
            <w:tcBorders>
              <w:top w:sz="4" w:val="nil"/>
              <w:left w:sz="4" w:val="nil"/>
              <w:bottom w:color="000000" w:sz="4" w:val="single"/>
              <w:right w:color="000000" w:sz="4" w:val="single"/>
            </w:tcBorders>
            <w:vAlign w:val="center"/>
          </w:tcPr>
          <w:p w14:paraId="2D020000">
            <w:pPr>
              <w:spacing w:after="0" w:line="360" w:lineRule="auto"/>
              <w:ind/>
              <w:jc w:val="right"/>
              <w:rPr>
                <w:rFonts w:ascii="Times New Roman" w:hAnsi="Times New Roman"/>
                <w:color w:val="000000"/>
                <w:sz w:val="24"/>
              </w:rPr>
            </w:pPr>
            <w:r>
              <w:rPr>
                <w:rFonts w:ascii="Times New Roman" w:hAnsi="Times New Roman"/>
                <w:color w:val="000000"/>
                <w:sz w:val="24"/>
              </w:rPr>
              <w:t>106,9</w:t>
            </w:r>
          </w:p>
        </w:tc>
      </w:tr>
      <w:tr>
        <w:trPr>
          <w:trHeight w:hRule="atLeast" w:val="312"/>
        </w:trPr>
        <w:tc>
          <w:tcPr>
            <w:tcW w:type="dxa" w:w="3991"/>
            <w:tcBorders>
              <w:top w:sz="4" w:val="nil"/>
              <w:left w:color="000000" w:sz="4" w:val="single"/>
              <w:bottom w:color="000000" w:sz="4" w:val="single"/>
              <w:right w:color="000000" w:sz="4" w:val="single"/>
            </w:tcBorders>
            <w:vAlign w:val="center"/>
          </w:tcPr>
          <w:p w14:paraId="2E020000">
            <w:pPr>
              <w:spacing w:after="0" w:line="360" w:lineRule="auto"/>
              <w:ind/>
              <w:rPr>
                <w:rFonts w:ascii="Times New Roman" w:hAnsi="Times New Roman"/>
                <w:color w:val="000000"/>
                <w:sz w:val="24"/>
              </w:rPr>
            </w:pPr>
            <w:r>
              <w:rPr>
                <w:rFonts w:ascii="Times New Roman" w:hAnsi="Times New Roman"/>
                <w:color w:val="000000"/>
                <w:sz w:val="24"/>
              </w:rPr>
              <w:t>Краткосрочные кредиты и займы</w:t>
            </w:r>
          </w:p>
        </w:tc>
        <w:tc>
          <w:tcPr>
            <w:tcW w:type="dxa" w:w="1533"/>
            <w:tcBorders>
              <w:top w:sz="4" w:val="nil"/>
              <w:left w:sz="4" w:val="nil"/>
              <w:bottom w:color="000000" w:sz="4" w:val="single"/>
              <w:right w:color="000000" w:sz="4" w:val="single"/>
            </w:tcBorders>
            <w:vAlign w:val="center"/>
          </w:tcPr>
          <w:p w14:paraId="2F020000">
            <w:pPr>
              <w:spacing w:after="0" w:line="360" w:lineRule="auto"/>
              <w:ind/>
              <w:jc w:val="right"/>
              <w:rPr>
                <w:rFonts w:ascii="Times New Roman" w:hAnsi="Times New Roman"/>
                <w:color w:val="000000"/>
                <w:sz w:val="24"/>
              </w:rPr>
            </w:pPr>
            <w:r>
              <w:rPr>
                <w:rFonts w:ascii="Times New Roman" w:hAnsi="Times New Roman"/>
                <w:color w:val="000000"/>
                <w:sz w:val="24"/>
              </w:rPr>
              <w:t>1 900</w:t>
            </w:r>
          </w:p>
        </w:tc>
        <w:tc>
          <w:tcPr>
            <w:tcW w:type="dxa" w:w="1275"/>
            <w:tcBorders>
              <w:top w:sz="4" w:val="nil"/>
              <w:left w:sz="4" w:val="nil"/>
              <w:bottom w:color="000000" w:sz="4" w:val="single"/>
              <w:right w:color="000000" w:sz="4" w:val="single"/>
            </w:tcBorders>
            <w:vAlign w:val="center"/>
          </w:tcPr>
          <w:p w14:paraId="30020000">
            <w:pPr>
              <w:spacing w:after="0" w:line="360" w:lineRule="auto"/>
              <w:ind/>
              <w:jc w:val="right"/>
              <w:rPr>
                <w:rFonts w:ascii="Times New Roman" w:hAnsi="Times New Roman"/>
                <w:color w:val="000000"/>
                <w:sz w:val="24"/>
              </w:rPr>
            </w:pPr>
            <w:r>
              <w:rPr>
                <w:rFonts w:ascii="Times New Roman" w:hAnsi="Times New Roman"/>
                <w:color w:val="000000"/>
                <w:sz w:val="24"/>
              </w:rPr>
              <w:t>2 300</w:t>
            </w:r>
          </w:p>
        </w:tc>
        <w:tc>
          <w:tcPr>
            <w:tcW w:type="dxa" w:w="1537"/>
            <w:tcBorders>
              <w:top w:sz="4" w:val="nil"/>
              <w:left w:sz="4" w:val="nil"/>
              <w:bottom w:color="000000" w:sz="4" w:val="single"/>
              <w:right w:color="000000" w:sz="4" w:val="single"/>
            </w:tcBorders>
            <w:vAlign w:val="center"/>
          </w:tcPr>
          <w:p w14:paraId="31020000">
            <w:pPr>
              <w:spacing w:after="0" w:line="360" w:lineRule="auto"/>
              <w:ind/>
              <w:jc w:val="right"/>
              <w:rPr>
                <w:rFonts w:ascii="Times New Roman" w:hAnsi="Times New Roman"/>
                <w:color w:val="000000"/>
                <w:sz w:val="24"/>
              </w:rPr>
            </w:pPr>
            <w:r>
              <w:rPr>
                <w:rFonts w:ascii="Times New Roman" w:hAnsi="Times New Roman"/>
                <w:color w:val="000000"/>
                <w:sz w:val="24"/>
              </w:rPr>
              <w:t>400</w:t>
            </w:r>
          </w:p>
        </w:tc>
        <w:tc>
          <w:tcPr>
            <w:tcW w:type="dxa" w:w="928"/>
            <w:tcBorders>
              <w:top w:sz="4" w:val="nil"/>
              <w:left w:sz="4" w:val="nil"/>
              <w:bottom w:color="000000" w:sz="4" w:val="single"/>
              <w:right w:color="000000" w:sz="4" w:val="single"/>
            </w:tcBorders>
            <w:vAlign w:val="center"/>
          </w:tcPr>
          <w:p w14:paraId="32020000">
            <w:pPr>
              <w:spacing w:after="0" w:line="360" w:lineRule="auto"/>
              <w:ind/>
              <w:jc w:val="right"/>
              <w:rPr>
                <w:rFonts w:ascii="Times New Roman" w:hAnsi="Times New Roman"/>
                <w:color w:val="000000"/>
                <w:sz w:val="24"/>
              </w:rPr>
            </w:pPr>
            <w:r>
              <w:rPr>
                <w:rFonts w:ascii="Times New Roman" w:hAnsi="Times New Roman"/>
                <w:color w:val="000000"/>
                <w:sz w:val="24"/>
              </w:rPr>
              <w:t>121,1</w:t>
            </w:r>
          </w:p>
        </w:tc>
      </w:tr>
      <w:tr>
        <w:trPr>
          <w:trHeight w:hRule="atLeast" w:val="312"/>
        </w:trPr>
        <w:tc>
          <w:tcPr>
            <w:tcW w:type="dxa" w:w="3991"/>
            <w:tcBorders>
              <w:top w:sz="4" w:val="nil"/>
              <w:left w:color="000000" w:sz="4" w:val="single"/>
              <w:bottom w:color="000000" w:sz="4" w:val="single"/>
              <w:right w:color="000000" w:sz="4" w:val="single"/>
            </w:tcBorders>
            <w:vAlign w:val="center"/>
          </w:tcPr>
          <w:p w14:paraId="33020000">
            <w:pPr>
              <w:spacing w:after="0" w:line="360" w:lineRule="auto"/>
              <w:ind/>
              <w:rPr>
                <w:rFonts w:ascii="Times New Roman" w:hAnsi="Times New Roman"/>
                <w:color w:val="000000"/>
                <w:sz w:val="24"/>
              </w:rPr>
            </w:pPr>
            <w:r>
              <w:rPr>
                <w:rFonts w:ascii="Times New Roman" w:hAnsi="Times New Roman"/>
                <w:color w:val="000000"/>
                <w:sz w:val="24"/>
              </w:rPr>
              <w:t>Итого заемные средства</w:t>
            </w:r>
          </w:p>
        </w:tc>
        <w:tc>
          <w:tcPr>
            <w:tcW w:type="dxa" w:w="1533"/>
            <w:tcBorders>
              <w:top w:sz="4" w:val="nil"/>
              <w:left w:sz="4" w:val="nil"/>
              <w:bottom w:color="000000" w:sz="4" w:val="single"/>
              <w:right w:color="000000" w:sz="4" w:val="single"/>
            </w:tcBorders>
            <w:vAlign w:val="center"/>
          </w:tcPr>
          <w:p w14:paraId="34020000">
            <w:pPr>
              <w:spacing w:after="0" w:line="360" w:lineRule="auto"/>
              <w:ind/>
              <w:jc w:val="right"/>
              <w:rPr>
                <w:rFonts w:ascii="Times New Roman" w:hAnsi="Times New Roman"/>
                <w:color w:val="000000"/>
                <w:sz w:val="24"/>
              </w:rPr>
            </w:pPr>
            <w:r>
              <w:rPr>
                <w:rFonts w:ascii="Times New Roman" w:hAnsi="Times New Roman"/>
                <w:color w:val="000000"/>
                <w:sz w:val="24"/>
              </w:rPr>
              <w:t>7 700</w:t>
            </w:r>
          </w:p>
        </w:tc>
        <w:tc>
          <w:tcPr>
            <w:tcW w:type="dxa" w:w="1275"/>
            <w:tcBorders>
              <w:top w:sz="4" w:val="nil"/>
              <w:left w:sz="4" w:val="nil"/>
              <w:bottom w:color="000000" w:sz="4" w:val="single"/>
              <w:right w:color="000000" w:sz="4" w:val="single"/>
            </w:tcBorders>
            <w:vAlign w:val="center"/>
          </w:tcPr>
          <w:p w14:paraId="35020000">
            <w:pPr>
              <w:spacing w:after="0" w:line="360" w:lineRule="auto"/>
              <w:ind/>
              <w:jc w:val="right"/>
              <w:rPr>
                <w:rFonts w:ascii="Times New Roman" w:hAnsi="Times New Roman"/>
                <w:color w:val="000000"/>
                <w:sz w:val="24"/>
              </w:rPr>
            </w:pPr>
            <w:r>
              <w:rPr>
                <w:rFonts w:ascii="Times New Roman" w:hAnsi="Times New Roman"/>
                <w:color w:val="000000"/>
                <w:sz w:val="24"/>
              </w:rPr>
              <w:t>8 500</w:t>
            </w:r>
          </w:p>
        </w:tc>
        <w:tc>
          <w:tcPr>
            <w:tcW w:type="dxa" w:w="1537"/>
            <w:tcBorders>
              <w:top w:sz="4" w:val="nil"/>
              <w:left w:sz="4" w:val="nil"/>
              <w:bottom w:color="000000" w:sz="4" w:val="single"/>
              <w:right w:color="000000" w:sz="4" w:val="single"/>
            </w:tcBorders>
            <w:vAlign w:val="center"/>
          </w:tcPr>
          <w:p w14:paraId="36020000">
            <w:pPr>
              <w:spacing w:after="0" w:line="360" w:lineRule="auto"/>
              <w:ind/>
              <w:jc w:val="right"/>
              <w:rPr>
                <w:rFonts w:ascii="Times New Roman" w:hAnsi="Times New Roman"/>
                <w:color w:val="000000"/>
                <w:sz w:val="24"/>
              </w:rPr>
            </w:pPr>
            <w:r>
              <w:rPr>
                <w:rFonts w:ascii="Times New Roman" w:hAnsi="Times New Roman"/>
                <w:color w:val="000000"/>
                <w:sz w:val="24"/>
              </w:rPr>
              <w:t>800</w:t>
            </w:r>
          </w:p>
        </w:tc>
        <w:tc>
          <w:tcPr>
            <w:tcW w:type="dxa" w:w="928"/>
            <w:tcBorders>
              <w:top w:sz="4" w:val="nil"/>
              <w:left w:sz="4" w:val="nil"/>
              <w:bottom w:color="000000" w:sz="4" w:val="single"/>
              <w:right w:color="000000" w:sz="4" w:val="single"/>
            </w:tcBorders>
            <w:vAlign w:val="center"/>
          </w:tcPr>
          <w:p w14:paraId="37020000">
            <w:pPr>
              <w:spacing w:after="0" w:line="360" w:lineRule="auto"/>
              <w:ind/>
              <w:jc w:val="right"/>
              <w:rPr>
                <w:rFonts w:ascii="Times New Roman" w:hAnsi="Times New Roman"/>
                <w:color w:val="000000"/>
                <w:sz w:val="24"/>
              </w:rPr>
            </w:pPr>
            <w:r>
              <w:rPr>
                <w:rFonts w:ascii="Times New Roman" w:hAnsi="Times New Roman"/>
                <w:color w:val="000000"/>
                <w:sz w:val="24"/>
              </w:rPr>
              <w:t>110,4</w:t>
            </w:r>
          </w:p>
        </w:tc>
      </w:tr>
      <w:tr>
        <w:trPr>
          <w:trHeight w:hRule="atLeast" w:val="312"/>
        </w:trPr>
        <w:tc>
          <w:tcPr>
            <w:tcW w:type="dxa" w:w="3991"/>
            <w:tcBorders>
              <w:top w:sz="4" w:val="nil"/>
              <w:left w:color="000000" w:sz="4" w:val="single"/>
              <w:bottom w:color="000000" w:sz="4" w:val="single"/>
              <w:right w:color="000000" w:sz="4" w:val="single"/>
            </w:tcBorders>
            <w:vAlign w:val="center"/>
          </w:tcPr>
          <w:p w14:paraId="38020000">
            <w:pPr>
              <w:spacing w:after="0" w:line="360" w:lineRule="auto"/>
              <w:ind/>
              <w:rPr>
                <w:rFonts w:ascii="Times New Roman" w:hAnsi="Times New Roman"/>
                <w:color w:val="000000"/>
                <w:sz w:val="24"/>
              </w:rPr>
            </w:pPr>
            <w:r>
              <w:rPr>
                <w:rFonts w:ascii="Times New Roman" w:hAnsi="Times New Roman"/>
                <w:color w:val="000000"/>
                <w:sz w:val="24"/>
              </w:rPr>
              <w:t>Валюта баланса</w:t>
            </w:r>
          </w:p>
        </w:tc>
        <w:tc>
          <w:tcPr>
            <w:tcW w:type="dxa" w:w="1533"/>
            <w:tcBorders>
              <w:top w:sz="4" w:val="nil"/>
              <w:left w:sz="4" w:val="nil"/>
              <w:bottom w:color="000000" w:sz="4" w:val="single"/>
              <w:right w:color="000000" w:sz="4" w:val="single"/>
            </w:tcBorders>
            <w:vAlign w:val="center"/>
          </w:tcPr>
          <w:p w14:paraId="39020000">
            <w:pPr>
              <w:spacing w:after="0" w:line="360" w:lineRule="auto"/>
              <w:ind/>
              <w:jc w:val="right"/>
              <w:rPr>
                <w:rFonts w:ascii="Times New Roman" w:hAnsi="Times New Roman"/>
                <w:color w:val="000000"/>
                <w:sz w:val="24"/>
              </w:rPr>
            </w:pPr>
            <w:r>
              <w:rPr>
                <w:rFonts w:ascii="Times New Roman" w:hAnsi="Times New Roman"/>
                <w:color w:val="000000"/>
                <w:sz w:val="24"/>
              </w:rPr>
              <w:t>25 000</w:t>
            </w:r>
          </w:p>
        </w:tc>
        <w:tc>
          <w:tcPr>
            <w:tcW w:type="dxa" w:w="1275"/>
            <w:tcBorders>
              <w:top w:sz="4" w:val="nil"/>
              <w:left w:sz="4" w:val="nil"/>
              <w:bottom w:color="000000" w:sz="4" w:val="single"/>
              <w:right w:color="000000" w:sz="4" w:val="single"/>
            </w:tcBorders>
            <w:vAlign w:val="center"/>
          </w:tcPr>
          <w:p w14:paraId="3A020000">
            <w:pPr>
              <w:spacing w:after="0" w:line="360" w:lineRule="auto"/>
              <w:ind/>
              <w:jc w:val="right"/>
              <w:rPr>
                <w:rFonts w:ascii="Times New Roman" w:hAnsi="Times New Roman"/>
                <w:color w:val="000000"/>
                <w:sz w:val="24"/>
              </w:rPr>
            </w:pPr>
            <w:r>
              <w:rPr>
                <w:rFonts w:ascii="Times New Roman" w:hAnsi="Times New Roman"/>
                <w:color w:val="000000"/>
                <w:sz w:val="24"/>
              </w:rPr>
              <w:t>27 500</w:t>
            </w:r>
          </w:p>
        </w:tc>
        <w:tc>
          <w:tcPr>
            <w:tcW w:type="dxa" w:w="1537"/>
            <w:tcBorders>
              <w:top w:sz="4" w:val="nil"/>
              <w:left w:sz="4" w:val="nil"/>
              <w:bottom w:color="000000" w:sz="4" w:val="single"/>
              <w:right w:color="000000" w:sz="4" w:val="single"/>
            </w:tcBorders>
            <w:vAlign w:val="center"/>
          </w:tcPr>
          <w:p w14:paraId="3B020000">
            <w:pPr>
              <w:spacing w:after="0" w:line="360" w:lineRule="auto"/>
              <w:ind/>
              <w:jc w:val="right"/>
              <w:rPr>
                <w:rFonts w:ascii="Times New Roman" w:hAnsi="Times New Roman"/>
                <w:color w:val="000000"/>
                <w:sz w:val="24"/>
              </w:rPr>
            </w:pPr>
            <w:r>
              <w:rPr>
                <w:rFonts w:ascii="Times New Roman" w:hAnsi="Times New Roman"/>
                <w:color w:val="000000"/>
                <w:sz w:val="24"/>
              </w:rPr>
              <w:t>2 500</w:t>
            </w:r>
          </w:p>
        </w:tc>
        <w:tc>
          <w:tcPr>
            <w:tcW w:type="dxa" w:w="928"/>
            <w:tcBorders>
              <w:top w:sz="4" w:val="nil"/>
              <w:left w:sz="4" w:val="nil"/>
              <w:bottom w:color="000000" w:sz="4" w:val="single"/>
              <w:right w:color="000000" w:sz="4" w:val="single"/>
            </w:tcBorders>
            <w:vAlign w:val="center"/>
          </w:tcPr>
          <w:p w14:paraId="3C020000">
            <w:pPr>
              <w:spacing w:after="0" w:line="360" w:lineRule="auto"/>
              <w:ind/>
              <w:jc w:val="right"/>
              <w:rPr>
                <w:rFonts w:ascii="Times New Roman" w:hAnsi="Times New Roman"/>
                <w:color w:val="000000"/>
                <w:sz w:val="24"/>
              </w:rPr>
            </w:pPr>
            <w:r>
              <w:rPr>
                <w:rFonts w:ascii="Times New Roman" w:hAnsi="Times New Roman"/>
                <w:color w:val="000000"/>
                <w:sz w:val="24"/>
              </w:rPr>
              <w:t>110</w:t>
            </w:r>
          </w:p>
        </w:tc>
      </w:tr>
    </w:tbl>
    <w:p w14:paraId="3D020000">
      <w:bookmarkStart w:id="11" w:name="__RefHeading___11"/>
      <w:bookmarkEnd w:id="11"/>
      <w:pPr>
        <w:spacing w:after="0" w:line="360" w:lineRule="auto"/>
        <w:ind w:firstLine="851" w:left="0"/>
        <w:jc w:val="both"/>
        <w:outlineLvl w:val="2"/>
        <w:rPr>
          <w:rFonts w:ascii="Times New Roman" w:hAnsi="Times New Roman"/>
          <w:b w:val="1"/>
          <w:sz w:val="28"/>
        </w:rPr>
      </w:pPr>
      <w:r>
        <w:rPr>
          <w:rFonts w:ascii="Times New Roman" w:hAnsi="Times New Roman"/>
          <w:b w:val="1"/>
          <w:sz w:val="28"/>
        </w:rPr>
        <w:t>Вывод по горизонтальному анализу</w:t>
      </w:r>
    </w:p>
    <w:p w14:paraId="3E020000">
      <w:pPr>
        <w:numPr>
          <w:ilvl w:val="0"/>
          <w:numId w:val="3"/>
        </w:numPr>
        <w:spacing w:after="0" w:line="360" w:lineRule="auto"/>
        <w:ind w:firstLine="851" w:left="0"/>
        <w:jc w:val="both"/>
        <w:rPr>
          <w:rFonts w:ascii="Times New Roman" w:hAnsi="Times New Roman"/>
          <w:sz w:val="28"/>
        </w:rPr>
      </w:pPr>
      <w:r>
        <w:rPr>
          <w:rFonts w:ascii="Times New Roman" w:hAnsi="Times New Roman"/>
          <w:sz w:val="28"/>
        </w:rPr>
        <w:t>Общий объем заемных средств увеличился на 800 млрд руб.</w:t>
      </w:r>
    </w:p>
    <w:p w14:paraId="3F020000">
      <w:pPr>
        <w:numPr>
          <w:ilvl w:val="0"/>
          <w:numId w:val="3"/>
        </w:numPr>
        <w:spacing w:after="0" w:line="360" w:lineRule="auto"/>
        <w:ind w:firstLine="851" w:left="0"/>
        <w:jc w:val="both"/>
        <w:rPr>
          <w:rFonts w:ascii="Times New Roman" w:hAnsi="Times New Roman"/>
          <w:sz w:val="28"/>
        </w:rPr>
      </w:pPr>
      <w:r>
        <w:rPr>
          <w:rFonts w:ascii="Times New Roman" w:hAnsi="Times New Roman"/>
          <w:sz w:val="28"/>
        </w:rPr>
        <w:t>Более высокими темпами росли краткосрочные кредиты (+21,1%)</w:t>
      </w:r>
    </w:p>
    <w:p w14:paraId="40020000">
      <w:pPr>
        <w:numPr>
          <w:ilvl w:val="0"/>
          <w:numId w:val="3"/>
        </w:numPr>
        <w:spacing w:after="0" w:line="360" w:lineRule="auto"/>
        <w:ind w:firstLine="851" w:left="0"/>
        <w:jc w:val="both"/>
        <w:rPr>
          <w:rFonts w:ascii="Times New Roman" w:hAnsi="Times New Roman"/>
          <w:sz w:val="28"/>
        </w:rPr>
      </w:pPr>
      <w:r>
        <w:rPr>
          <w:rFonts w:ascii="Times New Roman" w:hAnsi="Times New Roman"/>
          <w:sz w:val="28"/>
        </w:rPr>
        <w:t>Темпы роста обязательств сопоставимы с темпами роста валюты баланса</w:t>
      </w:r>
    </w:p>
    <w:p w14:paraId="41020000">
      <w:pPr>
        <w:spacing w:after="0" w:line="360" w:lineRule="auto"/>
        <w:ind w:firstLine="851" w:left="0"/>
        <w:jc w:val="both"/>
        <w:rPr>
          <w:rFonts w:ascii="Times New Roman" w:hAnsi="Times New Roman"/>
          <w:sz w:val="28"/>
        </w:rPr>
      </w:pPr>
      <w:r>
        <w:rPr>
          <w:rFonts w:ascii="Times New Roman" w:hAnsi="Times New Roman"/>
          <w:sz w:val="28"/>
        </w:rPr>
        <w:t>Это свидетельствует о расширении масштабов финансирования при сохранении относительной устойчивости структуры капитала.</w:t>
      </w:r>
    </w:p>
    <w:p w14:paraId="42020000">
      <w:bookmarkStart w:id="12" w:name="__RefHeading___12"/>
      <w:bookmarkEnd w:id="12"/>
      <w:pPr>
        <w:spacing w:afterAutospacing="on" w:beforeAutospacing="on" w:line="240" w:lineRule="auto"/>
        <w:ind/>
        <w:jc w:val="right"/>
        <w:outlineLvl w:val="2"/>
        <w:rPr>
          <w:rFonts w:ascii="Times New Roman" w:hAnsi="Times New Roman"/>
          <w:b w:val="1"/>
          <w:sz w:val="27"/>
        </w:rPr>
      </w:pPr>
      <w:r>
        <w:rPr>
          <w:rFonts w:ascii="Times New Roman" w:hAnsi="Times New Roman"/>
          <w:b w:val="1"/>
          <w:sz w:val="27"/>
        </w:rPr>
        <w:t>Таблица 8</w:t>
      </w:r>
    </w:p>
    <w:p w14:paraId="43020000">
      <w:bookmarkStart w:id="13" w:name="__RefHeading___13"/>
      <w:bookmarkEnd w:id="13"/>
      <w:pPr>
        <w:spacing w:afterAutospacing="on" w:beforeAutospacing="on" w:line="240" w:lineRule="auto"/>
        <w:ind/>
        <w:outlineLvl w:val="2"/>
        <w:rPr>
          <w:rFonts w:ascii="Times New Roman" w:hAnsi="Times New Roman"/>
          <w:b w:val="1"/>
          <w:sz w:val="27"/>
        </w:rPr>
      </w:pPr>
      <w:r>
        <w:rPr>
          <w:rFonts w:ascii="Times New Roman" w:hAnsi="Times New Roman"/>
          <w:b w:val="1"/>
          <w:sz w:val="27"/>
        </w:rPr>
        <w:t xml:space="preserve"> Данные бухгалтерского баланса для расчета коэффициентов</w:t>
      </w:r>
    </w:p>
    <w:tbl>
      <w:tblPr>
        <w:tblStyle w:val="Style_3"/>
        <w:tblLayout w:type="fixed"/>
      </w:tblPr>
      <w:tblGrid>
        <w:gridCol w:w="6091"/>
        <w:gridCol w:w="960"/>
        <w:gridCol w:w="960"/>
        <w:gridCol w:w="960"/>
      </w:tblGrid>
      <w:tr>
        <w:trPr>
          <w:trHeight w:hRule="atLeast" w:val="312"/>
        </w:trPr>
        <w:tc>
          <w:tcPr>
            <w:tcW w:type="dxa" w:w="6091"/>
            <w:tcBorders>
              <w:top w:color="000000" w:sz="4" w:val="single"/>
              <w:left w:color="000000" w:sz="4" w:val="single"/>
              <w:bottom w:color="000000" w:sz="4" w:val="single"/>
              <w:right w:color="000000" w:sz="4" w:val="single"/>
            </w:tcBorders>
            <w:vAlign w:val="center"/>
          </w:tcPr>
          <w:p w14:paraId="44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960"/>
            <w:tcBorders>
              <w:top w:color="000000" w:sz="4" w:val="single"/>
              <w:left w:sz="4" w:val="nil"/>
              <w:bottom w:color="000000" w:sz="4" w:val="single"/>
              <w:right w:color="000000" w:sz="4" w:val="single"/>
            </w:tcBorders>
            <w:vAlign w:val="center"/>
          </w:tcPr>
          <w:p w14:paraId="45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w:t>
            </w:r>
          </w:p>
        </w:tc>
        <w:tc>
          <w:tcPr>
            <w:tcW w:type="dxa" w:w="960"/>
            <w:tcBorders>
              <w:top w:color="000000" w:sz="4" w:val="single"/>
              <w:left w:sz="4" w:val="nil"/>
              <w:bottom w:color="000000" w:sz="4" w:val="single"/>
              <w:right w:color="000000" w:sz="4" w:val="single"/>
            </w:tcBorders>
            <w:vAlign w:val="center"/>
          </w:tcPr>
          <w:p w14:paraId="46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w:t>
            </w:r>
          </w:p>
        </w:tc>
        <w:tc>
          <w:tcPr>
            <w:tcW w:type="dxa" w:w="960"/>
            <w:tcBorders>
              <w:top w:color="000000" w:sz="4" w:val="single"/>
              <w:left w:sz="4" w:val="nil"/>
              <w:bottom w:color="000000" w:sz="4" w:val="single"/>
              <w:right w:color="000000" w:sz="4" w:val="single"/>
            </w:tcBorders>
            <w:vAlign w:val="center"/>
          </w:tcPr>
          <w:p w14:paraId="47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w:t>
            </w:r>
          </w:p>
        </w:tc>
      </w:tr>
      <w:tr>
        <w:trPr>
          <w:trHeight w:hRule="atLeast" w:val="312"/>
        </w:trPr>
        <w:tc>
          <w:tcPr>
            <w:tcW w:type="dxa" w:w="6091"/>
            <w:tcBorders>
              <w:top w:sz="4" w:val="nil"/>
              <w:left w:color="000000" w:sz="4" w:val="single"/>
              <w:bottom w:color="000000" w:sz="4" w:val="single"/>
              <w:right w:color="000000" w:sz="4" w:val="single"/>
            </w:tcBorders>
            <w:vAlign w:val="center"/>
          </w:tcPr>
          <w:p w14:paraId="48020000">
            <w:pPr>
              <w:spacing w:after="0" w:line="240" w:lineRule="auto"/>
              <w:ind/>
              <w:rPr>
                <w:rFonts w:ascii="Times New Roman" w:hAnsi="Times New Roman"/>
                <w:color w:val="000000"/>
                <w:sz w:val="24"/>
              </w:rPr>
            </w:pPr>
            <w:r>
              <w:rPr>
                <w:rFonts w:ascii="Times New Roman" w:hAnsi="Times New Roman"/>
                <w:color w:val="000000"/>
                <w:sz w:val="24"/>
              </w:rPr>
              <w:t>Валюта баланса</w:t>
            </w:r>
          </w:p>
        </w:tc>
        <w:tc>
          <w:tcPr>
            <w:tcW w:type="dxa" w:w="960"/>
            <w:tcBorders>
              <w:top w:sz="4" w:val="nil"/>
              <w:left w:sz="4" w:val="nil"/>
              <w:bottom w:color="000000" w:sz="4" w:val="single"/>
              <w:right w:color="000000" w:sz="4" w:val="single"/>
            </w:tcBorders>
            <w:vAlign w:val="center"/>
          </w:tcPr>
          <w:p w14:paraId="49020000">
            <w:pPr>
              <w:spacing w:after="0" w:line="240" w:lineRule="auto"/>
              <w:ind/>
              <w:jc w:val="right"/>
              <w:rPr>
                <w:rFonts w:ascii="Times New Roman" w:hAnsi="Times New Roman"/>
                <w:color w:val="000000"/>
                <w:sz w:val="24"/>
              </w:rPr>
            </w:pPr>
            <w:r>
              <w:rPr>
                <w:rFonts w:ascii="Times New Roman" w:hAnsi="Times New Roman"/>
                <w:color w:val="000000"/>
                <w:sz w:val="24"/>
              </w:rPr>
              <w:t>25 000</w:t>
            </w:r>
          </w:p>
        </w:tc>
        <w:tc>
          <w:tcPr>
            <w:tcW w:type="dxa" w:w="960"/>
            <w:tcBorders>
              <w:top w:sz="4" w:val="nil"/>
              <w:left w:sz="4" w:val="nil"/>
              <w:bottom w:color="000000" w:sz="4" w:val="single"/>
              <w:right w:color="000000" w:sz="4" w:val="single"/>
            </w:tcBorders>
            <w:vAlign w:val="center"/>
          </w:tcPr>
          <w:p w14:paraId="4A020000">
            <w:pPr>
              <w:spacing w:after="0" w:line="240" w:lineRule="auto"/>
              <w:ind/>
              <w:jc w:val="right"/>
              <w:rPr>
                <w:rFonts w:ascii="Times New Roman" w:hAnsi="Times New Roman"/>
                <w:color w:val="000000"/>
                <w:sz w:val="24"/>
              </w:rPr>
            </w:pPr>
            <w:r>
              <w:rPr>
                <w:rFonts w:ascii="Times New Roman" w:hAnsi="Times New Roman"/>
                <w:color w:val="000000"/>
                <w:sz w:val="24"/>
              </w:rPr>
              <w:t>27 500</w:t>
            </w:r>
          </w:p>
        </w:tc>
        <w:tc>
          <w:tcPr>
            <w:tcW w:type="dxa" w:w="960"/>
            <w:tcBorders>
              <w:top w:sz="4" w:val="nil"/>
              <w:left w:sz="4" w:val="nil"/>
              <w:bottom w:color="000000" w:sz="4" w:val="single"/>
              <w:right w:color="000000" w:sz="4" w:val="single"/>
            </w:tcBorders>
            <w:vAlign w:val="center"/>
          </w:tcPr>
          <w:p w14:paraId="4B020000">
            <w:pPr>
              <w:spacing w:after="0" w:line="240" w:lineRule="auto"/>
              <w:ind/>
              <w:jc w:val="right"/>
              <w:rPr>
                <w:rFonts w:ascii="Times New Roman" w:hAnsi="Times New Roman"/>
                <w:color w:val="000000"/>
                <w:sz w:val="24"/>
              </w:rPr>
            </w:pPr>
            <w:r>
              <w:rPr>
                <w:rFonts w:ascii="Times New Roman" w:hAnsi="Times New Roman"/>
                <w:color w:val="000000"/>
                <w:sz w:val="24"/>
              </w:rPr>
              <w:t>29 800</w:t>
            </w:r>
          </w:p>
        </w:tc>
      </w:tr>
      <w:tr>
        <w:trPr>
          <w:trHeight w:hRule="atLeast" w:val="312"/>
        </w:trPr>
        <w:tc>
          <w:tcPr>
            <w:tcW w:type="dxa" w:w="6091"/>
            <w:tcBorders>
              <w:top w:sz="4" w:val="nil"/>
              <w:left w:color="000000" w:sz="4" w:val="single"/>
              <w:bottom w:color="000000" w:sz="4" w:val="single"/>
              <w:right w:color="000000" w:sz="4" w:val="single"/>
            </w:tcBorders>
            <w:vAlign w:val="center"/>
          </w:tcPr>
          <w:p w14:paraId="4C020000">
            <w:pPr>
              <w:spacing w:after="0" w:line="240" w:lineRule="auto"/>
              <w:ind/>
              <w:rPr>
                <w:rFonts w:ascii="Times New Roman" w:hAnsi="Times New Roman"/>
                <w:color w:val="000000"/>
                <w:sz w:val="24"/>
              </w:rPr>
            </w:pPr>
            <w:r>
              <w:rPr>
                <w:rFonts w:ascii="Times New Roman" w:hAnsi="Times New Roman"/>
                <w:color w:val="000000"/>
                <w:sz w:val="24"/>
              </w:rPr>
              <w:t>Собственный капитал</w:t>
            </w:r>
          </w:p>
        </w:tc>
        <w:tc>
          <w:tcPr>
            <w:tcW w:type="dxa" w:w="960"/>
            <w:tcBorders>
              <w:top w:sz="4" w:val="nil"/>
              <w:left w:sz="4" w:val="nil"/>
              <w:bottom w:color="000000" w:sz="4" w:val="single"/>
              <w:right w:color="000000" w:sz="4" w:val="single"/>
            </w:tcBorders>
            <w:vAlign w:val="center"/>
          </w:tcPr>
          <w:p w14:paraId="4D020000">
            <w:pPr>
              <w:spacing w:after="0" w:line="240" w:lineRule="auto"/>
              <w:ind/>
              <w:jc w:val="right"/>
              <w:rPr>
                <w:rFonts w:ascii="Times New Roman" w:hAnsi="Times New Roman"/>
                <w:color w:val="000000"/>
                <w:sz w:val="24"/>
              </w:rPr>
            </w:pPr>
            <w:r>
              <w:rPr>
                <w:rFonts w:ascii="Times New Roman" w:hAnsi="Times New Roman"/>
                <w:color w:val="000000"/>
                <w:sz w:val="24"/>
              </w:rPr>
              <w:t>13 200</w:t>
            </w:r>
          </w:p>
        </w:tc>
        <w:tc>
          <w:tcPr>
            <w:tcW w:type="dxa" w:w="960"/>
            <w:tcBorders>
              <w:top w:sz="4" w:val="nil"/>
              <w:left w:sz="4" w:val="nil"/>
              <w:bottom w:color="000000" w:sz="4" w:val="single"/>
              <w:right w:color="000000" w:sz="4" w:val="single"/>
            </w:tcBorders>
            <w:vAlign w:val="center"/>
          </w:tcPr>
          <w:p w14:paraId="4E020000">
            <w:pPr>
              <w:spacing w:after="0" w:line="240" w:lineRule="auto"/>
              <w:ind/>
              <w:jc w:val="right"/>
              <w:rPr>
                <w:rFonts w:ascii="Times New Roman" w:hAnsi="Times New Roman"/>
                <w:color w:val="000000"/>
                <w:sz w:val="24"/>
              </w:rPr>
            </w:pPr>
            <w:r>
              <w:rPr>
                <w:rFonts w:ascii="Times New Roman" w:hAnsi="Times New Roman"/>
                <w:color w:val="000000"/>
                <w:sz w:val="24"/>
              </w:rPr>
              <w:t>14 900</w:t>
            </w:r>
          </w:p>
        </w:tc>
        <w:tc>
          <w:tcPr>
            <w:tcW w:type="dxa" w:w="960"/>
            <w:tcBorders>
              <w:top w:sz="4" w:val="nil"/>
              <w:left w:sz="4" w:val="nil"/>
              <w:bottom w:color="000000" w:sz="4" w:val="single"/>
              <w:right w:color="000000" w:sz="4" w:val="single"/>
            </w:tcBorders>
            <w:vAlign w:val="center"/>
          </w:tcPr>
          <w:p w14:paraId="4F020000">
            <w:pPr>
              <w:spacing w:after="0" w:line="240" w:lineRule="auto"/>
              <w:ind/>
              <w:jc w:val="right"/>
              <w:rPr>
                <w:rFonts w:ascii="Times New Roman" w:hAnsi="Times New Roman"/>
                <w:color w:val="000000"/>
                <w:sz w:val="24"/>
              </w:rPr>
            </w:pPr>
            <w:r>
              <w:rPr>
                <w:rFonts w:ascii="Times New Roman" w:hAnsi="Times New Roman"/>
                <w:color w:val="000000"/>
                <w:sz w:val="24"/>
              </w:rPr>
              <w:t>16 700</w:t>
            </w:r>
          </w:p>
        </w:tc>
      </w:tr>
      <w:tr>
        <w:trPr>
          <w:trHeight w:hRule="atLeast" w:val="312"/>
        </w:trPr>
        <w:tc>
          <w:tcPr>
            <w:tcW w:type="dxa" w:w="6091"/>
            <w:tcBorders>
              <w:top w:sz="4" w:val="nil"/>
              <w:left w:color="000000" w:sz="4" w:val="single"/>
              <w:bottom w:color="000000" w:sz="4" w:val="single"/>
              <w:right w:color="000000" w:sz="4" w:val="single"/>
            </w:tcBorders>
            <w:vAlign w:val="center"/>
          </w:tcPr>
          <w:p w14:paraId="50020000">
            <w:pPr>
              <w:spacing w:after="0" w:line="240" w:lineRule="auto"/>
              <w:ind/>
              <w:rPr>
                <w:rFonts w:ascii="Times New Roman" w:hAnsi="Times New Roman"/>
                <w:color w:val="000000"/>
                <w:sz w:val="24"/>
              </w:rPr>
            </w:pPr>
            <w:r>
              <w:rPr>
                <w:rFonts w:ascii="Times New Roman" w:hAnsi="Times New Roman"/>
                <w:color w:val="000000"/>
                <w:sz w:val="24"/>
              </w:rPr>
              <w:t>Долгосрочные кредиты и займы</w:t>
            </w:r>
          </w:p>
        </w:tc>
        <w:tc>
          <w:tcPr>
            <w:tcW w:type="dxa" w:w="960"/>
            <w:tcBorders>
              <w:top w:sz="4" w:val="nil"/>
              <w:left w:sz="4" w:val="nil"/>
              <w:bottom w:color="000000" w:sz="4" w:val="single"/>
              <w:right w:color="000000" w:sz="4" w:val="single"/>
            </w:tcBorders>
            <w:vAlign w:val="center"/>
          </w:tcPr>
          <w:p w14:paraId="51020000">
            <w:pPr>
              <w:spacing w:after="0" w:line="240" w:lineRule="auto"/>
              <w:ind/>
              <w:jc w:val="right"/>
              <w:rPr>
                <w:rFonts w:ascii="Times New Roman" w:hAnsi="Times New Roman"/>
                <w:color w:val="000000"/>
                <w:sz w:val="24"/>
              </w:rPr>
            </w:pPr>
            <w:r>
              <w:rPr>
                <w:rFonts w:ascii="Times New Roman" w:hAnsi="Times New Roman"/>
                <w:color w:val="000000"/>
                <w:sz w:val="24"/>
              </w:rPr>
              <w:t>5 800</w:t>
            </w:r>
          </w:p>
        </w:tc>
        <w:tc>
          <w:tcPr>
            <w:tcW w:type="dxa" w:w="960"/>
            <w:tcBorders>
              <w:top w:sz="4" w:val="nil"/>
              <w:left w:sz="4" w:val="nil"/>
              <w:bottom w:color="000000" w:sz="4" w:val="single"/>
              <w:right w:color="000000" w:sz="4" w:val="single"/>
            </w:tcBorders>
            <w:vAlign w:val="center"/>
          </w:tcPr>
          <w:p w14:paraId="52020000">
            <w:pPr>
              <w:spacing w:after="0" w:line="240" w:lineRule="auto"/>
              <w:ind/>
              <w:jc w:val="right"/>
              <w:rPr>
                <w:rFonts w:ascii="Times New Roman" w:hAnsi="Times New Roman"/>
                <w:color w:val="000000"/>
                <w:sz w:val="24"/>
              </w:rPr>
            </w:pPr>
            <w:r>
              <w:rPr>
                <w:rFonts w:ascii="Times New Roman" w:hAnsi="Times New Roman"/>
                <w:color w:val="000000"/>
                <w:sz w:val="24"/>
              </w:rPr>
              <w:t>6 200</w:t>
            </w:r>
          </w:p>
        </w:tc>
        <w:tc>
          <w:tcPr>
            <w:tcW w:type="dxa" w:w="960"/>
            <w:tcBorders>
              <w:top w:sz="4" w:val="nil"/>
              <w:left w:sz="4" w:val="nil"/>
              <w:bottom w:color="000000" w:sz="4" w:val="single"/>
              <w:right w:color="000000" w:sz="4" w:val="single"/>
            </w:tcBorders>
            <w:vAlign w:val="center"/>
          </w:tcPr>
          <w:p w14:paraId="53020000">
            <w:pPr>
              <w:spacing w:after="0" w:line="240" w:lineRule="auto"/>
              <w:ind/>
              <w:jc w:val="right"/>
              <w:rPr>
                <w:rFonts w:ascii="Times New Roman" w:hAnsi="Times New Roman"/>
                <w:color w:val="000000"/>
                <w:sz w:val="24"/>
              </w:rPr>
            </w:pPr>
            <w:r>
              <w:rPr>
                <w:rFonts w:ascii="Times New Roman" w:hAnsi="Times New Roman"/>
                <w:color w:val="000000"/>
                <w:sz w:val="24"/>
              </w:rPr>
              <w:t>6 900</w:t>
            </w:r>
          </w:p>
        </w:tc>
      </w:tr>
      <w:tr>
        <w:trPr>
          <w:trHeight w:hRule="atLeast" w:val="624"/>
        </w:trPr>
        <w:tc>
          <w:tcPr>
            <w:tcW w:type="dxa" w:w="6091"/>
            <w:tcBorders>
              <w:top w:sz="4" w:val="nil"/>
              <w:left w:color="000000" w:sz="4" w:val="single"/>
              <w:bottom w:color="000000" w:sz="4" w:val="single"/>
              <w:right w:color="000000" w:sz="4" w:val="single"/>
            </w:tcBorders>
            <w:vAlign w:val="center"/>
          </w:tcPr>
          <w:p w14:paraId="54020000">
            <w:pPr>
              <w:spacing w:after="0" w:line="240" w:lineRule="auto"/>
              <w:ind/>
              <w:rPr>
                <w:rFonts w:ascii="Times New Roman" w:hAnsi="Times New Roman"/>
                <w:color w:val="000000"/>
                <w:sz w:val="24"/>
              </w:rPr>
            </w:pPr>
            <w:r>
              <w:rPr>
                <w:rFonts w:ascii="Times New Roman" w:hAnsi="Times New Roman"/>
                <w:color w:val="000000"/>
                <w:sz w:val="24"/>
              </w:rPr>
              <w:t>Краткосрочные кредиты и займы</w:t>
            </w:r>
          </w:p>
        </w:tc>
        <w:tc>
          <w:tcPr>
            <w:tcW w:type="dxa" w:w="960"/>
            <w:tcBorders>
              <w:top w:sz="4" w:val="nil"/>
              <w:left w:sz="4" w:val="nil"/>
              <w:bottom w:color="000000" w:sz="4" w:val="single"/>
              <w:right w:color="000000" w:sz="4" w:val="single"/>
            </w:tcBorders>
            <w:vAlign w:val="center"/>
          </w:tcPr>
          <w:p w14:paraId="55020000">
            <w:pPr>
              <w:spacing w:after="0" w:line="240" w:lineRule="auto"/>
              <w:ind/>
              <w:jc w:val="right"/>
              <w:rPr>
                <w:rFonts w:ascii="Times New Roman" w:hAnsi="Times New Roman"/>
                <w:color w:val="000000"/>
                <w:sz w:val="24"/>
              </w:rPr>
            </w:pPr>
            <w:r>
              <w:rPr>
                <w:rFonts w:ascii="Times New Roman" w:hAnsi="Times New Roman"/>
                <w:color w:val="000000"/>
                <w:sz w:val="24"/>
              </w:rPr>
              <w:t>1 900</w:t>
            </w:r>
          </w:p>
        </w:tc>
        <w:tc>
          <w:tcPr>
            <w:tcW w:type="dxa" w:w="960"/>
            <w:tcBorders>
              <w:top w:sz="4" w:val="nil"/>
              <w:left w:sz="4" w:val="nil"/>
              <w:bottom w:color="000000" w:sz="4" w:val="single"/>
              <w:right w:color="000000" w:sz="4" w:val="single"/>
            </w:tcBorders>
            <w:vAlign w:val="center"/>
          </w:tcPr>
          <w:p w14:paraId="56020000">
            <w:pPr>
              <w:spacing w:after="0" w:line="240" w:lineRule="auto"/>
              <w:ind/>
              <w:jc w:val="right"/>
              <w:rPr>
                <w:rFonts w:ascii="Times New Roman" w:hAnsi="Times New Roman"/>
                <w:color w:val="000000"/>
                <w:sz w:val="24"/>
              </w:rPr>
            </w:pPr>
            <w:r>
              <w:rPr>
                <w:rFonts w:ascii="Times New Roman" w:hAnsi="Times New Roman"/>
                <w:color w:val="000000"/>
                <w:sz w:val="24"/>
              </w:rPr>
              <w:t>2 300</w:t>
            </w:r>
          </w:p>
        </w:tc>
        <w:tc>
          <w:tcPr>
            <w:tcW w:type="dxa" w:w="960"/>
            <w:tcBorders>
              <w:top w:sz="4" w:val="nil"/>
              <w:left w:sz="4" w:val="nil"/>
              <w:bottom w:color="000000" w:sz="4" w:val="single"/>
              <w:right w:color="000000" w:sz="4" w:val="single"/>
            </w:tcBorders>
            <w:vAlign w:val="center"/>
          </w:tcPr>
          <w:p w14:paraId="57020000">
            <w:pPr>
              <w:spacing w:after="0" w:line="240" w:lineRule="auto"/>
              <w:ind/>
              <w:jc w:val="right"/>
              <w:rPr>
                <w:rFonts w:ascii="Times New Roman" w:hAnsi="Times New Roman"/>
                <w:color w:val="000000"/>
                <w:sz w:val="24"/>
              </w:rPr>
            </w:pPr>
            <w:r>
              <w:rPr>
                <w:rFonts w:ascii="Times New Roman" w:hAnsi="Times New Roman"/>
                <w:color w:val="000000"/>
                <w:sz w:val="24"/>
              </w:rPr>
              <w:t>2 600</w:t>
            </w:r>
          </w:p>
        </w:tc>
      </w:tr>
      <w:tr>
        <w:trPr>
          <w:trHeight w:hRule="atLeast" w:val="312"/>
        </w:trPr>
        <w:tc>
          <w:tcPr>
            <w:tcW w:type="dxa" w:w="6091"/>
            <w:tcBorders>
              <w:top w:sz="4" w:val="nil"/>
              <w:left w:color="000000" w:sz="4" w:val="single"/>
              <w:bottom w:color="000000" w:sz="4" w:val="single"/>
              <w:right w:color="000000" w:sz="4" w:val="single"/>
            </w:tcBorders>
            <w:vAlign w:val="center"/>
          </w:tcPr>
          <w:p w14:paraId="58020000">
            <w:pPr>
              <w:spacing w:after="0" w:line="240" w:lineRule="auto"/>
              <w:ind/>
              <w:rPr>
                <w:rFonts w:ascii="Times New Roman" w:hAnsi="Times New Roman"/>
                <w:color w:val="000000"/>
                <w:sz w:val="24"/>
              </w:rPr>
            </w:pPr>
            <w:r>
              <w:rPr>
                <w:rFonts w:ascii="Times New Roman" w:hAnsi="Times New Roman"/>
                <w:color w:val="000000"/>
                <w:sz w:val="24"/>
              </w:rPr>
              <w:t>Итого заемный капитал</w:t>
            </w:r>
          </w:p>
        </w:tc>
        <w:tc>
          <w:tcPr>
            <w:tcW w:type="dxa" w:w="960"/>
            <w:tcBorders>
              <w:top w:sz="4" w:val="nil"/>
              <w:left w:sz="4" w:val="nil"/>
              <w:bottom w:color="000000" w:sz="4" w:val="single"/>
              <w:right w:color="000000" w:sz="4" w:val="single"/>
            </w:tcBorders>
            <w:vAlign w:val="center"/>
          </w:tcPr>
          <w:p w14:paraId="59020000">
            <w:pPr>
              <w:spacing w:after="0" w:line="240" w:lineRule="auto"/>
              <w:ind/>
              <w:jc w:val="right"/>
              <w:rPr>
                <w:rFonts w:ascii="Times New Roman" w:hAnsi="Times New Roman"/>
                <w:color w:val="000000"/>
                <w:sz w:val="24"/>
              </w:rPr>
            </w:pPr>
            <w:r>
              <w:rPr>
                <w:rFonts w:ascii="Times New Roman" w:hAnsi="Times New Roman"/>
                <w:color w:val="000000"/>
                <w:sz w:val="24"/>
              </w:rPr>
              <w:t>7 700</w:t>
            </w:r>
          </w:p>
        </w:tc>
        <w:tc>
          <w:tcPr>
            <w:tcW w:type="dxa" w:w="960"/>
            <w:tcBorders>
              <w:top w:sz="4" w:val="nil"/>
              <w:left w:sz="4" w:val="nil"/>
              <w:bottom w:color="000000" w:sz="4" w:val="single"/>
              <w:right w:color="000000" w:sz="4" w:val="single"/>
            </w:tcBorders>
            <w:vAlign w:val="center"/>
          </w:tcPr>
          <w:p w14:paraId="5A020000">
            <w:pPr>
              <w:spacing w:after="0" w:line="240" w:lineRule="auto"/>
              <w:ind/>
              <w:jc w:val="right"/>
              <w:rPr>
                <w:rFonts w:ascii="Times New Roman" w:hAnsi="Times New Roman"/>
                <w:color w:val="000000"/>
                <w:sz w:val="24"/>
              </w:rPr>
            </w:pPr>
            <w:r>
              <w:rPr>
                <w:rFonts w:ascii="Times New Roman" w:hAnsi="Times New Roman"/>
                <w:color w:val="000000"/>
                <w:sz w:val="24"/>
              </w:rPr>
              <w:t>8 500</w:t>
            </w:r>
          </w:p>
        </w:tc>
        <w:tc>
          <w:tcPr>
            <w:tcW w:type="dxa" w:w="960"/>
            <w:tcBorders>
              <w:top w:sz="4" w:val="nil"/>
              <w:left w:sz="4" w:val="nil"/>
              <w:bottom w:color="000000" w:sz="4" w:val="single"/>
              <w:right w:color="000000" w:sz="4" w:val="single"/>
            </w:tcBorders>
            <w:vAlign w:val="center"/>
          </w:tcPr>
          <w:p w14:paraId="5B020000">
            <w:pPr>
              <w:spacing w:after="0" w:line="240" w:lineRule="auto"/>
              <w:ind/>
              <w:jc w:val="right"/>
              <w:rPr>
                <w:rFonts w:ascii="Times New Roman" w:hAnsi="Times New Roman"/>
                <w:color w:val="000000"/>
                <w:sz w:val="24"/>
              </w:rPr>
            </w:pPr>
            <w:r>
              <w:rPr>
                <w:rFonts w:ascii="Times New Roman" w:hAnsi="Times New Roman"/>
                <w:color w:val="000000"/>
                <w:sz w:val="24"/>
              </w:rPr>
              <w:t>9 500</w:t>
            </w:r>
          </w:p>
        </w:tc>
      </w:tr>
      <w:tr>
        <w:trPr>
          <w:trHeight w:hRule="atLeast" w:val="312"/>
        </w:trPr>
        <w:tc>
          <w:tcPr>
            <w:tcW w:type="dxa" w:w="6091"/>
            <w:tcBorders>
              <w:top w:sz="4" w:val="nil"/>
              <w:left w:color="000000" w:sz="4" w:val="single"/>
              <w:bottom w:color="000000" w:sz="4" w:val="single"/>
              <w:right w:color="000000" w:sz="4" w:val="single"/>
            </w:tcBorders>
            <w:vAlign w:val="center"/>
          </w:tcPr>
          <w:p w14:paraId="5C020000">
            <w:pPr>
              <w:spacing w:after="0" w:line="240" w:lineRule="auto"/>
              <w:ind/>
              <w:rPr>
                <w:rFonts w:ascii="Times New Roman" w:hAnsi="Times New Roman"/>
                <w:color w:val="000000"/>
                <w:sz w:val="24"/>
              </w:rPr>
            </w:pPr>
            <w:r>
              <w:rPr>
                <w:rFonts w:ascii="Times New Roman" w:hAnsi="Times New Roman"/>
                <w:color w:val="000000"/>
                <w:sz w:val="24"/>
              </w:rPr>
              <w:t>Оборотные активы</w:t>
            </w:r>
          </w:p>
        </w:tc>
        <w:tc>
          <w:tcPr>
            <w:tcW w:type="dxa" w:w="960"/>
            <w:tcBorders>
              <w:top w:sz="4" w:val="nil"/>
              <w:left w:sz="4" w:val="nil"/>
              <w:bottom w:color="000000" w:sz="4" w:val="single"/>
              <w:right w:color="000000" w:sz="4" w:val="single"/>
            </w:tcBorders>
            <w:vAlign w:val="center"/>
          </w:tcPr>
          <w:p w14:paraId="5D020000">
            <w:pPr>
              <w:spacing w:after="0" w:line="240" w:lineRule="auto"/>
              <w:ind/>
              <w:jc w:val="right"/>
              <w:rPr>
                <w:rFonts w:ascii="Times New Roman" w:hAnsi="Times New Roman"/>
                <w:color w:val="000000"/>
                <w:sz w:val="24"/>
              </w:rPr>
            </w:pPr>
            <w:r>
              <w:rPr>
                <w:rFonts w:ascii="Times New Roman" w:hAnsi="Times New Roman"/>
                <w:color w:val="000000"/>
                <w:sz w:val="24"/>
              </w:rPr>
              <w:t>6 500</w:t>
            </w:r>
          </w:p>
        </w:tc>
        <w:tc>
          <w:tcPr>
            <w:tcW w:type="dxa" w:w="960"/>
            <w:tcBorders>
              <w:top w:sz="4" w:val="nil"/>
              <w:left w:sz="4" w:val="nil"/>
              <w:bottom w:color="000000" w:sz="4" w:val="single"/>
              <w:right w:color="000000" w:sz="4" w:val="single"/>
            </w:tcBorders>
            <w:vAlign w:val="center"/>
          </w:tcPr>
          <w:p w14:paraId="5E020000">
            <w:pPr>
              <w:spacing w:after="0" w:line="240" w:lineRule="auto"/>
              <w:ind/>
              <w:jc w:val="right"/>
              <w:rPr>
                <w:rFonts w:ascii="Times New Roman" w:hAnsi="Times New Roman"/>
                <w:color w:val="000000"/>
                <w:sz w:val="24"/>
              </w:rPr>
            </w:pPr>
            <w:r>
              <w:rPr>
                <w:rFonts w:ascii="Times New Roman" w:hAnsi="Times New Roman"/>
                <w:color w:val="000000"/>
                <w:sz w:val="24"/>
              </w:rPr>
              <w:t>7 200</w:t>
            </w:r>
          </w:p>
        </w:tc>
        <w:tc>
          <w:tcPr>
            <w:tcW w:type="dxa" w:w="960"/>
            <w:tcBorders>
              <w:top w:sz="4" w:val="nil"/>
              <w:left w:sz="4" w:val="nil"/>
              <w:bottom w:color="000000" w:sz="4" w:val="single"/>
              <w:right w:color="000000" w:sz="4" w:val="single"/>
            </w:tcBorders>
            <w:vAlign w:val="center"/>
          </w:tcPr>
          <w:p w14:paraId="5F020000">
            <w:pPr>
              <w:spacing w:after="0" w:line="240" w:lineRule="auto"/>
              <w:ind/>
              <w:jc w:val="right"/>
              <w:rPr>
                <w:rFonts w:ascii="Times New Roman" w:hAnsi="Times New Roman"/>
                <w:color w:val="000000"/>
                <w:sz w:val="24"/>
              </w:rPr>
            </w:pPr>
            <w:r>
              <w:rPr>
                <w:rFonts w:ascii="Times New Roman" w:hAnsi="Times New Roman"/>
                <w:color w:val="000000"/>
                <w:sz w:val="24"/>
              </w:rPr>
              <w:t>7 900</w:t>
            </w:r>
          </w:p>
        </w:tc>
      </w:tr>
      <w:tr>
        <w:trPr>
          <w:trHeight w:hRule="atLeast" w:val="312"/>
        </w:trPr>
        <w:tc>
          <w:tcPr>
            <w:tcW w:type="dxa" w:w="6091"/>
            <w:tcBorders>
              <w:top w:sz="4" w:val="nil"/>
              <w:left w:color="000000" w:sz="4" w:val="single"/>
              <w:bottom w:sz="4" w:val="nil"/>
              <w:right w:color="000000" w:sz="4" w:val="single"/>
            </w:tcBorders>
            <w:vAlign w:val="center"/>
          </w:tcPr>
          <w:p w14:paraId="60020000">
            <w:pPr>
              <w:spacing w:after="0" w:line="240" w:lineRule="auto"/>
              <w:ind/>
              <w:rPr>
                <w:rFonts w:ascii="Times New Roman" w:hAnsi="Times New Roman"/>
                <w:color w:val="000000"/>
                <w:sz w:val="24"/>
              </w:rPr>
            </w:pPr>
            <w:r>
              <w:rPr>
                <w:rFonts w:ascii="Times New Roman" w:hAnsi="Times New Roman"/>
                <w:color w:val="000000"/>
                <w:sz w:val="24"/>
              </w:rPr>
              <w:t>Краткосрочные обязательства</w:t>
            </w:r>
          </w:p>
        </w:tc>
        <w:tc>
          <w:tcPr>
            <w:tcW w:type="dxa" w:w="960"/>
            <w:tcBorders>
              <w:top w:sz="4" w:val="nil"/>
              <w:left w:sz="4" w:val="nil"/>
              <w:bottom w:sz="4" w:val="nil"/>
              <w:right w:color="000000" w:sz="4" w:val="single"/>
            </w:tcBorders>
            <w:vAlign w:val="center"/>
          </w:tcPr>
          <w:p w14:paraId="61020000">
            <w:pPr>
              <w:spacing w:after="0" w:line="240" w:lineRule="auto"/>
              <w:ind/>
              <w:jc w:val="right"/>
              <w:rPr>
                <w:rFonts w:ascii="Times New Roman" w:hAnsi="Times New Roman"/>
                <w:color w:val="000000"/>
                <w:sz w:val="24"/>
              </w:rPr>
            </w:pPr>
            <w:r>
              <w:rPr>
                <w:rFonts w:ascii="Times New Roman" w:hAnsi="Times New Roman"/>
                <w:color w:val="000000"/>
                <w:sz w:val="24"/>
              </w:rPr>
              <w:t>4 200</w:t>
            </w:r>
          </w:p>
        </w:tc>
        <w:tc>
          <w:tcPr>
            <w:tcW w:type="dxa" w:w="960"/>
            <w:tcBorders>
              <w:top w:sz="4" w:val="nil"/>
              <w:left w:sz="4" w:val="nil"/>
              <w:bottom w:sz="4" w:val="nil"/>
              <w:right w:color="000000" w:sz="4" w:val="single"/>
            </w:tcBorders>
            <w:vAlign w:val="center"/>
          </w:tcPr>
          <w:p w14:paraId="62020000">
            <w:pPr>
              <w:spacing w:after="0" w:line="240" w:lineRule="auto"/>
              <w:ind/>
              <w:jc w:val="right"/>
              <w:rPr>
                <w:rFonts w:ascii="Times New Roman" w:hAnsi="Times New Roman"/>
                <w:color w:val="000000"/>
                <w:sz w:val="24"/>
              </w:rPr>
            </w:pPr>
            <w:r>
              <w:rPr>
                <w:rFonts w:ascii="Times New Roman" w:hAnsi="Times New Roman"/>
                <w:color w:val="000000"/>
                <w:sz w:val="24"/>
              </w:rPr>
              <w:t>4 800</w:t>
            </w:r>
          </w:p>
        </w:tc>
        <w:tc>
          <w:tcPr>
            <w:tcW w:type="dxa" w:w="960"/>
            <w:tcBorders>
              <w:top w:sz="4" w:val="nil"/>
              <w:left w:sz="4" w:val="nil"/>
              <w:bottom w:sz="4" w:val="nil"/>
              <w:right w:color="000000" w:sz="4" w:val="single"/>
            </w:tcBorders>
            <w:vAlign w:val="center"/>
          </w:tcPr>
          <w:p w14:paraId="63020000">
            <w:pPr>
              <w:spacing w:after="0" w:line="240" w:lineRule="auto"/>
              <w:ind/>
              <w:jc w:val="right"/>
              <w:rPr>
                <w:rFonts w:ascii="Times New Roman" w:hAnsi="Times New Roman"/>
                <w:color w:val="000000"/>
                <w:sz w:val="24"/>
              </w:rPr>
            </w:pPr>
            <w:r>
              <w:rPr>
                <w:rFonts w:ascii="Times New Roman" w:hAnsi="Times New Roman"/>
                <w:color w:val="000000"/>
                <w:sz w:val="24"/>
              </w:rPr>
              <w:t>5 400</w:t>
            </w:r>
          </w:p>
        </w:tc>
      </w:tr>
      <w:tr>
        <w:trPr>
          <w:trHeight w:hRule="atLeast" w:val="312"/>
        </w:trPr>
        <w:tc>
          <w:tcPr>
            <w:tcW w:type="dxa" w:w="6091"/>
            <w:tcBorders>
              <w:top w:sz="4" w:val="nil"/>
              <w:left w:color="000000" w:sz="4" w:val="single"/>
              <w:bottom w:color="000000" w:sz="4" w:val="single"/>
              <w:right w:color="000000" w:sz="4" w:val="single"/>
            </w:tcBorders>
            <w:vAlign w:val="center"/>
          </w:tcPr>
          <w:p w14:paraId="64020000">
            <w:pPr>
              <w:spacing w:after="0" w:line="240" w:lineRule="auto"/>
              <w:ind/>
              <w:rPr>
                <w:rFonts w:ascii="Times New Roman" w:hAnsi="Times New Roman"/>
                <w:color w:val="000000"/>
                <w:sz w:val="24"/>
              </w:rPr>
            </w:pPr>
          </w:p>
        </w:tc>
        <w:tc>
          <w:tcPr>
            <w:tcW w:type="dxa" w:w="960"/>
            <w:tcBorders>
              <w:top w:sz="4" w:val="nil"/>
              <w:left w:sz="4" w:val="nil"/>
              <w:bottom w:color="000000" w:sz="4" w:val="single"/>
              <w:right w:color="000000" w:sz="4" w:val="single"/>
            </w:tcBorders>
            <w:vAlign w:val="center"/>
          </w:tcPr>
          <w:p w14:paraId="65020000">
            <w:pPr>
              <w:spacing w:after="0" w:line="240" w:lineRule="auto"/>
              <w:ind/>
              <w:jc w:val="right"/>
              <w:rPr>
                <w:rFonts w:ascii="Times New Roman" w:hAnsi="Times New Roman"/>
                <w:color w:val="000000"/>
                <w:sz w:val="24"/>
              </w:rPr>
            </w:pPr>
          </w:p>
        </w:tc>
        <w:tc>
          <w:tcPr>
            <w:tcW w:type="dxa" w:w="960"/>
            <w:tcBorders>
              <w:top w:sz="4" w:val="nil"/>
              <w:left w:sz="4" w:val="nil"/>
              <w:bottom w:color="000000" w:sz="4" w:val="single"/>
              <w:right w:color="000000" w:sz="4" w:val="single"/>
            </w:tcBorders>
            <w:vAlign w:val="center"/>
          </w:tcPr>
          <w:p w14:paraId="66020000">
            <w:pPr>
              <w:spacing w:after="0" w:line="240" w:lineRule="auto"/>
              <w:ind/>
              <w:jc w:val="right"/>
              <w:rPr>
                <w:rFonts w:ascii="Times New Roman" w:hAnsi="Times New Roman"/>
                <w:color w:val="000000"/>
                <w:sz w:val="24"/>
              </w:rPr>
            </w:pPr>
          </w:p>
        </w:tc>
        <w:tc>
          <w:tcPr>
            <w:tcW w:type="dxa" w:w="960"/>
            <w:tcBorders>
              <w:top w:sz="4" w:val="nil"/>
              <w:left w:sz="4" w:val="nil"/>
              <w:bottom w:color="000000" w:sz="4" w:val="single"/>
              <w:right w:color="000000" w:sz="4" w:val="single"/>
            </w:tcBorders>
            <w:vAlign w:val="center"/>
          </w:tcPr>
          <w:p w14:paraId="67020000">
            <w:pPr>
              <w:spacing w:after="0" w:line="240" w:lineRule="auto"/>
              <w:ind/>
              <w:jc w:val="right"/>
              <w:rPr>
                <w:rFonts w:ascii="Times New Roman" w:hAnsi="Times New Roman"/>
                <w:color w:val="000000"/>
                <w:sz w:val="24"/>
              </w:rPr>
            </w:pPr>
          </w:p>
        </w:tc>
      </w:tr>
    </w:tbl>
    <w:p w14:paraId="68020000">
      <w:bookmarkStart w:id="14" w:name="__RefHeading___14"/>
      <w:bookmarkEnd w:id="14"/>
      <w:pPr>
        <w:spacing w:afterAutospacing="on" w:beforeAutospacing="on" w:line="240" w:lineRule="auto"/>
        <w:ind/>
        <w:jc w:val="right"/>
        <w:outlineLvl w:val="2"/>
        <w:rPr>
          <w:rFonts w:ascii="Times New Roman" w:hAnsi="Times New Roman"/>
          <w:b w:val="1"/>
          <w:sz w:val="27"/>
        </w:rPr>
      </w:pPr>
      <w:r>
        <w:rPr>
          <w:rFonts w:ascii="Times New Roman" w:hAnsi="Times New Roman"/>
          <w:b w:val="1"/>
          <w:sz w:val="27"/>
        </w:rPr>
        <w:t>Таблица 9</w:t>
      </w:r>
    </w:p>
    <w:p w14:paraId="69020000">
      <w:bookmarkStart w:id="15" w:name="__RefHeading___15"/>
      <w:bookmarkEnd w:id="15"/>
      <w:pPr>
        <w:spacing w:afterAutospacing="on" w:beforeAutospacing="on" w:line="240" w:lineRule="auto"/>
        <w:ind/>
        <w:outlineLvl w:val="2"/>
        <w:rPr>
          <w:rFonts w:ascii="Times New Roman" w:hAnsi="Times New Roman"/>
          <w:b w:val="1"/>
          <w:sz w:val="27"/>
        </w:rPr>
      </w:pPr>
      <w:r>
        <w:rPr>
          <w:rFonts w:ascii="Times New Roman" w:hAnsi="Times New Roman"/>
          <w:b w:val="1"/>
          <w:sz w:val="27"/>
        </w:rPr>
        <w:t xml:space="preserve"> Расчет коэффициентов финансовой устойчивости</w:t>
      </w:r>
    </w:p>
    <w:tbl>
      <w:tblPr>
        <w:tblStyle w:val="Style_3"/>
        <w:tblLayout w:type="fixed"/>
      </w:tblPr>
      <w:tblGrid>
        <w:gridCol w:w="1838"/>
        <w:gridCol w:w="4080"/>
        <w:gridCol w:w="960"/>
        <w:gridCol w:w="960"/>
        <w:gridCol w:w="960"/>
      </w:tblGrid>
      <w:tr>
        <w:trPr>
          <w:trHeight w:hRule="atLeast" w:val="312"/>
        </w:trPr>
        <w:tc>
          <w:tcPr>
            <w:tcW w:type="dxa" w:w="1838"/>
            <w:tcBorders>
              <w:top w:color="000000" w:sz="4" w:val="single"/>
              <w:left w:color="000000" w:sz="4" w:val="single"/>
              <w:bottom w:color="000000" w:sz="4" w:val="single"/>
              <w:right w:color="000000" w:sz="4" w:val="single"/>
            </w:tcBorders>
            <w:vAlign w:val="center"/>
          </w:tcPr>
          <w:p w14:paraId="6A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4080"/>
            <w:tcBorders>
              <w:top w:color="000000" w:sz="4" w:val="single"/>
              <w:left w:sz="4" w:val="nil"/>
              <w:bottom w:color="000000" w:sz="4" w:val="single"/>
              <w:right w:color="000000" w:sz="4" w:val="single"/>
            </w:tcBorders>
            <w:vAlign w:val="center"/>
          </w:tcPr>
          <w:p w14:paraId="6B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Формула</w:t>
            </w:r>
          </w:p>
        </w:tc>
        <w:tc>
          <w:tcPr>
            <w:tcW w:type="dxa" w:w="960"/>
            <w:tcBorders>
              <w:top w:color="000000" w:sz="4" w:val="single"/>
              <w:left w:sz="4" w:val="nil"/>
              <w:bottom w:color="000000" w:sz="4" w:val="single"/>
              <w:right w:color="000000" w:sz="4" w:val="single"/>
            </w:tcBorders>
            <w:vAlign w:val="center"/>
          </w:tcPr>
          <w:p w14:paraId="6C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w:t>
            </w:r>
          </w:p>
        </w:tc>
        <w:tc>
          <w:tcPr>
            <w:tcW w:type="dxa" w:w="960"/>
            <w:tcBorders>
              <w:top w:color="000000" w:sz="4" w:val="single"/>
              <w:left w:sz="4" w:val="nil"/>
              <w:bottom w:color="000000" w:sz="4" w:val="single"/>
              <w:right w:color="000000" w:sz="4" w:val="single"/>
            </w:tcBorders>
            <w:vAlign w:val="center"/>
          </w:tcPr>
          <w:p w14:paraId="6D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w:t>
            </w:r>
          </w:p>
        </w:tc>
        <w:tc>
          <w:tcPr>
            <w:tcW w:type="dxa" w:w="960"/>
            <w:tcBorders>
              <w:top w:color="000000" w:sz="4" w:val="single"/>
              <w:left w:sz="4" w:val="nil"/>
              <w:bottom w:color="000000" w:sz="4" w:val="single"/>
              <w:right w:color="000000" w:sz="4" w:val="single"/>
            </w:tcBorders>
            <w:vAlign w:val="center"/>
          </w:tcPr>
          <w:p w14:paraId="6E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w:t>
            </w:r>
          </w:p>
        </w:tc>
      </w:tr>
      <w:tr>
        <w:trPr>
          <w:trHeight w:hRule="atLeast" w:val="624"/>
        </w:trPr>
        <w:tc>
          <w:tcPr>
            <w:tcW w:type="dxa" w:w="1838"/>
            <w:tcBorders>
              <w:top w:sz="4" w:val="nil"/>
              <w:left w:color="000000" w:sz="4" w:val="single"/>
              <w:bottom w:color="000000" w:sz="4" w:val="single"/>
              <w:right w:color="000000" w:sz="4" w:val="single"/>
            </w:tcBorders>
            <w:vAlign w:val="center"/>
          </w:tcPr>
          <w:p w14:paraId="6F020000">
            <w:pPr>
              <w:spacing w:after="0" w:line="240" w:lineRule="auto"/>
              <w:ind/>
              <w:rPr>
                <w:rFonts w:ascii="Times New Roman" w:hAnsi="Times New Roman"/>
                <w:color w:val="000000"/>
                <w:sz w:val="24"/>
              </w:rPr>
            </w:pPr>
            <w:r>
              <w:rPr>
                <w:rFonts w:ascii="Times New Roman" w:hAnsi="Times New Roman"/>
                <w:color w:val="000000"/>
                <w:sz w:val="24"/>
              </w:rPr>
              <w:t>Коэффициент автономии</w:t>
            </w:r>
          </w:p>
        </w:tc>
        <w:tc>
          <w:tcPr>
            <w:tcW w:type="dxa" w:w="4080"/>
            <w:tcBorders>
              <w:top w:sz="4" w:val="nil"/>
              <w:left w:sz="4" w:val="nil"/>
              <w:bottom w:color="000000" w:sz="4" w:val="single"/>
              <w:right w:color="000000" w:sz="4" w:val="single"/>
            </w:tcBorders>
            <w:vAlign w:val="center"/>
          </w:tcPr>
          <w:p w14:paraId="70020000">
            <w:pPr>
              <w:spacing w:after="0" w:line="240" w:lineRule="auto"/>
              <w:ind/>
              <w:rPr>
                <w:rFonts w:ascii="Times New Roman" w:hAnsi="Times New Roman"/>
                <w:color w:val="000000"/>
                <w:sz w:val="24"/>
              </w:rPr>
            </w:pPr>
            <w:r>
              <w:rPr>
                <w:rFonts w:ascii="Times New Roman" w:hAnsi="Times New Roman"/>
                <w:color w:val="000000"/>
                <w:sz w:val="24"/>
              </w:rPr>
              <w:t>Собственный капитал / Валюта баланса</w:t>
            </w:r>
          </w:p>
        </w:tc>
        <w:tc>
          <w:tcPr>
            <w:tcW w:type="dxa" w:w="960"/>
            <w:tcBorders>
              <w:top w:sz="4" w:val="nil"/>
              <w:left w:sz="4" w:val="nil"/>
              <w:bottom w:color="000000" w:sz="4" w:val="single"/>
              <w:right w:color="000000" w:sz="4" w:val="single"/>
            </w:tcBorders>
            <w:vAlign w:val="center"/>
          </w:tcPr>
          <w:p w14:paraId="71020000">
            <w:pPr>
              <w:spacing w:after="0" w:line="240" w:lineRule="auto"/>
              <w:ind/>
              <w:jc w:val="right"/>
              <w:rPr>
                <w:rFonts w:ascii="Times New Roman" w:hAnsi="Times New Roman"/>
                <w:color w:val="000000"/>
                <w:sz w:val="24"/>
              </w:rPr>
            </w:pPr>
            <w:r>
              <w:rPr>
                <w:rFonts w:ascii="Times New Roman" w:hAnsi="Times New Roman"/>
                <w:color w:val="000000"/>
                <w:sz w:val="24"/>
              </w:rPr>
              <w:t>0,53</w:t>
            </w:r>
          </w:p>
        </w:tc>
        <w:tc>
          <w:tcPr>
            <w:tcW w:type="dxa" w:w="960"/>
            <w:tcBorders>
              <w:top w:sz="4" w:val="nil"/>
              <w:left w:sz="4" w:val="nil"/>
              <w:bottom w:color="000000" w:sz="4" w:val="single"/>
              <w:right w:color="000000" w:sz="4" w:val="single"/>
            </w:tcBorders>
            <w:vAlign w:val="center"/>
          </w:tcPr>
          <w:p w14:paraId="72020000">
            <w:pPr>
              <w:spacing w:after="0" w:line="240" w:lineRule="auto"/>
              <w:ind/>
              <w:jc w:val="right"/>
              <w:rPr>
                <w:rFonts w:ascii="Times New Roman" w:hAnsi="Times New Roman"/>
                <w:color w:val="000000"/>
                <w:sz w:val="24"/>
              </w:rPr>
            </w:pPr>
            <w:r>
              <w:rPr>
                <w:rFonts w:ascii="Times New Roman" w:hAnsi="Times New Roman"/>
                <w:color w:val="000000"/>
                <w:sz w:val="24"/>
              </w:rPr>
              <w:t>0,54</w:t>
            </w:r>
          </w:p>
        </w:tc>
        <w:tc>
          <w:tcPr>
            <w:tcW w:type="dxa" w:w="960"/>
            <w:tcBorders>
              <w:top w:sz="4" w:val="nil"/>
              <w:left w:sz="4" w:val="nil"/>
              <w:bottom w:color="000000" w:sz="4" w:val="single"/>
              <w:right w:color="000000" w:sz="4" w:val="single"/>
            </w:tcBorders>
            <w:vAlign w:val="center"/>
          </w:tcPr>
          <w:p w14:paraId="73020000">
            <w:pPr>
              <w:spacing w:after="0" w:line="240" w:lineRule="auto"/>
              <w:ind/>
              <w:jc w:val="right"/>
              <w:rPr>
                <w:rFonts w:ascii="Times New Roman" w:hAnsi="Times New Roman"/>
                <w:color w:val="000000"/>
                <w:sz w:val="24"/>
              </w:rPr>
            </w:pPr>
            <w:r>
              <w:rPr>
                <w:rFonts w:ascii="Times New Roman" w:hAnsi="Times New Roman"/>
                <w:color w:val="000000"/>
                <w:sz w:val="24"/>
              </w:rPr>
              <w:t>0,56</w:t>
            </w:r>
          </w:p>
        </w:tc>
      </w:tr>
      <w:tr>
        <w:trPr>
          <w:trHeight w:hRule="atLeast" w:val="624"/>
        </w:trPr>
        <w:tc>
          <w:tcPr>
            <w:tcW w:type="dxa" w:w="1838"/>
            <w:tcBorders>
              <w:top w:sz="4" w:val="nil"/>
              <w:left w:color="000000" w:sz="4" w:val="single"/>
              <w:bottom w:color="000000" w:sz="4" w:val="single"/>
              <w:right w:color="000000" w:sz="4" w:val="single"/>
            </w:tcBorders>
            <w:vAlign w:val="center"/>
          </w:tcPr>
          <w:p w14:paraId="74020000">
            <w:pPr>
              <w:spacing w:after="0" w:line="240" w:lineRule="auto"/>
              <w:ind/>
              <w:rPr>
                <w:rFonts w:ascii="Times New Roman" w:hAnsi="Times New Roman"/>
                <w:color w:val="000000"/>
                <w:sz w:val="24"/>
              </w:rPr>
            </w:pPr>
            <w:r>
              <w:rPr>
                <w:rFonts w:ascii="Times New Roman" w:hAnsi="Times New Roman"/>
                <w:color w:val="000000"/>
                <w:sz w:val="24"/>
              </w:rPr>
              <w:t>Коэффициент финансовой зависимости</w:t>
            </w:r>
          </w:p>
        </w:tc>
        <w:tc>
          <w:tcPr>
            <w:tcW w:type="dxa" w:w="4080"/>
            <w:tcBorders>
              <w:top w:sz="4" w:val="nil"/>
              <w:left w:sz="4" w:val="nil"/>
              <w:bottom w:color="000000" w:sz="4" w:val="single"/>
              <w:right w:color="000000" w:sz="4" w:val="single"/>
            </w:tcBorders>
            <w:vAlign w:val="center"/>
          </w:tcPr>
          <w:p w14:paraId="75020000">
            <w:pPr>
              <w:spacing w:after="0" w:line="240" w:lineRule="auto"/>
              <w:ind/>
              <w:rPr>
                <w:rFonts w:ascii="Times New Roman" w:hAnsi="Times New Roman"/>
                <w:color w:val="000000"/>
                <w:sz w:val="24"/>
              </w:rPr>
            </w:pPr>
            <w:r>
              <w:rPr>
                <w:rFonts w:ascii="Times New Roman" w:hAnsi="Times New Roman"/>
                <w:color w:val="000000"/>
                <w:sz w:val="24"/>
              </w:rPr>
              <w:t>Заемный капитал / Собственный капитал</w:t>
            </w:r>
          </w:p>
        </w:tc>
        <w:tc>
          <w:tcPr>
            <w:tcW w:type="dxa" w:w="960"/>
            <w:tcBorders>
              <w:top w:sz="4" w:val="nil"/>
              <w:left w:sz="4" w:val="nil"/>
              <w:bottom w:color="000000" w:sz="4" w:val="single"/>
              <w:right w:color="000000" w:sz="4" w:val="single"/>
            </w:tcBorders>
            <w:vAlign w:val="center"/>
          </w:tcPr>
          <w:p w14:paraId="76020000">
            <w:pPr>
              <w:spacing w:after="0" w:line="240" w:lineRule="auto"/>
              <w:ind/>
              <w:jc w:val="right"/>
              <w:rPr>
                <w:rFonts w:ascii="Times New Roman" w:hAnsi="Times New Roman"/>
                <w:color w:val="000000"/>
                <w:sz w:val="24"/>
              </w:rPr>
            </w:pPr>
            <w:r>
              <w:rPr>
                <w:rFonts w:ascii="Times New Roman" w:hAnsi="Times New Roman"/>
                <w:color w:val="000000"/>
                <w:sz w:val="24"/>
              </w:rPr>
              <w:t>0,58</w:t>
            </w:r>
          </w:p>
        </w:tc>
        <w:tc>
          <w:tcPr>
            <w:tcW w:type="dxa" w:w="960"/>
            <w:tcBorders>
              <w:top w:sz="4" w:val="nil"/>
              <w:left w:sz="4" w:val="nil"/>
              <w:bottom w:color="000000" w:sz="4" w:val="single"/>
              <w:right w:color="000000" w:sz="4" w:val="single"/>
            </w:tcBorders>
            <w:vAlign w:val="center"/>
          </w:tcPr>
          <w:p w14:paraId="77020000">
            <w:pPr>
              <w:spacing w:after="0" w:line="240" w:lineRule="auto"/>
              <w:ind/>
              <w:jc w:val="right"/>
              <w:rPr>
                <w:rFonts w:ascii="Times New Roman" w:hAnsi="Times New Roman"/>
                <w:color w:val="000000"/>
                <w:sz w:val="24"/>
              </w:rPr>
            </w:pPr>
            <w:r>
              <w:rPr>
                <w:rFonts w:ascii="Times New Roman" w:hAnsi="Times New Roman"/>
                <w:color w:val="000000"/>
                <w:sz w:val="24"/>
              </w:rPr>
              <w:t>0,57</w:t>
            </w:r>
          </w:p>
        </w:tc>
        <w:tc>
          <w:tcPr>
            <w:tcW w:type="dxa" w:w="960"/>
            <w:tcBorders>
              <w:top w:sz="4" w:val="nil"/>
              <w:left w:sz="4" w:val="nil"/>
              <w:bottom w:color="000000" w:sz="4" w:val="single"/>
              <w:right w:color="000000" w:sz="4" w:val="single"/>
            </w:tcBorders>
            <w:vAlign w:val="center"/>
          </w:tcPr>
          <w:p w14:paraId="78020000">
            <w:pPr>
              <w:spacing w:after="0" w:line="240" w:lineRule="auto"/>
              <w:ind/>
              <w:jc w:val="right"/>
              <w:rPr>
                <w:rFonts w:ascii="Times New Roman" w:hAnsi="Times New Roman"/>
                <w:color w:val="000000"/>
                <w:sz w:val="24"/>
              </w:rPr>
            </w:pPr>
            <w:r>
              <w:rPr>
                <w:rFonts w:ascii="Times New Roman" w:hAnsi="Times New Roman"/>
                <w:color w:val="000000"/>
                <w:sz w:val="24"/>
              </w:rPr>
              <w:t>0,57</w:t>
            </w:r>
          </w:p>
        </w:tc>
      </w:tr>
      <w:tr>
        <w:trPr>
          <w:trHeight w:hRule="atLeast" w:val="624"/>
        </w:trPr>
        <w:tc>
          <w:tcPr>
            <w:tcW w:type="dxa" w:w="1838"/>
            <w:tcBorders>
              <w:top w:sz="4" w:val="nil"/>
              <w:left w:color="000000" w:sz="4" w:val="single"/>
              <w:bottom w:color="000000" w:sz="4" w:val="single"/>
              <w:right w:color="000000" w:sz="4" w:val="single"/>
            </w:tcBorders>
            <w:vAlign w:val="center"/>
          </w:tcPr>
          <w:p w14:paraId="79020000">
            <w:pPr>
              <w:spacing w:after="0" w:line="240" w:lineRule="auto"/>
              <w:ind/>
              <w:rPr>
                <w:rFonts w:ascii="Times New Roman" w:hAnsi="Times New Roman"/>
                <w:color w:val="000000"/>
                <w:sz w:val="24"/>
              </w:rPr>
            </w:pPr>
            <w:r>
              <w:rPr>
                <w:rFonts w:ascii="Times New Roman" w:hAnsi="Times New Roman"/>
                <w:color w:val="000000"/>
                <w:sz w:val="24"/>
              </w:rPr>
              <w:t>Коэффициент текущей ликвидности</w:t>
            </w:r>
          </w:p>
        </w:tc>
        <w:tc>
          <w:tcPr>
            <w:tcW w:type="dxa" w:w="4080"/>
            <w:tcBorders>
              <w:top w:sz="4" w:val="nil"/>
              <w:left w:sz="4" w:val="nil"/>
              <w:bottom w:color="000000" w:sz="4" w:val="single"/>
              <w:right w:color="000000" w:sz="4" w:val="single"/>
            </w:tcBorders>
            <w:vAlign w:val="center"/>
          </w:tcPr>
          <w:p w14:paraId="7A020000">
            <w:pPr>
              <w:spacing w:after="0" w:line="240" w:lineRule="auto"/>
              <w:ind/>
              <w:rPr>
                <w:rFonts w:ascii="Times New Roman" w:hAnsi="Times New Roman"/>
                <w:color w:val="000000"/>
                <w:sz w:val="24"/>
              </w:rPr>
            </w:pPr>
            <w:r>
              <w:rPr>
                <w:rFonts w:ascii="Times New Roman" w:hAnsi="Times New Roman"/>
                <w:color w:val="000000"/>
                <w:sz w:val="24"/>
              </w:rPr>
              <w:t>Оборотные активы / Краткосрочные обязательства</w:t>
            </w:r>
          </w:p>
        </w:tc>
        <w:tc>
          <w:tcPr>
            <w:tcW w:type="dxa" w:w="960"/>
            <w:tcBorders>
              <w:top w:sz="4" w:val="nil"/>
              <w:left w:sz="4" w:val="nil"/>
              <w:bottom w:color="000000" w:sz="4" w:val="single"/>
              <w:right w:color="000000" w:sz="4" w:val="single"/>
            </w:tcBorders>
            <w:vAlign w:val="center"/>
          </w:tcPr>
          <w:p w14:paraId="7B020000">
            <w:pPr>
              <w:spacing w:after="0" w:line="240" w:lineRule="auto"/>
              <w:ind/>
              <w:jc w:val="right"/>
              <w:rPr>
                <w:rFonts w:ascii="Times New Roman" w:hAnsi="Times New Roman"/>
                <w:color w:val="000000"/>
                <w:sz w:val="24"/>
              </w:rPr>
            </w:pPr>
            <w:r>
              <w:rPr>
                <w:rFonts w:ascii="Times New Roman" w:hAnsi="Times New Roman"/>
                <w:color w:val="000000"/>
                <w:sz w:val="24"/>
              </w:rPr>
              <w:t>1,55</w:t>
            </w:r>
          </w:p>
        </w:tc>
        <w:tc>
          <w:tcPr>
            <w:tcW w:type="dxa" w:w="960"/>
            <w:tcBorders>
              <w:top w:sz="4" w:val="nil"/>
              <w:left w:sz="4" w:val="nil"/>
              <w:bottom w:color="000000" w:sz="4" w:val="single"/>
              <w:right w:color="000000" w:sz="4" w:val="single"/>
            </w:tcBorders>
            <w:vAlign w:val="center"/>
          </w:tcPr>
          <w:p w14:paraId="7C020000">
            <w:pPr>
              <w:spacing w:after="0" w:line="240" w:lineRule="auto"/>
              <w:ind/>
              <w:jc w:val="right"/>
              <w:rPr>
                <w:rFonts w:ascii="Times New Roman" w:hAnsi="Times New Roman"/>
                <w:color w:val="000000"/>
                <w:sz w:val="24"/>
              </w:rPr>
            </w:pPr>
            <w:r>
              <w:rPr>
                <w:rFonts w:ascii="Times New Roman" w:hAnsi="Times New Roman"/>
                <w:color w:val="000000"/>
                <w:sz w:val="24"/>
              </w:rPr>
              <w:t>1,5</w:t>
            </w:r>
          </w:p>
        </w:tc>
        <w:tc>
          <w:tcPr>
            <w:tcW w:type="dxa" w:w="960"/>
            <w:tcBorders>
              <w:top w:sz="4" w:val="nil"/>
              <w:left w:sz="4" w:val="nil"/>
              <w:bottom w:color="000000" w:sz="4" w:val="single"/>
              <w:right w:color="000000" w:sz="4" w:val="single"/>
            </w:tcBorders>
            <w:vAlign w:val="center"/>
          </w:tcPr>
          <w:p w14:paraId="7D020000">
            <w:pPr>
              <w:spacing w:after="0" w:line="240" w:lineRule="auto"/>
              <w:ind/>
              <w:jc w:val="right"/>
              <w:rPr>
                <w:rFonts w:ascii="Times New Roman" w:hAnsi="Times New Roman"/>
                <w:color w:val="000000"/>
                <w:sz w:val="24"/>
              </w:rPr>
            </w:pPr>
            <w:r>
              <w:rPr>
                <w:rFonts w:ascii="Times New Roman" w:hAnsi="Times New Roman"/>
                <w:color w:val="000000"/>
                <w:sz w:val="24"/>
              </w:rPr>
              <w:t>1,46</w:t>
            </w:r>
          </w:p>
        </w:tc>
      </w:tr>
      <w:tr>
        <w:trPr>
          <w:trHeight w:hRule="atLeast" w:val="312"/>
        </w:trPr>
        <w:tc>
          <w:tcPr>
            <w:tcW w:type="dxa" w:w="1838"/>
            <w:tcBorders>
              <w:top w:sz="4" w:val="nil"/>
              <w:left w:color="000000" w:sz="4" w:val="single"/>
              <w:bottom w:color="000000" w:sz="4" w:val="single"/>
              <w:right w:color="000000" w:sz="4" w:val="single"/>
            </w:tcBorders>
            <w:vAlign w:val="center"/>
          </w:tcPr>
          <w:p w14:paraId="7E020000">
            <w:pPr>
              <w:spacing w:after="0" w:line="240" w:lineRule="auto"/>
              <w:ind/>
              <w:rPr>
                <w:rFonts w:ascii="Times New Roman" w:hAnsi="Times New Roman"/>
                <w:color w:val="000000"/>
                <w:sz w:val="24"/>
              </w:rPr>
            </w:pPr>
            <w:r>
              <w:rPr>
                <w:rFonts w:ascii="Times New Roman" w:hAnsi="Times New Roman"/>
                <w:color w:val="000000"/>
                <w:sz w:val="24"/>
              </w:rPr>
              <w:t>Доля заемного капитала</w:t>
            </w:r>
          </w:p>
        </w:tc>
        <w:tc>
          <w:tcPr>
            <w:tcW w:type="dxa" w:w="4080"/>
            <w:tcBorders>
              <w:top w:sz="4" w:val="nil"/>
              <w:left w:sz="4" w:val="nil"/>
              <w:bottom w:color="000000" w:sz="4" w:val="single"/>
              <w:right w:color="000000" w:sz="4" w:val="single"/>
            </w:tcBorders>
            <w:vAlign w:val="center"/>
          </w:tcPr>
          <w:p w14:paraId="7F020000">
            <w:pPr>
              <w:spacing w:after="0" w:line="240" w:lineRule="auto"/>
              <w:ind/>
              <w:rPr>
                <w:rFonts w:ascii="Times New Roman" w:hAnsi="Times New Roman"/>
                <w:color w:val="000000"/>
                <w:sz w:val="24"/>
              </w:rPr>
            </w:pPr>
            <w:r>
              <w:rPr>
                <w:rFonts w:ascii="Times New Roman" w:hAnsi="Times New Roman"/>
                <w:color w:val="000000"/>
                <w:sz w:val="24"/>
              </w:rPr>
              <w:t>Заемный капитал / Валюта баланса</w:t>
            </w:r>
          </w:p>
        </w:tc>
        <w:tc>
          <w:tcPr>
            <w:tcW w:type="dxa" w:w="960"/>
            <w:tcBorders>
              <w:top w:sz="4" w:val="nil"/>
              <w:left w:sz="4" w:val="nil"/>
              <w:bottom w:color="000000" w:sz="4" w:val="single"/>
              <w:right w:color="000000" w:sz="4" w:val="single"/>
            </w:tcBorders>
            <w:vAlign w:val="center"/>
          </w:tcPr>
          <w:p w14:paraId="80020000">
            <w:pPr>
              <w:spacing w:after="0" w:line="240" w:lineRule="auto"/>
              <w:ind/>
              <w:jc w:val="right"/>
              <w:rPr>
                <w:rFonts w:ascii="Times New Roman" w:hAnsi="Times New Roman"/>
                <w:color w:val="000000"/>
                <w:sz w:val="24"/>
              </w:rPr>
            </w:pPr>
            <w:r>
              <w:rPr>
                <w:rFonts w:ascii="Times New Roman" w:hAnsi="Times New Roman"/>
                <w:color w:val="000000"/>
                <w:sz w:val="24"/>
              </w:rPr>
              <w:t>0,31</w:t>
            </w:r>
          </w:p>
        </w:tc>
        <w:tc>
          <w:tcPr>
            <w:tcW w:type="dxa" w:w="960"/>
            <w:tcBorders>
              <w:top w:sz="4" w:val="nil"/>
              <w:left w:sz="4" w:val="nil"/>
              <w:bottom w:color="000000" w:sz="4" w:val="single"/>
              <w:right w:color="000000" w:sz="4" w:val="single"/>
            </w:tcBorders>
            <w:vAlign w:val="center"/>
          </w:tcPr>
          <w:p w14:paraId="81020000">
            <w:pPr>
              <w:spacing w:after="0" w:line="240" w:lineRule="auto"/>
              <w:ind/>
              <w:jc w:val="right"/>
              <w:rPr>
                <w:rFonts w:ascii="Times New Roman" w:hAnsi="Times New Roman"/>
                <w:color w:val="000000"/>
                <w:sz w:val="24"/>
              </w:rPr>
            </w:pPr>
            <w:r>
              <w:rPr>
                <w:rFonts w:ascii="Times New Roman" w:hAnsi="Times New Roman"/>
                <w:color w:val="000000"/>
                <w:sz w:val="24"/>
              </w:rPr>
              <w:t>0,31</w:t>
            </w:r>
          </w:p>
        </w:tc>
        <w:tc>
          <w:tcPr>
            <w:tcW w:type="dxa" w:w="960"/>
            <w:tcBorders>
              <w:top w:sz="4" w:val="nil"/>
              <w:left w:sz="4" w:val="nil"/>
              <w:bottom w:color="000000" w:sz="4" w:val="single"/>
              <w:right w:color="000000" w:sz="4" w:val="single"/>
            </w:tcBorders>
            <w:vAlign w:val="center"/>
          </w:tcPr>
          <w:p w14:paraId="82020000">
            <w:pPr>
              <w:spacing w:after="0" w:line="240" w:lineRule="auto"/>
              <w:ind/>
              <w:jc w:val="right"/>
              <w:rPr>
                <w:rFonts w:ascii="Times New Roman" w:hAnsi="Times New Roman"/>
                <w:color w:val="000000"/>
                <w:sz w:val="24"/>
              </w:rPr>
            </w:pPr>
            <w:r>
              <w:rPr>
                <w:rFonts w:ascii="Times New Roman" w:hAnsi="Times New Roman"/>
                <w:color w:val="000000"/>
                <w:sz w:val="24"/>
              </w:rPr>
              <w:t>0,32</w:t>
            </w:r>
          </w:p>
        </w:tc>
      </w:tr>
    </w:tbl>
    <w:p w14:paraId="83020000">
      <w:pPr>
        <w:spacing w:after="0" w:line="360" w:lineRule="auto"/>
        <w:ind w:firstLine="851" w:left="0"/>
        <w:jc w:val="both"/>
        <w:rPr>
          <w:rFonts w:ascii="Times New Roman" w:hAnsi="Times New Roman"/>
          <w:sz w:val="28"/>
        </w:rPr>
      </w:pPr>
      <w:r>
        <w:rPr>
          <w:rFonts w:ascii="Times New Roman" w:hAnsi="Times New Roman"/>
          <w:sz w:val="28"/>
        </w:rPr>
        <w:t>Коэффициент автономии за 2024 год:</w:t>
      </w:r>
    </w:p>
    <w:p w14:paraId="84020000">
      <w:pPr>
        <w:spacing w:after="0" w:line="360" w:lineRule="auto"/>
        <w:ind w:firstLine="851" w:left="0"/>
        <w:jc w:val="both"/>
        <w:rPr>
          <w:rFonts w:ascii="Times New Roman" w:hAnsi="Times New Roman"/>
          <w:sz w:val="28"/>
        </w:rPr>
      </w:pPr>
      <w:r>
        <w:rPr>
          <w:rFonts w:ascii="Times New Roman" w:hAnsi="Times New Roman"/>
          <w:sz w:val="28"/>
        </w:rPr>
        <w:drawing>
          <wp:inline>
            <wp:extent cx="2442845" cy="1143000"/>
            <wp:effectExtent b="0" l="0" r="0" t="0"/>
            <wp:docPr hidden="false" id="8" name="Picture 8"/>
            <a:graphic>
              <a:graphicData uri="http://schemas.openxmlformats.org/drawingml/2006/picture">
                <pic:pic>
                  <pic:nvPicPr>
                    <pic:cNvPr hidden="false" id="7" name="Picture 7"/>
                    <pic:cNvPicPr preferRelativeResize="true"/>
                  </pic:nvPicPr>
                  <pic:blipFill>
                    <a:blip r:embed="rId5"/>
                    <a:stretch/>
                  </pic:blipFill>
                  <pic:spPr>
                    <a:xfrm flipH="false" flipV="false" rot="0">
                      <a:ext cx="2442845" cy="1143000"/>
                    </a:xfrm>
                    <a:prstGeom prst="rect"/>
                  </pic:spPr>
                </pic:pic>
              </a:graphicData>
            </a:graphic>
          </wp:inline>
        </w:drawing>
      </w:r>
    </w:p>
    <w:p w14:paraId="85020000">
      <w:pPr>
        <w:spacing w:after="0" w:line="360" w:lineRule="auto"/>
        <w:ind w:firstLine="851" w:left="0"/>
        <w:jc w:val="both"/>
        <w:rPr>
          <w:rFonts w:ascii="Times New Roman" w:hAnsi="Times New Roman"/>
          <w:sz w:val="28"/>
        </w:rPr>
      </w:pPr>
      <w:r>
        <w:rPr>
          <w:rFonts w:ascii="Times New Roman" w:hAnsi="Times New Roman"/>
          <w:sz w:val="28"/>
        </w:rPr>
        <w:t>Полученное значение не опускается ниже минимально допустимой границы в 0,5 – значит, финансовая устойчивость предприятия находится на достаточном уровне.</w:t>
      </w:r>
    </w:p>
    <w:p w14:paraId="86020000">
      <w:pPr>
        <w:spacing w:after="0" w:line="360" w:lineRule="auto"/>
        <w:ind w:firstLine="851" w:left="0"/>
        <w:jc w:val="both"/>
        <w:rPr>
          <w:rFonts w:ascii="Times New Roman" w:hAnsi="Times New Roman"/>
          <w:sz w:val="28"/>
        </w:rPr>
      </w:pPr>
      <w:r>
        <w:rPr>
          <w:rFonts w:ascii="Times New Roman" w:hAnsi="Times New Roman"/>
          <w:sz w:val="28"/>
        </w:rPr>
        <w:t>Расчёты коэффициентов показывают, что за анализируемый период финансовая устойчивость организации имеет положительную динамику.</w:t>
      </w:r>
    </w:p>
    <w:p w14:paraId="87020000">
      <w:pPr>
        <w:spacing w:after="0" w:line="360" w:lineRule="auto"/>
        <w:ind w:firstLine="851" w:left="0"/>
        <w:jc w:val="both"/>
        <w:rPr>
          <w:rFonts w:ascii="Times New Roman" w:hAnsi="Times New Roman"/>
          <w:sz w:val="28"/>
        </w:rPr>
      </w:pPr>
      <w:r>
        <w:rPr>
          <w:rFonts w:ascii="Times New Roman" w:hAnsi="Times New Roman"/>
          <w:sz w:val="28"/>
        </w:rPr>
        <w:t>Коэффициент автономии вырос с 0,53 в 2022 году до 0,56 в 2024 году.</w:t>
      </w:r>
    </w:p>
    <w:p w14:paraId="88020000">
      <w:pPr>
        <w:spacing w:after="0" w:line="360" w:lineRule="auto"/>
        <w:ind w:firstLine="851" w:left="0"/>
        <w:jc w:val="both"/>
        <w:rPr>
          <w:rFonts w:ascii="Times New Roman" w:hAnsi="Times New Roman"/>
          <w:sz w:val="28"/>
        </w:rPr>
      </w:pPr>
      <w:r>
        <w:rPr>
          <w:rFonts w:ascii="Times New Roman" w:hAnsi="Times New Roman"/>
          <w:sz w:val="28"/>
        </w:rPr>
        <w:t xml:space="preserve"> Доля собственных источников финансирования увеличилась. </w:t>
      </w:r>
    </w:p>
    <w:p w14:paraId="89020000">
      <w:pPr>
        <w:spacing w:after="0" w:line="360" w:lineRule="auto"/>
        <w:ind w:firstLine="851" w:left="0"/>
        <w:jc w:val="both"/>
        <w:rPr>
          <w:rFonts w:ascii="Times New Roman" w:hAnsi="Times New Roman"/>
          <w:sz w:val="28"/>
        </w:rPr>
      </w:pPr>
      <w:r>
        <w:rPr>
          <w:rFonts w:ascii="Times New Roman" w:hAnsi="Times New Roman"/>
          <w:sz w:val="28"/>
        </w:rPr>
        <w:t>При этом коэффициент финансовой зависимости остаётся в умеренных пределах, что говорит о разумном использовании заёмного капитала. Коэффициент текущей ликвидности выше нормативного значения 1,0 – следовательно, организация способна вовремя рассчитываться по своим краткосрочным обязательствам.</w:t>
      </w:r>
    </w:p>
    <w:p w14:paraId="8A020000">
      <w:pPr>
        <w:spacing w:after="0" w:line="360" w:lineRule="auto"/>
        <w:ind w:firstLine="851" w:left="0"/>
        <w:jc w:val="both"/>
        <w:rPr>
          <w:rFonts w:ascii="Times New Roman" w:hAnsi="Times New Roman"/>
          <w:sz w:val="28"/>
        </w:rPr>
      </w:pPr>
      <w:r>
        <w:rPr>
          <w:rFonts w:ascii="Times New Roman" w:hAnsi="Times New Roman"/>
          <w:sz w:val="28"/>
        </w:rPr>
        <w:t>Вертикальный анализ помогает определить, какой удельный вес занимают заёмные средства в общей структуре пассивов.</w:t>
      </w:r>
    </w:p>
    <w:p w14:paraId="8B020000">
      <w:pPr>
        <w:spacing w:after="0" w:line="360" w:lineRule="auto"/>
        <w:ind w:firstLine="851" w:left="0"/>
        <w:jc w:val="both"/>
        <w:rPr>
          <w:rFonts w:ascii="Times New Roman" w:hAnsi="Times New Roman"/>
          <w:sz w:val="28"/>
        </w:rPr>
      </w:pPr>
      <w:r>
        <w:rPr>
          <w:rFonts w:ascii="Times New Roman" w:hAnsi="Times New Roman"/>
          <w:sz w:val="28"/>
        </w:rPr>
        <w:t>Вертикальный анализ пассивов представлен в таблице 8.</w:t>
      </w:r>
    </w:p>
    <w:p w14:paraId="8C020000">
      <w:pPr>
        <w:spacing w:after="0" w:line="360" w:lineRule="auto"/>
        <w:ind w:firstLine="851" w:left="0"/>
        <w:jc w:val="both"/>
        <w:rPr>
          <w:rFonts w:ascii="Times New Roman" w:hAnsi="Times New Roman"/>
          <w:sz w:val="28"/>
        </w:rPr>
      </w:pPr>
    </w:p>
    <w:p w14:paraId="8D020000">
      <w:pPr>
        <w:spacing w:after="0" w:line="360" w:lineRule="auto"/>
        <w:ind w:firstLine="851" w:left="0"/>
        <w:jc w:val="right"/>
        <w:rPr>
          <w:rFonts w:ascii="Times New Roman" w:hAnsi="Times New Roman"/>
          <w:b w:val="1"/>
          <w:sz w:val="28"/>
        </w:rPr>
      </w:pPr>
      <w:r>
        <w:rPr>
          <w:rFonts w:ascii="Times New Roman" w:hAnsi="Times New Roman"/>
          <w:b w:val="1"/>
          <w:sz w:val="28"/>
        </w:rPr>
        <w:t>Таблица 8</w:t>
      </w:r>
    </w:p>
    <w:p w14:paraId="8E020000">
      <w:pPr>
        <w:spacing w:after="0" w:line="360" w:lineRule="auto"/>
        <w:ind w:firstLine="851" w:left="0"/>
        <w:jc w:val="both"/>
        <w:rPr>
          <w:rFonts w:ascii="Times New Roman" w:hAnsi="Times New Roman"/>
          <w:b w:val="1"/>
          <w:sz w:val="28"/>
        </w:rPr>
      </w:pPr>
      <w:r>
        <w:rPr>
          <w:rFonts w:ascii="Times New Roman" w:hAnsi="Times New Roman"/>
          <w:b w:val="1"/>
          <w:sz w:val="28"/>
        </w:rPr>
        <w:t>Вертикальный анализ пассивов</w:t>
      </w:r>
    </w:p>
    <w:tbl>
      <w:tblPr>
        <w:tblStyle w:val="Style_3"/>
        <w:tblLayout w:type="fixed"/>
      </w:tblPr>
      <w:tblGrid>
        <w:gridCol w:w="4440"/>
        <w:gridCol w:w="1792"/>
        <w:gridCol w:w="1701"/>
      </w:tblGrid>
      <w:tr>
        <w:trPr>
          <w:trHeight w:hRule="atLeast" w:val="624"/>
        </w:trPr>
        <w:tc>
          <w:tcPr>
            <w:tcW w:type="dxa" w:w="4440"/>
            <w:tcBorders>
              <w:top w:color="000000" w:sz="4" w:val="single"/>
              <w:left w:color="000000" w:sz="4" w:val="single"/>
              <w:bottom w:color="000000" w:sz="4" w:val="single"/>
              <w:right w:color="000000" w:sz="4" w:val="single"/>
            </w:tcBorders>
            <w:vAlign w:val="center"/>
          </w:tcPr>
          <w:p w14:paraId="8F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1792"/>
            <w:tcBorders>
              <w:top w:color="000000" w:sz="4" w:val="single"/>
              <w:left w:sz="4" w:val="nil"/>
              <w:bottom w:color="000000" w:sz="4" w:val="single"/>
              <w:right w:color="000000" w:sz="4" w:val="single"/>
            </w:tcBorders>
            <w:vAlign w:val="center"/>
          </w:tcPr>
          <w:p w14:paraId="90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 г., %</w:t>
            </w:r>
          </w:p>
        </w:tc>
        <w:tc>
          <w:tcPr>
            <w:tcW w:type="dxa" w:w="1701"/>
            <w:tcBorders>
              <w:top w:color="000000" w:sz="4" w:val="single"/>
              <w:left w:sz="4" w:val="nil"/>
              <w:bottom w:color="000000" w:sz="4" w:val="single"/>
              <w:right w:color="000000" w:sz="4" w:val="single"/>
            </w:tcBorders>
            <w:vAlign w:val="center"/>
          </w:tcPr>
          <w:p w14:paraId="91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 г., %</w:t>
            </w:r>
          </w:p>
        </w:tc>
      </w:tr>
      <w:tr>
        <w:trPr>
          <w:trHeight w:hRule="atLeast" w:val="312"/>
        </w:trPr>
        <w:tc>
          <w:tcPr>
            <w:tcW w:type="dxa" w:w="4440"/>
            <w:tcBorders>
              <w:top w:sz="4" w:val="nil"/>
              <w:left w:color="000000" w:sz="4" w:val="single"/>
              <w:bottom w:color="000000" w:sz="4" w:val="single"/>
              <w:right w:color="000000" w:sz="4" w:val="single"/>
            </w:tcBorders>
            <w:vAlign w:val="center"/>
          </w:tcPr>
          <w:p w14:paraId="92020000">
            <w:pPr>
              <w:spacing w:after="0" w:line="240" w:lineRule="auto"/>
              <w:ind/>
              <w:rPr>
                <w:rFonts w:ascii="Times New Roman" w:hAnsi="Times New Roman"/>
                <w:color w:val="000000"/>
                <w:sz w:val="24"/>
              </w:rPr>
            </w:pPr>
            <w:r>
              <w:rPr>
                <w:rFonts w:ascii="Times New Roman" w:hAnsi="Times New Roman"/>
                <w:color w:val="000000"/>
                <w:sz w:val="24"/>
              </w:rPr>
              <w:t>Собственный капитал</w:t>
            </w:r>
          </w:p>
        </w:tc>
        <w:tc>
          <w:tcPr>
            <w:tcW w:type="dxa" w:w="1792"/>
            <w:tcBorders>
              <w:top w:sz="4" w:val="nil"/>
              <w:left w:sz="4" w:val="nil"/>
              <w:bottom w:color="000000" w:sz="4" w:val="single"/>
              <w:right w:color="000000" w:sz="4" w:val="single"/>
            </w:tcBorders>
            <w:vAlign w:val="center"/>
          </w:tcPr>
          <w:p w14:paraId="93020000">
            <w:pPr>
              <w:spacing w:after="0" w:line="240" w:lineRule="auto"/>
              <w:ind/>
              <w:jc w:val="right"/>
              <w:rPr>
                <w:rFonts w:ascii="Times New Roman" w:hAnsi="Times New Roman"/>
                <w:color w:val="000000"/>
                <w:sz w:val="24"/>
              </w:rPr>
            </w:pPr>
            <w:r>
              <w:rPr>
                <w:rFonts w:ascii="Times New Roman" w:hAnsi="Times New Roman"/>
                <w:color w:val="000000"/>
                <w:sz w:val="24"/>
              </w:rPr>
              <w:t>60</w:t>
            </w:r>
          </w:p>
        </w:tc>
        <w:tc>
          <w:tcPr>
            <w:tcW w:type="dxa" w:w="1701"/>
            <w:tcBorders>
              <w:top w:sz="4" w:val="nil"/>
              <w:left w:sz="4" w:val="nil"/>
              <w:bottom w:color="000000" w:sz="4" w:val="single"/>
              <w:right w:color="000000" w:sz="4" w:val="single"/>
            </w:tcBorders>
            <w:vAlign w:val="center"/>
          </w:tcPr>
          <w:p w14:paraId="94020000">
            <w:pPr>
              <w:spacing w:after="0" w:line="240" w:lineRule="auto"/>
              <w:ind/>
              <w:jc w:val="right"/>
              <w:rPr>
                <w:rFonts w:ascii="Times New Roman" w:hAnsi="Times New Roman"/>
                <w:color w:val="000000"/>
                <w:sz w:val="24"/>
              </w:rPr>
            </w:pPr>
            <w:r>
              <w:rPr>
                <w:rFonts w:ascii="Times New Roman" w:hAnsi="Times New Roman"/>
                <w:color w:val="000000"/>
                <w:sz w:val="24"/>
              </w:rPr>
              <w:t>58,2</w:t>
            </w:r>
          </w:p>
        </w:tc>
      </w:tr>
      <w:tr>
        <w:trPr>
          <w:trHeight w:hRule="atLeast" w:val="312"/>
        </w:trPr>
        <w:tc>
          <w:tcPr>
            <w:tcW w:type="dxa" w:w="4440"/>
            <w:tcBorders>
              <w:top w:sz="4" w:val="nil"/>
              <w:left w:color="000000" w:sz="4" w:val="single"/>
              <w:bottom w:color="000000" w:sz="4" w:val="single"/>
              <w:right w:color="000000" w:sz="4" w:val="single"/>
            </w:tcBorders>
            <w:vAlign w:val="center"/>
          </w:tcPr>
          <w:p w14:paraId="95020000">
            <w:pPr>
              <w:spacing w:after="0" w:line="240" w:lineRule="auto"/>
              <w:ind/>
              <w:rPr>
                <w:rFonts w:ascii="Times New Roman" w:hAnsi="Times New Roman"/>
                <w:color w:val="000000"/>
                <w:sz w:val="24"/>
              </w:rPr>
            </w:pPr>
            <w:r>
              <w:rPr>
                <w:rFonts w:ascii="Times New Roman" w:hAnsi="Times New Roman"/>
                <w:color w:val="000000"/>
                <w:sz w:val="24"/>
              </w:rPr>
              <w:t>Долгосрочные кредиты и займы</w:t>
            </w:r>
          </w:p>
        </w:tc>
        <w:tc>
          <w:tcPr>
            <w:tcW w:type="dxa" w:w="1792"/>
            <w:tcBorders>
              <w:top w:sz="4" w:val="nil"/>
              <w:left w:sz="4" w:val="nil"/>
              <w:bottom w:color="000000" w:sz="4" w:val="single"/>
              <w:right w:color="000000" w:sz="4" w:val="single"/>
            </w:tcBorders>
            <w:vAlign w:val="center"/>
          </w:tcPr>
          <w:p w14:paraId="96020000">
            <w:pPr>
              <w:spacing w:after="0" w:line="240" w:lineRule="auto"/>
              <w:ind/>
              <w:jc w:val="right"/>
              <w:rPr>
                <w:rFonts w:ascii="Times New Roman" w:hAnsi="Times New Roman"/>
                <w:color w:val="000000"/>
                <w:sz w:val="24"/>
              </w:rPr>
            </w:pPr>
            <w:r>
              <w:rPr>
                <w:rFonts w:ascii="Times New Roman" w:hAnsi="Times New Roman"/>
                <w:color w:val="000000"/>
                <w:sz w:val="24"/>
              </w:rPr>
              <w:t>23,2</w:t>
            </w:r>
          </w:p>
        </w:tc>
        <w:tc>
          <w:tcPr>
            <w:tcW w:type="dxa" w:w="1701"/>
            <w:tcBorders>
              <w:top w:sz="4" w:val="nil"/>
              <w:left w:sz="4" w:val="nil"/>
              <w:bottom w:color="000000" w:sz="4" w:val="single"/>
              <w:right w:color="000000" w:sz="4" w:val="single"/>
            </w:tcBorders>
            <w:vAlign w:val="center"/>
          </w:tcPr>
          <w:p w14:paraId="97020000">
            <w:pPr>
              <w:spacing w:after="0" w:line="240" w:lineRule="auto"/>
              <w:ind/>
              <w:jc w:val="right"/>
              <w:rPr>
                <w:rFonts w:ascii="Times New Roman" w:hAnsi="Times New Roman"/>
                <w:color w:val="000000"/>
                <w:sz w:val="24"/>
              </w:rPr>
            </w:pPr>
            <w:r>
              <w:rPr>
                <w:rFonts w:ascii="Times New Roman" w:hAnsi="Times New Roman"/>
                <w:color w:val="000000"/>
                <w:sz w:val="24"/>
              </w:rPr>
              <w:t>22,5</w:t>
            </w:r>
          </w:p>
        </w:tc>
      </w:tr>
      <w:tr>
        <w:trPr>
          <w:trHeight w:hRule="atLeast" w:val="312"/>
        </w:trPr>
        <w:tc>
          <w:tcPr>
            <w:tcW w:type="dxa" w:w="4440"/>
            <w:tcBorders>
              <w:top w:sz="4" w:val="nil"/>
              <w:left w:color="000000" w:sz="4" w:val="single"/>
              <w:bottom w:color="000000" w:sz="4" w:val="single"/>
              <w:right w:color="000000" w:sz="4" w:val="single"/>
            </w:tcBorders>
            <w:vAlign w:val="center"/>
          </w:tcPr>
          <w:p w14:paraId="98020000">
            <w:pPr>
              <w:spacing w:after="0" w:line="240" w:lineRule="auto"/>
              <w:ind/>
              <w:rPr>
                <w:rFonts w:ascii="Times New Roman" w:hAnsi="Times New Roman"/>
                <w:color w:val="000000"/>
                <w:sz w:val="24"/>
              </w:rPr>
            </w:pPr>
            <w:r>
              <w:rPr>
                <w:rFonts w:ascii="Times New Roman" w:hAnsi="Times New Roman"/>
                <w:color w:val="000000"/>
                <w:sz w:val="24"/>
              </w:rPr>
              <w:t>Краткосрочные кредиты и займы</w:t>
            </w:r>
          </w:p>
        </w:tc>
        <w:tc>
          <w:tcPr>
            <w:tcW w:type="dxa" w:w="1792"/>
            <w:tcBorders>
              <w:top w:sz="4" w:val="nil"/>
              <w:left w:sz="4" w:val="nil"/>
              <w:bottom w:color="000000" w:sz="4" w:val="single"/>
              <w:right w:color="000000" w:sz="4" w:val="single"/>
            </w:tcBorders>
            <w:vAlign w:val="center"/>
          </w:tcPr>
          <w:p w14:paraId="99020000">
            <w:pPr>
              <w:spacing w:after="0" w:line="240" w:lineRule="auto"/>
              <w:ind/>
              <w:jc w:val="right"/>
              <w:rPr>
                <w:rFonts w:ascii="Times New Roman" w:hAnsi="Times New Roman"/>
                <w:color w:val="000000"/>
                <w:sz w:val="24"/>
              </w:rPr>
            </w:pPr>
            <w:r>
              <w:rPr>
                <w:rFonts w:ascii="Times New Roman" w:hAnsi="Times New Roman"/>
                <w:color w:val="000000"/>
                <w:sz w:val="24"/>
              </w:rPr>
              <w:t>7,6</w:t>
            </w:r>
          </w:p>
        </w:tc>
        <w:tc>
          <w:tcPr>
            <w:tcW w:type="dxa" w:w="1701"/>
            <w:tcBorders>
              <w:top w:sz="4" w:val="nil"/>
              <w:left w:sz="4" w:val="nil"/>
              <w:bottom w:color="000000" w:sz="4" w:val="single"/>
              <w:right w:color="000000" w:sz="4" w:val="single"/>
            </w:tcBorders>
            <w:vAlign w:val="center"/>
          </w:tcPr>
          <w:p w14:paraId="9A020000">
            <w:pPr>
              <w:spacing w:after="0" w:line="240" w:lineRule="auto"/>
              <w:ind/>
              <w:jc w:val="right"/>
              <w:rPr>
                <w:rFonts w:ascii="Times New Roman" w:hAnsi="Times New Roman"/>
                <w:color w:val="000000"/>
                <w:sz w:val="24"/>
              </w:rPr>
            </w:pPr>
            <w:r>
              <w:rPr>
                <w:rFonts w:ascii="Times New Roman" w:hAnsi="Times New Roman"/>
                <w:color w:val="000000"/>
                <w:sz w:val="24"/>
              </w:rPr>
              <w:t>8,4</w:t>
            </w:r>
          </w:p>
        </w:tc>
      </w:tr>
      <w:tr>
        <w:trPr>
          <w:trHeight w:hRule="atLeast" w:val="312"/>
        </w:trPr>
        <w:tc>
          <w:tcPr>
            <w:tcW w:type="dxa" w:w="4440"/>
            <w:tcBorders>
              <w:top w:sz="4" w:val="nil"/>
              <w:left w:color="000000" w:sz="4" w:val="single"/>
              <w:bottom w:color="000000" w:sz="4" w:val="single"/>
              <w:right w:color="000000" w:sz="4" w:val="single"/>
            </w:tcBorders>
            <w:vAlign w:val="center"/>
          </w:tcPr>
          <w:p w14:paraId="9B020000">
            <w:pPr>
              <w:spacing w:after="0" w:line="240" w:lineRule="auto"/>
              <w:ind/>
              <w:rPr>
                <w:rFonts w:ascii="Times New Roman" w:hAnsi="Times New Roman"/>
                <w:color w:val="000000"/>
                <w:sz w:val="24"/>
              </w:rPr>
            </w:pPr>
            <w:r>
              <w:rPr>
                <w:rFonts w:ascii="Times New Roman" w:hAnsi="Times New Roman"/>
                <w:color w:val="000000"/>
                <w:sz w:val="24"/>
              </w:rPr>
              <w:t>Прочие обязательства</w:t>
            </w:r>
          </w:p>
        </w:tc>
        <w:tc>
          <w:tcPr>
            <w:tcW w:type="dxa" w:w="1792"/>
            <w:tcBorders>
              <w:top w:sz="4" w:val="nil"/>
              <w:left w:sz="4" w:val="nil"/>
              <w:bottom w:color="000000" w:sz="4" w:val="single"/>
              <w:right w:color="000000" w:sz="4" w:val="single"/>
            </w:tcBorders>
            <w:vAlign w:val="center"/>
          </w:tcPr>
          <w:p w14:paraId="9C020000">
            <w:pPr>
              <w:spacing w:after="0" w:line="240" w:lineRule="auto"/>
              <w:ind/>
              <w:jc w:val="right"/>
              <w:rPr>
                <w:rFonts w:ascii="Times New Roman" w:hAnsi="Times New Roman"/>
                <w:color w:val="000000"/>
                <w:sz w:val="24"/>
              </w:rPr>
            </w:pPr>
            <w:r>
              <w:rPr>
                <w:rFonts w:ascii="Times New Roman" w:hAnsi="Times New Roman"/>
                <w:color w:val="000000"/>
                <w:sz w:val="24"/>
              </w:rPr>
              <w:t>9,2</w:t>
            </w:r>
          </w:p>
        </w:tc>
        <w:tc>
          <w:tcPr>
            <w:tcW w:type="dxa" w:w="1701"/>
            <w:tcBorders>
              <w:top w:sz="4" w:val="nil"/>
              <w:left w:sz="4" w:val="nil"/>
              <w:bottom w:color="000000" w:sz="4" w:val="single"/>
              <w:right w:color="000000" w:sz="4" w:val="single"/>
            </w:tcBorders>
            <w:vAlign w:val="center"/>
          </w:tcPr>
          <w:p w14:paraId="9D020000">
            <w:pPr>
              <w:spacing w:after="0" w:line="240" w:lineRule="auto"/>
              <w:ind/>
              <w:jc w:val="right"/>
              <w:rPr>
                <w:rFonts w:ascii="Times New Roman" w:hAnsi="Times New Roman"/>
                <w:color w:val="000000"/>
                <w:sz w:val="24"/>
              </w:rPr>
            </w:pPr>
            <w:r>
              <w:rPr>
                <w:rFonts w:ascii="Times New Roman" w:hAnsi="Times New Roman"/>
                <w:color w:val="000000"/>
                <w:sz w:val="24"/>
              </w:rPr>
              <w:t>10,9</w:t>
            </w:r>
          </w:p>
        </w:tc>
      </w:tr>
      <w:tr>
        <w:trPr>
          <w:trHeight w:hRule="atLeast" w:val="312"/>
        </w:trPr>
        <w:tc>
          <w:tcPr>
            <w:tcW w:type="dxa" w:w="4440"/>
            <w:tcBorders>
              <w:top w:sz="4" w:val="nil"/>
              <w:left w:color="000000" w:sz="4" w:val="single"/>
              <w:bottom w:color="000000" w:sz="4" w:val="single"/>
              <w:right w:color="000000" w:sz="4" w:val="single"/>
            </w:tcBorders>
            <w:vAlign w:val="center"/>
          </w:tcPr>
          <w:p w14:paraId="9E020000">
            <w:pPr>
              <w:spacing w:after="0" w:line="240" w:lineRule="auto"/>
              <w:ind/>
              <w:rPr>
                <w:rFonts w:ascii="Times New Roman" w:hAnsi="Times New Roman"/>
                <w:color w:val="000000"/>
                <w:sz w:val="24"/>
              </w:rPr>
            </w:pPr>
            <w:r>
              <w:rPr>
                <w:rFonts w:ascii="Times New Roman" w:hAnsi="Times New Roman"/>
                <w:color w:val="000000"/>
                <w:sz w:val="24"/>
              </w:rPr>
              <w:t>Итого</w:t>
            </w:r>
          </w:p>
        </w:tc>
        <w:tc>
          <w:tcPr>
            <w:tcW w:type="dxa" w:w="1792"/>
            <w:tcBorders>
              <w:top w:sz="4" w:val="nil"/>
              <w:left w:sz="4" w:val="nil"/>
              <w:bottom w:color="000000" w:sz="4" w:val="single"/>
              <w:right w:color="000000" w:sz="4" w:val="single"/>
            </w:tcBorders>
            <w:vAlign w:val="center"/>
          </w:tcPr>
          <w:p w14:paraId="9F020000">
            <w:pPr>
              <w:spacing w:after="0" w:line="240" w:lineRule="auto"/>
              <w:ind/>
              <w:jc w:val="right"/>
              <w:rPr>
                <w:rFonts w:ascii="Times New Roman" w:hAnsi="Times New Roman"/>
                <w:color w:val="000000"/>
                <w:sz w:val="24"/>
              </w:rPr>
            </w:pPr>
            <w:r>
              <w:rPr>
                <w:rFonts w:ascii="Times New Roman" w:hAnsi="Times New Roman"/>
                <w:color w:val="000000"/>
                <w:sz w:val="24"/>
              </w:rPr>
              <w:t>100</w:t>
            </w:r>
          </w:p>
        </w:tc>
        <w:tc>
          <w:tcPr>
            <w:tcW w:type="dxa" w:w="1701"/>
            <w:tcBorders>
              <w:top w:sz="4" w:val="nil"/>
              <w:left w:sz="4" w:val="nil"/>
              <w:bottom w:color="000000" w:sz="4" w:val="single"/>
              <w:right w:color="000000" w:sz="4" w:val="single"/>
            </w:tcBorders>
            <w:vAlign w:val="center"/>
          </w:tcPr>
          <w:p w14:paraId="A0020000">
            <w:pPr>
              <w:spacing w:after="0" w:line="240" w:lineRule="auto"/>
              <w:ind/>
              <w:jc w:val="right"/>
              <w:rPr>
                <w:rFonts w:ascii="Times New Roman" w:hAnsi="Times New Roman"/>
                <w:color w:val="000000"/>
                <w:sz w:val="24"/>
              </w:rPr>
            </w:pPr>
            <w:r>
              <w:rPr>
                <w:rFonts w:ascii="Times New Roman" w:hAnsi="Times New Roman"/>
                <w:color w:val="000000"/>
                <w:sz w:val="24"/>
              </w:rPr>
              <w:t>100</w:t>
            </w:r>
          </w:p>
        </w:tc>
      </w:tr>
    </w:tbl>
    <w:p w14:paraId="A1020000">
      <w:bookmarkStart w:id="16" w:name="__RefHeading___16"/>
      <w:bookmarkEnd w:id="16"/>
      <w:pPr>
        <w:spacing w:after="0" w:line="360" w:lineRule="auto"/>
        <w:ind w:firstLine="851" w:left="0"/>
        <w:jc w:val="both"/>
        <w:outlineLvl w:val="2"/>
        <w:rPr>
          <w:rFonts w:ascii="Times New Roman" w:hAnsi="Times New Roman"/>
          <w:sz w:val="28"/>
        </w:rPr>
      </w:pPr>
      <w:r>
        <w:rPr>
          <w:rFonts w:ascii="Times New Roman" w:hAnsi="Times New Roman"/>
          <w:sz w:val="28"/>
        </w:rPr>
        <w:t>По итогам вертикального анализа можно сказать следующее. Доля собственного капитала за рассматриваемый период немного уменьшилась. При этом доля краткосрочных обязательств выросла. Тем не менее общую структуру капитала пока ещё можно назвать устойчивой.</w:t>
      </w:r>
    </w:p>
    <w:p w14:paraId="A2020000">
      <w:bookmarkStart w:id="17" w:name="__RefHeading___17"/>
      <w:bookmarkEnd w:id="17"/>
      <w:pPr>
        <w:spacing w:after="0" w:line="360" w:lineRule="auto"/>
        <w:ind w:firstLine="851" w:left="0"/>
        <w:jc w:val="both"/>
        <w:outlineLvl w:val="2"/>
        <w:rPr>
          <w:rFonts w:ascii="Times New Roman" w:hAnsi="Times New Roman"/>
          <w:sz w:val="28"/>
        </w:rPr>
      </w:pPr>
      <w:r>
        <w:rPr>
          <w:rFonts w:ascii="Times New Roman" w:hAnsi="Times New Roman"/>
          <w:sz w:val="28"/>
        </w:rPr>
        <w:t>Организация сохраняет финансовую устойчивость, хотя умеренное увеличение долговой нагрузки уже заметно.</w:t>
      </w:r>
    </w:p>
    <w:p w14:paraId="A3020000">
      <w:pPr>
        <w:spacing w:after="0" w:line="360" w:lineRule="auto"/>
        <w:ind w:firstLine="851" w:left="0"/>
        <w:jc w:val="both"/>
        <w:rPr>
          <w:rFonts w:ascii="Times New Roman" w:hAnsi="Times New Roman"/>
          <w:sz w:val="28"/>
        </w:rPr>
      </w:pPr>
      <w:r>
        <w:rPr>
          <w:rFonts w:ascii="Times New Roman" w:hAnsi="Times New Roman"/>
          <w:sz w:val="28"/>
        </w:rPr>
        <w:t>По итогам горизонтального и вертикального анализа зафиксирован рост объёма заёмных средств при сохранении устойчивой конфигурации капитала. Увеличение доли краткосрочных обязательств обращает на себя внимание – это требует более пристального наблюдения за показателями ликвидности. Вместе с тем уровень собственного капитала остаётся вполне достаточным.</w:t>
      </w:r>
    </w:p>
    <w:p w14:paraId="A4020000">
      <w:pPr>
        <w:spacing w:after="0" w:line="360" w:lineRule="auto"/>
        <w:ind w:firstLine="851" w:left="0"/>
        <w:jc w:val="both"/>
        <w:rPr>
          <w:rFonts w:ascii="Times New Roman" w:hAnsi="Times New Roman"/>
          <w:sz w:val="28"/>
        </w:rPr>
      </w:pPr>
      <w:r>
        <w:rPr>
          <w:rFonts w:ascii="Times New Roman" w:hAnsi="Times New Roman"/>
          <w:sz w:val="28"/>
        </w:rPr>
        <w:t xml:space="preserve">Значение коэффициента автономии у ПАО «Газпром» превышает норматив, что позволяет говорить о высокой финансовой устойчивости. Коэффициент покрытия процентов отражает приемлемую способность компании обслуживать свои долги. Показатель </w:t>
      </w:r>
      <w:r>
        <w:rPr>
          <w:rFonts w:ascii="Times New Roman" w:hAnsi="Times New Roman"/>
          <w:sz w:val="28"/>
        </w:rPr>
        <w:t>Debt</w:t>
      </w:r>
      <w:r>
        <w:rPr>
          <w:rFonts w:ascii="Times New Roman" w:hAnsi="Times New Roman"/>
          <w:sz w:val="28"/>
        </w:rPr>
        <w:t>/EBITDA находится в границах, которые считаются допустимыми для организаций энергетического сектора.</w:t>
      </w:r>
    </w:p>
    <w:p w14:paraId="A5020000">
      <w:pPr>
        <w:spacing w:after="0" w:line="360" w:lineRule="auto"/>
        <w:ind w:firstLine="851" w:left="0"/>
        <w:jc w:val="both"/>
        <w:rPr>
          <w:rFonts w:ascii="Times New Roman" w:hAnsi="Times New Roman"/>
          <w:sz w:val="28"/>
        </w:rPr>
      </w:pPr>
      <w:r>
        <w:rPr>
          <w:rFonts w:ascii="Times New Roman" w:hAnsi="Times New Roman"/>
          <w:sz w:val="28"/>
        </w:rPr>
        <w:t>На этом этапе аналитическая часть дополняется детальными расчётами финансовых коэффициентов. Благодаря этому описание уступает место количественной оценке финансового состояния организации.</w:t>
      </w:r>
    </w:p>
    <w:p w14:paraId="A6020000">
      <w:pPr>
        <w:spacing w:after="0" w:line="360" w:lineRule="auto"/>
        <w:ind w:firstLine="851" w:left="0"/>
        <w:jc w:val="both"/>
        <w:rPr>
          <w:rFonts w:ascii="Times New Roman" w:hAnsi="Times New Roman"/>
          <w:sz w:val="28"/>
        </w:rPr>
      </w:pPr>
      <w:r>
        <w:rPr>
          <w:rFonts w:ascii="Times New Roman" w:hAnsi="Times New Roman"/>
          <w:sz w:val="28"/>
        </w:rPr>
        <w:t xml:space="preserve">При анализе структуры обязательств смотрят прежде всего на сроки погашения. От этого напрямую зависит, сможет ли предприятие вовремя </w:t>
      </w:r>
      <w:r>
        <w:rPr>
          <w:rFonts w:ascii="Times New Roman" w:hAnsi="Times New Roman"/>
          <w:sz w:val="28"/>
        </w:rPr>
        <w:t>рассчитаться по долгам. Если краткосрочных кредитов слишком много, возникает риск потерять ликвидность. Если преобладают долгосрочные обязательства – финансами управлять становится легче, появляется больше гибкости.</w:t>
      </w:r>
    </w:p>
    <w:p w14:paraId="A7020000">
      <w:pPr>
        <w:spacing w:after="0" w:line="360" w:lineRule="auto"/>
        <w:ind w:firstLine="851" w:left="0"/>
        <w:jc w:val="both"/>
        <w:rPr>
          <w:rFonts w:ascii="Times New Roman" w:hAnsi="Times New Roman"/>
          <w:sz w:val="28"/>
        </w:rPr>
      </w:pPr>
      <w:r>
        <w:rPr>
          <w:rFonts w:ascii="Times New Roman" w:hAnsi="Times New Roman"/>
          <w:sz w:val="28"/>
        </w:rPr>
        <w:t>Важно и соотношение заёмных средств с собственным капиталом. Коэффициент финансовой зависимости как раз показывает, насколько организация опирается на внешние источники. Когда доля чужих денег высока, финансовые риски растут. Когда низка – компания придерживается консервативной политики финансирования.</w:t>
      </w:r>
    </w:p>
    <w:p w14:paraId="A8020000">
      <w:pPr>
        <w:spacing w:after="0" w:line="360" w:lineRule="auto"/>
        <w:ind w:firstLine="851" w:left="0"/>
        <w:jc w:val="both"/>
        <w:rPr>
          <w:rFonts w:ascii="Times New Roman" w:hAnsi="Times New Roman"/>
          <w:sz w:val="28"/>
        </w:rPr>
      </w:pPr>
      <w:r>
        <w:rPr>
          <w:rFonts w:ascii="Times New Roman" w:hAnsi="Times New Roman"/>
          <w:sz w:val="28"/>
        </w:rPr>
        <w:t>Анализ кредитов и займов не обходится без изучения условий конкретных договоров. Процентные ставки, графики погашения, наличие залогов или поручительств, штрафы за нарушения – все эти параметры напрямую влияют на финансовую устойчивость и позволяют понять реальную стоимость заёмного капитала.</w:t>
      </w:r>
    </w:p>
    <w:p w14:paraId="A9020000">
      <w:pPr>
        <w:spacing w:after="0" w:line="360" w:lineRule="auto"/>
        <w:ind w:firstLine="851" w:left="0"/>
        <w:jc w:val="both"/>
        <w:rPr>
          <w:rFonts w:ascii="Times New Roman" w:hAnsi="Times New Roman"/>
          <w:sz w:val="28"/>
        </w:rPr>
      </w:pPr>
      <w:r>
        <w:rPr>
          <w:rFonts w:ascii="Times New Roman" w:hAnsi="Times New Roman"/>
          <w:sz w:val="28"/>
        </w:rPr>
        <w:t>Более детальный разбор предполагает работу с данными по каждому кредитору отдельно. Так можно выделить крупнейших контрагентов, оценить, насколько компания зависит от того или иного заёмщика, и при необходимости скорректировать структуру долгов.</w:t>
      </w:r>
    </w:p>
    <w:p w14:paraId="AA020000">
      <w:pPr>
        <w:spacing w:after="0" w:line="360" w:lineRule="auto"/>
        <w:ind w:firstLine="851" w:left="0"/>
        <w:jc w:val="both"/>
        <w:rPr>
          <w:rFonts w:ascii="Times New Roman" w:hAnsi="Times New Roman"/>
          <w:sz w:val="28"/>
        </w:rPr>
      </w:pPr>
      <w:r>
        <w:rPr>
          <w:rFonts w:ascii="Times New Roman" w:hAnsi="Times New Roman"/>
          <w:sz w:val="28"/>
        </w:rPr>
        <w:t>Сравнение показателей за несколько периодов даёт возможность увидеть, как меняется структура и динамика кредитов. К примеру, рост долгосрочных займов часто связан с инвестиционными проектами, а увеличение краткосрочных – с дополнительной потребностью в оборотных средствах.</w:t>
      </w:r>
    </w:p>
    <w:p w14:paraId="AB020000">
      <w:pPr>
        <w:spacing w:after="0" w:line="360" w:lineRule="auto"/>
        <w:ind w:firstLine="851" w:left="0"/>
        <w:jc w:val="both"/>
        <w:rPr>
          <w:rFonts w:ascii="Times New Roman" w:hAnsi="Times New Roman"/>
          <w:sz w:val="28"/>
        </w:rPr>
      </w:pPr>
      <w:r>
        <w:rPr>
          <w:rFonts w:ascii="Times New Roman" w:hAnsi="Times New Roman"/>
          <w:sz w:val="28"/>
        </w:rPr>
        <w:t>Не стоит забывать и о внешних экономических факторах. Изменения рыночных процентных ставок, инфляция, общая макроэкономическая ситуация – всё это влияет на стоимость заёмных средств и на решение организации привлекать новые кредиты или воздержаться.</w:t>
      </w:r>
    </w:p>
    <w:p w14:paraId="AC020000">
      <w:pPr>
        <w:spacing w:after="0" w:line="360" w:lineRule="auto"/>
        <w:ind w:firstLine="851" w:left="0"/>
        <w:jc w:val="both"/>
        <w:rPr>
          <w:rFonts w:ascii="Times New Roman" w:hAnsi="Times New Roman"/>
          <w:sz w:val="28"/>
        </w:rPr>
      </w:pPr>
    </w:p>
    <w:p w14:paraId="AD020000">
      <w:pPr>
        <w:spacing w:after="0" w:line="360" w:lineRule="auto"/>
        <w:ind w:firstLine="851" w:left="0"/>
        <w:jc w:val="both"/>
        <w:rPr>
          <w:rFonts w:ascii="Times New Roman" w:hAnsi="Times New Roman"/>
          <w:sz w:val="28"/>
        </w:rPr>
      </w:pPr>
    </w:p>
    <w:p w14:paraId="AE020000">
      <w:pPr>
        <w:spacing w:after="0" w:line="360" w:lineRule="auto"/>
        <w:ind w:firstLine="851" w:left="0"/>
        <w:jc w:val="both"/>
        <w:rPr>
          <w:rFonts w:ascii="Times New Roman" w:hAnsi="Times New Roman"/>
          <w:sz w:val="28"/>
        </w:rPr>
      </w:pPr>
    </w:p>
    <w:p w14:paraId="AF020000">
      <w:pPr>
        <w:spacing w:after="0" w:line="240" w:lineRule="auto"/>
        <w:ind w:firstLine="851" w:left="0"/>
        <w:jc w:val="right"/>
        <w:rPr>
          <w:rFonts w:ascii="Times New Roman" w:hAnsi="Times New Roman"/>
          <w:b w:val="1"/>
          <w:sz w:val="28"/>
        </w:rPr>
      </w:pPr>
      <w:r>
        <w:rPr>
          <w:rFonts w:ascii="Times New Roman" w:hAnsi="Times New Roman"/>
          <w:b w:val="1"/>
          <w:sz w:val="28"/>
        </w:rPr>
        <w:t xml:space="preserve">Таблица </w:t>
      </w:r>
      <w:r>
        <w:rPr>
          <w:rFonts w:ascii="Times New Roman" w:hAnsi="Times New Roman"/>
          <w:b w:val="1"/>
          <w:sz w:val="28"/>
        </w:rPr>
        <w:t>9</w:t>
      </w:r>
    </w:p>
    <w:p w14:paraId="B0020000">
      <w:pPr>
        <w:spacing w:after="0" w:line="240" w:lineRule="auto"/>
        <w:ind w:firstLine="851" w:left="0"/>
        <w:jc w:val="both"/>
        <w:rPr>
          <w:rFonts w:ascii="Times New Roman" w:hAnsi="Times New Roman"/>
          <w:b w:val="1"/>
          <w:sz w:val="28"/>
        </w:rPr>
      </w:pPr>
      <w:r>
        <w:rPr>
          <w:rFonts w:ascii="Times New Roman" w:hAnsi="Times New Roman"/>
          <w:b w:val="1"/>
          <w:sz w:val="28"/>
        </w:rPr>
        <w:t xml:space="preserve"> Структура и динамика кредитов и займов организации за 2022–2024 годы, млн руб.</w:t>
      </w:r>
    </w:p>
    <w:tbl>
      <w:tblPr>
        <w:tblStyle w:val="Style_3"/>
        <w:tblLayout w:type="fixed"/>
      </w:tblPr>
      <w:tblGrid>
        <w:gridCol w:w="2294"/>
        <w:gridCol w:w="1229"/>
        <w:gridCol w:w="1243"/>
        <w:gridCol w:w="1135"/>
        <w:gridCol w:w="1398"/>
        <w:gridCol w:w="2335"/>
      </w:tblGrid>
      <w:tr>
        <w:trPr>
          <w:trHeight w:hRule="atLeast" w:val="288"/>
        </w:trPr>
        <w:tc>
          <w:tcPr>
            <w:tcW w:type="dxa" w:w="2294"/>
            <w:tcBorders>
              <w:top w:color="000000" w:sz="4" w:val="single"/>
              <w:left w:color="000000" w:sz="4" w:val="single"/>
              <w:bottom w:color="000000" w:sz="4" w:val="single"/>
              <w:right w:color="000000" w:sz="4" w:val="single"/>
            </w:tcBorders>
            <w:vAlign w:val="center"/>
          </w:tcPr>
          <w:p w14:paraId="B1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1229"/>
            <w:tcBorders>
              <w:top w:color="000000" w:sz="4" w:val="single"/>
              <w:left w:sz="4" w:val="nil"/>
              <w:bottom w:color="000000" w:sz="4" w:val="single"/>
              <w:right w:color="000000" w:sz="4" w:val="single"/>
            </w:tcBorders>
            <w:vAlign w:val="center"/>
          </w:tcPr>
          <w:p w14:paraId="B2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w:t>
            </w:r>
          </w:p>
        </w:tc>
        <w:tc>
          <w:tcPr>
            <w:tcW w:type="dxa" w:w="1243"/>
            <w:tcBorders>
              <w:top w:color="000000" w:sz="4" w:val="single"/>
              <w:left w:sz="4" w:val="nil"/>
              <w:bottom w:color="000000" w:sz="4" w:val="single"/>
              <w:right w:color="000000" w:sz="4" w:val="single"/>
            </w:tcBorders>
            <w:vAlign w:val="center"/>
          </w:tcPr>
          <w:p w14:paraId="B3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w:t>
            </w:r>
          </w:p>
        </w:tc>
        <w:tc>
          <w:tcPr>
            <w:tcW w:type="dxa" w:w="1135"/>
            <w:tcBorders>
              <w:top w:color="000000" w:sz="4" w:val="single"/>
              <w:left w:sz="4" w:val="nil"/>
              <w:bottom w:color="000000" w:sz="4" w:val="single"/>
              <w:right w:color="000000" w:sz="4" w:val="single"/>
            </w:tcBorders>
            <w:vAlign w:val="center"/>
          </w:tcPr>
          <w:p w14:paraId="B4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w:t>
            </w:r>
          </w:p>
        </w:tc>
        <w:tc>
          <w:tcPr>
            <w:tcW w:type="dxa" w:w="1398"/>
            <w:tcBorders>
              <w:top w:color="000000" w:sz="4" w:val="single"/>
              <w:left w:sz="4" w:val="nil"/>
              <w:bottom w:color="000000" w:sz="4" w:val="single"/>
              <w:right w:color="000000" w:sz="4" w:val="single"/>
            </w:tcBorders>
            <w:vAlign w:val="center"/>
          </w:tcPr>
          <w:p w14:paraId="B5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Изменение 2022–2024</w:t>
            </w:r>
          </w:p>
        </w:tc>
        <w:tc>
          <w:tcPr>
            <w:tcW w:type="dxa" w:w="2335"/>
            <w:tcBorders>
              <w:top w:color="000000" w:sz="4" w:val="single"/>
              <w:left w:sz="4" w:val="nil"/>
              <w:bottom w:color="000000" w:sz="4" w:val="single"/>
              <w:right w:color="000000" w:sz="4" w:val="single"/>
            </w:tcBorders>
            <w:vAlign w:val="center"/>
          </w:tcPr>
          <w:p w14:paraId="B602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Комментарий</w:t>
            </w:r>
          </w:p>
        </w:tc>
      </w:tr>
      <w:tr>
        <w:trPr>
          <w:trHeight w:hRule="atLeast" w:val="576"/>
        </w:trPr>
        <w:tc>
          <w:tcPr>
            <w:tcW w:type="dxa" w:w="2294"/>
            <w:tcBorders>
              <w:top w:sz="4" w:val="nil"/>
              <w:left w:color="000000" w:sz="4" w:val="single"/>
              <w:bottom w:color="000000" w:sz="4" w:val="single"/>
              <w:right w:color="000000" w:sz="4" w:val="single"/>
            </w:tcBorders>
            <w:vAlign w:val="center"/>
          </w:tcPr>
          <w:p w14:paraId="B7020000">
            <w:pPr>
              <w:spacing w:after="0" w:line="240" w:lineRule="auto"/>
              <w:ind/>
              <w:rPr>
                <w:rFonts w:ascii="Times New Roman" w:hAnsi="Times New Roman"/>
                <w:b w:val="1"/>
                <w:color w:val="000000"/>
                <w:sz w:val="24"/>
              </w:rPr>
            </w:pPr>
            <w:r>
              <w:rPr>
                <w:rFonts w:ascii="Times New Roman" w:hAnsi="Times New Roman"/>
                <w:b w:val="1"/>
                <w:color w:val="000000"/>
                <w:sz w:val="24"/>
              </w:rPr>
              <w:t>Краткосрочные кредиты и займы</w:t>
            </w:r>
          </w:p>
        </w:tc>
        <w:tc>
          <w:tcPr>
            <w:tcW w:type="dxa" w:w="1229"/>
            <w:tcBorders>
              <w:top w:sz="4" w:val="nil"/>
              <w:left w:sz="4" w:val="nil"/>
              <w:bottom w:color="000000" w:sz="4" w:val="single"/>
              <w:right w:color="000000" w:sz="4" w:val="single"/>
            </w:tcBorders>
            <w:vAlign w:val="center"/>
          </w:tcPr>
          <w:p w14:paraId="B8020000">
            <w:pPr>
              <w:spacing w:after="0" w:line="240" w:lineRule="auto"/>
              <w:ind/>
              <w:jc w:val="right"/>
              <w:rPr>
                <w:rFonts w:ascii="Times New Roman" w:hAnsi="Times New Roman"/>
                <w:color w:val="000000"/>
                <w:sz w:val="24"/>
              </w:rPr>
            </w:pPr>
            <w:r>
              <w:rPr>
                <w:rFonts w:ascii="Times New Roman" w:hAnsi="Times New Roman"/>
                <w:color w:val="000000"/>
                <w:sz w:val="24"/>
              </w:rPr>
              <w:t>1 200</w:t>
            </w:r>
          </w:p>
        </w:tc>
        <w:tc>
          <w:tcPr>
            <w:tcW w:type="dxa" w:w="1243"/>
            <w:tcBorders>
              <w:top w:sz="4" w:val="nil"/>
              <w:left w:sz="4" w:val="nil"/>
              <w:bottom w:color="000000" w:sz="4" w:val="single"/>
              <w:right w:color="000000" w:sz="4" w:val="single"/>
            </w:tcBorders>
            <w:vAlign w:val="center"/>
          </w:tcPr>
          <w:p w14:paraId="B9020000">
            <w:pPr>
              <w:spacing w:after="0" w:line="240" w:lineRule="auto"/>
              <w:ind/>
              <w:jc w:val="right"/>
              <w:rPr>
                <w:rFonts w:ascii="Times New Roman" w:hAnsi="Times New Roman"/>
                <w:color w:val="000000"/>
                <w:sz w:val="24"/>
              </w:rPr>
            </w:pPr>
            <w:r>
              <w:rPr>
                <w:rFonts w:ascii="Times New Roman" w:hAnsi="Times New Roman"/>
                <w:color w:val="000000"/>
                <w:sz w:val="24"/>
              </w:rPr>
              <w:t>1 350</w:t>
            </w:r>
          </w:p>
        </w:tc>
        <w:tc>
          <w:tcPr>
            <w:tcW w:type="dxa" w:w="1135"/>
            <w:tcBorders>
              <w:top w:sz="4" w:val="nil"/>
              <w:left w:sz="4" w:val="nil"/>
              <w:bottom w:color="000000" w:sz="4" w:val="single"/>
              <w:right w:color="000000" w:sz="4" w:val="single"/>
            </w:tcBorders>
            <w:vAlign w:val="center"/>
          </w:tcPr>
          <w:p w14:paraId="BA020000">
            <w:pPr>
              <w:spacing w:after="0" w:line="240" w:lineRule="auto"/>
              <w:ind/>
              <w:jc w:val="right"/>
              <w:rPr>
                <w:rFonts w:ascii="Times New Roman" w:hAnsi="Times New Roman"/>
                <w:color w:val="000000"/>
                <w:sz w:val="24"/>
              </w:rPr>
            </w:pPr>
            <w:r>
              <w:rPr>
                <w:rFonts w:ascii="Times New Roman" w:hAnsi="Times New Roman"/>
                <w:color w:val="000000"/>
                <w:sz w:val="24"/>
              </w:rPr>
              <w:t>1 500</w:t>
            </w:r>
          </w:p>
        </w:tc>
        <w:tc>
          <w:tcPr>
            <w:tcW w:type="dxa" w:w="1398"/>
            <w:tcBorders>
              <w:top w:sz="4" w:val="nil"/>
              <w:left w:sz="4" w:val="nil"/>
              <w:bottom w:color="000000" w:sz="4" w:val="single"/>
              <w:right w:color="000000" w:sz="4" w:val="single"/>
            </w:tcBorders>
            <w:vAlign w:val="center"/>
          </w:tcPr>
          <w:p w14:paraId="BB020000">
            <w:pPr>
              <w:spacing w:after="0" w:line="240" w:lineRule="auto"/>
              <w:ind/>
              <w:jc w:val="right"/>
              <w:rPr>
                <w:rFonts w:ascii="Times New Roman" w:hAnsi="Times New Roman"/>
                <w:color w:val="000000"/>
                <w:sz w:val="24"/>
              </w:rPr>
            </w:pPr>
            <w:r>
              <w:rPr>
                <w:rFonts w:ascii="Times New Roman" w:hAnsi="Times New Roman"/>
                <w:color w:val="000000"/>
                <w:sz w:val="24"/>
              </w:rPr>
              <w:t>300</w:t>
            </w:r>
          </w:p>
        </w:tc>
        <w:tc>
          <w:tcPr>
            <w:tcW w:type="dxa" w:w="2335"/>
            <w:tcBorders>
              <w:top w:sz="4" w:val="nil"/>
              <w:left w:sz="4" w:val="nil"/>
              <w:bottom w:color="000000" w:sz="4" w:val="single"/>
              <w:right w:color="000000" w:sz="4" w:val="single"/>
            </w:tcBorders>
            <w:vAlign w:val="center"/>
          </w:tcPr>
          <w:p w14:paraId="BC020000">
            <w:pPr>
              <w:spacing w:after="0" w:line="240" w:lineRule="auto"/>
              <w:ind/>
              <w:rPr>
                <w:rFonts w:ascii="Times New Roman" w:hAnsi="Times New Roman"/>
                <w:color w:val="000000"/>
                <w:sz w:val="24"/>
              </w:rPr>
            </w:pPr>
            <w:r>
              <w:rPr>
                <w:rFonts w:ascii="Times New Roman" w:hAnsi="Times New Roman"/>
                <w:color w:val="000000"/>
                <w:sz w:val="24"/>
              </w:rPr>
              <w:t>Рост связан с увеличением оборотного капитала</w:t>
            </w:r>
          </w:p>
        </w:tc>
      </w:tr>
      <w:tr>
        <w:trPr>
          <w:trHeight w:hRule="atLeast" w:val="576"/>
        </w:trPr>
        <w:tc>
          <w:tcPr>
            <w:tcW w:type="dxa" w:w="2294"/>
            <w:tcBorders>
              <w:top w:sz="4" w:val="nil"/>
              <w:left w:color="000000" w:sz="4" w:val="single"/>
              <w:bottom w:color="000000" w:sz="4" w:val="single"/>
              <w:right w:color="000000" w:sz="4" w:val="single"/>
            </w:tcBorders>
            <w:vAlign w:val="center"/>
          </w:tcPr>
          <w:p w14:paraId="BD020000">
            <w:pPr>
              <w:spacing w:after="0" w:line="240" w:lineRule="auto"/>
              <w:ind/>
              <w:rPr>
                <w:rFonts w:ascii="Times New Roman" w:hAnsi="Times New Roman"/>
                <w:b w:val="1"/>
                <w:color w:val="000000"/>
                <w:sz w:val="24"/>
              </w:rPr>
            </w:pPr>
            <w:r>
              <w:rPr>
                <w:rFonts w:ascii="Times New Roman" w:hAnsi="Times New Roman"/>
                <w:b w:val="1"/>
                <w:color w:val="000000"/>
                <w:sz w:val="24"/>
              </w:rPr>
              <w:t>Долгосрочные кредиты и займы</w:t>
            </w:r>
          </w:p>
        </w:tc>
        <w:tc>
          <w:tcPr>
            <w:tcW w:type="dxa" w:w="1229"/>
            <w:tcBorders>
              <w:top w:sz="4" w:val="nil"/>
              <w:left w:sz="4" w:val="nil"/>
              <w:bottom w:color="000000" w:sz="4" w:val="single"/>
              <w:right w:color="000000" w:sz="4" w:val="single"/>
            </w:tcBorders>
            <w:vAlign w:val="center"/>
          </w:tcPr>
          <w:p w14:paraId="BE020000">
            <w:pPr>
              <w:spacing w:after="0" w:line="240" w:lineRule="auto"/>
              <w:ind/>
              <w:jc w:val="right"/>
              <w:rPr>
                <w:rFonts w:ascii="Times New Roman" w:hAnsi="Times New Roman"/>
                <w:color w:val="000000"/>
                <w:sz w:val="24"/>
              </w:rPr>
            </w:pPr>
            <w:r>
              <w:rPr>
                <w:rFonts w:ascii="Times New Roman" w:hAnsi="Times New Roman"/>
                <w:color w:val="000000"/>
                <w:sz w:val="24"/>
              </w:rPr>
              <w:t>2 800</w:t>
            </w:r>
          </w:p>
        </w:tc>
        <w:tc>
          <w:tcPr>
            <w:tcW w:type="dxa" w:w="1243"/>
            <w:tcBorders>
              <w:top w:sz="4" w:val="nil"/>
              <w:left w:sz="4" w:val="nil"/>
              <w:bottom w:color="000000" w:sz="4" w:val="single"/>
              <w:right w:color="000000" w:sz="4" w:val="single"/>
            </w:tcBorders>
            <w:vAlign w:val="center"/>
          </w:tcPr>
          <w:p w14:paraId="BF02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c>
          <w:tcPr>
            <w:tcW w:type="dxa" w:w="1135"/>
            <w:tcBorders>
              <w:top w:sz="4" w:val="nil"/>
              <w:left w:sz="4" w:val="nil"/>
              <w:bottom w:color="000000" w:sz="4" w:val="single"/>
              <w:right w:color="000000" w:sz="4" w:val="single"/>
            </w:tcBorders>
            <w:vAlign w:val="center"/>
          </w:tcPr>
          <w:p w14:paraId="C0020000">
            <w:pPr>
              <w:spacing w:after="0" w:line="240" w:lineRule="auto"/>
              <w:ind/>
              <w:jc w:val="right"/>
              <w:rPr>
                <w:rFonts w:ascii="Times New Roman" w:hAnsi="Times New Roman"/>
                <w:color w:val="000000"/>
                <w:sz w:val="24"/>
              </w:rPr>
            </w:pPr>
            <w:r>
              <w:rPr>
                <w:rFonts w:ascii="Times New Roman" w:hAnsi="Times New Roman"/>
                <w:color w:val="000000"/>
                <w:sz w:val="24"/>
              </w:rPr>
              <w:t>3 200</w:t>
            </w:r>
          </w:p>
        </w:tc>
        <w:tc>
          <w:tcPr>
            <w:tcW w:type="dxa" w:w="1398"/>
            <w:tcBorders>
              <w:top w:sz="4" w:val="nil"/>
              <w:left w:sz="4" w:val="nil"/>
              <w:bottom w:color="000000" w:sz="4" w:val="single"/>
              <w:right w:color="000000" w:sz="4" w:val="single"/>
            </w:tcBorders>
            <w:vAlign w:val="center"/>
          </w:tcPr>
          <w:p w14:paraId="C1020000">
            <w:pPr>
              <w:spacing w:after="0" w:line="240" w:lineRule="auto"/>
              <w:ind/>
              <w:jc w:val="right"/>
              <w:rPr>
                <w:rFonts w:ascii="Times New Roman" w:hAnsi="Times New Roman"/>
                <w:color w:val="000000"/>
                <w:sz w:val="24"/>
              </w:rPr>
            </w:pPr>
            <w:r>
              <w:rPr>
                <w:rFonts w:ascii="Times New Roman" w:hAnsi="Times New Roman"/>
                <w:color w:val="000000"/>
                <w:sz w:val="24"/>
              </w:rPr>
              <w:t>400</w:t>
            </w:r>
          </w:p>
        </w:tc>
        <w:tc>
          <w:tcPr>
            <w:tcW w:type="dxa" w:w="2335"/>
            <w:tcBorders>
              <w:top w:sz="4" w:val="nil"/>
              <w:left w:sz="4" w:val="nil"/>
              <w:bottom w:color="000000" w:sz="4" w:val="single"/>
              <w:right w:color="000000" w:sz="4" w:val="single"/>
            </w:tcBorders>
            <w:vAlign w:val="center"/>
          </w:tcPr>
          <w:p w14:paraId="C2020000">
            <w:pPr>
              <w:spacing w:after="0" w:line="240" w:lineRule="auto"/>
              <w:ind/>
              <w:rPr>
                <w:rFonts w:ascii="Times New Roman" w:hAnsi="Times New Roman"/>
                <w:color w:val="000000"/>
                <w:sz w:val="24"/>
              </w:rPr>
            </w:pPr>
            <w:r>
              <w:rPr>
                <w:rFonts w:ascii="Times New Roman" w:hAnsi="Times New Roman"/>
                <w:color w:val="000000"/>
                <w:sz w:val="24"/>
              </w:rPr>
              <w:t>Привлечены средства на инвестиционные проекты</w:t>
            </w:r>
          </w:p>
        </w:tc>
      </w:tr>
      <w:tr>
        <w:trPr>
          <w:trHeight w:hRule="atLeast" w:val="576"/>
        </w:trPr>
        <w:tc>
          <w:tcPr>
            <w:tcW w:type="dxa" w:w="2294"/>
            <w:tcBorders>
              <w:top w:sz="4" w:val="nil"/>
              <w:left w:color="000000" w:sz="4" w:val="single"/>
              <w:bottom w:color="000000" w:sz="4" w:val="single"/>
              <w:right w:color="000000" w:sz="4" w:val="single"/>
            </w:tcBorders>
            <w:vAlign w:val="center"/>
          </w:tcPr>
          <w:p w14:paraId="C3020000">
            <w:pPr>
              <w:spacing w:after="0" w:line="240" w:lineRule="auto"/>
              <w:ind/>
              <w:rPr>
                <w:rFonts w:ascii="Times New Roman" w:hAnsi="Times New Roman"/>
                <w:b w:val="1"/>
                <w:color w:val="000000"/>
                <w:sz w:val="24"/>
              </w:rPr>
            </w:pPr>
            <w:r>
              <w:rPr>
                <w:rFonts w:ascii="Times New Roman" w:hAnsi="Times New Roman"/>
                <w:b w:val="1"/>
                <w:color w:val="000000"/>
                <w:sz w:val="24"/>
              </w:rPr>
              <w:t>Общая сумма кредитов и займов</w:t>
            </w:r>
          </w:p>
        </w:tc>
        <w:tc>
          <w:tcPr>
            <w:tcW w:type="dxa" w:w="1229"/>
            <w:tcBorders>
              <w:top w:sz="4" w:val="nil"/>
              <w:left w:sz="4" w:val="nil"/>
              <w:bottom w:color="000000" w:sz="4" w:val="single"/>
              <w:right w:color="000000" w:sz="4" w:val="single"/>
            </w:tcBorders>
            <w:vAlign w:val="center"/>
          </w:tcPr>
          <w:p w14:paraId="C4020000">
            <w:pPr>
              <w:spacing w:after="0" w:line="240" w:lineRule="auto"/>
              <w:ind/>
              <w:jc w:val="right"/>
              <w:rPr>
                <w:rFonts w:ascii="Times New Roman" w:hAnsi="Times New Roman"/>
                <w:color w:val="000000"/>
                <w:sz w:val="24"/>
              </w:rPr>
            </w:pPr>
            <w:r>
              <w:rPr>
                <w:rFonts w:ascii="Times New Roman" w:hAnsi="Times New Roman"/>
                <w:color w:val="000000"/>
                <w:sz w:val="24"/>
              </w:rPr>
              <w:t>4 000</w:t>
            </w:r>
          </w:p>
        </w:tc>
        <w:tc>
          <w:tcPr>
            <w:tcW w:type="dxa" w:w="1243"/>
            <w:tcBorders>
              <w:top w:sz="4" w:val="nil"/>
              <w:left w:sz="4" w:val="nil"/>
              <w:bottom w:color="000000" w:sz="4" w:val="single"/>
              <w:right w:color="000000" w:sz="4" w:val="single"/>
            </w:tcBorders>
            <w:vAlign w:val="center"/>
          </w:tcPr>
          <w:p w14:paraId="C5020000">
            <w:pPr>
              <w:spacing w:after="0" w:line="240" w:lineRule="auto"/>
              <w:ind/>
              <w:jc w:val="right"/>
              <w:rPr>
                <w:rFonts w:ascii="Times New Roman" w:hAnsi="Times New Roman"/>
                <w:color w:val="000000"/>
                <w:sz w:val="24"/>
              </w:rPr>
            </w:pPr>
            <w:r>
              <w:rPr>
                <w:rFonts w:ascii="Times New Roman" w:hAnsi="Times New Roman"/>
                <w:color w:val="000000"/>
                <w:sz w:val="24"/>
              </w:rPr>
              <w:t>4 350</w:t>
            </w:r>
          </w:p>
        </w:tc>
        <w:tc>
          <w:tcPr>
            <w:tcW w:type="dxa" w:w="1135"/>
            <w:tcBorders>
              <w:top w:sz="4" w:val="nil"/>
              <w:left w:sz="4" w:val="nil"/>
              <w:bottom w:color="000000" w:sz="4" w:val="single"/>
              <w:right w:color="000000" w:sz="4" w:val="single"/>
            </w:tcBorders>
            <w:vAlign w:val="center"/>
          </w:tcPr>
          <w:p w14:paraId="C6020000">
            <w:pPr>
              <w:spacing w:after="0" w:line="240" w:lineRule="auto"/>
              <w:ind/>
              <w:jc w:val="right"/>
              <w:rPr>
                <w:rFonts w:ascii="Times New Roman" w:hAnsi="Times New Roman"/>
                <w:color w:val="000000"/>
                <w:sz w:val="24"/>
              </w:rPr>
            </w:pPr>
            <w:r>
              <w:rPr>
                <w:rFonts w:ascii="Times New Roman" w:hAnsi="Times New Roman"/>
                <w:color w:val="000000"/>
                <w:sz w:val="24"/>
              </w:rPr>
              <w:t>4 700</w:t>
            </w:r>
          </w:p>
        </w:tc>
        <w:tc>
          <w:tcPr>
            <w:tcW w:type="dxa" w:w="1398"/>
            <w:tcBorders>
              <w:top w:sz="4" w:val="nil"/>
              <w:left w:sz="4" w:val="nil"/>
              <w:bottom w:color="000000" w:sz="4" w:val="single"/>
              <w:right w:color="000000" w:sz="4" w:val="single"/>
            </w:tcBorders>
            <w:vAlign w:val="center"/>
          </w:tcPr>
          <w:p w14:paraId="C7020000">
            <w:pPr>
              <w:spacing w:after="0" w:line="240" w:lineRule="auto"/>
              <w:ind/>
              <w:jc w:val="right"/>
              <w:rPr>
                <w:rFonts w:ascii="Times New Roman" w:hAnsi="Times New Roman"/>
                <w:color w:val="000000"/>
                <w:sz w:val="24"/>
              </w:rPr>
            </w:pPr>
            <w:r>
              <w:rPr>
                <w:rFonts w:ascii="Times New Roman" w:hAnsi="Times New Roman"/>
                <w:color w:val="000000"/>
                <w:sz w:val="24"/>
              </w:rPr>
              <w:t>700</w:t>
            </w:r>
          </w:p>
        </w:tc>
        <w:tc>
          <w:tcPr>
            <w:tcW w:type="dxa" w:w="2335"/>
            <w:tcBorders>
              <w:top w:sz="4" w:val="nil"/>
              <w:left w:sz="4" w:val="nil"/>
              <w:bottom w:color="000000" w:sz="4" w:val="single"/>
              <w:right w:color="000000" w:sz="4" w:val="single"/>
            </w:tcBorders>
            <w:vAlign w:val="center"/>
          </w:tcPr>
          <w:p w14:paraId="C8020000">
            <w:pPr>
              <w:spacing w:after="0" w:line="240" w:lineRule="auto"/>
              <w:ind/>
              <w:rPr>
                <w:rFonts w:ascii="Times New Roman" w:hAnsi="Times New Roman"/>
                <w:color w:val="000000"/>
                <w:sz w:val="24"/>
              </w:rPr>
            </w:pPr>
            <w:r>
              <w:rPr>
                <w:rFonts w:ascii="Times New Roman" w:hAnsi="Times New Roman"/>
                <w:color w:val="000000"/>
                <w:sz w:val="24"/>
              </w:rPr>
              <w:t>Рост заемных средств составил 17,5% за 3 года</w:t>
            </w:r>
          </w:p>
        </w:tc>
      </w:tr>
      <w:tr>
        <w:trPr>
          <w:trHeight w:hRule="atLeast" w:val="576"/>
        </w:trPr>
        <w:tc>
          <w:tcPr>
            <w:tcW w:type="dxa" w:w="2294"/>
            <w:tcBorders>
              <w:top w:sz="4" w:val="nil"/>
              <w:left w:color="000000" w:sz="4" w:val="single"/>
              <w:bottom w:color="000000" w:sz="4" w:val="single"/>
              <w:right w:color="000000" w:sz="4" w:val="single"/>
            </w:tcBorders>
            <w:vAlign w:val="center"/>
          </w:tcPr>
          <w:p w14:paraId="C9020000">
            <w:pPr>
              <w:spacing w:after="0" w:line="240" w:lineRule="auto"/>
              <w:ind/>
              <w:rPr>
                <w:rFonts w:ascii="Times New Roman" w:hAnsi="Times New Roman"/>
                <w:b w:val="1"/>
                <w:color w:val="000000"/>
                <w:sz w:val="24"/>
              </w:rPr>
            </w:pPr>
            <w:r>
              <w:rPr>
                <w:rFonts w:ascii="Times New Roman" w:hAnsi="Times New Roman"/>
                <w:b w:val="1"/>
                <w:color w:val="000000"/>
                <w:sz w:val="24"/>
              </w:rPr>
              <w:t>Проценты к уплате</w:t>
            </w:r>
          </w:p>
        </w:tc>
        <w:tc>
          <w:tcPr>
            <w:tcW w:type="dxa" w:w="1229"/>
            <w:tcBorders>
              <w:top w:sz="4" w:val="nil"/>
              <w:left w:sz="4" w:val="nil"/>
              <w:bottom w:color="000000" w:sz="4" w:val="single"/>
              <w:right w:color="000000" w:sz="4" w:val="single"/>
            </w:tcBorders>
            <w:vAlign w:val="center"/>
          </w:tcPr>
          <w:p w14:paraId="CA020000">
            <w:pPr>
              <w:spacing w:after="0" w:line="240" w:lineRule="auto"/>
              <w:ind/>
              <w:jc w:val="right"/>
              <w:rPr>
                <w:rFonts w:ascii="Times New Roman" w:hAnsi="Times New Roman"/>
                <w:color w:val="000000"/>
                <w:sz w:val="24"/>
              </w:rPr>
            </w:pPr>
            <w:r>
              <w:rPr>
                <w:rFonts w:ascii="Times New Roman" w:hAnsi="Times New Roman"/>
                <w:color w:val="000000"/>
                <w:sz w:val="24"/>
              </w:rPr>
              <w:t>180</w:t>
            </w:r>
          </w:p>
        </w:tc>
        <w:tc>
          <w:tcPr>
            <w:tcW w:type="dxa" w:w="1243"/>
            <w:tcBorders>
              <w:top w:sz="4" w:val="nil"/>
              <w:left w:sz="4" w:val="nil"/>
              <w:bottom w:color="000000" w:sz="4" w:val="single"/>
              <w:right w:color="000000" w:sz="4" w:val="single"/>
            </w:tcBorders>
            <w:vAlign w:val="center"/>
          </w:tcPr>
          <w:p w14:paraId="CB020000">
            <w:pPr>
              <w:spacing w:after="0" w:line="240" w:lineRule="auto"/>
              <w:ind/>
              <w:jc w:val="right"/>
              <w:rPr>
                <w:rFonts w:ascii="Times New Roman" w:hAnsi="Times New Roman"/>
                <w:color w:val="000000"/>
                <w:sz w:val="24"/>
              </w:rPr>
            </w:pPr>
            <w:r>
              <w:rPr>
                <w:rFonts w:ascii="Times New Roman" w:hAnsi="Times New Roman"/>
                <w:color w:val="000000"/>
                <w:sz w:val="24"/>
              </w:rPr>
              <w:t>195</w:t>
            </w:r>
          </w:p>
        </w:tc>
        <w:tc>
          <w:tcPr>
            <w:tcW w:type="dxa" w:w="1135"/>
            <w:tcBorders>
              <w:top w:sz="4" w:val="nil"/>
              <w:left w:sz="4" w:val="nil"/>
              <w:bottom w:color="000000" w:sz="4" w:val="single"/>
              <w:right w:color="000000" w:sz="4" w:val="single"/>
            </w:tcBorders>
            <w:vAlign w:val="center"/>
          </w:tcPr>
          <w:p w14:paraId="CC020000">
            <w:pPr>
              <w:spacing w:after="0" w:line="240" w:lineRule="auto"/>
              <w:ind/>
              <w:jc w:val="right"/>
              <w:rPr>
                <w:rFonts w:ascii="Times New Roman" w:hAnsi="Times New Roman"/>
                <w:color w:val="000000"/>
                <w:sz w:val="24"/>
              </w:rPr>
            </w:pPr>
            <w:r>
              <w:rPr>
                <w:rFonts w:ascii="Times New Roman" w:hAnsi="Times New Roman"/>
                <w:color w:val="000000"/>
                <w:sz w:val="24"/>
              </w:rPr>
              <w:t>210</w:t>
            </w:r>
          </w:p>
        </w:tc>
        <w:tc>
          <w:tcPr>
            <w:tcW w:type="dxa" w:w="1398"/>
            <w:tcBorders>
              <w:top w:sz="4" w:val="nil"/>
              <w:left w:sz="4" w:val="nil"/>
              <w:bottom w:color="000000" w:sz="4" w:val="single"/>
              <w:right w:color="000000" w:sz="4" w:val="single"/>
            </w:tcBorders>
            <w:vAlign w:val="center"/>
          </w:tcPr>
          <w:p w14:paraId="CD020000">
            <w:pPr>
              <w:spacing w:after="0" w:line="240" w:lineRule="auto"/>
              <w:ind/>
              <w:jc w:val="right"/>
              <w:rPr>
                <w:rFonts w:ascii="Times New Roman" w:hAnsi="Times New Roman"/>
                <w:color w:val="000000"/>
                <w:sz w:val="24"/>
              </w:rPr>
            </w:pPr>
            <w:r>
              <w:rPr>
                <w:rFonts w:ascii="Times New Roman" w:hAnsi="Times New Roman"/>
                <w:color w:val="000000"/>
                <w:sz w:val="24"/>
              </w:rPr>
              <w:t>30</w:t>
            </w:r>
          </w:p>
        </w:tc>
        <w:tc>
          <w:tcPr>
            <w:tcW w:type="dxa" w:w="2335"/>
            <w:tcBorders>
              <w:top w:sz="4" w:val="nil"/>
              <w:left w:sz="4" w:val="nil"/>
              <w:bottom w:color="000000" w:sz="4" w:val="single"/>
              <w:right w:color="000000" w:sz="4" w:val="single"/>
            </w:tcBorders>
            <w:vAlign w:val="center"/>
          </w:tcPr>
          <w:p w14:paraId="CE020000">
            <w:pPr>
              <w:spacing w:after="0" w:line="240" w:lineRule="auto"/>
              <w:ind/>
              <w:rPr>
                <w:rFonts w:ascii="Times New Roman" w:hAnsi="Times New Roman"/>
                <w:color w:val="000000"/>
                <w:sz w:val="24"/>
              </w:rPr>
            </w:pPr>
            <w:r>
              <w:rPr>
                <w:rFonts w:ascii="Times New Roman" w:hAnsi="Times New Roman"/>
                <w:color w:val="000000"/>
                <w:sz w:val="24"/>
              </w:rPr>
              <w:t>Увеличение связано с ростом основной задолженности</w:t>
            </w:r>
          </w:p>
        </w:tc>
      </w:tr>
      <w:tr>
        <w:trPr>
          <w:trHeight w:hRule="atLeast" w:val="864"/>
        </w:trPr>
        <w:tc>
          <w:tcPr>
            <w:tcW w:type="dxa" w:w="2294"/>
            <w:tcBorders>
              <w:top w:sz="4" w:val="nil"/>
              <w:left w:color="000000" w:sz="4" w:val="single"/>
              <w:bottom w:color="000000" w:sz="4" w:val="single"/>
              <w:right w:color="000000" w:sz="4" w:val="single"/>
            </w:tcBorders>
            <w:vAlign w:val="center"/>
          </w:tcPr>
          <w:p w14:paraId="CF020000">
            <w:pPr>
              <w:spacing w:after="0" w:line="240" w:lineRule="auto"/>
              <w:ind/>
              <w:rPr>
                <w:rFonts w:ascii="Times New Roman" w:hAnsi="Times New Roman"/>
                <w:b w:val="1"/>
                <w:color w:val="000000"/>
                <w:sz w:val="24"/>
              </w:rPr>
            </w:pPr>
            <w:r>
              <w:rPr>
                <w:rFonts w:ascii="Times New Roman" w:hAnsi="Times New Roman"/>
                <w:b w:val="1"/>
                <w:color w:val="000000"/>
                <w:sz w:val="24"/>
              </w:rPr>
              <w:t>Доля краткосрочных кредитов в общей структуре, %</w:t>
            </w:r>
          </w:p>
        </w:tc>
        <w:tc>
          <w:tcPr>
            <w:tcW w:type="dxa" w:w="1229"/>
            <w:tcBorders>
              <w:top w:sz="4" w:val="nil"/>
              <w:left w:sz="4" w:val="nil"/>
              <w:bottom w:color="000000" w:sz="4" w:val="single"/>
              <w:right w:color="000000" w:sz="4" w:val="single"/>
            </w:tcBorders>
            <w:vAlign w:val="center"/>
          </w:tcPr>
          <w:p w14:paraId="D0020000">
            <w:pPr>
              <w:spacing w:after="0" w:line="240" w:lineRule="auto"/>
              <w:ind/>
              <w:jc w:val="right"/>
              <w:rPr>
                <w:rFonts w:ascii="Times New Roman" w:hAnsi="Times New Roman"/>
                <w:color w:val="000000"/>
                <w:sz w:val="24"/>
              </w:rPr>
            </w:pPr>
            <w:r>
              <w:rPr>
                <w:rFonts w:ascii="Times New Roman" w:hAnsi="Times New Roman"/>
                <w:color w:val="000000"/>
                <w:sz w:val="24"/>
              </w:rPr>
              <w:t>30</w:t>
            </w:r>
          </w:p>
        </w:tc>
        <w:tc>
          <w:tcPr>
            <w:tcW w:type="dxa" w:w="1243"/>
            <w:tcBorders>
              <w:top w:sz="4" w:val="nil"/>
              <w:left w:sz="4" w:val="nil"/>
              <w:bottom w:color="000000" w:sz="4" w:val="single"/>
              <w:right w:color="000000" w:sz="4" w:val="single"/>
            </w:tcBorders>
            <w:vAlign w:val="center"/>
          </w:tcPr>
          <w:p w14:paraId="D1020000">
            <w:pPr>
              <w:spacing w:after="0" w:line="240" w:lineRule="auto"/>
              <w:ind/>
              <w:jc w:val="right"/>
              <w:rPr>
                <w:rFonts w:ascii="Times New Roman" w:hAnsi="Times New Roman"/>
                <w:color w:val="000000"/>
                <w:sz w:val="24"/>
              </w:rPr>
            </w:pPr>
            <w:r>
              <w:rPr>
                <w:rFonts w:ascii="Times New Roman" w:hAnsi="Times New Roman"/>
                <w:color w:val="000000"/>
                <w:sz w:val="24"/>
              </w:rPr>
              <w:t>31</w:t>
            </w:r>
          </w:p>
        </w:tc>
        <w:tc>
          <w:tcPr>
            <w:tcW w:type="dxa" w:w="1135"/>
            <w:tcBorders>
              <w:top w:sz="4" w:val="nil"/>
              <w:left w:sz="4" w:val="nil"/>
              <w:bottom w:color="000000" w:sz="4" w:val="single"/>
              <w:right w:color="000000" w:sz="4" w:val="single"/>
            </w:tcBorders>
            <w:vAlign w:val="center"/>
          </w:tcPr>
          <w:p w14:paraId="D2020000">
            <w:pPr>
              <w:spacing w:after="0" w:line="240" w:lineRule="auto"/>
              <w:ind/>
              <w:jc w:val="right"/>
              <w:rPr>
                <w:rFonts w:ascii="Times New Roman" w:hAnsi="Times New Roman"/>
                <w:color w:val="000000"/>
                <w:sz w:val="24"/>
              </w:rPr>
            </w:pPr>
            <w:r>
              <w:rPr>
                <w:rFonts w:ascii="Times New Roman" w:hAnsi="Times New Roman"/>
                <w:color w:val="000000"/>
                <w:sz w:val="24"/>
              </w:rPr>
              <w:t>32</w:t>
            </w:r>
          </w:p>
        </w:tc>
        <w:tc>
          <w:tcPr>
            <w:tcW w:type="dxa" w:w="1398"/>
            <w:tcBorders>
              <w:top w:sz="4" w:val="nil"/>
              <w:left w:sz="4" w:val="nil"/>
              <w:bottom w:color="000000" w:sz="4" w:val="single"/>
              <w:right w:color="000000" w:sz="4" w:val="single"/>
            </w:tcBorders>
            <w:vAlign w:val="center"/>
          </w:tcPr>
          <w:p w14:paraId="D302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2335"/>
            <w:tcBorders>
              <w:top w:sz="4" w:val="nil"/>
              <w:left w:sz="4" w:val="nil"/>
              <w:bottom w:color="000000" w:sz="4" w:val="single"/>
              <w:right w:color="000000" w:sz="4" w:val="single"/>
            </w:tcBorders>
            <w:vAlign w:val="center"/>
          </w:tcPr>
          <w:p w14:paraId="D4020000">
            <w:pPr>
              <w:spacing w:after="0" w:line="240" w:lineRule="auto"/>
              <w:ind/>
              <w:rPr>
                <w:rFonts w:ascii="Times New Roman" w:hAnsi="Times New Roman"/>
                <w:color w:val="000000"/>
                <w:sz w:val="24"/>
              </w:rPr>
            </w:pPr>
            <w:r>
              <w:rPr>
                <w:rFonts w:ascii="Times New Roman" w:hAnsi="Times New Roman"/>
                <w:color w:val="000000"/>
                <w:sz w:val="24"/>
              </w:rPr>
              <w:t>Незначительный рост доли краткосрочных обязательств</w:t>
            </w:r>
          </w:p>
        </w:tc>
      </w:tr>
      <w:tr>
        <w:trPr>
          <w:trHeight w:hRule="atLeast" w:val="864"/>
        </w:trPr>
        <w:tc>
          <w:tcPr>
            <w:tcW w:type="dxa" w:w="2294"/>
            <w:tcBorders>
              <w:top w:sz="4" w:val="nil"/>
              <w:left w:color="000000" w:sz="4" w:val="single"/>
              <w:bottom w:color="000000" w:sz="4" w:val="single"/>
              <w:right w:color="000000" w:sz="4" w:val="single"/>
            </w:tcBorders>
            <w:vAlign w:val="center"/>
          </w:tcPr>
          <w:p w14:paraId="D5020000">
            <w:pPr>
              <w:spacing w:after="0" w:line="240" w:lineRule="auto"/>
              <w:ind/>
              <w:rPr>
                <w:rFonts w:ascii="Times New Roman" w:hAnsi="Times New Roman"/>
                <w:b w:val="1"/>
                <w:color w:val="000000"/>
                <w:sz w:val="24"/>
              </w:rPr>
            </w:pPr>
            <w:r>
              <w:rPr>
                <w:rFonts w:ascii="Times New Roman" w:hAnsi="Times New Roman"/>
                <w:b w:val="1"/>
                <w:color w:val="000000"/>
                <w:sz w:val="24"/>
              </w:rPr>
              <w:t>Доля долгосрочных кредитов в общей структуре, %</w:t>
            </w:r>
          </w:p>
        </w:tc>
        <w:tc>
          <w:tcPr>
            <w:tcW w:type="dxa" w:w="1229"/>
            <w:tcBorders>
              <w:top w:sz="4" w:val="nil"/>
              <w:left w:sz="4" w:val="nil"/>
              <w:bottom w:color="000000" w:sz="4" w:val="single"/>
              <w:right w:color="000000" w:sz="4" w:val="single"/>
            </w:tcBorders>
            <w:vAlign w:val="center"/>
          </w:tcPr>
          <w:p w14:paraId="D6020000">
            <w:pPr>
              <w:spacing w:after="0" w:line="240" w:lineRule="auto"/>
              <w:ind/>
              <w:jc w:val="right"/>
              <w:rPr>
                <w:rFonts w:ascii="Times New Roman" w:hAnsi="Times New Roman"/>
                <w:color w:val="000000"/>
                <w:sz w:val="24"/>
              </w:rPr>
            </w:pPr>
            <w:r>
              <w:rPr>
                <w:rFonts w:ascii="Times New Roman" w:hAnsi="Times New Roman"/>
                <w:color w:val="000000"/>
                <w:sz w:val="24"/>
              </w:rPr>
              <w:t>70</w:t>
            </w:r>
          </w:p>
        </w:tc>
        <w:tc>
          <w:tcPr>
            <w:tcW w:type="dxa" w:w="1243"/>
            <w:tcBorders>
              <w:top w:sz="4" w:val="nil"/>
              <w:left w:sz="4" w:val="nil"/>
              <w:bottom w:color="000000" w:sz="4" w:val="single"/>
              <w:right w:color="000000" w:sz="4" w:val="single"/>
            </w:tcBorders>
            <w:vAlign w:val="center"/>
          </w:tcPr>
          <w:p w14:paraId="D7020000">
            <w:pPr>
              <w:spacing w:after="0" w:line="240" w:lineRule="auto"/>
              <w:ind/>
              <w:jc w:val="right"/>
              <w:rPr>
                <w:rFonts w:ascii="Times New Roman" w:hAnsi="Times New Roman"/>
                <w:color w:val="000000"/>
                <w:sz w:val="24"/>
              </w:rPr>
            </w:pPr>
            <w:r>
              <w:rPr>
                <w:rFonts w:ascii="Times New Roman" w:hAnsi="Times New Roman"/>
                <w:color w:val="000000"/>
                <w:sz w:val="24"/>
              </w:rPr>
              <w:t>69</w:t>
            </w:r>
          </w:p>
        </w:tc>
        <w:tc>
          <w:tcPr>
            <w:tcW w:type="dxa" w:w="1135"/>
            <w:tcBorders>
              <w:top w:sz="4" w:val="nil"/>
              <w:left w:sz="4" w:val="nil"/>
              <w:bottom w:color="000000" w:sz="4" w:val="single"/>
              <w:right w:color="000000" w:sz="4" w:val="single"/>
            </w:tcBorders>
            <w:vAlign w:val="center"/>
          </w:tcPr>
          <w:p w14:paraId="D8020000">
            <w:pPr>
              <w:spacing w:after="0" w:line="240" w:lineRule="auto"/>
              <w:ind/>
              <w:jc w:val="right"/>
              <w:rPr>
                <w:rFonts w:ascii="Times New Roman" w:hAnsi="Times New Roman"/>
                <w:color w:val="000000"/>
                <w:sz w:val="24"/>
              </w:rPr>
            </w:pPr>
            <w:r>
              <w:rPr>
                <w:rFonts w:ascii="Times New Roman" w:hAnsi="Times New Roman"/>
                <w:color w:val="000000"/>
                <w:sz w:val="24"/>
              </w:rPr>
              <w:t>68</w:t>
            </w:r>
          </w:p>
        </w:tc>
        <w:tc>
          <w:tcPr>
            <w:tcW w:type="dxa" w:w="1398"/>
            <w:tcBorders>
              <w:top w:sz="4" w:val="nil"/>
              <w:left w:sz="4" w:val="nil"/>
              <w:bottom w:color="000000" w:sz="4" w:val="single"/>
              <w:right w:color="000000" w:sz="4" w:val="single"/>
            </w:tcBorders>
            <w:vAlign w:val="center"/>
          </w:tcPr>
          <w:p w14:paraId="D902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2335"/>
            <w:tcBorders>
              <w:top w:sz="4" w:val="nil"/>
              <w:left w:sz="4" w:val="nil"/>
              <w:bottom w:color="000000" w:sz="4" w:val="single"/>
              <w:right w:color="000000" w:sz="4" w:val="single"/>
            </w:tcBorders>
            <w:vAlign w:val="center"/>
          </w:tcPr>
          <w:p w14:paraId="DA020000">
            <w:pPr>
              <w:spacing w:after="0" w:line="240" w:lineRule="auto"/>
              <w:ind/>
              <w:rPr>
                <w:rFonts w:ascii="Times New Roman" w:hAnsi="Times New Roman"/>
                <w:color w:val="000000"/>
                <w:sz w:val="24"/>
              </w:rPr>
            </w:pPr>
            <w:r>
              <w:rPr>
                <w:rFonts w:ascii="Times New Roman" w:hAnsi="Times New Roman"/>
                <w:color w:val="000000"/>
                <w:sz w:val="24"/>
              </w:rPr>
              <w:t>Снижение доли долгосрочных обязательств на фоне роста краткосрочных</w:t>
            </w:r>
          </w:p>
        </w:tc>
      </w:tr>
      <w:tr>
        <w:trPr>
          <w:trHeight w:hRule="atLeast" w:val="864"/>
        </w:trPr>
        <w:tc>
          <w:tcPr>
            <w:tcW w:type="dxa" w:w="2294"/>
            <w:tcBorders>
              <w:top w:sz="4" w:val="nil"/>
              <w:left w:color="000000" w:sz="4" w:val="single"/>
              <w:bottom w:color="000000" w:sz="4" w:val="single"/>
              <w:right w:color="000000" w:sz="4" w:val="single"/>
            </w:tcBorders>
            <w:vAlign w:val="center"/>
          </w:tcPr>
          <w:p w14:paraId="DB020000">
            <w:pPr>
              <w:spacing w:after="0" w:line="240" w:lineRule="auto"/>
              <w:ind/>
              <w:rPr>
                <w:rFonts w:ascii="Times New Roman" w:hAnsi="Times New Roman"/>
                <w:b w:val="1"/>
                <w:color w:val="000000"/>
                <w:sz w:val="24"/>
              </w:rPr>
            </w:pPr>
            <w:r>
              <w:rPr>
                <w:rFonts w:ascii="Times New Roman" w:hAnsi="Times New Roman"/>
                <w:b w:val="1"/>
                <w:color w:val="000000"/>
                <w:sz w:val="24"/>
              </w:rPr>
              <w:t>Коэффициент долговой нагрузки</w:t>
            </w:r>
          </w:p>
        </w:tc>
        <w:tc>
          <w:tcPr>
            <w:tcW w:type="dxa" w:w="1229"/>
            <w:tcBorders>
              <w:top w:sz="4" w:val="nil"/>
              <w:left w:sz="4" w:val="nil"/>
              <w:bottom w:color="000000" w:sz="4" w:val="single"/>
              <w:right w:color="000000" w:sz="4" w:val="single"/>
            </w:tcBorders>
            <w:vAlign w:val="center"/>
          </w:tcPr>
          <w:p w14:paraId="DC020000">
            <w:pPr>
              <w:spacing w:after="0" w:line="240" w:lineRule="auto"/>
              <w:ind/>
              <w:jc w:val="right"/>
              <w:rPr>
                <w:rFonts w:ascii="Times New Roman" w:hAnsi="Times New Roman"/>
                <w:color w:val="000000"/>
                <w:sz w:val="24"/>
              </w:rPr>
            </w:pPr>
            <w:r>
              <w:rPr>
                <w:rFonts w:ascii="Times New Roman" w:hAnsi="Times New Roman"/>
                <w:color w:val="000000"/>
                <w:sz w:val="24"/>
              </w:rPr>
              <w:t>0,45</w:t>
            </w:r>
          </w:p>
        </w:tc>
        <w:tc>
          <w:tcPr>
            <w:tcW w:type="dxa" w:w="1243"/>
            <w:tcBorders>
              <w:top w:sz="4" w:val="nil"/>
              <w:left w:sz="4" w:val="nil"/>
              <w:bottom w:color="000000" w:sz="4" w:val="single"/>
              <w:right w:color="000000" w:sz="4" w:val="single"/>
            </w:tcBorders>
            <w:vAlign w:val="center"/>
          </w:tcPr>
          <w:p w14:paraId="DD020000">
            <w:pPr>
              <w:spacing w:after="0" w:line="240" w:lineRule="auto"/>
              <w:ind/>
              <w:jc w:val="right"/>
              <w:rPr>
                <w:rFonts w:ascii="Times New Roman" w:hAnsi="Times New Roman"/>
                <w:color w:val="000000"/>
                <w:sz w:val="24"/>
              </w:rPr>
            </w:pPr>
            <w:r>
              <w:rPr>
                <w:rFonts w:ascii="Times New Roman" w:hAnsi="Times New Roman"/>
                <w:color w:val="000000"/>
                <w:sz w:val="24"/>
              </w:rPr>
              <w:t>0,48</w:t>
            </w:r>
          </w:p>
        </w:tc>
        <w:tc>
          <w:tcPr>
            <w:tcW w:type="dxa" w:w="1135"/>
            <w:tcBorders>
              <w:top w:sz="4" w:val="nil"/>
              <w:left w:sz="4" w:val="nil"/>
              <w:bottom w:color="000000" w:sz="4" w:val="single"/>
              <w:right w:color="000000" w:sz="4" w:val="single"/>
            </w:tcBorders>
            <w:vAlign w:val="center"/>
          </w:tcPr>
          <w:p w14:paraId="DE020000">
            <w:pPr>
              <w:spacing w:after="0" w:line="240" w:lineRule="auto"/>
              <w:ind/>
              <w:jc w:val="right"/>
              <w:rPr>
                <w:rFonts w:ascii="Times New Roman" w:hAnsi="Times New Roman"/>
                <w:color w:val="000000"/>
                <w:sz w:val="24"/>
              </w:rPr>
            </w:pPr>
            <w:r>
              <w:rPr>
                <w:rFonts w:ascii="Times New Roman" w:hAnsi="Times New Roman"/>
                <w:color w:val="000000"/>
                <w:sz w:val="24"/>
              </w:rPr>
              <w:t>0,5</w:t>
            </w:r>
          </w:p>
        </w:tc>
        <w:tc>
          <w:tcPr>
            <w:tcW w:type="dxa" w:w="1398"/>
            <w:tcBorders>
              <w:top w:sz="4" w:val="nil"/>
              <w:left w:sz="4" w:val="nil"/>
              <w:bottom w:color="000000" w:sz="4" w:val="single"/>
              <w:right w:color="000000" w:sz="4" w:val="single"/>
            </w:tcBorders>
            <w:vAlign w:val="center"/>
          </w:tcPr>
          <w:p w14:paraId="DF020000">
            <w:pPr>
              <w:spacing w:after="0" w:line="240" w:lineRule="auto"/>
              <w:ind/>
              <w:jc w:val="right"/>
              <w:rPr>
                <w:rFonts w:ascii="Times New Roman" w:hAnsi="Times New Roman"/>
                <w:color w:val="000000"/>
                <w:sz w:val="24"/>
              </w:rPr>
            </w:pPr>
            <w:r>
              <w:rPr>
                <w:rFonts w:ascii="Times New Roman" w:hAnsi="Times New Roman"/>
                <w:color w:val="000000"/>
                <w:sz w:val="24"/>
              </w:rPr>
              <w:t>0,05</w:t>
            </w:r>
          </w:p>
        </w:tc>
        <w:tc>
          <w:tcPr>
            <w:tcW w:type="dxa" w:w="2335"/>
            <w:tcBorders>
              <w:top w:sz="4" w:val="nil"/>
              <w:left w:sz="4" w:val="nil"/>
              <w:bottom w:color="000000" w:sz="4" w:val="single"/>
              <w:right w:color="000000" w:sz="4" w:val="single"/>
            </w:tcBorders>
            <w:vAlign w:val="center"/>
          </w:tcPr>
          <w:p w14:paraId="E0020000">
            <w:pPr>
              <w:spacing w:after="0" w:line="240" w:lineRule="auto"/>
              <w:ind/>
              <w:rPr>
                <w:rFonts w:ascii="Times New Roman" w:hAnsi="Times New Roman"/>
                <w:color w:val="000000"/>
                <w:sz w:val="24"/>
              </w:rPr>
            </w:pPr>
            <w:r>
              <w:rPr>
                <w:rFonts w:ascii="Times New Roman" w:hAnsi="Times New Roman"/>
                <w:color w:val="000000"/>
                <w:sz w:val="24"/>
              </w:rPr>
              <w:t>Рост долговой нагрузки требует внимания к финансовой устойчивости</w:t>
            </w:r>
          </w:p>
        </w:tc>
      </w:tr>
      <w:tr>
        <w:trPr>
          <w:trHeight w:hRule="atLeast" w:val="864"/>
        </w:trPr>
        <w:tc>
          <w:tcPr>
            <w:tcW w:type="dxa" w:w="2294"/>
            <w:tcBorders>
              <w:top w:sz="4" w:val="nil"/>
              <w:left w:color="000000" w:sz="4" w:val="single"/>
              <w:bottom w:color="000000" w:sz="4" w:val="single"/>
              <w:right w:color="000000" w:sz="4" w:val="single"/>
            </w:tcBorders>
            <w:vAlign w:val="center"/>
          </w:tcPr>
          <w:p w14:paraId="E1020000">
            <w:pPr>
              <w:spacing w:after="0" w:line="240" w:lineRule="auto"/>
              <w:ind/>
              <w:rPr>
                <w:rFonts w:ascii="Times New Roman" w:hAnsi="Times New Roman"/>
                <w:b w:val="1"/>
                <w:color w:val="000000"/>
                <w:sz w:val="24"/>
              </w:rPr>
            </w:pPr>
            <w:r>
              <w:rPr>
                <w:rFonts w:ascii="Times New Roman" w:hAnsi="Times New Roman"/>
                <w:b w:val="1"/>
                <w:color w:val="000000"/>
                <w:sz w:val="24"/>
              </w:rPr>
              <w:t>Средневзвешенная процентная ставка по кредитам, %</w:t>
            </w:r>
          </w:p>
        </w:tc>
        <w:tc>
          <w:tcPr>
            <w:tcW w:type="dxa" w:w="1229"/>
            <w:tcBorders>
              <w:top w:sz="4" w:val="nil"/>
              <w:left w:sz="4" w:val="nil"/>
              <w:bottom w:color="000000" w:sz="4" w:val="single"/>
              <w:right w:color="000000" w:sz="4" w:val="single"/>
            </w:tcBorders>
            <w:vAlign w:val="center"/>
          </w:tcPr>
          <w:p w14:paraId="E2020000">
            <w:pPr>
              <w:spacing w:after="0" w:line="240" w:lineRule="auto"/>
              <w:ind/>
              <w:jc w:val="right"/>
              <w:rPr>
                <w:rFonts w:ascii="Times New Roman" w:hAnsi="Times New Roman"/>
                <w:color w:val="000000"/>
                <w:sz w:val="24"/>
              </w:rPr>
            </w:pPr>
            <w:r>
              <w:rPr>
                <w:rFonts w:ascii="Times New Roman" w:hAnsi="Times New Roman"/>
                <w:color w:val="000000"/>
                <w:sz w:val="24"/>
              </w:rPr>
              <w:t>7,5</w:t>
            </w:r>
          </w:p>
        </w:tc>
        <w:tc>
          <w:tcPr>
            <w:tcW w:type="dxa" w:w="1243"/>
            <w:tcBorders>
              <w:top w:sz="4" w:val="nil"/>
              <w:left w:sz="4" w:val="nil"/>
              <w:bottom w:color="000000" w:sz="4" w:val="single"/>
              <w:right w:color="000000" w:sz="4" w:val="single"/>
            </w:tcBorders>
            <w:vAlign w:val="center"/>
          </w:tcPr>
          <w:p w14:paraId="E3020000">
            <w:pPr>
              <w:spacing w:after="0" w:line="240" w:lineRule="auto"/>
              <w:ind/>
              <w:jc w:val="right"/>
              <w:rPr>
                <w:rFonts w:ascii="Times New Roman" w:hAnsi="Times New Roman"/>
                <w:color w:val="000000"/>
                <w:sz w:val="24"/>
              </w:rPr>
            </w:pPr>
            <w:r>
              <w:rPr>
                <w:rFonts w:ascii="Times New Roman" w:hAnsi="Times New Roman"/>
                <w:color w:val="000000"/>
                <w:sz w:val="24"/>
              </w:rPr>
              <w:t>7,6</w:t>
            </w:r>
          </w:p>
        </w:tc>
        <w:tc>
          <w:tcPr>
            <w:tcW w:type="dxa" w:w="1135"/>
            <w:tcBorders>
              <w:top w:sz="4" w:val="nil"/>
              <w:left w:sz="4" w:val="nil"/>
              <w:bottom w:color="000000" w:sz="4" w:val="single"/>
              <w:right w:color="000000" w:sz="4" w:val="single"/>
            </w:tcBorders>
            <w:vAlign w:val="center"/>
          </w:tcPr>
          <w:p w14:paraId="E4020000">
            <w:pPr>
              <w:spacing w:after="0" w:line="240" w:lineRule="auto"/>
              <w:ind/>
              <w:jc w:val="right"/>
              <w:rPr>
                <w:rFonts w:ascii="Times New Roman" w:hAnsi="Times New Roman"/>
                <w:color w:val="000000"/>
                <w:sz w:val="24"/>
              </w:rPr>
            </w:pPr>
            <w:r>
              <w:rPr>
                <w:rFonts w:ascii="Times New Roman" w:hAnsi="Times New Roman"/>
                <w:color w:val="000000"/>
                <w:sz w:val="24"/>
              </w:rPr>
              <w:t>7,8</w:t>
            </w:r>
          </w:p>
        </w:tc>
        <w:tc>
          <w:tcPr>
            <w:tcW w:type="dxa" w:w="1398"/>
            <w:tcBorders>
              <w:top w:sz="4" w:val="nil"/>
              <w:left w:sz="4" w:val="nil"/>
              <w:bottom w:color="000000" w:sz="4" w:val="single"/>
              <w:right w:color="000000" w:sz="4" w:val="single"/>
            </w:tcBorders>
            <w:vAlign w:val="center"/>
          </w:tcPr>
          <w:p w14:paraId="E5020000">
            <w:pPr>
              <w:spacing w:after="0" w:line="240" w:lineRule="auto"/>
              <w:ind/>
              <w:jc w:val="right"/>
              <w:rPr>
                <w:rFonts w:ascii="Times New Roman" w:hAnsi="Times New Roman"/>
                <w:color w:val="000000"/>
                <w:sz w:val="24"/>
              </w:rPr>
            </w:pPr>
            <w:r>
              <w:rPr>
                <w:rFonts w:ascii="Times New Roman" w:hAnsi="Times New Roman"/>
                <w:color w:val="000000"/>
                <w:sz w:val="24"/>
              </w:rPr>
              <w:t>0,3</w:t>
            </w:r>
          </w:p>
        </w:tc>
        <w:tc>
          <w:tcPr>
            <w:tcW w:type="dxa" w:w="2335"/>
            <w:tcBorders>
              <w:top w:sz="4" w:val="nil"/>
              <w:left w:sz="4" w:val="nil"/>
              <w:bottom w:color="000000" w:sz="4" w:val="single"/>
              <w:right w:color="000000" w:sz="4" w:val="single"/>
            </w:tcBorders>
            <w:vAlign w:val="center"/>
          </w:tcPr>
          <w:p w14:paraId="E6020000">
            <w:pPr>
              <w:spacing w:after="0" w:line="240" w:lineRule="auto"/>
              <w:ind/>
              <w:rPr>
                <w:rFonts w:ascii="Times New Roman" w:hAnsi="Times New Roman"/>
                <w:color w:val="000000"/>
                <w:sz w:val="24"/>
              </w:rPr>
            </w:pPr>
            <w:r>
              <w:rPr>
                <w:rFonts w:ascii="Times New Roman" w:hAnsi="Times New Roman"/>
                <w:color w:val="000000"/>
                <w:sz w:val="24"/>
              </w:rPr>
              <w:t>Рост ставки отражает изменения на рынке и условия новых займов</w:t>
            </w:r>
          </w:p>
        </w:tc>
      </w:tr>
    </w:tbl>
    <w:p w14:paraId="E7020000">
      <w:pPr>
        <w:spacing w:after="0" w:line="360" w:lineRule="auto"/>
        <w:ind w:firstLine="851" w:left="0"/>
        <w:jc w:val="both"/>
        <w:rPr>
          <w:rFonts w:ascii="Times New Roman" w:hAnsi="Times New Roman"/>
          <w:sz w:val="28"/>
        </w:rPr>
      </w:pPr>
    </w:p>
    <w:p w14:paraId="E8020000">
      <w:pPr>
        <w:spacing w:after="0" w:line="360" w:lineRule="auto"/>
        <w:ind w:firstLine="851" w:left="0"/>
        <w:jc w:val="both"/>
        <w:rPr>
          <w:rFonts w:ascii="Times New Roman" w:hAnsi="Times New Roman"/>
          <w:sz w:val="28"/>
        </w:rPr>
      </w:pPr>
      <w:r>
        <w:rPr>
          <w:rFonts w:ascii="Times New Roman" w:hAnsi="Times New Roman"/>
          <w:sz w:val="28"/>
        </w:rPr>
        <w:t xml:space="preserve">Финансовые коэффициенты обретают ценность только при сравнении с динамикой за несколько периодов и с отраслевыми нормативами. Для энергетики допустимый уровень </w:t>
      </w:r>
      <w:r>
        <w:rPr>
          <w:rFonts w:ascii="Times New Roman" w:hAnsi="Times New Roman"/>
          <w:sz w:val="28"/>
        </w:rPr>
        <w:t>Debt</w:t>
      </w:r>
      <w:r>
        <w:rPr>
          <w:rFonts w:ascii="Times New Roman" w:hAnsi="Times New Roman"/>
          <w:sz w:val="28"/>
        </w:rPr>
        <w:t xml:space="preserve">/EBITDA выше, чем для розничной торговли или консалтинга, а использование усредненных норм без отраслевой корректировки делает анализ поверхностным. То, что является критическим для одной сферы, может быть абсолютно нормальным для другой, поэтому </w:t>
      </w:r>
      <w:r>
        <w:rPr>
          <w:rFonts w:ascii="Times New Roman" w:hAnsi="Times New Roman"/>
          <w:sz w:val="28"/>
        </w:rPr>
        <w:t>прямое сопоставление разнородных организаций без учета отраслевой специфики не позволяет сделать достоверных выводов о кредитной нагрузке.</w:t>
      </w:r>
    </w:p>
    <w:p w14:paraId="E9020000">
      <w:pPr>
        <w:spacing w:after="0" w:line="360" w:lineRule="auto"/>
        <w:ind w:firstLine="851" w:left="0"/>
        <w:jc w:val="both"/>
        <w:rPr>
          <w:rFonts w:ascii="Times New Roman" w:hAnsi="Times New Roman"/>
          <w:sz w:val="28"/>
        </w:rPr>
      </w:pPr>
      <w:r>
        <w:rPr>
          <w:rFonts w:ascii="Times New Roman" w:hAnsi="Times New Roman"/>
          <w:sz w:val="28"/>
        </w:rPr>
        <w:t>Краткосрочные и долгосрочные обязательства требуют разного подхода. Первые влияют на текущую ликвидность, и здесь критичен объем свободных средств для покрытия ближайших платежей. Вторые связаны с инвестициями, где на первый план выходит стоимость капитала – ставка, ковенанты, условия досрочного погашения. Сведение обеих категорий рисков к одному коэффициенту снижает информативность анализа, поскольку за усредненной цифрой теряются реальные угрозы – например, кассовый разрыв по краткосрочному долгу при формально приемлемом общем уровне задолженности.</w:t>
      </w:r>
    </w:p>
    <w:p w14:paraId="EA020000">
      <w:pPr>
        <w:spacing w:after="0" w:line="360" w:lineRule="auto"/>
        <w:ind w:firstLine="851" w:left="0"/>
        <w:jc w:val="both"/>
        <w:rPr>
          <w:rFonts w:ascii="Times New Roman" w:hAnsi="Times New Roman"/>
          <w:sz w:val="28"/>
        </w:rPr>
      </w:pPr>
      <w:r>
        <w:rPr>
          <w:rFonts w:ascii="Times New Roman" w:hAnsi="Times New Roman"/>
          <w:sz w:val="28"/>
        </w:rPr>
        <w:t>Процентная ставка не покрывает всех затрат по кредиту. Комиссии за выдачу и сопровождение, расходы на страховку и оценку залога могут увеличивать реальную стоимость заимствования на 1–2 процентных пункта. Сравнение предложений только по номинальной ставке без учета дополнительных издержек ведет к ошибочным выводам. Организация, выбравшая кредит с самой низкой ставкой, но с высокими скрытыми комиссиями, в итоге может заплатить больше, чем при заведомо более высокой ставке без таких доплат.</w:t>
      </w:r>
    </w:p>
    <w:p w14:paraId="EB020000">
      <w:pPr>
        <w:spacing w:after="0" w:line="360" w:lineRule="auto"/>
        <w:ind w:firstLine="851" w:left="0"/>
        <w:jc w:val="both"/>
        <w:rPr>
          <w:rFonts w:ascii="Times New Roman" w:hAnsi="Times New Roman"/>
          <w:sz w:val="28"/>
        </w:rPr>
      </w:pPr>
      <w:r>
        <w:rPr>
          <w:rFonts w:ascii="Times New Roman" w:hAnsi="Times New Roman"/>
          <w:sz w:val="28"/>
        </w:rPr>
        <w:t>Финансовая отчетность фиксирует уже свершившиеся факты. Причины изменений – просрочки платежей, штрафные санкции, реструктуризация долга, ужесточение кредитной политики контрагентов – содержатся в первичных документах и условиях договоров. Без выборочной проверки этих материалов сложно отличить временные колебания показателей от устойчивых негативных тенденций. Ухудшение коэффициентов может быть как следствием разового сбоя, так и признаком системного кризиса, и понять это позволяют только детальный анализ договорной базы и оперативная информация о расчетах с кредиторами.</w:t>
      </w:r>
    </w:p>
    <w:p w14:paraId="EC020000">
      <w:pPr>
        <w:spacing w:after="0" w:line="360" w:lineRule="auto"/>
        <w:ind/>
        <w:jc w:val="both"/>
        <w:rPr>
          <w:rFonts w:ascii="Times New Roman" w:hAnsi="Times New Roman"/>
          <w:sz w:val="28"/>
        </w:rPr>
      </w:pPr>
    </w:p>
    <w:p w14:paraId="ED020000">
      <w:pPr>
        <w:spacing w:after="0" w:line="360" w:lineRule="auto"/>
        <w:ind/>
        <w:jc w:val="center"/>
        <w:rPr>
          <w:rFonts w:ascii="Times New Roman" w:hAnsi="Times New Roman"/>
          <w:sz w:val="28"/>
        </w:rPr>
      </w:pPr>
      <w:r>
        <w:rPr>
          <w:rFonts w:ascii="Times New Roman" w:hAnsi="Times New Roman"/>
          <w:sz w:val="28"/>
        </w:rPr>
        <w:drawing>
          <wp:inline>
            <wp:extent cx="5439439" cy="4107180"/>
            <wp:effectExtent b="0" l="0" r="0" t="0"/>
            <wp:docPr hidden="false" id="10" name="Picture 10"/>
            <a:graphic>
              <a:graphicData uri="http://schemas.openxmlformats.org/drawingml/2006/picture">
                <pic:pic>
                  <pic:nvPicPr>
                    <pic:cNvPr hidden="false" id="9" name="Picture 9"/>
                    <pic:cNvPicPr preferRelativeResize="true"/>
                  </pic:nvPicPr>
                  <pic:blipFill>
                    <a:blip r:embed="rId6"/>
                    <a:srcRect b="12916" l="0" r="0" t="0"/>
                    <a:stretch/>
                  </pic:blipFill>
                  <pic:spPr>
                    <a:xfrm flipH="false" flipV="false" rot="0">
                      <a:ext cx="5439439" cy="4107180"/>
                    </a:xfrm>
                    <a:prstGeom prst="rect"/>
                  </pic:spPr>
                </pic:pic>
              </a:graphicData>
            </a:graphic>
          </wp:inline>
        </w:drawing>
      </w:r>
    </w:p>
    <w:p w14:paraId="EE020000">
      <w:pPr>
        <w:spacing w:after="0" w:line="360" w:lineRule="auto"/>
        <w:ind w:firstLine="851" w:left="0"/>
        <w:jc w:val="center"/>
        <w:rPr>
          <w:rFonts w:ascii="Times New Roman" w:hAnsi="Times New Roman"/>
          <w:sz w:val="28"/>
        </w:rPr>
      </w:pPr>
      <w:r>
        <w:rPr>
          <w:rFonts w:ascii="Times New Roman" w:hAnsi="Times New Roman"/>
          <w:sz w:val="28"/>
        </w:rPr>
        <w:t>Рисунок 2. Структура и динамика кредитов и займов организации за 2022–2024 годы, млн руб.</w:t>
      </w:r>
    </w:p>
    <w:p w14:paraId="EF020000">
      <w:pPr>
        <w:spacing w:after="0" w:line="360" w:lineRule="auto"/>
        <w:ind w:firstLine="851" w:left="0"/>
        <w:jc w:val="both"/>
        <w:rPr>
          <w:rFonts w:ascii="Times New Roman" w:hAnsi="Times New Roman"/>
          <w:sz w:val="28"/>
        </w:rPr>
      </w:pPr>
      <w:r>
        <w:rPr>
          <w:rFonts w:ascii="Times New Roman" w:hAnsi="Times New Roman"/>
          <w:sz w:val="28"/>
        </w:rPr>
        <w:t xml:space="preserve">Сравнение процентных ставок по разным кредитам и займам позволяет не только ранжировать источники финансирования по их стоимости, но и выявить резервы для оптимизации. Если по одному кредиту ставка составляет 11%, а </w:t>
      </w:r>
      <w:r>
        <w:rPr>
          <w:rFonts w:ascii="Times New Roman" w:hAnsi="Times New Roman"/>
          <w:sz w:val="28"/>
        </w:rPr>
        <w:t>по другому</w:t>
      </w:r>
      <w:r>
        <w:rPr>
          <w:rFonts w:ascii="Times New Roman" w:hAnsi="Times New Roman"/>
          <w:sz w:val="28"/>
        </w:rPr>
        <w:t xml:space="preserve"> – 9%, очевидным решением становится досрочное погашение дорогого заимствования за счет более дешевого или рефинансирование на рыночных условиях. </w:t>
      </w:r>
    </w:p>
    <w:p w14:paraId="F0020000">
      <w:pPr>
        <w:spacing w:after="0" w:line="360" w:lineRule="auto"/>
        <w:ind w:firstLine="851" w:left="0"/>
        <w:jc w:val="both"/>
        <w:rPr>
          <w:rFonts w:ascii="Times New Roman" w:hAnsi="Times New Roman"/>
          <w:sz w:val="28"/>
        </w:rPr>
      </w:pPr>
      <w:r>
        <w:rPr>
          <w:rFonts w:ascii="Times New Roman" w:hAnsi="Times New Roman"/>
          <w:sz w:val="28"/>
        </w:rPr>
        <w:t xml:space="preserve">Однако реальная стоимость заемного капитала не ограничивается номинальной ставкой. В расчет необходимо принимать комиссии за выдачу и обслуживание кредита, требования к поддержанию остатка на счете, стоимость оценки залога и страхования, а также возможные штрафы за досрочное погашение. Снижение финансовых расходов достигается также за счет переговоров с банком о понижении ставки при улучшении финансовых показателей компании или при увеличении объема заимствований. </w:t>
      </w:r>
      <w:r>
        <w:rPr>
          <w:rFonts w:ascii="Times New Roman" w:hAnsi="Times New Roman"/>
          <w:sz w:val="28"/>
        </w:rPr>
        <w:t>Регулярный мониторинг рыночных предложений и рефинансирование при снижении ключевой ставки ЦБ дают дополнительную экономию. </w:t>
      </w:r>
    </w:p>
    <w:p w14:paraId="F1020000">
      <w:pPr>
        <w:spacing w:after="0" w:line="360" w:lineRule="auto"/>
        <w:ind w:firstLine="851" w:left="0"/>
        <w:jc w:val="both"/>
        <w:rPr>
          <w:rFonts w:ascii="Times New Roman" w:hAnsi="Times New Roman"/>
          <w:sz w:val="28"/>
        </w:rPr>
      </w:pPr>
      <w:r>
        <w:rPr>
          <w:rFonts w:ascii="Times New Roman" w:hAnsi="Times New Roman"/>
          <w:sz w:val="28"/>
        </w:rPr>
        <w:t>В итоге анализ структуры и динамики кредитов и займов позволяет посмотреть на финансовую устойчивость предприятия с разных сторон. Он помогает заметить риски, которые несёт долговая нагрузка, и подсказывает, как скорректировать структуру заёмных средств. На результатах такого анализа строят дальнейшие планы и принимают решения – и в области финансирования, и в вопросах бухгалтерского учёта.</w:t>
      </w:r>
    </w:p>
    <w:p w14:paraId="F2020000"/>
    <w:p w14:paraId="F302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F4020000">
      <w:bookmarkStart w:id="18" w:name="__RefHeading___18"/>
      <w:bookmarkEnd w:id="18"/>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ГЛАВА 3. </w:t>
      </w:r>
      <w:r>
        <w:rPr>
          <w:rFonts w:ascii="Times New Roman" w:hAnsi="Times New Roman"/>
          <w:b w:val="1"/>
          <w:color w:themeColor="text1" w:val="000000"/>
          <w:sz w:val="28"/>
        </w:rPr>
        <w:t>НАПРАВЛЕНИЯ СОВЕРШЕНСТВОВАНИЯ УЧЕТА И АНАЛИЗА КРЕДИТОВ И ЗАЙМОВ</w:t>
      </w:r>
    </w:p>
    <w:p w14:paraId="F5020000">
      <w:bookmarkStart w:id="19" w:name="__RefHeading___19"/>
      <w:bookmarkEnd w:id="19"/>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3.1. </w:t>
      </w:r>
      <w:r>
        <w:rPr>
          <w:rFonts w:ascii="Times New Roman" w:hAnsi="Times New Roman"/>
          <w:b w:val="1"/>
          <w:color w:themeColor="text1" w:val="000000"/>
          <w:sz w:val="28"/>
        </w:rPr>
        <w:t>Разработка предложений по совершенствованию управления кредитами и займами</w:t>
      </w:r>
    </w:p>
    <w:p w14:paraId="F6020000"/>
    <w:p w14:paraId="F7020000">
      <w:pPr>
        <w:spacing w:after="0" w:line="360" w:lineRule="auto"/>
        <w:ind w:firstLine="851" w:left="0"/>
        <w:jc w:val="both"/>
        <w:rPr>
          <w:rFonts w:ascii="Times New Roman" w:hAnsi="Times New Roman"/>
          <w:sz w:val="28"/>
        </w:rPr>
      </w:pPr>
      <w:r>
        <w:rPr>
          <w:rFonts w:ascii="Times New Roman" w:hAnsi="Times New Roman"/>
          <w:sz w:val="28"/>
        </w:rPr>
        <w:t>Когда организация регулярно пересматривает свою кредитную политику, она получает возможность замечать изменения на финансовом рынке и вовремя на них реагировать. Условия, которые казались выгодными два-три года назад, со временем уступают место более привлекательным предложениям. Именно поэтому имеет смысл не реже одного раза в год проводить ревизию действующих договоров, сравнивая их с текущими рыночными ставками. Если разница оказывается существенной, возникает резонный вопрос о рефинансировании – замене существующего кредита на новый с более низкой ставкой или улучшенными условиями.</w:t>
      </w:r>
    </w:p>
    <w:p w14:paraId="F8020000">
      <w:pPr>
        <w:spacing w:after="0" w:line="360" w:lineRule="auto"/>
        <w:ind w:firstLine="851" w:left="0"/>
        <w:jc w:val="both"/>
        <w:rPr>
          <w:rFonts w:ascii="Times New Roman" w:hAnsi="Times New Roman"/>
          <w:sz w:val="28"/>
        </w:rPr>
      </w:pPr>
      <w:r>
        <w:rPr>
          <w:rFonts w:ascii="Times New Roman" w:hAnsi="Times New Roman"/>
          <w:sz w:val="28"/>
        </w:rPr>
        <w:t>Однако переговоры с банками о таких условиях становятся возможными только при наличии устойчивой кредитной репутации. ПАО «Газпром» как крупный заёмщик вполне способен влиять на ставки и требования, но для этого необходима прозрачная и своевременно предоставляемая отчётность, а также безупречная история обслуживания долгов. Чем надёжнее компания выглядит в глазах кредиторов, тем на более длинные заимствования и сниженную процентную маржу она может рассчитывать.</w:t>
      </w:r>
    </w:p>
    <w:p w14:paraId="F9020000">
      <w:pPr>
        <w:spacing w:after="0" w:line="360" w:lineRule="auto"/>
        <w:ind w:firstLine="851" w:left="0"/>
        <w:jc w:val="both"/>
        <w:rPr>
          <w:rFonts w:ascii="Times New Roman" w:hAnsi="Times New Roman"/>
          <w:sz w:val="28"/>
        </w:rPr>
      </w:pPr>
      <w:r>
        <w:rPr>
          <w:rFonts w:ascii="Times New Roman" w:hAnsi="Times New Roman"/>
          <w:sz w:val="28"/>
        </w:rPr>
        <w:t xml:space="preserve">Чтобы поддерживать такую репутацию, недостаточно лишь внешней отчётности. Важно, чтобы внутри компании информация о кредитах и займах не застревала в одном отделе. Нередко бухгалтерия просто фиксирует уже совершённые операции, тогда как финансовый отдел планирует будущие платежи, и эти два процесса существуют отдельно друг от друга. </w:t>
      </w:r>
    </w:p>
    <w:p w14:paraId="FA020000">
      <w:pPr>
        <w:spacing w:after="0" w:line="360" w:lineRule="auto"/>
        <w:ind w:firstLine="851" w:left="0"/>
        <w:jc w:val="both"/>
        <w:rPr>
          <w:rFonts w:ascii="Times New Roman" w:hAnsi="Times New Roman"/>
          <w:sz w:val="28"/>
        </w:rPr>
      </w:pPr>
      <w:r>
        <w:rPr>
          <w:rFonts w:ascii="Times New Roman" w:hAnsi="Times New Roman"/>
          <w:sz w:val="28"/>
        </w:rPr>
        <w:t xml:space="preserve">Для того, чтобы быть уверенным в надежности всей системы, стоит внедрить внутренние аудиторские проверки по участку кредитов и займов. Проводить их желательно два раза в год. Такого рода проверки служат не </w:t>
      </w:r>
      <w:r>
        <w:rPr>
          <w:rFonts w:ascii="Times New Roman" w:hAnsi="Times New Roman"/>
          <w:sz w:val="28"/>
        </w:rPr>
        <w:t>только для выявления правильности учетных записей, но и качества управления: вовремя ли принимались решения о привлечении новых кредитов, не накапливалась ли избыточная задолженность, как использовались средства при досрочном погашении.</w:t>
      </w:r>
      <w:r>
        <w:rPr>
          <w:rFonts w:ascii="Times New Roman" w:hAnsi="Times New Roman"/>
          <w:sz w:val="28"/>
        </w:rPr>
        <w:t xml:space="preserve"> </w:t>
      </w:r>
      <w:r>
        <w:rPr>
          <w:rFonts w:ascii="Times New Roman" w:hAnsi="Times New Roman"/>
          <w:sz w:val="28"/>
        </w:rPr>
        <w:t>Результаты аудита, в свою очередь, дают материал для корректировки внутренних процедур.</w:t>
      </w:r>
    </w:p>
    <w:p w14:paraId="FB020000">
      <w:pPr>
        <w:spacing w:after="0" w:line="360" w:lineRule="auto"/>
        <w:ind w:firstLine="851" w:left="0"/>
        <w:jc w:val="both"/>
        <w:rPr>
          <w:rFonts w:ascii="Times New Roman" w:hAnsi="Times New Roman"/>
          <w:sz w:val="28"/>
        </w:rPr>
      </w:pPr>
      <w:r>
        <w:rPr>
          <w:rFonts w:ascii="Times New Roman" w:hAnsi="Times New Roman"/>
          <w:sz w:val="28"/>
        </w:rPr>
        <w:t>Необходимо уделять внимание регулярным отчётам об эффективной процентной ставке. Осуществляется сравнение ставок по различным кредитным договорам, оценивается реальная стоимость привлечённых заёмных средств, выявляются акционные предложения и скидки, позволяющие экономить финансовые ресурсы организации. Проведение указанных сверок способствует высвобождению дополнительной прибыли. Также следует формировать внутреннюю отчётность, отражающую все сведения о кредитах и займах. Отчёты могут быть представлены как в сводном, так и в детализированном виде по каждой конкретной долговой обязанности. Руководитель организации в любое время может ознакомиться с текущей ситуацией и при необходимости скорректировать финансовую политику компании без дополнительных задержек</w:t>
      </w:r>
      <w:r>
        <w:rPr>
          <w:rFonts w:ascii="Times New Roman" w:hAnsi="Times New Roman"/>
          <w:sz w:val="28"/>
          <w:vertAlign w:val="superscript"/>
        </w:rPr>
        <w:footnoteReference w:id="23"/>
      </w:r>
      <w:r>
        <w:rPr>
          <w:rFonts w:ascii="Times New Roman" w:hAnsi="Times New Roman"/>
          <w:sz w:val="28"/>
        </w:rPr>
        <w:t>.</w:t>
      </w:r>
    </w:p>
    <w:p w14:paraId="FC020000">
      <w:pPr>
        <w:spacing w:after="0" w:line="360" w:lineRule="auto"/>
        <w:ind w:firstLine="851" w:left="0"/>
        <w:jc w:val="both"/>
        <w:rPr>
          <w:rFonts w:ascii="Times New Roman" w:hAnsi="Times New Roman"/>
          <w:sz w:val="28"/>
        </w:rPr>
      </w:pPr>
      <w:r>
        <w:rPr>
          <w:rFonts w:ascii="Times New Roman" w:hAnsi="Times New Roman"/>
          <w:sz w:val="28"/>
        </w:rPr>
        <w:t>Перечисленные меры будут эффективны при условии их закрепления в едином внутреннем нормативном акте – положении об управлении кредитами и займами. В данном документе прописываются порядок обоснования привлечения заёмных средств, разграничение ответственности между подразделениями, критерии выбора банков-кредиторов, допустимые показатели долговой нагрузки, а также чёткие регламенты действий на случай нарушения платёжных графиков</w:t>
      </w:r>
      <w:r>
        <w:rPr>
          <w:rFonts w:ascii="Times New Roman" w:hAnsi="Times New Roman"/>
          <w:sz w:val="28"/>
          <w:vertAlign w:val="superscript"/>
        </w:rPr>
        <w:footnoteReference w:id="24"/>
      </w:r>
      <w:r>
        <w:rPr>
          <w:rFonts w:ascii="Times New Roman" w:hAnsi="Times New Roman"/>
          <w:sz w:val="28"/>
        </w:rPr>
        <w:t>.</w:t>
      </w:r>
    </w:p>
    <w:p w14:paraId="FD020000">
      <w:pPr>
        <w:spacing w:after="0" w:line="360" w:lineRule="auto"/>
        <w:ind w:firstLine="851" w:left="0"/>
        <w:jc w:val="both"/>
        <w:rPr>
          <w:rFonts w:ascii="Times New Roman" w:hAnsi="Times New Roman"/>
          <w:sz w:val="28"/>
        </w:rPr>
      </w:pPr>
    </w:p>
    <w:p w14:paraId="FE020000">
      <w:pPr>
        <w:spacing w:after="0" w:line="360" w:lineRule="auto"/>
        <w:ind w:firstLine="851" w:left="0"/>
        <w:jc w:val="both"/>
        <w:rPr>
          <w:rFonts w:ascii="Times New Roman" w:hAnsi="Times New Roman"/>
          <w:sz w:val="28"/>
        </w:rPr>
      </w:pPr>
      <w:r>
        <w:rPr>
          <w:rFonts w:ascii="Times New Roman" w:hAnsi="Times New Roman"/>
          <w:sz w:val="28"/>
        </w:rPr>
        <w:t xml:space="preserve">Полезно добавить в практику управления процедуры, которые позволяют замечать риск неплатежей на ранних стадиях – например, регулярно отслеживать финансовое состояние контрагентов, анализировать возникающие просрочки и при необходимости оперативно корректировать условия договоров, что в совокупности снижает вероятность невозврата заёмных средств. </w:t>
      </w:r>
    </w:p>
    <w:p w14:paraId="FF020000">
      <w:pPr>
        <w:spacing w:after="0" w:line="360" w:lineRule="auto"/>
        <w:ind w:firstLine="851" w:left="0"/>
        <w:jc w:val="both"/>
        <w:rPr>
          <w:rFonts w:ascii="Times New Roman" w:hAnsi="Times New Roman"/>
          <w:sz w:val="28"/>
        </w:rPr>
      </w:pPr>
      <w:r>
        <w:rPr>
          <w:rFonts w:ascii="Times New Roman" w:hAnsi="Times New Roman"/>
          <w:sz w:val="28"/>
        </w:rPr>
        <w:t>Параллельно с этим стоит периодически пересматривать учётную политику организации, приводя её в соответствие с текущими изменениями в законодательстве, свежими методическими рекомендациями и реальной финансовой практикой; чем актуальнее учётная политика, тем точнее отчётность отвечает нормативным требованиям и тем выше качество управления заёмным капиталом</w:t>
      </w:r>
      <w:r>
        <w:rPr>
          <w:rStyle w:val="Style_11_ch"/>
          <w:rFonts w:ascii="Times New Roman" w:hAnsi="Times New Roman"/>
          <w:sz w:val="28"/>
        </w:rPr>
        <w:footnoteReference w:id="25"/>
      </w:r>
      <w:r>
        <w:rPr>
          <w:rFonts w:ascii="Times New Roman" w:hAnsi="Times New Roman"/>
          <w:sz w:val="28"/>
        </w:rPr>
        <w:t>.</w:t>
      </w:r>
    </w:p>
    <w:p w14:paraId="00030000">
      <w:pPr>
        <w:spacing w:after="0" w:line="240" w:lineRule="auto"/>
        <w:ind w:firstLine="851" w:left="0"/>
        <w:jc w:val="right"/>
        <w:rPr>
          <w:rFonts w:ascii="Times New Roman" w:hAnsi="Times New Roman"/>
          <w:b w:val="1"/>
          <w:sz w:val="28"/>
        </w:rPr>
      </w:pPr>
      <w:r>
        <w:rPr>
          <w:rFonts w:ascii="Times New Roman" w:hAnsi="Times New Roman"/>
          <w:b w:val="1"/>
          <w:sz w:val="28"/>
        </w:rPr>
        <w:t>Таблица 9</w:t>
      </w:r>
    </w:p>
    <w:p w14:paraId="01030000">
      <w:pPr>
        <w:spacing w:after="0" w:line="240" w:lineRule="auto"/>
        <w:ind w:firstLine="851" w:left="0"/>
        <w:jc w:val="both"/>
        <w:rPr>
          <w:rFonts w:ascii="Times New Roman" w:hAnsi="Times New Roman"/>
          <w:b w:val="1"/>
          <w:sz w:val="28"/>
        </w:rPr>
      </w:pPr>
      <w:r>
        <w:rPr>
          <w:rFonts w:ascii="Times New Roman" w:hAnsi="Times New Roman"/>
          <w:b w:val="1"/>
          <w:sz w:val="28"/>
        </w:rPr>
        <w:t xml:space="preserve"> Рекомендации по совершенствованию учета и управления кредитами и займами</w:t>
      </w:r>
    </w:p>
    <w:tbl>
      <w:tblPr>
        <w:tblStyle w:val="Style_3"/>
        <w:tblLayout w:type="fixed"/>
      </w:tblPr>
      <w:tblGrid>
        <w:gridCol w:w="866"/>
        <w:gridCol w:w="2390"/>
        <w:gridCol w:w="3326"/>
        <w:gridCol w:w="2344"/>
      </w:tblGrid>
      <w:tr>
        <w:trPr>
          <w:trHeight w:hRule="atLeast" w:val="576"/>
        </w:trPr>
        <w:tc>
          <w:tcPr>
            <w:tcW w:type="dxa" w:w="866"/>
            <w:tcBorders>
              <w:top w:color="000000" w:sz="4" w:val="single"/>
              <w:left w:color="000000" w:sz="4" w:val="single"/>
              <w:bottom w:color="000000" w:sz="4" w:val="single"/>
              <w:right w:color="000000" w:sz="4" w:val="single"/>
            </w:tcBorders>
            <w:vAlign w:val="center"/>
          </w:tcPr>
          <w:p w14:paraId="02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 п/п</w:t>
            </w:r>
          </w:p>
        </w:tc>
        <w:tc>
          <w:tcPr>
            <w:tcW w:type="dxa" w:w="2390"/>
            <w:tcBorders>
              <w:top w:color="000000" w:sz="4" w:val="single"/>
              <w:left w:sz="4" w:val="nil"/>
              <w:bottom w:color="000000" w:sz="4" w:val="single"/>
              <w:right w:color="000000" w:sz="4" w:val="single"/>
            </w:tcBorders>
            <w:vAlign w:val="center"/>
          </w:tcPr>
          <w:p w14:paraId="03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Направление совершенствования</w:t>
            </w:r>
          </w:p>
        </w:tc>
        <w:tc>
          <w:tcPr>
            <w:tcW w:type="dxa" w:w="3326"/>
            <w:tcBorders>
              <w:top w:color="000000" w:sz="4" w:val="single"/>
              <w:left w:sz="4" w:val="nil"/>
              <w:bottom w:color="000000" w:sz="4" w:val="single"/>
              <w:right w:color="000000" w:sz="4" w:val="single"/>
            </w:tcBorders>
            <w:vAlign w:val="center"/>
          </w:tcPr>
          <w:p w14:paraId="04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Конкретные меры</w:t>
            </w:r>
          </w:p>
        </w:tc>
        <w:tc>
          <w:tcPr>
            <w:tcW w:type="dxa" w:w="2344"/>
            <w:tcBorders>
              <w:top w:color="000000" w:sz="4" w:val="single"/>
              <w:left w:sz="4" w:val="nil"/>
              <w:bottom w:color="000000" w:sz="4" w:val="single"/>
              <w:right w:color="000000" w:sz="4" w:val="single"/>
            </w:tcBorders>
            <w:vAlign w:val="center"/>
          </w:tcPr>
          <w:p w14:paraId="05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Ожидаемый эффект</w:t>
            </w:r>
          </w:p>
        </w:tc>
      </w:tr>
      <w:tr>
        <w:trPr>
          <w:trHeight w:hRule="atLeast" w:val="1728"/>
        </w:trPr>
        <w:tc>
          <w:tcPr>
            <w:tcW w:type="dxa" w:w="866"/>
            <w:tcBorders>
              <w:top w:sz="4" w:val="nil"/>
              <w:left w:color="000000" w:sz="4" w:val="single"/>
              <w:bottom w:color="000000" w:sz="4" w:val="single"/>
              <w:right w:color="000000" w:sz="4" w:val="single"/>
            </w:tcBorders>
            <w:vAlign w:val="center"/>
          </w:tcPr>
          <w:p w14:paraId="06030000">
            <w:pPr>
              <w:spacing w:after="0" w:line="240" w:lineRule="auto"/>
              <w:ind/>
              <w:jc w:val="right"/>
              <w:rPr>
                <w:rFonts w:ascii="Times New Roman" w:hAnsi="Times New Roman"/>
                <w:color w:val="000000"/>
                <w:sz w:val="24"/>
              </w:rPr>
            </w:pPr>
            <w:r>
              <w:rPr>
                <w:rFonts w:ascii="Times New Roman" w:hAnsi="Times New Roman"/>
                <w:color w:val="000000"/>
                <w:sz w:val="24"/>
              </w:rPr>
              <w:t>1</w:t>
            </w:r>
          </w:p>
        </w:tc>
        <w:tc>
          <w:tcPr>
            <w:tcW w:type="dxa" w:w="2390"/>
            <w:tcBorders>
              <w:top w:sz="4" w:val="nil"/>
              <w:left w:sz="4" w:val="nil"/>
              <w:bottom w:color="000000" w:sz="4" w:val="single"/>
              <w:right w:color="000000" w:sz="4" w:val="single"/>
            </w:tcBorders>
            <w:vAlign w:val="center"/>
          </w:tcPr>
          <w:p w14:paraId="07030000">
            <w:pPr>
              <w:spacing w:after="0" w:line="240" w:lineRule="auto"/>
              <w:ind/>
              <w:rPr>
                <w:rFonts w:ascii="Times New Roman" w:hAnsi="Times New Roman"/>
                <w:color w:val="000000"/>
                <w:sz w:val="24"/>
              </w:rPr>
            </w:pPr>
            <w:r>
              <w:rPr>
                <w:rFonts w:ascii="Times New Roman" w:hAnsi="Times New Roman"/>
                <w:color w:val="000000"/>
                <w:sz w:val="24"/>
              </w:rPr>
              <w:t>Детализированный аналитический учет</w:t>
            </w:r>
          </w:p>
        </w:tc>
        <w:tc>
          <w:tcPr>
            <w:tcW w:type="dxa" w:w="3326"/>
            <w:tcBorders>
              <w:top w:sz="4" w:val="nil"/>
              <w:left w:sz="4" w:val="nil"/>
              <w:bottom w:color="000000" w:sz="4" w:val="single"/>
              <w:right w:color="000000" w:sz="4" w:val="single"/>
            </w:tcBorders>
            <w:vAlign w:val="center"/>
          </w:tcPr>
          <w:p w14:paraId="08030000">
            <w:pPr>
              <w:spacing w:after="0" w:line="240" w:lineRule="auto"/>
              <w:ind/>
              <w:rPr>
                <w:rFonts w:ascii="Times New Roman" w:hAnsi="Times New Roman"/>
                <w:color w:val="000000"/>
                <w:sz w:val="24"/>
              </w:rPr>
            </w:pPr>
            <w:r>
              <w:rPr>
                <w:rFonts w:ascii="Times New Roman" w:hAnsi="Times New Roman"/>
                <w:color w:val="000000"/>
                <w:sz w:val="24"/>
              </w:rPr>
              <w:t>Ведение отдельного учета по каждому кредиту и займу, контроль остатка задолженности и сроков погашения</w:t>
            </w:r>
          </w:p>
        </w:tc>
        <w:tc>
          <w:tcPr>
            <w:tcW w:type="dxa" w:w="2344"/>
            <w:tcBorders>
              <w:top w:sz="4" w:val="nil"/>
              <w:left w:sz="4" w:val="nil"/>
              <w:bottom w:color="000000" w:sz="4" w:val="single"/>
              <w:right w:color="000000" w:sz="4" w:val="single"/>
            </w:tcBorders>
            <w:vAlign w:val="center"/>
          </w:tcPr>
          <w:p w14:paraId="09030000">
            <w:pPr>
              <w:spacing w:after="0" w:line="240" w:lineRule="auto"/>
              <w:ind/>
              <w:rPr>
                <w:rFonts w:ascii="Times New Roman" w:hAnsi="Times New Roman"/>
                <w:color w:val="000000"/>
                <w:sz w:val="24"/>
              </w:rPr>
            </w:pPr>
            <w:r>
              <w:rPr>
                <w:rFonts w:ascii="Times New Roman" w:hAnsi="Times New Roman"/>
                <w:color w:val="000000"/>
                <w:sz w:val="24"/>
              </w:rPr>
              <w:t>Повышение точности данных и контроль за обязательствами</w:t>
            </w:r>
          </w:p>
        </w:tc>
      </w:tr>
      <w:tr>
        <w:trPr>
          <w:trHeight w:hRule="atLeast" w:val="1728"/>
        </w:trPr>
        <w:tc>
          <w:tcPr>
            <w:tcW w:type="dxa" w:w="866"/>
            <w:tcBorders>
              <w:top w:sz="4" w:val="nil"/>
              <w:left w:color="000000" w:sz="4" w:val="single"/>
              <w:bottom w:color="000000" w:sz="4" w:val="single"/>
              <w:right w:color="000000" w:sz="4" w:val="single"/>
            </w:tcBorders>
            <w:vAlign w:val="center"/>
          </w:tcPr>
          <w:p w14:paraId="0A03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2390"/>
            <w:tcBorders>
              <w:top w:sz="4" w:val="nil"/>
              <w:left w:sz="4" w:val="nil"/>
              <w:bottom w:color="000000" w:sz="4" w:val="single"/>
              <w:right w:color="000000" w:sz="4" w:val="single"/>
            </w:tcBorders>
            <w:vAlign w:val="center"/>
          </w:tcPr>
          <w:p w14:paraId="0B030000">
            <w:pPr>
              <w:spacing w:after="0" w:line="240" w:lineRule="auto"/>
              <w:ind/>
              <w:rPr>
                <w:rFonts w:ascii="Times New Roman" w:hAnsi="Times New Roman"/>
                <w:color w:val="000000"/>
                <w:sz w:val="24"/>
              </w:rPr>
            </w:pPr>
            <w:r>
              <w:rPr>
                <w:rFonts w:ascii="Times New Roman" w:hAnsi="Times New Roman"/>
                <w:color w:val="000000"/>
                <w:sz w:val="24"/>
              </w:rPr>
              <w:t>Автоматизация учета</w:t>
            </w:r>
          </w:p>
        </w:tc>
        <w:tc>
          <w:tcPr>
            <w:tcW w:type="dxa" w:w="3326"/>
            <w:tcBorders>
              <w:top w:sz="4" w:val="nil"/>
              <w:left w:sz="4" w:val="nil"/>
              <w:bottom w:color="000000" w:sz="4" w:val="single"/>
              <w:right w:color="000000" w:sz="4" w:val="single"/>
            </w:tcBorders>
            <w:vAlign w:val="center"/>
          </w:tcPr>
          <w:p w14:paraId="0C030000">
            <w:pPr>
              <w:spacing w:after="0" w:line="240" w:lineRule="auto"/>
              <w:ind/>
              <w:rPr>
                <w:rFonts w:ascii="Times New Roman" w:hAnsi="Times New Roman"/>
                <w:color w:val="000000"/>
                <w:sz w:val="24"/>
              </w:rPr>
            </w:pPr>
            <w:r>
              <w:rPr>
                <w:rFonts w:ascii="Times New Roman" w:hAnsi="Times New Roman"/>
                <w:color w:val="000000"/>
                <w:sz w:val="24"/>
              </w:rPr>
              <w:t>Использование специализированного ПО для учета кредитов и займов</w:t>
            </w:r>
          </w:p>
        </w:tc>
        <w:tc>
          <w:tcPr>
            <w:tcW w:type="dxa" w:w="2344"/>
            <w:tcBorders>
              <w:top w:sz="4" w:val="nil"/>
              <w:left w:sz="4" w:val="nil"/>
              <w:bottom w:color="000000" w:sz="4" w:val="single"/>
              <w:right w:color="000000" w:sz="4" w:val="single"/>
            </w:tcBorders>
            <w:vAlign w:val="center"/>
          </w:tcPr>
          <w:p w14:paraId="0D030000">
            <w:pPr>
              <w:spacing w:after="0" w:line="240" w:lineRule="auto"/>
              <w:ind/>
              <w:rPr>
                <w:rFonts w:ascii="Times New Roman" w:hAnsi="Times New Roman"/>
                <w:color w:val="000000"/>
                <w:sz w:val="24"/>
              </w:rPr>
            </w:pPr>
            <w:r>
              <w:rPr>
                <w:rFonts w:ascii="Times New Roman" w:hAnsi="Times New Roman"/>
                <w:color w:val="000000"/>
                <w:sz w:val="24"/>
              </w:rPr>
              <w:t>Сокращение ошибок, ускорение формирования отчетности, оперативный контроль</w:t>
            </w:r>
          </w:p>
        </w:tc>
      </w:tr>
      <w:tr>
        <w:trPr>
          <w:trHeight w:hRule="atLeast" w:val="1728"/>
        </w:trPr>
        <w:tc>
          <w:tcPr>
            <w:tcW w:type="dxa" w:w="866"/>
            <w:tcBorders>
              <w:top w:sz="4" w:val="nil"/>
              <w:left w:color="000000" w:sz="4" w:val="single"/>
              <w:bottom w:color="000000" w:sz="4" w:val="single"/>
              <w:right w:color="000000" w:sz="4" w:val="single"/>
            </w:tcBorders>
            <w:vAlign w:val="center"/>
          </w:tcPr>
          <w:p w14:paraId="0E030000">
            <w:pPr>
              <w:spacing w:after="0" w:line="240" w:lineRule="auto"/>
              <w:ind/>
              <w:jc w:val="right"/>
              <w:rPr>
                <w:rFonts w:ascii="Times New Roman" w:hAnsi="Times New Roman"/>
                <w:color w:val="000000"/>
                <w:sz w:val="24"/>
              </w:rPr>
            </w:pPr>
            <w:r>
              <w:rPr>
                <w:rFonts w:ascii="Times New Roman" w:hAnsi="Times New Roman"/>
                <w:color w:val="000000"/>
                <w:sz w:val="24"/>
              </w:rPr>
              <w:t>3</w:t>
            </w:r>
          </w:p>
        </w:tc>
        <w:tc>
          <w:tcPr>
            <w:tcW w:type="dxa" w:w="2390"/>
            <w:tcBorders>
              <w:top w:sz="4" w:val="nil"/>
              <w:left w:sz="4" w:val="nil"/>
              <w:bottom w:color="000000" w:sz="4" w:val="single"/>
              <w:right w:color="000000" w:sz="4" w:val="single"/>
            </w:tcBorders>
            <w:vAlign w:val="center"/>
          </w:tcPr>
          <w:p w14:paraId="0F030000">
            <w:pPr>
              <w:spacing w:after="0" w:line="240" w:lineRule="auto"/>
              <w:ind/>
              <w:rPr>
                <w:rFonts w:ascii="Times New Roman" w:hAnsi="Times New Roman"/>
                <w:color w:val="000000"/>
                <w:sz w:val="24"/>
              </w:rPr>
            </w:pPr>
            <w:r>
              <w:rPr>
                <w:rFonts w:ascii="Times New Roman" w:hAnsi="Times New Roman"/>
                <w:color w:val="000000"/>
                <w:sz w:val="24"/>
              </w:rPr>
              <w:t>Внутренние регламенты и инструкции</w:t>
            </w:r>
          </w:p>
        </w:tc>
        <w:tc>
          <w:tcPr>
            <w:tcW w:type="dxa" w:w="3326"/>
            <w:tcBorders>
              <w:top w:sz="4" w:val="nil"/>
              <w:left w:sz="4" w:val="nil"/>
              <w:bottom w:color="000000" w:sz="4" w:val="single"/>
              <w:right w:color="000000" w:sz="4" w:val="single"/>
            </w:tcBorders>
            <w:vAlign w:val="center"/>
          </w:tcPr>
          <w:p w14:paraId="10030000">
            <w:pPr>
              <w:spacing w:after="0" w:line="240" w:lineRule="auto"/>
              <w:ind/>
              <w:rPr>
                <w:rFonts w:ascii="Times New Roman" w:hAnsi="Times New Roman"/>
                <w:color w:val="000000"/>
                <w:sz w:val="24"/>
              </w:rPr>
            </w:pPr>
            <w:r>
              <w:rPr>
                <w:rFonts w:ascii="Times New Roman" w:hAnsi="Times New Roman"/>
                <w:color w:val="000000"/>
                <w:sz w:val="24"/>
              </w:rPr>
              <w:t>Разработка правил начисления процентов, учета курсовых разниц, распределения расходов</w:t>
            </w:r>
          </w:p>
        </w:tc>
        <w:tc>
          <w:tcPr>
            <w:tcW w:type="dxa" w:w="2344"/>
            <w:tcBorders>
              <w:top w:sz="4" w:val="nil"/>
              <w:left w:sz="4" w:val="nil"/>
              <w:bottom w:color="000000" w:sz="4" w:val="single"/>
              <w:right w:color="000000" w:sz="4" w:val="single"/>
            </w:tcBorders>
            <w:vAlign w:val="center"/>
          </w:tcPr>
          <w:p w14:paraId="11030000">
            <w:pPr>
              <w:spacing w:after="0" w:line="240" w:lineRule="auto"/>
              <w:ind/>
              <w:rPr>
                <w:rFonts w:ascii="Times New Roman" w:hAnsi="Times New Roman"/>
                <w:color w:val="000000"/>
                <w:sz w:val="24"/>
              </w:rPr>
            </w:pPr>
            <w:r>
              <w:rPr>
                <w:rFonts w:ascii="Times New Roman" w:hAnsi="Times New Roman"/>
                <w:color w:val="000000"/>
                <w:sz w:val="24"/>
              </w:rPr>
              <w:t>Стандартизация процессов и повышение прозрачности учета</w:t>
            </w:r>
          </w:p>
        </w:tc>
      </w:tr>
      <w:tr>
        <w:trPr>
          <w:trHeight w:hRule="atLeast" w:val="1152"/>
        </w:trPr>
        <w:tc>
          <w:tcPr>
            <w:tcW w:type="dxa" w:w="866"/>
            <w:tcBorders>
              <w:top w:sz="4" w:val="nil"/>
              <w:left w:color="000000" w:sz="4" w:val="single"/>
              <w:bottom w:color="000000" w:sz="4" w:val="single"/>
              <w:right w:color="000000" w:sz="4" w:val="single"/>
            </w:tcBorders>
            <w:vAlign w:val="center"/>
          </w:tcPr>
          <w:p w14:paraId="12030000">
            <w:pPr>
              <w:spacing w:after="0" w:line="240" w:lineRule="auto"/>
              <w:ind/>
              <w:jc w:val="right"/>
              <w:rPr>
                <w:rFonts w:ascii="Times New Roman" w:hAnsi="Times New Roman"/>
                <w:color w:val="000000"/>
                <w:sz w:val="24"/>
              </w:rPr>
            </w:pPr>
            <w:r>
              <w:rPr>
                <w:rFonts w:ascii="Times New Roman" w:hAnsi="Times New Roman"/>
                <w:color w:val="000000"/>
                <w:sz w:val="24"/>
              </w:rPr>
              <w:t>4</w:t>
            </w:r>
          </w:p>
        </w:tc>
        <w:tc>
          <w:tcPr>
            <w:tcW w:type="dxa" w:w="2390"/>
            <w:tcBorders>
              <w:top w:sz="4" w:val="nil"/>
              <w:left w:sz="4" w:val="nil"/>
              <w:bottom w:color="000000" w:sz="4" w:val="single"/>
              <w:right w:color="000000" w:sz="4" w:val="single"/>
            </w:tcBorders>
            <w:vAlign w:val="center"/>
          </w:tcPr>
          <w:p w14:paraId="13030000">
            <w:pPr>
              <w:spacing w:after="0" w:line="240" w:lineRule="auto"/>
              <w:ind/>
              <w:rPr>
                <w:rFonts w:ascii="Times New Roman" w:hAnsi="Times New Roman"/>
                <w:color w:val="000000"/>
                <w:sz w:val="24"/>
              </w:rPr>
            </w:pPr>
            <w:r>
              <w:rPr>
                <w:rFonts w:ascii="Times New Roman" w:hAnsi="Times New Roman"/>
                <w:color w:val="000000"/>
                <w:sz w:val="24"/>
              </w:rPr>
              <w:t>Контроль графиков погашения</w:t>
            </w:r>
          </w:p>
        </w:tc>
        <w:tc>
          <w:tcPr>
            <w:tcW w:type="dxa" w:w="3326"/>
            <w:tcBorders>
              <w:top w:sz="4" w:val="nil"/>
              <w:left w:sz="4" w:val="nil"/>
              <w:bottom w:color="000000" w:sz="4" w:val="single"/>
              <w:right w:color="000000" w:sz="4" w:val="single"/>
            </w:tcBorders>
            <w:vAlign w:val="center"/>
          </w:tcPr>
          <w:p w14:paraId="14030000">
            <w:pPr>
              <w:spacing w:after="0" w:line="240" w:lineRule="auto"/>
              <w:ind/>
              <w:rPr>
                <w:rFonts w:ascii="Times New Roman" w:hAnsi="Times New Roman"/>
                <w:color w:val="000000"/>
                <w:sz w:val="24"/>
              </w:rPr>
            </w:pPr>
            <w:r>
              <w:rPr>
                <w:rFonts w:ascii="Times New Roman" w:hAnsi="Times New Roman"/>
                <w:color w:val="000000"/>
                <w:sz w:val="24"/>
              </w:rPr>
              <w:t>План-графики платежей, система уведомлений</w:t>
            </w:r>
          </w:p>
        </w:tc>
        <w:tc>
          <w:tcPr>
            <w:tcW w:type="dxa" w:w="2344"/>
            <w:tcBorders>
              <w:top w:sz="4" w:val="nil"/>
              <w:left w:sz="4" w:val="nil"/>
              <w:bottom w:color="000000" w:sz="4" w:val="single"/>
              <w:right w:color="000000" w:sz="4" w:val="single"/>
            </w:tcBorders>
            <w:vAlign w:val="center"/>
          </w:tcPr>
          <w:p w14:paraId="15030000">
            <w:pPr>
              <w:spacing w:after="0" w:line="240" w:lineRule="auto"/>
              <w:ind/>
              <w:rPr>
                <w:rFonts w:ascii="Times New Roman" w:hAnsi="Times New Roman"/>
                <w:color w:val="000000"/>
                <w:sz w:val="24"/>
              </w:rPr>
            </w:pPr>
            <w:r>
              <w:rPr>
                <w:rFonts w:ascii="Times New Roman" w:hAnsi="Times New Roman"/>
                <w:color w:val="000000"/>
                <w:sz w:val="24"/>
              </w:rPr>
              <w:t>Минимизация просрочек и штрафов, контроль ликвидности</w:t>
            </w:r>
          </w:p>
        </w:tc>
      </w:tr>
      <w:tr>
        <w:trPr>
          <w:trHeight w:hRule="atLeast" w:val="1728"/>
        </w:trPr>
        <w:tc>
          <w:tcPr>
            <w:tcW w:type="dxa" w:w="866"/>
            <w:tcBorders>
              <w:top w:sz="4" w:val="nil"/>
              <w:left w:color="000000" w:sz="4" w:val="single"/>
              <w:bottom w:color="000000" w:sz="4" w:val="single"/>
              <w:right w:color="000000" w:sz="4" w:val="single"/>
            </w:tcBorders>
            <w:vAlign w:val="center"/>
          </w:tcPr>
          <w:p w14:paraId="16030000">
            <w:pPr>
              <w:spacing w:after="0" w:line="240" w:lineRule="auto"/>
              <w:ind/>
              <w:jc w:val="right"/>
              <w:rPr>
                <w:rFonts w:ascii="Times New Roman" w:hAnsi="Times New Roman"/>
                <w:color w:val="000000"/>
                <w:sz w:val="24"/>
              </w:rPr>
            </w:pPr>
            <w:r>
              <w:rPr>
                <w:rFonts w:ascii="Times New Roman" w:hAnsi="Times New Roman"/>
                <w:color w:val="000000"/>
                <w:sz w:val="24"/>
              </w:rPr>
              <w:t>5</w:t>
            </w:r>
          </w:p>
        </w:tc>
        <w:tc>
          <w:tcPr>
            <w:tcW w:type="dxa" w:w="2390"/>
            <w:tcBorders>
              <w:top w:sz="4" w:val="nil"/>
              <w:left w:sz="4" w:val="nil"/>
              <w:bottom w:color="000000" w:sz="4" w:val="single"/>
              <w:right w:color="000000" w:sz="4" w:val="single"/>
            </w:tcBorders>
            <w:vAlign w:val="center"/>
          </w:tcPr>
          <w:p w14:paraId="17030000">
            <w:pPr>
              <w:spacing w:after="0" w:line="240" w:lineRule="auto"/>
              <w:ind/>
              <w:rPr>
                <w:rFonts w:ascii="Times New Roman" w:hAnsi="Times New Roman"/>
                <w:color w:val="000000"/>
                <w:sz w:val="24"/>
              </w:rPr>
            </w:pPr>
            <w:r>
              <w:rPr>
                <w:rFonts w:ascii="Times New Roman" w:hAnsi="Times New Roman"/>
                <w:color w:val="000000"/>
                <w:sz w:val="24"/>
              </w:rPr>
              <w:t>Оптимизация структуры заемных средств</w:t>
            </w:r>
          </w:p>
        </w:tc>
        <w:tc>
          <w:tcPr>
            <w:tcW w:type="dxa" w:w="3326"/>
            <w:tcBorders>
              <w:top w:sz="4" w:val="nil"/>
              <w:left w:sz="4" w:val="nil"/>
              <w:bottom w:color="000000" w:sz="4" w:val="single"/>
              <w:right w:color="000000" w:sz="4" w:val="single"/>
            </w:tcBorders>
            <w:vAlign w:val="center"/>
          </w:tcPr>
          <w:p w14:paraId="18030000">
            <w:pPr>
              <w:spacing w:after="0" w:line="240" w:lineRule="auto"/>
              <w:ind/>
              <w:rPr>
                <w:rFonts w:ascii="Times New Roman" w:hAnsi="Times New Roman"/>
                <w:color w:val="000000"/>
                <w:sz w:val="24"/>
              </w:rPr>
            </w:pPr>
            <w:r>
              <w:rPr>
                <w:rFonts w:ascii="Times New Roman" w:hAnsi="Times New Roman"/>
                <w:color w:val="000000"/>
                <w:sz w:val="24"/>
              </w:rPr>
              <w:t>Балансировка краткосрочных и долгосрочных обязательств, диверсификация источников</w:t>
            </w:r>
          </w:p>
        </w:tc>
        <w:tc>
          <w:tcPr>
            <w:tcW w:type="dxa" w:w="2344"/>
            <w:tcBorders>
              <w:top w:sz="4" w:val="nil"/>
              <w:left w:sz="4" w:val="nil"/>
              <w:bottom w:color="000000" w:sz="4" w:val="single"/>
              <w:right w:color="000000" w:sz="4" w:val="single"/>
            </w:tcBorders>
            <w:vAlign w:val="center"/>
          </w:tcPr>
          <w:p w14:paraId="19030000">
            <w:pPr>
              <w:spacing w:after="0" w:line="240" w:lineRule="auto"/>
              <w:ind/>
              <w:rPr>
                <w:rFonts w:ascii="Times New Roman" w:hAnsi="Times New Roman"/>
                <w:color w:val="000000"/>
                <w:sz w:val="24"/>
              </w:rPr>
            </w:pPr>
            <w:r>
              <w:rPr>
                <w:rFonts w:ascii="Times New Roman" w:hAnsi="Times New Roman"/>
                <w:color w:val="000000"/>
                <w:sz w:val="24"/>
              </w:rPr>
              <w:t>Снижение финансовых рисков и повышение устойчивости</w:t>
            </w:r>
          </w:p>
        </w:tc>
      </w:tr>
      <w:tr>
        <w:trPr>
          <w:trHeight w:hRule="atLeast" w:val="1440"/>
        </w:trPr>
        <w:tc>
          <w:tcPr>
            <w:tcW w:type="dxa" w:w="866"/>
            <w:tcBorders>
              <w:top w:sz="4" w:val="nil"/>
              <w:left w:color="000000" w:sz="4" w:val="single"/>
              <w:bottom w:color="000000" w:sz="4" w:val="single"/>
              <w:right w:color="000000" w:sz="4" w:val="single"/>
            </w:tcBorders>
            <w:vAlign w:val="center"/>
          </w:tcPr>
          <w:p w14:paraId="1A030000">
            <w:pPr>
              <w:spacing w:after="0" w:line="240" w:lineRule="auto"/>
              <w:ind/>
              <w:jc w:val="right"/>
              <w:rPr>
                <w:rFonts w:ascii="Times New Roman" w:hAnsi="Times New Roman"/>
                <w:color w:val="000000"/>
                <w:sz w:val="24"/>
              </w:rPr>
            </w:pPr>
            <w:r>
              <w:rPr>
                <w:rFonts w:ascii="Times New Roman" w:hAnsi="Times New Roman"/>
                <w:color w:val="000000"/>
                <w:sz w:val="24"/>
              </w:rPr>
              <w:t>6</w:t>
            </w:r>
          </w:p>
        </w:tc>
        <w:tc>
          <w:tcPr>
            <w:tcW w:type="dxa" w:w="2390"/>
            <w:tcBorders>
              <w:top w:sz="4" w:val="nil"/>
              <w:left w:sz="4" w:val="nil"/>
              <w:bottom w:color="000000" w:sz="4" w:val="single"/>
              <w:right w:color="000000" w:sz="4" w:val="single"/>
            </w:tcBorders>
            <w:vAlign w:val="center"/>
          </w:tcPr>
          <w:p w14:paraId="1B030000">
            <w:pPr>
              <w:spacing w:after="0" w:line="240" w:lineRule="auto"/>
              <w:ind/>
              <w:rPr>
                <w:rFonts w:ascii="Times New Roman" w:hAnsi="Times New Roman"/>
                <w:color w:val="000000"/>
                <w:sz w:val="24"/>
              </w:rPr>
            </w:pPr>
            <w:r>
              <w:rPr>
                <w:rFonts w:ascii="Times New Roman" w:hAnsi="Times New Roman"/>
                <w:color w:val="000000"/>
                <w:sz w:val="24"/>
              </w:rPr>
              <w:t>Внедрение KPI</w:t>
            </w:r>
          </w:p>
        </w:tc>
        <w:tc>
          <w:tcPr>
            <w:tcW w:type="dxa" w:w="3326"/>
            <w:tcBorders>
              <w:top w:sz="4" w:val="nil"/>
              <w:left w:sz="4" w:val="nil"/>
              <w:bottom w:color="000000" w:sz="4" w:val="single"/>
              <w:right w:color="000000" w:sz="4" w:val="single"/>
            </w:tcBorders>
            <w:vAlign w:val="center"/>
          </w:tcPr>
          <w:p w14:paraId="1C030000">
            <w:pPr>
              <w:spacing w:after="0" w:line="240" w:lineRule="auto"/>
              <w:ind/>
              <w:rPr>
                <w:rFonts w:ascii="Times New Roman" w:hAnsi="Times New Roman"/>
                <w:color w:val="000000"/>
                <w:sz w:val="24"/>
              </w:rPr>
            </w:pPr>
            <w:r>
              <w:rPr>
                <w:rFonts w:ascii="Times New Roman" w:hAnsi="Times New Roman"/>
                <w:color w:val="000000"/>
                <w:sz w:val="24"/>
              </w:rPr>
              <w:t>Коэффициенты кредитной нагрузки, рентабельность заемного капитала, уровень просрочек</w:t>
            </w:r>
          </w:p>
        </w:tc>
        <w:tc>
          <w:tcPr>
            <w:tcW w:type="dxa" w:w="2344"/>
            <w:tcBorders>
              <w:top w:sz="4" w:val="nil"/>
              <w:left w:sz="4" w:val="nil"/>
              <w:bottom w:color="000000" w:sz="4" w:val="single"/>
              <w:right w:color="000000" w:sz="4" w:val="single"/>
            </w:tcBorders>
            <w:vAlign w:val="center"/>
          </w:tcPr>
          <w:p w14:paraId="1D030000">
            <w:pPr>
              <w:spacing w:after="0" w:line="240" w:lineRule="auto"/>
              <w:ind/>
              <w:rPr>
                <w:rFonts w:ascii="Times New Roman" w:hAnsi="Times New Roman"/>
                <w:color w:val="000000"/>
                <w:sz w:val="24"/>
              </w:rPr>
            </w:pPr>
            <w:r>
              <w:rPr>
                <w:rFonts w:ascii="Times New Roman" w:hAnsi="Times New Roman"/>
                <w:color w:val="000000"/>
                <w:sz w:val="24"/>
              </w:rPr>
              <w:t>Своевременное выявление проблем, повышение эффективности управления</w:t>
            </w:r>
          </w:p>
        </w:tc>
      </w:tr>
      <w:tr>
        <w:trPr>
          <w:trHeight w:hRule="atLeast" w:val="1152"/>
        </w:trPr>
        <w:tc>
          <w:tcPr>
            <w:tcW w:type="dxa" w:w="866"/>
            <w:tcBorders>
              <w:top w:sz="4" w:val="nil"/>
              <w:left w:color="000000" w:sz="4" w:val="single"/>
              <w:bottom w:color="000000" w:sz="4" w:val="single"/>
              <w:right w:color="000000" w:sz="4" w:val="single"/>
            </w:tcBorders>
            <w:vAlign w:val="center"/>
          </w:tcPr>
          <w:p w14:paraId="1E030000">
            <w:pPr>
              <w:spacing w:after="0" w:line="240" w:lineRule="auto"/>
              <w:ind/>
              <w:jc w:val="right"/>
              <w:rPr>
                <w:rFonts w:ascii="Times New Roman" w:hAnsi="Times New Roman"/>
                <w:color w:val="000000"/>
                <w:sz w:val="24"/>
              </w:rPr>
            </w:pPr>
            <w:r>
              <w:rPr>
                <w:rFonts w:ascii="Times New Roman" w:hAnsi="Times New Roman"/>
                <w:color w:val="000000"/>
                <w:sz w:val="24"/>
              </w:rPr>
              <w:t>7</w:t>
            </w:r>
          </w:p>
        </w:tc>
        <w:tc>
          <w:tcPr>
            <w:tcW w:type="dxa" w:w="2390"/>
            <w:tcBorders>
              <w:top w:sz="4" w:val="nil"/>
              <w:left w:sz="4" w:val="nil"/>
              <w:bottom w:color="000000" w:sz="4" w:val="single"/>
              <w:right w:color="000000" w:sz="4" w:val="single"/>
            </w:tcBorders>
            <w:vAlign w:val="center"/>
          </w:tcPr>
          <w:p w14:paraId="1F030000">
            <w:pPr>
              <w:spacing w:after="0" w:line="240" w:lineRule="auto"/>
              <w:ind/>
              <w:rPr>
                <w:rFonts w:ascii="Times New Roman" w:hAnsi="Times New Roman"/>
                <w:color w:val="000000"/>
                <w:sz w:val="24"/>
              </w:rPr>
            </w:pPr>
            <w:r>
              <w:rPr>
                <w:rFonts w:ascii="Times New Roman" w:hAnsi="Times New Roman"/>
                <w:color w:val="000000"/>
                <w:sz w:val="24"/>
              </w:rPr>
              <w:t>Учет обеспечения кредитов</w:t>
            </w:r>
          </w:p>
        </w:tc>
        <w:tc>
          <w:tcPr>
            <w:tcW w:type="dxa" w:w="3326"/>
            <w:tcBorders>
              <w:top w:sz="4" w:val="nil"/>
              <w:left w:sz="4" w:val="nil"/>
              <w:bottom w:color="000000" w:sz="4" w:val="single"/>
              <w:right w:color="000000" w:sz="4" w:val="single"/>
            </w:tcBorders>
            <w:vAlign w:val="center"/>
          </w:tcPr>
          <w:p w14:paraId="20030000">
            <w:pPr>
              <w:spacing w:after="0" w:line="240" w:lineRule="auto"/>
              <w:ind/>
              <w:rPr>
                <w:rFonts w:ascii="Times New Roman" w:hAnsi="Times New Roman"/>
                <w:color w:val="000000"/>
                <w:sz w:val="24"/>
              </w:rPr>
            </w:pPr>
            <w:r>
              <w:rPr>
                <w:rFonts w:ascii="Times New Roman" w:hAnsi="Times New Roman"/>
                <w:color w:val="000000"/>
                <w:sz w:val="24"/>
              </w:rPr>
              <w:t>Фиксация залогов, поручительств, гарантий в учетных регистрах</w:t>
            </w:r>
          </w:p>
        </w:tc>
        <w:tc>
          <w:tcPr>
            <w:tcW w:type="dxa" w:w="2344"/>
            <w:tcBorders>
              <w:top w:sz="4" w:val="nil"/>
              <w:left w:sz="4" w:val="nil"/>
              <w:bottom w:color="000000" w:sz="4" w:val="single"/>
              <w:right w:color="000000" w:sz="4" w:val="single"/>
            </w:tcBorders>
            <w:vAlign w:val="center"/>
          </w:tcPr>
          <w:p w14:paraId="21030000">
            <w:pPr>
              <w:spacing w:after="0" w:line="240" w:lineRule="auto"/>
              <w:ind/>
              <w:rPr>
                <w:rFonts w:ascii="Times New Roman" w:hAnsi="Times New Roman"/>
                <w:color w:val="000000"/>
                <w:sz w:val="24"/>
              </w:rPr>
            </w:pPr>
            <w:r>
              <w:rPr>
                <w:rFonts w:ascii="Times New Roman" w:hAnsi="Times New Roman"/>
                <w:color w:val="000000"/>
                <w:sz w:val="24"/>
              </w:rPr>
              <w:t>Повышение прозрачности и оценка защиты обязательств</w:t>
            </w:r>
          </w:p>
        </w:tc>
      </w:tr>
      <w:tr>
        <w:trPr>
          <w:trHeight w:hRule="atLeast" w:val="1152"/>
        </w:trPr>
        <w:tc>
          <w:tcPr>
            <w:tcW w:type="dxa" w:w="866"/>
            <w:tcBorders>
              <w:top w:sz="4" w:val="nil"/>
              <w:left w:color="000000" w:sz="4" w:val="single"/>
              <w:bottom w:color="000000" w:sz="4" w:val="single"/>
              <w:right w:color="000000" w:sz="4" w:val="single"/>
            </w:tcBorders>
            <w:vAlign w:val="center"/>
          </w:tcPr>
          <w:p w14:paraId="22030000">
            <w:pPr>
              <w:spacing w:after="0" w:line="240" w:lineRule="auto"/>
              <w:ind/>
              <w:jc w:val="right"/>
              <w:rPr>
                <w:rFonts w:ascii="Times New Roman" w:hAnsi="Times New Roman"/>
                <w:color w:val="000000"/>
                <w:sz w:val="24"/>
              </w:rPr>
            </w:pPr>
            <w:r>
              <w:rPr>
                <w:rFonts w:ascii="Times New Roman" w:hAnsi="Times New Roman"/>
                <w:color w:val="000000"/>
                <w:sz w:val="24"/>
              </w:rPr>
              <w:t>8</w:t>
            </w:r>
          </w:p>
        </w:tc>
        <w:tc>
          <w:tcPr>
            <w:tcW w:type="dxa" w:w="2390"/>
            <w:tcBorders>
              <w:top w:sz="4" w:val="nil"/>
              <w:left w:sz="4" w:val="nil"/>
              <w:bottom w:color="000000" w:sz="4" w:val="single"/>
              <w:right w:color="000000" w:sz="4" w:val="single"/>
            </w:tcBorders>
            <w:vAlign w:val="center"/>
          </w:tcPr>
          <w:p w14:paraId="23030000">
            <w:pPr>
              <w:spacing w:after="0" w:line="240" w:lineRule="auto"/>
              <w:ind/>
              <w:rPr>
                <w:rFonts w:ascii="Times New Roman" w:hAnsi="Times New Roman"/>
                <w:color w:val="000000"/>
                <w:sz w:val="24"/>
              </w:rPr>
            </w:pPr>
            <w:r>
              <w:rPr>
                <w:rFonts w:ascii="Times New Roman" w:hAnsi="Times New Roman"/>
                <w:color w:val="000000"/>
                <w:sz w:val="24"/>
              </w:rPr>
              <w:t>Внутренний аудит кредитных операций</w:t>
            </w:r>
          </w:p>
        </w:tc>
        <w:tc>
          <w:tcPr>
            <w:tcW w:type="dxa" w:w="3326"/>
            <w:tcBorders>
              <w:top w:sz="4" w:val="nil"/>
              <w:left w:sz="4" w:val="nil"/>
              <w:bottom w:color="000000" w:sz="4" w:val="single"/>
              <w:right w:color="000000" w:sz="4" w:val="single"/>
            </w:tcBorders>
            <w:vAlign w:val="center"/>
          </w:tcPr>
          <w:p w14:paraId="24030000">
            <w:pPr>
              <w:spacing w:after="0" w:line="240" w:lineRule="auto"/>
              <w:ind/>
              <w:rPr>
                <w:rFonts w:ascii="Times New Roman" w:hAnsi="Times New Roman"/>
                <w:color w:val="000000"/>
                <w:sz w:val="24"/>
              </w:rPr>
            </w:pPr>
            <w:r>
              <w:rPr>
                <w:rFonts w:ascii="Times New Roman" w:hAnsi="Times New Roman"/>
                <w:color w:val="000000"/>
                <w:sz w:val="24"/>
              </w:rPr>
              <w:t>Регулярная проверка операций и соблюдения условий договоров</w:t>
            </w:r>
          </w:p>
        </w:tc>
        <w:tc>
          <w:tcPr>
            <w:tcW w:type="dxa" w:w="2344"/>
            <w:tcBorders>
              <w:top w:sz="4" w:val="nil"/>
              <w:left w:sz="4" w:val="nil"/>
              <w:bottom w:color="000000" w:sz="4" w:val="single"/>
              <w:right w:color="000000" w:sz="4" w:val="single"/>
            </w:tcBorders>
            <w:vAlign w:val="center"/>
          </w:tcPr>
          <w:p w14:paraId="25030000">
            <w:pPr>
              <w:spacing w:after="0" w:line="240" w:lineRule="auto"/>
              <w:ind/>
              <w:rPr>
                <w:rFonts w:ascii="Times New Roman" w:hAnsi="Times New Roman"/>
                <w:color w:val="000000"/>
                <w:sz w:val="24"/>
              </w:rPr>
            </w:pPr>
            <w:r>
              <w:rPr>
                <w:rFonts w:ascii="Times New Roman" w:hAnsi="Times New Roman"/>
                <w:color w:val="000000"/>
                <w:sz w:val="24"/>
              </w:rPr>
              <w:t>Достоверность отчетности, снижение риска финансовых потерь</w:t>
            </w:r>
          </w:p>
        </w:tc>
      </w:tr>
      <w:tr>
        <w:trPr>
          <w:trHeight w:hRule="atLeast" w:val="1152"/>
        </w:trPr>
        <w:tc>
          <w:tcPr>
            <w:tcW w:type="dxa" w:w="866"/>
            <w:tcBorders>
              <w:top w:sz="4" w:val="nil"/>
              <w:left w:color="000000" w:sz="4" w:val="single"/>
              <w:bottom w:color="000000" w:sz="4" w:val="single"/>
              <w:right w:color="000000" w:sz="4" w:val="single"/>
            </w:tcBorders>
            <w:vAlign w:val="center"/>
          </w:tcPr>
          <w:p w14:paraId="26030000">
            <w:pPr>
              <w:spacing w:after="0" w:line="240" w:lineRule="auto"/>
              <w:ind/>
              <w:jc w:val="right"/>
              <w:rPr>
                <w:rFonts w:ascii="Times New Roman" w:hAnsi="Times New Roman"/>
                <w:color w:val="000000"/>
                <w:sz w:val="24"/>
              </w:rPr>
            </w:pPr>
            <w:r>
              <w:rPr>
                <w:rFonts w:ascii="Times New Roman" w:hAnsi="Times New Roman"/>
                <w:color w:val="000000"/>
                <w:sz w:val="24"/>
              </w:rPr>
              <w:t>9</w:t>
            </w:r>
          </w:p>
        </w:tc>
        <w:tc>
          <w:tcPr>
            <w:tcW w:type="dxa" w:w="2390"/>
            <w:tcBorders>
              <w:top w:sz="4" w:val="nil"/>
              <w:left w:sz="4" w:val="nil"/>
              <w:bottom w:color="000000" w:sz="4" w:val="single"/>
              <w:right w:color="000000" w:sz="4" w:val="single"/>
            </w:tcBorders>
            <w:vAlign w:val="center"/>
          </w:tcPr>
          <w:p w14:paraId="27030000">
            <w:pPr>
              <w:spacing w:after="0" w:line="240" w:lineRule="auto"/>
              <w:ind/>
              <w:rPr>
                <w:rFonts w:ascii="Times New Roman" w:hAnsi="Times New Roman"/>
                <w:color w:val="000000"/>
                <w:sz w:val="24"/>
              </w:rPr>
            </w:pPr>
            <w:r>
              <w:rPr>
                <w:rFonts w:ascii="Times New Roman" w:hAnsi="Times New Roman"/>
                <w:color w:val="000000"/>
                <w:sz w:val="24"/>
              </w:rPr>
              <w:t>Финансовое планирование</w:t>
            </w:r>
          </w:p>
        </w:tc>
        <w:tc>
          <w:tcPr>
            <w:tcW w:type="dxa" w:w="3326"/>
            <w:tcBorders>
              <w:top w:sz="4" w:val="nil"/>
              <w:left w:sz="4" w:val="nil"/>
              <w:bottom w:color="000000" w:sz="4" w:val="single"/>
              <w:right w:color="000000" w:sz="4" w:val="single"/>
            </w:tcBorders>
            <w:vAlign w:val="center"/>
          </w:tcPr>
          <w:p w14:paraId="28030000">
            <w:pPr>
              <w:spacing w:after="0" w:line="240" w:lineRule="auto"/>
              <w:ind/>
              <w:rPr>
                <w:rFonts w:ascii="Times New Roman" w:hAnsi="Times New Roman"/>
                <w:color w:val="000000"/>
                <w:sz w:val="24"/>
              </w:rPr>
            </w:pPr>
            <w:r>
              <w:rPr>
                <w:rFonts w:ascii="Times New Roman" w:hAnsi="Times New Roman"/>
                <w:color w:val="000000"/>
                <w:sz w:val="24"/>
              </w:rPr>
              <w:t>Прогнозирование движения денежных средств с учетом обязательств</w:t>
            </w:r>
          </w:p>
        </w:tc>
        <w:tc>
          <w:tcPr>
            <w:tcW w:type="dxa" w:w="2344"/>
            <w:tcBorders>
              <w:top w:sz="4" w:val="nil"/>
              <w:left w:sz="4" w:val="nil"/>
              <w:bottom w:color="000000" w:sz="4" w:val="single"/>
              <w:right w:color="000000" w:sz="4" w:val="single"/>
            </w:tcBorders>
            <w:vAlign w:val="center"/>
          </w:tcPr>
          <w:p w14:paraId="29030000">
            <w:pPr>
              <w:spacing w:after="0" w:line="240" w:lineRule="auto"/>
              <w:ind/>
              <w:rPr>
                <w:rFonts w:ascii="Times New Roman" w:hAnsi="Times New Roman"/>
                <w:color w:val="000000"/>
                <w:sz w:val="24"/>
              </w:rPr>
            </w:pPr>
            <w:r>
              <w:rPr>
                <w:rFonts w:ascii="Times New Roman" w:hAnsi="Times New Roman"/>
                <w:color w:val="000000"/>
                <w:sz w:val="24"/>
              </w:rPr>
              <w:t>Оптимизация платежей, предотвращение кассовых разрывов</w:t>
            </w:r>
          </w:p>
        </w:tc>
      </w:tr>
      <w:tr>
        <w:trPr>
          <w:trHeight w:hRule="atLeast" w:val="1152"/>
        </w:trPr>
        <w:tc>
          <w:tcPr>
            <w:tcW w:type="dxa" w:w="866"/>
            <w:tcBorders>
              <w:top w:sz="4" w:val="nil"/>
              <w:left w:color="000000" w:sz="4" w:val="single"/>
              <w:bottom w:color="000000" w:sz="4" w:val="single"/>
              <w:right w:color="000000" w:sz="4" w:val="single"/>
            </w:tcBorders>
            <w:vAlign w:val="center"/>
          </w:tcPr>
          <w:p w14:paraId="2A030000">
            <w:pPr>
              <w:spacing w:after="0" w:line="240" w:lineRule="auto"/>
              <w:ind/>
              <w:jc w:val="right"/>
              <w:rPr>
                <w:rFonts w:ascii="Times New Roman" w:hAnsi="Times New Roman"/>
                <w:color w:val="000000"/>
                <w:sz w:val="24"/>
              </w:rPr>
            </w:pPr>
            <w:r>
              <w:rPr>
                <w:rFonts w:ascii="Times New Roman" w:hAnsi="Times New Roman"/>
                <w:color w:val="000000"/>
                <w:sz w:val="24"/>
              </w:rPr>
              <w:t>10</w:t>
            </w:r>
          </w:p>
        </w:tc>
        <w:tc>
          <w:tcPr>
            <w:tcW w:type="dxa" w:w="2390"/>
            <w:tcBorders>
              <w:top w:sz="4" w:val="nil"/>
              <w:left w:sz="4" w:val="nil"/>
              <w:bottom w:color="000000" w:sz="4" w:val="single"/>
              <w:right w:color="000000" w:sz="4" w:val="single"/>
            </w:tcBorders>
            <w:vAlign w:val="center"/>
          </w:tcPr>
          <w:p w14:paraId="2B030000">
            <w:pPr>
              <w:spacing w:after="0" w:line="240" w:lineRule="auto"/>
              <w:ind/>
              <w:rPr>
                <w:rFonts w:ascii="Times New Roman" w:hAnsi="Times New Roman"/>
                <w:color w:val="000000"/>
                <w:sz w:val="24"/>
              </w:rPr>
            </w:pPr>
            <w:r>
              <w:rPr>
                <w:rFonts w:ascii="Times New Roman" w:hAnsi="Times New Roman"/>
                <w:color w:val="000000"/>
                <w:sz w:val="24"/>
              </w:rPr>
              <w:t>Контроль процентных расходов</w:t>
            </w:r>
          </w:p>
        </w:tc>
        <w:tc>
          <w:tcPr>
            <w:tcW w:type="dxa" w:w="3326"/>
            <w:tcBorders>
              <w:top w:sz="4" w:val="nil"/>
              <w:left w:sz="4" w:val="nil"/>
              <w:bottom w:color="000000" w:sz="4" w:val="single"/>
              <w:right w:color="000000" w:sz="4" w:val="single"/>
            </w:tcBorders>
            <w:vAlign w:val="center"/>
          </w:tcPr>
          <w:p w14:paraId="2C030000">
            <w:pPr>
              <w:spacing w:after="0" w:line="240" w:lineRule="auto"/>
              <w:ind/>
              <w:rPr>
                <w:rFonts w:ascii="Times New Roman" w:hAnsi="Times New Roman"/>
                <w:color w:val="000000"/>
                <w:sz w:val="24"/>
              </w:rPr>
            </w:pPr>
            <w:r>
              <w:rPr>
                <w:rFonts w:ascii="Times New Roman" w:hAnsi="Times New Roman"/>
                <w:color w:val="000000"/>
                <w:sz w:val="24"/>
              </w:rPr>
              <w:t>Сравнение ставок по займам, поиск выгодных условий</w:t>
            </w:r>
          </w:p>
        </w:tc>
        <w:tc>
          <w:tcPr>
            <w:tcW w:type="dxa" w:w="2344"/>
            <w:tcBorders>
              <w:top w:sz="4" w:val="nil"/>
              <w:left w:sz="4" w:val="nil"/>
              <w:bottom w:color="000000" w:sz="4" w:val="single"/>
              <w:right w:color="000000" w:sz="4" w:val="single"/>
            </w:tcBorders>
            <w:vAlign w:val="center"/>
          </w:tcPr>
          <w:p w14:paraId="2D030000">
            <w:pPr>
              <w:spacing w:after="0" w:line="240" w:lineRule="auto"/>
              <w:ind/>
              <w:rPr>
                <w:rFonts w:ascii="Times New Roman" w:hAnsi="Times New Roman"/>
                <w:color w:val="000000"/>
                <w:sz w:val="24"/>
              </w:rPr>
            </w:pPr>
            <w:r>
              <w:rPr>
                <w:rFonts w:ascii="Times New Roman" w:hAnsi="Times New Roman"/>
                <w:color w:val="000000"/>
                <w:sz w:val="24"/>
              </w:rPr>
              <w:t>Снижение финансовой нагрузки, повышение рентабельности</w:t>
            </w:r>
          </w:p>
        </w:tc>
      </w:tr>
      <w:tr>
        <w:trPr>
          <w:trHeight w:hRule="atLeast" w:val="1152"/>
        </w:trPr>
        <w:tc>
          <w:tcPr>
            <w:tcW w:type="dxa" w:w="866"/>
            <w:tcBorders>
              <w:top w:sz="4" w:val="nil"/>
              <w:left w:color="000000" w:sz="4" w:val="single"/>
              <w:bottom w:color="000000" w:sz="4" w:val="single"/>
              <w:right w:color="000000" w:sz="4" w:val="single"/>
            </w:tcBorders>
            <w:vAlign w:val="center"/>
          </w:tcPr>
          <w:p w14:paraId="2E030000">
            <w:pPr>
              <w:spacing w:after="0" w:line="240" w:lineRule="auto"/>
              <w:ind/>
              <w:jc w:val="right"/>
              <w:rPr>
                <w:rFonts w:ascii="Times New Roman" w:hAnsi="Times New Roman"/>
                <w:color w:val="000000"/>
                <w:sz w:val="24"/>
              </w:rPr>
            </w:pPr>
            <w:r>
              <w:rPr>
                <w:rFonts w:ascii="Times New Roman" w:hAnsi="Times New Roman"/>
                <w:color w:val="000000"/>
                <w:sz w:val="24"/>
              </w:rPr>
              <w:t>11</w:t>
            </w:r>
          </w:p>
        </w:tc>
        <w:tc>
          <w:tcPr>
            <w:tcW w:type="dxa" w:w="2390"/>
            <w:tcBorders>
              <w:top w:sz="4" w:val="nil"/>
              <w:left w:sz="4" w:val="nil"/>
              <w:bottom w:color="000000" w:sz="4" w:val="single"/>
              <w:right w:color="000000" w:sz="4" w:val="single"/>
            </w:tcBorders>
            <w:vAlign w:val="center"/>
          </w:tcPr>
          <w:p w14:paraId="2F030000">
            <w:pPr>
              <w:spacing w:after="0" w:line="240" w:lineRule="auto"/>
              <w:ind/>
              <w:rPr>
                <w:rFonts w:ascii="Times New Roman" w:hAnsi="Times New Roman"/>
                <w:color w:val="000000"/>
                <w:sz w:val="24"/>
              </w:rPr>
            </w:pPr>
            <w:r>
              <w:rPr>
                <w:rFonts w:ascii="Times New Roman" w:hAnsi="Times New Roman"/>
                <w:color w:val="000000"/>
                <w:sz w:val="24"/>
              </w:rPr>
              <w:t>Система интегрированной отчетности</w:t>
            </w:r>
          </w:p>
        </w:tc>
        <w:tc>
          <w:tcPr>
            <w:tcW w:type="dxa" w:w="3326"/>
            <w:tcBorders>
              <w:top w:sz="4" w:val="nil"/>
              <w:left w:sz="4" w:val="nil"/>
              <w:bottom w:color="000000" w:sz="4" w:val="single"/>
              <w:right w:color="000000" w:sz="4" w:val="single"/>
            </w:tcBorders>
            <w:vAlign w:val="center"/>
          </w:tcPr>
          <w:p w14:paraId="30030000">
            <w:pPr>
              <w:spacing w:after="0" w:line="240" w:lineRule="auto"/>
              <w:ind/>
              <w:rPr>
                <w:rFonts w:ascii="Times New Roman" w:hAnsi="Times New Roman"/>
                <w:color w:val="000000"/>
                <w:sz w:val="24"/>
              </w:rPr>
            </w:pPr>
            <w:r>
              <w:rPr>
                <w:rFonts w:ascii="Times New Roman" w:hAnsi="Times New Roman"/>
                <w:color w:val="000000"/>
                <w:sz w:val="24"/>
              </w:rPr>
              <w:t>Формирование сводных и детализированных отчетов по кредитам</w:t>
            </w:r>
          </w:p>
        </w:tc>
        <w:tc>
          <w:tcPr>
            <w:tcW w:type="dxa" w:w="2344"/>
            <w:tcBorders>
              <w:top w:sz="4" w:val="nil"/>
              <w:left w:sz="4" w:val="nil"/>
              <w:bottom w:color="000000" w:sz="4" w:val="single"/>
              <w:right w:color="000000" w:sz="4" w:val="single"/>
            </w:tcBorders>
            <w:vAlign w:val="center"/>
          </w:tcPr>
          <w:p w14:paraId="31030000">
            <w:pPr>
              <w:spacing w:after="0" w:line="240" w:lineRule="auto"/>
              <w:ind/>
              <w:rPr>
                <w:rFonts w:ascii="Times New Roman" w:hAnsi="Times New Roman"/>
                <w:color w:val="000000"/>
                <w:sz w:val="24"/>
              </w:rPr>
            </w:pPr>
            <w:r>
              <w:rPr>
                <w:rFonts w:ascii="Times New Roman" w:hAnsi="Times New Roman"/>
                <w:color w:val="000000"/>
                <w:sz w:val="24"/>
              </w:rPr>
              <w:t>Повышение управляемости и оперативность принятия решений</w:t>
            </w:r>
          </w:p>
        </w:tc>
      </w:tr>
      <w:tr>
        <w:trPr>
          <w:trHeight w:hRule="atLeast" w:val="1440"/>
        </w:trPr>
        <w:tc>
          <w:tcPr>
            <w:tcW w:type="dxa" w:w="866"/>
            <w:tcBorders>
              <w:top w:sz="4" w:val="nil"/>
              <w:left w:color="000000" w:sz="4" w:val="single"/>
              <w:bottom w:color="000000" w:sz="4" w:val="single"/>
              <w:right w:color="000000" w:sz="4" w:val="single"/>
            </w:tcBorders>
            <w:vAlign w:val="center"/>
          </w:tcPr>
          <w:p w14:paraId="32030000">
            <w:pPr>
              <w:spacing w:after="0" w:line="240" w:lineRule="auto"/>
              <w:ind/>
              <w:jc w:val="right"/>
              <w:rPr>
                <w:rFonts w:ascii="Times New Roman" w:hAnsi="Times New Roman"/>
                <w:color w:val="000000"/>
                <w:sz w:val="24"/>
              </w:rPr>
            </w:pPr>
            <w:r>
              <w:rPr>
                <w:rFonts w:ascii="Times New Roman" w:hAnsi="Times New Roman"/>
                <w:color w:val="000000"/>
                <w:sz w:val="24"/>
              </w:rPr>
              <w:t>12</w:t>
            </w:r>
          </w:p>
        </w:tc>
        <w:tc>
          <w:tcPr>
            <w:tcW w:type="dxa" w:w="2390"/>
            <w:tcBorders>
              <w:top w:sz="4" w:val="nil"/>
              <w:left w:sz="4" w:val="nil"/>
              <w:bottom w:color="000000" w:sz="4" w:val="single"/>
              <w:right w:color="000000" w:sz="4" w:val="single"/>
            </w:tcBorders>
            <w:vAlign w:val="center"/>
          </w:tcPr>
          <w:p w14:paraId="33030000">
            <w:pPr>
              <w:spacing w:after="0" w:line="240" w:lineRule="auto"/>
              <w:ind/>
              <w:rPr>
                <w:rFonts w:ascii="Times New Roman" w:hAnsi="Times New Roman"/>
                <w:color w:val="000000"/>
                <w:sz w:val="24"/>
              </w:rPr>
            </w:pPr>
            <w:r>
              <w:rPr>
                <w:rFonts w:ascii="Times New Roman" w:hAnsi="Times New Roman"/>
                <w:color w:val="000000"/>
                <w:sz w:val="24"/>
              </w:rPr>
              <w:t>Раннее выявление рисков неплатежей</w:t>
            </w:r>
          </w:p>
        </w:tc>
        <w:tc>
          <w:tcPr>
            <w:tcW w:type="dxa" w:w="3326"/>
            <w:tcBorders>
              <w:top w:sz="4" w:val="nil"/>
              <w:left w:sz="4" w:val="nil"/>
              <w:bottom w:color="000000" w:sz="4" w:val="single"/>
              <w:right w:color="000000" w:sz="4" w:val="single"/>
            </w:tcBorders>
            <w:vAlign w:val="center"/>
          </w:tcPr>
          <w:p w14:paraId="34030000">
            <w:pPr>
              <w:spacing w:after="0" w:line="240" w:lineRule="auto"/>
              <w:ind/>
              <w:rPr>
                <w:rFonts w:ascii="Times New Roman" w:hAnsi="Times New Roman"/>
                <w:color w:val="000000"/>
                <w:sz w:val="24"/>
              </w:rPr>
            </w:pPr>
            <w:r>
              <w:rPr>
                <w:rFonts w:ascii="Times New Roman" w:hAnsi="Times New Roman"/>
                <w:color w:val="000000"/>
                <w:sz w:val="24"/>
              </w:rPr>
              <w:t>Мониторинг финансового состояния контрагентов, анализ просрочек</w:t>
            </w:r>
          </w:p>
        </w:tc>
        <w:tc>
          <w:tcPr>
            <w:tcW w:type="dxa" w:w="2344"/>
            <w:tcBorders>
              <w:top w:sz="4" w:val="nil"/>
              <w:left w:sz="4" w:val="nil"/>
              <w:bottom w:color="000000" w:sz="4" w:val="single"/>
              <w:right w:color="000000" w:sz="4" w:val="single"/>
            </w:tcBorders>
            <w:vAlign w:val="center"/>
          </w:tcPr>
          <w:p w14:paraId="35030000">
            <w:pPr>
              <w:spacing w:after="0" w:line="240" w:lineRule="auto"/>
              <w:ind/>
              <w:rPr>
                <w:rFonts w:ascii="Times New Roman" w:hAnsi="Times New Roman"/>
                <w:color w:val="000000"/>
                <w:sz w:val="24"/>
              </w:rPr>
            </w:pPr>
            <w:r>
              <w:rPr>
                <w:rFonts w:ascii="Times New Roman" w:hAnsi="Times New Roman"/>
                <w:color w:val="000000"/>
                <w:sz w:val="24"/>
              </w:rPr>
              <w:t>Минимизация риска невозврата заемных средств</w:t>
            </w:r>
          </w:p>
        </w:tc>
      </w:tr>
      <w:tr>
        <w:trPr>
          <w:trHeight w:hRule="atLeast" w:val="1440"/>
        </w:trPr>
        <w:tc>
          <w:tcPr>
            <w:tcW w:type="dxa" w:w="866"/>
            <w:tcBorders>
              <w:top w:sz="4" w:val="nil"/>
              <w:left w:color="000000" w:sz="4" w:val="single"/>
              <w:bottom w:color="000000" w:sz="4" w:val="single"/>
              <w:right w:color="000000" w:sz="4" w:val="single"/>
            </w:tcBorders>
            <w:vAlign w:val="center"/>
          </w:tcPr>
          <w:p w14:paraId="36030000">
            <w:pPr>
              <w:spacing w:after="0" w:line="240" w:lineRule="auto"/>
              <w:ind/>
              <w:jc w:val="right"/>
              <w:rPr>
                <w:rFonts w:ascii="Times New Roman" w:hAnsi="Times New Roman"/>
                <w:color w:val="000000"/>
                <w:sz w:val="24"/>
              </w:rPr>
            </w:pPr>
            <w:r>
              <w:rPr>
                <w:rFonts w:ascii="Times New Roman" w:hAnsi="Times New Roman"/>
                <w:color w:val="000000"/>
                <w:sz w:val="24"/>
              </w:rPr>
              <w:t>13</w:t>
            </w:r>
          </w:p>
        </w:tc>
        <w:tc>
          <w:tcPr>
            <w:tcW w:type="dxa" w:w="2390"/>
            <w:tcBorders>
              <w:top w:sz="4" w:val="nil"/>
              <w:left w:sz="4" w:val="nil"/>
              <w:bottom w:color="000000" w:sz="4" w:val="single"/>
              <w:right w:color="000000" w:sz="4" w:val="single"/>
            </w:tcBorders>
            <w:vAlign w:val="center"/>
          </w:tcPr>
          <w:p w14:paraId="37030000">
            <w:pPr>
              <w:spacing w:after="0" w:line="240" w:lineRule="auto"/>
              <w:ind/>
              <w:rPr>
                <w:rFonts w:ascii="Times New Roman" w:hAnsi="Times New Roman"/>
                <w:color w:val="000000"/>
                <w:sz w:val="24"/>
              </w:rPr>
            </w:pPr>
            <w:r>
              <w:rPr>
                <w:rFonts w:ascii="Times New Roman" w:hAnsi="Times New Roman"/>
                <w:color w:val="000000"/>
                <w:sz w:val="24"/>
              </w:rPr>
              <w:t>Актуализация учетной политики</w:t>
            </w:r>
          </w:p>
        </w:tc>
        <w:tc>
          <w:tcPr>
            <w:tcW w:type="dxa" w:w="3326"/>
            <w:tcBorders>
              <w:top w:sz="4" w:val="nil"/>
              <w:left w:sz="4" w:val="nil"/>
              <w:bottom w:color="000000" w:sz="4" w:val="single"/>
              <w:right w:color="000000" w:sz="4" w:val="single"/>
            </w:tcBorders>
            <w:vAlign w:val="center"/>
          </w:tcPr>
          <w:p w14:paraId="38030000">
            <w:pPr>
              <w:spacing w:after="0" w:line="240" w:lineRule="auto"/>
              <w:ind/>
              <w:rPr>
                <w:rFonts w:ascii="Times New Roman" w:hAnsi="Times New Roman"/>
                <w:color w:val="000000"/>
                <w:sz w:val="24"/>
              </w:rPr>
            </w:pPr>
            <w:r>
              <w:rPr>
                <w:rFonts w:ascii="Times New Roman" w:hAnsi="Times New Roman"/>
                <w:color w:val="000000"/>
                <w:sz w:val="24"/>
              </w:rPr>
              <w:t>Пересмотр с учетом изменений законодательства и методических рекомендаций</w:t>
            </w:r>
          </w:p>
        </w:tc>
        <w:tc>
          <w:tcPr>
            <w:tcW w:type="dxa" w:w="2344"/>
            <w:tcBorders>
              <w:top w:sz="4" w:val="nil"/>
              <w:left w:sz="4" w:val="nil"/>
              <w:bottom w:color="000000" w:sz="4" w:val="single"/>
              <w:right w:color="000000" w:sz="4" w:val="single"/>
            </w:tcBorders>
            <w:vAlign w:val="center"/>
          </w:tcPr>
          <w:p w14:paraId="39030000">
            <w:pPr>
              <w:spacing w:after="0" w:line="240" w:lineRule="auto"/>
              <w:ind/>
              <w:rPr>
                <w:rFonts w:ascii="Times New Roman" w:hAnsi="Times New Roman"/>
                <w:color w:val="000000"/>
                <w:sz w:val="24"/>
              </w:rPr>
            </w:pPr>
            <w:r>
              <w:rPr>
                <w:rFonts w:ascii="Times New Roman" w:hAnsi="Times New Roman"/>
                <w:color w:val="000000"/>
                <w:sz w:val="24"/>
              </w:rPr>
              <w:t>Соответствие нормативным требованиям и повышение качества учета</w:t>
            </w:r>
          </w:p>
        </w:tc>
      </w:tr>
      <w:tr>
        <w:trPr>
          <w:trHeight w:hRule="atLeast" w:val="1440"/>
        </w:trPr>
        <w:tc>
          <w:tcPr>
            <w:tcW w:type="dxa" w:w="866"/>
            <w:tcBorders>
              <w:top w:sz="4" w:val="nil"/>
              <w:left w:color="000000" w:sz="4" w:val="single"/>
              <w:bottom w:color="000000" w:sz="4" w:val="single"/>
              <w:right w:color="000000" w:sz="4" w:val="single"/>
            </w:tcBorders>
            <w:vAlign w:val="center"/>
          </w:tcPr>
          <w:p w14:paraId="3A030000">
            <w:pPr>
              <w:spacing w:after="0" w:line="240" w:lineRule="auto"/>
              <w:ind/>
              <w:jc w:val="right"/>
              <w:rPr>
                <w:rFonts w:ascii="Times New Roman" w:hAnsi="Times New Roman"/>
                <w:color w:val="000000"/>
                <w:sz w:val="24"/>
              </w:rPr>
            </w:pPr>
            <w:r>
              <w:rPr>
                <w:rFonts w:ascii="Times New Roman" w:hAnsi="Times New Roman"/>
                <w:color w:val="000000"/>
                <w:sz w:val="24"/>
              </w:rPr>
              <w:t>14</w:t>
            </w:r>
          </w:p>
        </w:tc>
        <w:tc>
          <w:tcPr>
            <w:tcW w:type="dxa" w:w="2390"/>
            <w:tcBorders>
              <w:top w:sz="4" w:val="nil"/>
              <w:left w:sz="4" w:val="nil"/>
              <w:bottom w:color="000000" w:sz="4" w:val="single"/>
              <w:right w:color="000000" w:sz="4" w:val="single"/>
            </w:tcBorders>
            <w:vAlign w:val="center"/>
          </w:tcPr>
          <w:p w14:paraId="3B030000">
            <w:pPr>
              <w:spacing w:after="0" w:line="240" w:lineRule="auto"/>
              <w:ind/>
              <w:rPr>
                <w:rFonts w:ascii="Times New Roman" w:hAnsi="Times New Roman"/>
                <w:color w:val="000000"/>
                <w:sz w:val="24"/>
              </w:rPr>
            </w:pPr>
            <w:r>
              <w:rPr>
                <w:rFonts w:ascii="Times New Roman" w:hAnsi="Times New Roman"/>
                <w:color w:val="000000"/>
                <w:sz w:val="24"/>
              </w:rPr>
              <w:t>Обучение персонала</w:t>
            </w:r>
          </w:p>
        </w:tc>
        <w:tc>
          <w:tcPr>
            <w:tcW w:type="dxa" w:w="3326"/>
            <w:tcBorders>
              <w:top w:sz="4" w:val="nil"/>
              <w:left w:sz="4" w:val="nil"/>
              <w:bottom w:color="000000" w:sz="4" w:val="single"/>
              <w:right w:color="000000" w:sz="4" w:val="single"/>
            </w:tcBorders>
            <w:vAlign w:val="center"/>
          </w:tcPr>
          <w:p w14:paraId="3C030000">
            <w:pPr>
              <w:spacing w:after="0" w:line="240" w:lineRule="auto"/>
              <w:ind/>
              <w:rPr>
                <w:rFonts w:ascii="Times New Roman" w:hAnsi="Times New Roman"/>
                <w:color w:val="000000"/>
                <w:sz w:val="24"/>
              </w:rPr>
            </w:pPr>
            <w:r>
              <w:rPr>
                <w:rFonts w:ascii="Times New Roman" w:hAnsi="Times New Roman"/>
                <w:color w:val="000000"/>
                <w:sz w:val="24"/>
              </w:rPr>
              <w:t>Повышение квалификации сотрудников бухгалтерии и финансового отдела</w:t>
            </w:r>
          </w:p>
        </w:tc>
        <w:tc>
          <w:tcPr>
            <w:tcW w:type="dxa" w:w="2344"/>
            <w:tcBorders>
              <w:top w:sz="4" w:val="nil"/>
              <w:left w:sz="4" w:val="nil"/>
              <w:bottom w:color="000000" w:sz="4" w:val="single"/>
              <w:right w:color="000000" w:sz="4" w:val="single"/>
            </w:tcBorders>
            <w:vAlign w:val="center"/>
          </w:tcPr>
          <w:p w14:paraId="3D030000">
            <w:pPr>
              <w:spacing w:after="0" w:line="240" w:lineRule="auto"/>
              <w:ind/>
              <w:rPr>
                <w:rFonts w:ascii="Times New Roman" w:hAnsi="Times New Roman"/>
                <w:color w:val="000000"/>
                <w:sz w:val="24"/>
              </w:rPr>
            </w:pPr>
            <w:r>
              <w:rPr>
                <w:rFonts w:ascii="Times New Roman" w:hAnsi="Times New Roman"/>
                <w:color w:val="000000"/>
                <w:sz w:val="24"/>
              </w:rPr>
              <w:t>Повышение компетентности и точности ведения учета</w:t>
            </w:r>
          </w:p>
        </w:tc>
      </w:tr>
      <w:tr>
        <w:trPr>
          <w:trHeight w:hRule="atLeast" w:val="1440"/>
        </w:trPr>
        <w:tc>
          <w:tcPr>
            <w:tcW w:type="dxa" w:w="866"/>
            <w:tcBorders>
              <w:top w:sz="4" w:val="nil"/>
              <w:left w:color="000000" w:sz="4" w:val="single"/>
              <w:bottom w:color="000000" w:sz="4" w:val="single"/>
              <w:right w:color="000000" w:sz="4" w:val="single"/>
            </w:tcBorders>
            <w:vAlign w:val="center"/>
          </w:tcPr>
          <w:p w14:paraId="3E030000">
            <w:pPr>
              <w:spacing w:after="0" w:line="240" w:lineRule="auto"/>
              <w:ind/>
              <w:jc w:val="right"/>
              <w:rPr>
                <w:rFonts w:ascii="Times New Roman" w:hAnsi="Times New Roman"/>
                <w:color w:val="000000"/>
                <w:sz w:val="24"/>
              </w:rPr>
            </w:pPr>
            <w:r>
              <w:rPr>
                <w:rFonts w:ascii="Times New Roman" w:hAnsi="Times New Roman"/>
                <w:color w:val="000000"/>
                <w:sz w:val="24"/>
              </w:rPr>
              <w:t>15</w:t>
            </w:r>
          </w:p>
        </w:tc>
        <w:tc>
          <w:tcPr>
            <w:tcW w:type="dxa" w:w="2390"/>
            <w:tcBorders>
              <w:top w:sz="4" w:val="nil"/>
              <w:left w:sz="4" w:val="nil"/>
              <w:bottom w:color="000000" w:sz="4" w:val="single"/>
              <w:right w:color="000000" w:sz="4" w:val="single"/>
            </w:tcBorders>
            <w:vAlign w:val="center"/>
          </w:tcPr>
          <w:p w14:paraId="3F030000">
            <w:pPr>
              <w:spacing w:after="0" w:line="240" w:lineRule="auto"/>
              <w:ind/>
              <w:rPr>
                <w:rFonts w:ascii="Times New Roman" w:hAnsi="Times New Roman"/>
                <w:color w:val="000000"/>
                <w:sz w:val="24"/>
              </w:rPr>
            </w:pPr>
            <w:r>
              <w:rPr>
                <w:rFonts w:ascii="Times New Roman" w:hAnsi="Times New Roman"/>
                <w:color w:val="000000"/>
                <w:sz w:val="24"/>
              </w:rPr>
              <w:t>Комплексный подход к управлению кредитами</w:t>
            </w:r>
          </w:p>
        </w:tc>
        <w:tc>
          <w:tcPr>
            <w:tcW w:type="dxa" w:w="3326"/>
            <w:tcBorders>
              <w:top w:sz="4" w:val="nil"/>
              <w:left w:sz="4" w:val="nil"/>
              <w:bottom w:color="000000" w:sz="4" w:val="single"/>
              <w:right w:color="000000" w:sz="4" w:val="single"/>
            </w:tcBorders>
            <w:vAlign w:val="center"/>
          </w:tcPr>
          <w:p w14:paraId="40030000">
            <w:pPr>
              <w:spacing w:after="0" w:line="240" w:lineRule="auto"/>
              <w:ind/>
              <w:rPr>
                <w:rFonts w:ascii="Times New Roman" w:hAnsi="Times New Roman"/>
                <w:color w:val="000000"/>
                <w:sz w:val="24"/>
              </w:rPr>
            </w:pPr>
            <w:r>
              <w:rPr>
                <w:rFonts w:ascii="Times New Roman" w:hAnsi="Times New Roman"/>
                <w:color w:val="000000"/>
                <w:sz w:val="24"/>
              </w:rPr>
              <w:t>Объединение всех мер: учет, контроль, анализ, планирование, аудит</w:t>
            </w:r>
          </w:p>
        </w:tc>
        <w:tc>
          <w:tcPr>
            <w:tcW w:type="dxa" w:w="2344"/>
            <w:tcBorders>
              <w:top w:sz="4" w:val="nil"/>
              <w:left w:sz="4" w:val="nil"/>
              <w:bottom w:color="000000" w:sz="4" w:val="single"/>
              <w:right w:color="000000" w:sz="4" w:val="single"/>
            </w:tcBorders>
            <w:vAlign w:val="center"/>
          </w:tcPr>
          <w:p w14:paraId="41030000">
            <w:pPr>
              <w:spacing w:after="0" w:line="240" w:lineRule="auto"/>
              <w:ind/>
              <w:rPr>
                <w:rFonts w:ascii="Times New Roman" w:hAnsi="Times New Roman"/>
                <w:color w:val="000000"/>
                <w:sz w:val="24"/>
              </w:rPr>
            </w:pPr>
            <w:r>
              <w:rPr>
                <w:rFonts w:ascii="Times New Roman" w:hAnsi="Times New Roman"/>
                <w:color w:val="000000"/>
                <w:sz w:val="24"/>
              </w:rPr>
              <w:t>Повышение финансовой устойчивости и управленческой эффективности</w:t>
            </w:r>
          </w:p>
        </w:tc>
      </w:tr>
    </w:tbl>
    <w:p w14:paraId="42030000">
      <w:pPr>
        <w:spacing w:after="0" w:line="360" w:lineRule="auto"/>
        <w:ind w:firstLine="851" w:left="0"/>
        <w:jc w:val="both"/>
        <w:rPr>
          <w:rFonts w:ascii="Times New Roman" w:hAnsi="Times New Roman"/>
          <w:sz w:val="28"/>
        </w:rPr>
      </w:pPr>
      <w:r>
        <w:rPr>
          <w:rFonts w:ascii="Times New Roman" w:hAnsi="Times New Roman"/>
          <w:sz w:val="28"/>
        </w:rPr>
        <w:t>Когда перечисленные меры последовательно внедрены, учёт кредитов и займов становится прозрачным и хорошо управляемым, а это напрямую снижает финансовые риски, повышает эффективность использования заёмных средств и гарантирует достоверность отчётности. По сути, совершенствование в этой области складывается из нескольких взаимосвязанных шагов: автоматизация учётных процессов, оптимизация структуры долговых обязательств, регулярный контроль за исполнением договоров, анализ того, насколько результативно используются привлечённые средства, и внедрение ключевых показателей эффективности. Взятые вместе, такие меры укрепляют финансовую устойчивость организации и поднимают качество управления на более высокий уровень.</w:t>
      </w:r>
    </w:p>
    <w:p w14:paraId="43030000"/>
    <w:p w14:paraId="44030000"/>
    <w:p w14:paraId="45030000">
      <w:bookmarkStart w:id="20" w:name="__RefHeading___20"/>
      <w:bookmarkEnd w:id="20"/>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 xml:space="preserve">3.2. </w:t>
      </w:r>
      <w:r>
        <w:rPr>
          <w:rFonts w:ascii="Times New Roman" w:hAnsi="Times New Roman"/>
          <w:b w:val="1"/>
          <w:color w:themeColor="text1" w:val="000000"/>
          <w:sz w:val="28"/>
        </w:rPr>
        <w:t>Оценка эффективности предложенных мероприятий</w:t>
      </w:r>
    </w:p>
    <w:p w14:paraId="46030000"/>
    <w:p w14:paraId="47030000">
      <w:pPr>
        <w:spacing w:after="0" w:line="360" w:lineRule="auto"/>
        <w:ind w:firstLine="851" w:left="0"/>
        <w:jc w:val="both"/>
        <w:rPr>
          <w:rFonts w:ascii="Times New Roman" w:hAnsi="Times New Roman"/>
          <w:sz w:val="28"/>
        </w:rPr>
      </w:pPr>
      <w:r>
        <w:rPr>
          <w:rFonts w:ascii="Times New Roman" w:hAnsi="Times New Roman"/>
          <w:sz w:val="28"/>
        </w:rPr>
        <w:t>То, насколько эффективно организация использует заёмные средства, многое говорит о её финансовой деятельности. Чтобы понять это, оценивают кредитную нагрузку: определяют, насколько разумно привлекаются внешние источники и как это сказывается на устойчивости предприятия. Главные ориентиры здесь – соотношение собственных и заёмных средств, а также стоимость привлечённого капитала и своевременность его возврата.</w:t>
      </w:r>
    </w:p>
    <w:p w14:paraId="48030000">
      <w:pPr>
        <w:spacing w:after="0" w:line="360" w:lineRule="auto"/>
        <w:ind w:firstLine="851" w:left="0"/>
        <w:jc w:val="both"/>
        <w:rPr>
          <w:rFonts w:ascii="Times New Roman" w:hAnsi="Times New Roman"/>
          <w:sz w:val="28"/>
        </w:rPr>
      </w:pPr>
      <w:r>
        <w:rPr>
          <w:rFonts w:ascii="Times New Roman" w:hAnsi="Times New Roman"/>
          <w:sz w:val="28"/>
        </w:rPr>
        <w:t>Один из практических инструментов повышения эффективности – рефинансирование. Допустим, объём кредита составляет 2 000 млрд руб., старая процентная ставка – 11%, а новая, которую удалось получить, – 9%. До рефинансирования годовые процентные расходы равнялись:</w:t>
      </w:r>
    </w:p>
    <w:p w14:paraId="49030000">
      <w:pPr>
        <w:spacing w:after="0" w:line="360" w:lineRule="auto"/>
        <w:ind w:firstLine="851" w:left="0"/>
        <w:jc w:val="both"/>
        <w:rPr>
          <w:rFonts w:ascii="Times New Roman" w:hAnsi="Times New Roman"/>
          <w:sz w:val="28"/>
        </w:rPr>
      </w:pPr>
      <m:oMathPara>
        <m:oMath>
          <m:r>
            <w:rPr>
              <w:rFonts w:ascii="Cambria Math" w:hAnsi="Cambria Math"/>
              <w:sz w:val="28"/>
            </w:rPr>
            <m:t>2</m:t>
          </m:r>
          <m:r>
            <w:rPr>
              <w:rFonts w:ascii="Cambria Math" w:hAnsi="Cambria Math"/>
              <w:sz w:val="28"/>
            </w:rPr>
            <m:rPr>
              <m:sty m:val="p"/>
            </m:rPr>
            <m:t>text</m:t>
          </m:r>
          <m:r>
            <w:rPr>
              <w:rFonts w:ascii="Cambria Math" w:hAnsi="Cambria Math"/>
              <w:sz w:val="28"/>
            </w:rPr>
            <m:t> 000×11</m:t>
          </m:r>
          <m:r>
            <w:rPr>
              <w:rFonts w:ascii="Cambria Math" w:hAnsi="Cambria Math"/>
              <w:sz w:val="28"/>
            </w:rPr>
            <m:rPr>
              <m:sty m:val="p"/>
            </m:rPr>
            <m:t>%</m:t>
          </m:r>
          <m:r>
            <w:rPr>
              <w:rFonts w:ascii="Cambria Math" w:hAnsi="Cambria Math"/>
              <w:sz w:val="28"/>
            </w:rPr>
            <m:t>=220</m:t>
          </m:r>
          <m:r>
            <w:rPr>
              <w:rFonts w:ascii="Cambria Math" w:hAnsi="Cambria Math"/>
              <w:sz w:val="28"/>
            </w:rPr>
            <m:rPr>
              <m:sty m:val="p"/>
            </m:rPr>
            <m:t>text млрд руб.</m:t>
          </m:r>
        </m:oMath>
      </m:oMathPara>
    </w:p>
    <w:p w14:paraId="4A030000">
      <w:pPr>
        <w:spacing w:after="0" w:line="360" w:lineRule="auto"/>
        <w:ind w:firstLine="851" w:left="0"/>
        <w:jc w:val="both"/>
        <w:rPr>
          <w:rFonts w:ascii="Times New Roman" w:hAnsi="Times New Roman"/>
          <w:sz w:val="28"/>
        </w:rPr>
      </w:pPr>
      <w:r>
        <w:rPr>
          <w:rFonts w:ascii="Times New Roman" w:hAnsi="Times New Roman"/>
          <w:sz w:val="28"/>
        </w:rPr>
        <w:t>После рефинансирования они снизились до:</w:t>
      </w:r>
    </w:p>
    <w:p w14:paraId="4B030000">
      <w:pPr>
        <w:spacing w:after="0" w:line="360" w:lineRule="auto"/>
        <w:ind w:firstLine="851" w:left="0"/>
        <w:jc w:val="both"/>
        <w:rPr>
          <w:rFonts w:ascii="Times New Roman" w:hAnsi="Times New Roman"/>
          <w:sz w:val="28"/>
        </w:rPr>
      </w:pPr>
      <m:oMathPara>
        <m:oMath>
          <m:r>
            <w:rPr>
              <w:rFonts w:ascii="Cambria Math" w:hAnsi="Cambria Math"/>
              <w:sz w:val="28"/>
            </w:rPr>
            <m:t>2</m:t>
          </m:r>
          <m:r>
            <w:rPr>
              <w:rFonts w:ascii="Cambria Math" w:hAnsi="Cambria Math"/>
              <w:sz w:val="28"/>
            </w:rPr>
            <m:rPr>
              <m:sty m:val="p"/>
            </m:rPr>
            <m:t>text</m:t>
          </m:r>
          <m:r>
            <w:rPr>
              <w:rFonts w:ascii="Cambria Math" w:hAnsi="Cambria Math"/>
              <w:sz w:val="28"/>
            </w:rPr>
            <m:t> 000×9</m:t>
          </m:r>
          <m:r>
            <w:rPr>
              <w:rFonts w:ascii="Cambria Math" w:hAnsi="Cambria Math"/>
              <w:sz w:val="28"/>
            </w:rPr>
            <m:rPr>
              <m:sty m:val="p"/>
            </m:rPr>
            <m:t>%</m:t>
          </m:r>
          <m:r>
            <w:rPr>
              <w:rFonts w:ascii="Cambria Math" w:hAnsi="Cambria Math"/>
              <w:sz w:val="28"/>
            </w:rPr>
            <m:t>=180</m:t>
          </m:r>
          <m:r>
            <w:rPr>
              <w:rFonts w:ascii="Cambria Math" w:hAnsi="Cambria Math"/>
              <w:sz w:val="28"/>
            </w:rPr>
            <m:rPr>
              <m:sty m:val="p"/>
            </m:rPr>
            <m:t>text млрд руб.</m:t>
          </m:r>
        </m:oMath>
      </m:oMathPara>
    </w:p>
    <w:p w14:paraId="4C030000">
      <w:pPr>
        <w:spacing w:after="0" w:line="360" w:lineRule="auto"/>
        <w:ind w:firstLine="851" w:left="0"/>
        <w:jc w:val="both"/>
        <w:rPr>
          <w:rFonts w:ascii="Times New Roman" w:hAnsi="Times New Roman"/>
          <w:sz w:val="28"/>
        </w:rPr>
      </w:pPr>
      <w:r>
        <w:rPr>
          <w:rFonts w:ascii="Times New Roman" w:hAnsi="Times New Roman"/>
          <w:sz w:val="28"/>
        </w:rPr>
        <w:t>Разница даёт годовую экономию:</w:t>
      </w:r>
    </w:p>
    <w:p w14:paraId="4D030000">
      <w:pPr>
        <w:spacing w:after="0" w:line="360" w:lineRule="auto"/>
        <w:ind w:firstLine="851" w:left="0"/>
        <w:jc w:val="both"/>
        <w:rPr>
          <w:rFonts w:ascii="Times New Roman" w:hAnsi="Times New Roman"/>
          <w:sz w:val="28"/>
        </w:rPr>
      </w:pPr>
      <m:oMathPara>
        <m:oMath>
          <m:r>
            <w:rPr>
              <w:rFonts w:ascii="Cambria Math" w:hAnsi="Cambria Math"/>
              <w:sz w:val="28"/>
            </w:rPr>
            <m:t>220-180=40</m:t>
          </m:r>
          <m:r>
            <w:rPr>
              <w:rFonts w:ascii="Cambria Math" w:hAnsi="Cambria Math"/>
              <w:sz w:val="28"/>
            </w:rPr>
            <m:rPr>
              <m:sty m:val="p"/>
            </m:rPr>
            <m:t>text млрд руб.</m:t>
          </m:r>
        </m:oMath>
      </m:oMathPara>
    </w:p>
    <w:p w14:paraId="4E030000">
      <w:pPr>
        <w:spacing w:after="0" w:line="360" w:lineRule="auto"/>
        <w:ind w:firstLine="851" w:left="0"/>
        <w:jc w:val="both"/>
        <w:rPr>
          <w:rFonts w:ascii="Times New Roman" w:hAnsi="Times New Roman"/>
          <w:sz w:val="28"/>
        </w:rPr>
      </w:pPr>
      <w:r>
        <w:rPr>
          <w:rFonts w:ascii="Times New Roman" w:hAnsi="Times New Roman"/>
          <w:sz w:val="28"/>
        </w:rPr>
        <w:t>Сокращение процентных платежей влияет не только на текущие затраты, но и на коэффициенты, по которым оценивают финансовые риски. Коэффициент покрытия процентов (отношение прибыли до налогообложения к сумме процентов к уплате) рассчитывается по формуле:</w:t>
      </w:r>
    </w:p>
    <w:p w14:paraId="4F030000">
      <w:pPr>
        <w:spacing w:after="0" w:line="360" w:lineRule="auto"/>
        <w:ind w:firstLine="851" w:left="0"/>
        <w:jc w:val="both"/>
        <w:rPr>
          <w:rFonts w:ascii="Times New Roman" w:hAnsi="Times New Roman"/>
          <w:sz w:val="28"/>
        </w:rPr>
      </w:pPr>
      <m:oMathPara>
        <m:oMath>
          <m:r>
            <w:rPr>
              <w:rFonts w:ascii="Cambria Math" w:hAnsi="Cambria Math"/>
              <w:sz w:val="28"/>
            </w:rPr>
            <m:rPr>
              <m:sty m:val="p"/>
            </m:rPr>
            <m:t>textКПП</m:t>
          </m:r>
          <m:r>
            <w:rPr>
              <w:rFonts w:ascii="Cambria Math" w:hAnsi="Cambria Math"/>
              <w:sz w:val="28"/>
            </w:rPr>
            <m:t>=</m:t>
          </m:r>
          <m:f>
            <m:fPr>
              <m:type m:val="bar"/>
            </m:fPr>
            <m:num>
              <m:r>
                <w:rPr>
                  <w:rFonts w:ascii="Cambria Math" w:hAnsi="Cambria Math"/>
                  <w:sz w:val="28"/>
                </w:rPr>
                <m:rPr>
                  <m:sty m:val="p"/>
                </m:rPr>
                <m:t>textПрибыль до налогообложения</m:t>
              </m:r>
            </m:num>
            <m:den>
              <m:r>
                <w:rPr>
                  <w:rFonts w:ascii="Cambria Math" w:hAnsi="Cambria Math"/>
                  <w:sz w:val="28"/>
                </w:rPr>
                <m:rPr>
                  <m:sty m:val="p"/>
                </m:rPr>
                <m:t>textПроценты</m:t>
              </m:r>
            </m:den>
          </m:f>
        </m:oMath>
      </m:oMathPara>
    </w:p>
    <w:p w14:paraId="50030000">
      <w:pPr>
        <w:spacing w:after="0" w:line="360" w:lineRule="auto"/>
        <w:ind w:firstLine="851" w:left="0"/>
        <w:jc w:val="both"/>
        <w:rPr>
          <w:rFonts w:ascii="Times New Roman" w:hAnsi="Times New Roman"/>
          <w:sz w:val="28"/>
        </w:rPr>
      </w:pPr>
      <w:r>
        <w:rPr>
          <w:rFonts w:ascii="Times New Roman" w:hAnsi="Times New Roman"/>
          <w:sz w:val="28"/>
        </w:rPr>
        <w:t>До рефинансирования прибыль составляла 2 500 млрд руб., проценты – 450 млрд руб.:</w:t>
      </w:r>
    </w:p>
    <w:p w14:paraId="51030000">
      <w:pPr>
        <w:spacing w:after="0" w:line="360" w:lineRule="auto"/>
        <w:ind w:firstLine="851" w:left="0"/>
        <w:jc w:val="both"/>
        <w:rPr>
          <w:rFonts w:ascii="Times New Roman" w:hAnsi="Times New Roman"/>
          <w:sz w:val="28"/>
        </w:rPr>
      </w:pPr>
      <m:oMathPara>
        <m:oMath>
          <m:r>
            <w:rPr>
              <w:rFonts w:ascii="Cambria Math" w:hAnsi="Cambria Math"/>
              <w:sz w:val="28"/>
            </w:rPr>
            <m:rPr>
              <m:sty m:val="p"/>
            </m:rPr>
            <m:t>textКПП</m:t>
          </m:r>
          <m:r>
            <w:rPr>
              <w:rFonts w:ascii="Cambria Math" w:hAnsi="Cambria Math"/>
              <w:sz w:val="28"/>
            </w:rPr>
            <m:t>=</m:t>
          </m:r>
          <m:f>
            <m:fPr>
              <m:type m:val="bar"/>
            </m:fPr>
            <m:num>
              <m:r>
                <w:rPr>
                  <w:rFonts w:ascii="Cambria Math" w:hAnsi="Cambria Math"/>
                  <w:sz w:val="28"/>
                </w:rPr>
                <m:t>2</m:t>
              </m:r>
              <m:r>
                <w:rPr>
                  <w:rFonts w:ascii="Cambria Math" w:hAnsi="Cambria Math"/>
                  <w:sz w:val="28"/>
                </w:rPr>
                <m:rPr>
                  <m:sty m:val="p"/>
                </m:rPr>
                <m:t>text</m:t>
              </m:r>
              <m:r>
                <w:rPr>
                  <w:rFonts w:ascii="Cambria Math" w:hAnsi="Cambria Math"/>
                  <w:sz w:val="28"/>
                </w:rPr>
                <m:t> 500</m:t>
              </m:r>
            </m:num>
            <m:den>
              <m:r>
                <w:rPr>
                  <w:rFonts w:ascii="Cambria Math" w:hAnsi="Cambria Math"/>
                  <w:sz w:val="28"/>
                </w:rPr>
                <m:t>450</m:t>
              </m:r>
            </m:den>
          </m:f>
          <m:r>
            <w:rPr>
              <w:rFonts w:ascii="Cambria Math" w:hAnsi="Cambria Math"/>
              <w:sz w:val="28"/>
            </w:rPr>
            <m:t>=</m:t>
          </m:r>
          <m:r>
            <w:rPr>
              <w:rFonts w:ascii="Cambria Math" w:hAnsi="Cambria Math"/>
              <w:sz w:val="28"/>
            </w:rPr>
            <m:rPr>
              <m:sty m:val="p"/>
            </m:rPr>
            <m:t>5,6</m:t>
          </m:r>
        </m:oMath>
      </m:oMathPara>
    </w:p>
    <w:p w14:paraId="52030000">
      <w:pPr>
        <w:spacing w:after="0" w:line="360" w:lineRule="auto"/>
        <w:ind w:firstLine="851" w:left="0"/>
        <w:jc w:val="both"/>
        <w:rPr>
          <w:rFonts w:ascii="Times New Roman" w:hAnsi="Times New Roman"/>
          <w:sz w:val="28"/>
        </w:rPr>
      </w:pPr>
      <w:r>
        <w:rPr>
          <w:rFonts w:ascii="Times New Roman" w:hAnsi="Times New Roman"/>
          <w:sz w:val="28"/>
        </w:rPr>
        <w:t>После снижения процентов на 40 млрд руб. их сумма уменьшилась до 410 млрд руб.:</w:t>
      </w:r>
    </w:p>
    <w:p w14:paraId="53030000">
      <w:pPr>
        <w:spacing w:after="0" w:line="360" w:lineRule="auto"/>
        <w:ind w:firstLine="851" w:left="0"/>
        <w:jc w:val="both"/>
        <w:rPr>
          <w:rFonts w:ascii="Times New Roman" w:hAnsi="Times New Roman"/>
          <w:sz w:val="28"/>
        </w:rPr>
      </w:pPr>
      <m:oMathPara>
        <m:oMath>
          <m:r>
            <w:rPr>
              <w:rFonts w:ascii="Cambria Math" w:hAnsi="Cambria Math"/>
              <w:sz w:val="28"/>
            </w:rPr>
            <m:rPr>
              <m:sty m:val="p"/>
            </m:rPr>
            <m:t>textКПП</m:t>
          </m:r>
          <m:r>
            <w:rPr>
              <w:rFonts w:ascii="Cambria Math" w:hAnsi="Cambria Math"/>
              <w:sz w:val="28"/>
            </w:rPr>
            <m:t>=</m:t>
          </m:r>
          <m:f>
            <m:fPr>
              <m:type m:val="bar"/>
            </m:fPr>
            <m:num>
              <m:r>
                <w:rPr>
                  <w:rFonts w:ascii="Cambria Math" w:hAnsi="Cambria Math"/>
                  <w:sz w:val="28"/>
                </w:rPr>
                <m:t>2</m:t>
              </m:r>
              <m:r>
                <w:rPr>
                  <w:rFonts w:ascii="Cambria Math" w:hAnsi="Cambria Math"/>
                  <w:sz w:val="28"/>
                </w:rPr>
                <m:rPr>
                  <m:sty m:val="p"/>
                </m:rPr>
                <m:t>text</m:t>
              </m:r>
              <m:r>
                <w:rPr>
                  <w:rFonts w:ascii="Cambria Math" w:hAnsi="Cambria Math"/>
                  <w:sz w:val="28"/>
                </w:rPr>
                <m:t> 500</m:t>
              </m:r>
            </m:num>
            <m:den>
              <m:r>
                <w:rPr>
                  <w:rFonts w:ascii="Cambria Math" w:hAnsi="Cambria Math"/>
                  <w:sz w:val="28"/>
                </w:rPr>
                <m:t>410</m:t>
              </m:r>
            </m:den>
          </m:f>
          <m:r>
            <w:rPr>
              <w:rFonts w:ascii="Cambria Math" w:hAnsi="Cambria Math"/>
              <w:sz w:val="28"/>
            </w:rPr>
            <m:t>≈</m:t>
          </m:r>
          <m:r>
            <w:rPr>
              <w:rFonts w:ascii="Cambria Math" w:hAnsi="Cambria Math"/>
              <w:sz w:val="28"/>
            </w:rPr>
            <m:rPr>
              <m:sty m:val="p"/>
            </m:rPr>
            <m:t>6,1</m:t>
          </m:r>
        </m:oMath>
      </m:oMathPara>
    </w:p>
    <w:p w14:paraId="54030000">
      <w:pPr>
        <w:spacing w:after="0" w:line="360" w:lineRule="auto"/>
        <w:ind w:firstLine="851" w:left="0"/>
        <w:jc w:val="both"/>
        <w:rPr>
          <w:rFonts w:ascii="Times New Roman" w:hAnsi="Times New Roman"/>
          <w:sz w:val="28"/>
        </w:rPr>
      </w:pPr>
      <w:r>
        <w:rPr>
          <w:rFonts w:ascii="Times New Roman" w:hAnsi="Times New Roman"/>
          <w:sz w:val="28"/>
        </w:rPr>
        <w:t>Показатель улучшился на 8,9%, что снижает финансовые риски организации.</w:t>
      </w:r>
    </w:p>
    <w:p w14:paraId="55030000">
      <w:pPr>
        <w:spacing w:after="0" w:line="360" w:lineRule="auto"/>
        <w:ind w:firstLine="851" w:left="0"/>
        <w:jc w:val="both"/>
        <w:rPr>
          <w:rFonts w:ascii="Times New Roman" w:hAnsi="Times New Roman"/>
          <w:sz w:val="28"/>
        </w:rPr>
      </w:pPr>
      <w:r>
        <w:rPr>
          <w:rFonts w:ascii="Times New Roman" w:hAnsi="Times New Roman"/>
          <w:sz w:val="28"/>
        </w:rPr>
        <w:t>Другой важный резерв – оптимизация структуры капитала, а именно перевод части краткосрочной задолженности в долгосрочную. Пусть краткосрочные кредиты составляют 2 300 млрд руб., из которых 800 млрд руб. удалось переоформить на длительный срок. Коэффициент текущей ликвидности рассчитывается как отношение текущих активов к текущим обязательствам:</w:t>
      </w:r>
    </w:p>
    <w:p w14:paraId="56030000">
      <w:pPr>
        <w:spacing w:after="0" w:line="360" w:lineRule="auto"/>
        <w:ind w:firstLine="851" w:left="0"/>
        <w:jc w:val="both"/>
        <w:rPr>
          <w:rFonts w:ascii="Times New Roman" w:hAnsi="Times New Roman"/>
          <w:sz w:val="28"/>
        </w:rPr>
      </w:pPr>
      <m:oMathPara>
        <m:oMath>
          <m:r>
            <w:rPr>
              <w:rFonts w:ascii="Cambria Math" w:hAnsi="Cambria Math"/>
              <w:sz w:val="28"/>
            </w:rPr>
            <m:rPr>
              <m:sty m:val="p"/>
            </m:rPr>
            <m:t>textКоэффициент текущей ликвидности</m:t>
          </m:r>
          <m:r>
            <w:rPr>
              <w:rFonts w:ascii="Cambria Math" w:hAnsi="Cambria Math"/>
              <w:sz w:val="28"/>
            </w:rPr>
            <m:t>=</m:t>
          </m:r>
          <m:f>
            <m:fPr>
              <m:type m:val="bar"/>
            </m:fPr>
            <m:num>
              <m:r>
                <w:rPr>
                  <w:rFonts w:ascii="Cambria Math" w:hAnsi="Cambria Math"/>
                  <w:sz w:val="28"/>
                </w:rPr>
                <m:rPr>
                  <m:sty m:val="p"/>
                </m:rPr>
                <m:t>textТекущие активы</m:t>
              </m:r>
            </m:num>
            <m:den>
              <m:r>
                <w:rPr>
                  <w:rFonts w:ascii="Cambria Math" w:hAnsi="Cambria Math"/>
                  <w:sz w:val="28"/>
                </w:rPr>
                <m:rPr>
                  <m:sty m:val="p"/>
                </m:rPr>
                <m:t>textТекущие обязательства</m:t>
              </m:r>
            </m:den>
          </m:f>
        </m:oMath>
      </m:oMathPara>
    </w:p>
    <w:p w14:paraId="57030000">
      <w:pPr>
        <w:spacing w:after="0" w:line="360" w:lineRule="auto"/>
        <w:ind w:firstLine="851" w:left="0"/>
        <w:jc w:val="both"/>
        <w:rPr>
          <w:rFonts w:ascii="Times New Roman" w:hAnsi="Times New Roman"/>
          <w:sz w:val="28"/>
        </w:rPr>
      </w:pPr>
      <w:r>
        <w:rPr>
          <w:rFonts w:ascii="Times New Roman" w:hAnsi="Times New Roman"/>
          <w:sz w:val="28"/>
        </w:rPr>
        <w:t>До оптимизации текущие активы равны 8 000 млрд руб., текущие обязательства – 5 000 млрд руб.:</w:t>
      </w:r>
    </w:p>
    <w:p w14:paraId="58030000">
      <w:pPr>
        <w:spacing w:after="0" w:line="360" w:lineRule="auto"/>
        <w:ind w:firstLine="851" w:left="0"/>
        <w:jc w:val="both"/>
        <w:rPr>
          <w:rFonts w:ascii="Times New Roman" w:hAnsi="Times New Roman"/>
          <w:sz w:val="28"/>
        </w:rPr>
      </w:pPr>
      <m:oMathPara>
        <m:oMath>
          <m:f>
            <m:fPr>
              <m:type m:val="bar"/>
            </m:fPr>
            <m:num>
              <m:r>
                <w:rPr>
                  <w:rFonts w:ascii="Cambria Math" w:hAnsi="Cambria Math"/>
                  <w:sz w:val="28"/>
                </w:rPr>
                <m:t>8</m:t>
              </m:r>
              <m:r>
                <w:rPr>
                  <w:rFonts w:ascii="Cambria Math" w:hAnsi="Cambria Math"/>
                  <w:sz w:val="28"/>
                </w:rPr>
                <m:rPr>
                  <m:sty m:val="p"/>
                </m:rPr>
                <m:t>text</m:t>
              </m:r>
              <m:r>
                <w:rPr>
                  <w:rFonts w:ascii="Cambria Math" w:hAnsi="Cambria Math"/>
                  <w:sz w:val="28"/>
                </w:rPr>
                <m:t> 000</m:t>
              </m:r>
            </m:num>
            <m:den>
              <m:r>
                <w:rPr>
                  <w:rFonts w:ascii="Cambria Math" w:hAnsi="Cambria Math"/>
                  <w:sz w:val="28"/>
                </w:rPr>
                <m:t>5</m:t>
              </m:r>
              <m:r>
                <w:rPr>
                  <w:rFonts w:ascii="Cambria Math" w:hAnsi="Cambria Math"/>
                  <w:sz w:val="28"/>
                </w:rPr>
                <m:rPr>
                  <m:sty m:val="p"/>
                </m:rPr>
                <m:t>text</m:t>
              </m:r>
              <m:r>
                <w:rPr>
                  <w:rFonts w:ascii="Cambria Math" w:hAnsi="Cambria Math"/>
                  <w:sz w:val="28"/>
                </w:rPr>
                <m:t> 000</m:t>
              </m:r>
            </m:den>
          </m:f>
          <m:r>
            <w:rPr>
              <w:rFonts w:ascii="Cambria Math" w:hAnsi="Cambria Math"/>
              <w:sz w:val="28"/>
            </w:rPr>
            <m:t>=</m:t>
          </m:r>
          <m:r>
            <w:rPr>
              <w:rFonts w:ascii="Cambria Math" w:hAnsi="Cambria Math"/>
              <w:sz w:val="28"/>
            </w:rPr>
            <m:rPr>
              <m:sty m:val="p"/>
            </m:rPr>
            <m:t>1,6</m:t>
          </m:r>
        </m:oMath>
      </m:oMathPara>
    </w:p>
    <w:p w14:paraId="59030000">
      <w:pPr>
        <w:spacing w:after="0" w:line="360" w:lineRule="auto"/>
        <w:ind w:firstLine="851" w:left="0"/>
        <w:jc w:val="both"/>
        <w:rPr>
          <w:rFonts w:ascii="Times New Roman" w:hAnsi="Times New Roman"/>
          <w:sz w:val="28"/>
        </w:rPr>
      </w:pPr>
      <w:r>
        <w:rPr>
          <w:rFonts w:ascii="Times New Roman" w:hAnsi="Times New Roman"/>
          <w:sz w:val="28"/>
        </w:rPr>
        <w:t>После перевода 800 млрд руб. из краткосрочных в долгосрочные обязательства текущие обязательства уменьшаются до 4 200 млрд руб.:</w:t>
      </w:r>
    </w:p>
    <w:p w14:paraId="5A030000">
      <w:pPr>
        <w:spacing w:after="0" w:line="360" w:lineRule="auto"/>
        <w:ind w:firstLine="851" w:left="0"/>
        <w:jc w:val="both"/>
        <w:rPr>
          <w:rFonts w:ascii="Times New Roman" w:hAnsi="Times New Roman"/>
          <w:sz w:val="28"/>
        </w:rPr>
      </w:pPr>
      <m:oMathPara>
        <m:oMath>
          <m:f>
            <m:fPr>
              <m:type m:val="bar"/>
            </m:fPr>
            <m:num>
              <m:r>
                <w:rPr>
                  <w:rFonts w:ascii="Cambria Math" w:hAnsi="Cambria Math"/>
                  <w:sz w:val="28"/>
                </w:rPr>
                <m:t>8</m:t>
              </m:r>
              <m:r>
                <w:rPr>
                  <w:rFonts w:ascii="Cambria Math" w:hAnsi="Cambria Math"/>
                  <w:sz w:val="28"/>
                </w:rPr>
                <m:rPr>
                  <m:sty m:val="p"/>
                </m:rPr>
                <m:t>text</m:t>
              </m:r>
              <m:r>
                <w:rPr>
                  <w:rFonts w:ascii="Cambria Math" w:hAnsi="Cambria Math"/>
                  <w:sz w:val="28"/>
                </w:rPr>
                <m:t> 000</m:t>
              </m:r>
            </m:num>
            <m:den>
              <m:r>
                <w:rPr>
                  <w:rFonts w:ascii="Cambria Math" w:hAnsi="Cambria Math"/>
                  <w:sz w:val="28"/>
                </w:rPr>
                <m:t>4</m:t>
              </m:r>
              <m:r>
                <w:rPr>
                  <w:rFonts w:ascii="Cambria Math" w:hAnsi="Cambria Math"/>
                  <w:sz w:val="28"/>
                </w:rPr>
                <m:rPr>
                  <m:sty m:val="p"/>
                </m:rPr>
                <m:t>text</m:t>
              </m:r>
              <m:r>
                <w:rPr>
                  <w:rFonts w:ascii="Cambria Math" w:hAnsi="Cambria Math"/>
                  <w:sz w:val="28"/>
                </w:rPr>
                <m:t> 200</m:t>
              </m:r>
            </m:den>
          </m:f>
          <m:r>
            <w:rPr>
              <w:rFonts w:ascii="Cambria Math" w:hAnsi="Cambria Math"/>
              <w:sz w:val="28"/>
            </w:rPr>
            <m:t>≈</m:t>
          </m:r>
          <m:r>
            <w:rPr>
              <w:rFonts w:ascii="Cambria Math" w:hAnsi="Cambria Math"/>
              <w:sz w:val="28"/>
            </w:rPr>
            <m:rPr>
              <m:sty m:val="p"/>
            </m:rPr>
            <m:t>1,9</m:t>
          </m:r>
        </m:oMath>
      </m:oMathPara>
    </w:p>
    <w:p w14:paraId="5B030000">
      <w:pPr>
        <w:spacing w:after="0" w:line="360" w:lineRule="auto"/>
        <w:ind w:firstLine="851" w:left="0"/>
        <w:jc w:val="both"/>
        <w:rPr>
          <w:rFonts w:ascii="Times New Roman" w:hAnsi="Times New Roman"/>
          <w:sz w:val="28"/>
        </w:rPr>
      </w:pPr>
      <w:r>
        <w:rPr>
          <w:rFonts w:ascii="Times New Roman" w:hAnsi="Times New Roman"/>
          <w:sz w:val="28"/>
        </w:rPr>
        <w:t>Таким образом, ликвидность выросла на 18,7%.</w:t>
      </w:r>
    </w:p>
    <w:p w14:paraId="5C030000">
      <w:pPr>
        <w:spacing w:after="0" w:line="360" w:lineRule="auto"/>
        <w:ind w:firstLine="851" w:left="0"/>
        <w:jc w:val="both"/>
        <w:rPr>
          <w:rFonts w:ascii="Times New Roman" w:hAnsi="Times New Roman"/>
          <w:sz w:val="28"/>
        </w:rPr>
      </w:pPr>
      <w:r>
        <w:rPr>
          <w:rFonts w:ascii="Times New Roman" w:hAnsi="Times New Roman"/>
          <w:sz w:val="28"/>
        </w:rPr>
        <w:t>Внедрение системы финансового планирования также приносит осязаемый результат. Стоимость затрат на реализацию автоматизированной системы составляет 120 млн руб., экономия за счет сокращения штрафов и просрочек достигает 300 млн руб. в год. Вычислим чистый экономический эффект как разницу между экономией в год и инвестициями во внедрение</w:t>
      </w:r>
      <w:r>
        <w:rPr>
          <w:rFonts w:ascii="Times New Roman" w:hAnsi="Times New Roman"/>
          <w:sz w:val="28"/>
        </w:rPr>
        <w:t>:</w:t>
      </w:r>
    </w:p>
    <w:p w14:paraId="5D030000">
      <w:pPr>
        <w:spacing w:after="0" w:line="360" w:lineRule="auto"/>
        <w:ind w:firstLine="851" w:left="0"/>
        <w:jc w:val="both"/>
        <w:rPr>
          <w:rFonts w:ascii="Times New Roman" w:hAnsi="Times New Roman"/>
          <w:sz w:val="28"/>
        </w:rPr>
      </w:pPr>
      <m:oMathPara>
        <m:oMath>
          <m:r>
            <w:rPr>
              <w:rFonts w:ascii="Cambria Math" w:hAnsi="Cambria Math"/>
              <w:sz w:val="28"/>
            </w:rPr>
            <m:t>300-120=180</m:t>
          </m:r>
          <m:r>
            <w:rPr>
              <w:rFonts w:ascii="Cambria Math" w:hAnsi="Cambria Math"/>
              <w:sz w:val="28"/>
            </w:rPr>
            <m:rPr>
              <m:sty m:val="p"/>
            </m:rPr>
            <m:t>text млн руб.</m:t>
          </m:r>
        </m:oMath>
      </m:oMathPara>
    </w:p>
    <w:p w14:paraId="5E030000">
      <w:pPr>
        <w:spacing w:after="0" w:line="360" w:lineRule="auto"/>
        <w:ind w:firstLine="851" w:left="0"/>
        <w:jc w:val="both"/>
        <w:rPr>
          <w:rFonts w:ascii="Times New Roman" w:hAnsi="Times New Roman"/>
          <w:sz w:val="28"/>
        </w:rPr>
      </w:pPr>
      <w:r>
        <w:rPr>
          <w:rFonts w:ascii="Times New Roman" w:hAnsi="Times New Roman"/>
          <w:sz w:val="28"/>
        </w:rPr>
        <w:t>Положительное значение указывает на целесообразность внедрения системы. Срок возврата инвестиций определяется делением величины инвестиций на годовую экономию:</w:t>
      </w:r>
    </w:p>
    <w:p w14:paraId="5F030000">
      <w:pPr>
        <w:spacing w:after="0" w:line="360" w:lineRule="auto"/>
        <w:ind w:firstLine="851" w:left="0"/>
        <w:jc w:val="both"/>
        <w:rPr>
          <w:rFonts w:ascii="Times New Roman" w:hAnsi="Times New Roman"/>
          <w:sz w:val="28"/>
        </w:rPr>
      </w:pPr>
      <m:oMathPara>
        <m:oMath>
          <m:r>
            <w:rPr>
              <w:rFonts w:ascii="Cambria Math" w:hAnsi="Cambria Math"/>
              <w:sz w:val="28"/>
            </w:rPr>
            <m:t>T=</m:t>
          </m:r>
          <m:f>
            <m:fPr>
              <m:type m:val="bar"/>
            </m:fPr>
            <m:num>
              <m:r>
                <w:rPr>
                  <w:rFonts w:ascii="Cambria Math" w:hAnsi="Cambria Math"/>
                  <w:sz w:val="28"/>
                </w:rPr>
                <m:rPr>
                  <m:sty m:val="p"/>
                </m:rPr>
                <m:t>textЗатраты</m:t>
              </m:r>
            </m:num>
            <m:den>
              <m:r>
                <w:rPr>
                  <w:rFonts w:ascii="Cambria Math" w:hAnsi="Cambria Math"/>
                  <w:sz w:val="28"/>
                </w:rPr>
                <m:rPr>
                  <m:sty m:val="p"/>
                </m:rPr>
                <m:t>textГодовая экономия</m:t>
              </m:r>
            </m:den>
          </m:f>
          <m:r>
            <w:rPr>
              <w:rFonts w:ascii="Cambria Math" w:hAnsi="Cambria Math"/>
              <w:sz w:val="28"/>
            </w:rPr>
            <m:t>=</m:t>
          </m:r>
          <m:f>
            <m:fPr>
              <m:type m:val="bar"/>
            </m:fPr>
            <m:num>
              <m:r>
                <w:rPr>
                  <w:rFonts w:ascii="Cambria Math" w:hAnsi="Cambria Math"/>
                  <w:sz w:val="28"/>
                </w:rPr>
                <m:t>120</m:t>
              </m:r>
            </m:num>
            <m:den>
              <m:r>
                <w:rPr>
                  <w:rFonts w:ascii="Cambria Math" w:hAnsi="Cambria Math"/>
                  <w:sz w:val="28"/>
                </w:rPr>
                <m:t>300</m:t>
              </m:r>
            </m:den>
          </m:f>
          <m:r>
            <w:rPr>
              <w:rFonts w:ascii="Cambria Math" w:hAnsi="Cambria Math"/>
              <w:sz w:val="28"/>
            </w:rPr>
            <m:t>=</m:t>
          </m:r>
          <m:r>
            <w:rPr>
              <w:rFonts w:ascii="Cambria Math" w:hAnsi="Cambria Math"/>
              <w:sz w:val="28"/>
            </w:rPr>
            <m:rPr>
              <m:sty m:val="p"/>
            </m:rPr>
            <m:t>0,4</m:t>
          </m:r>
          <m:r>
            <w:rPr>
              <w:rFonts w:ascii="Cambria Math" w:hAnsi="Cambria Math"/>
              <w:sz w:val="28"/>
            </w:rPr>
            <m:rPr>
              <m:sty m:val="p"/>
            </m:rPr>
            <m:t>text года</m:t>
          </m:r>
        </m:oMath>
      </m:oMathPara>
    </w:p>
    <w:p w14:paraId="60030000">
      <w:pPr>
        <w:spacing w:after="0" w:line="360" w:lineRule="auto"/>
        <w:ind w:firstLine="851" w:left="0"/>
        <w:jc w:val="both"/>
        <w:rPr>
          <w:rFonts w:ascii="Times New Roman" w:hAnsi="Times New Roman"/>
          <w:sz w:val="28"/>
        </w:rPr>
      </w:pPr>
      <w:r>
        <w:rPr>
          <w:rFonts w:ascii="Times New Roman" w:hAnsi="Times New Roman"/>
          <w:sz w:val="28"/>
        </w:rPr>
        <w:t>Или же, переведём в месяцы (0, 4 × 12 = 4, 8), и увидим, что</w:t>
      </w:r>
      <w:r>
        <w:rPr>
          <w:rFonts w:ascii="Times New Roman" w:hAnsi="Times New Roman"/>
          <w:sz w:val="28"/>
        </w:rPr>
        <w:t xml:space="preserve"> </w:t>
      </w:r>
      <w:r>
        <w:rPr>
          <w:rFonts w:ascii="Times New Roman" w:hAnsi="Times New Roman"/>
          <w:sz w:val="28"/>
        </w:rPr>
        <w:t xml:space="preserve">окупаемости </w:t>
      </w:r>
      <w:r>
        <w:rPr>
          <w:rFonts w:ascii="Times New Roman" w:hAnsi="Times New Roman"/>
          <w:sz w:val="28"/>
        </w:rPr>
        <w:t>менее 5 месяцев</w:t>
      </w:r>
      <w:r>
        <w:rPr>
          <w:rFonts w:ascii="Times New Roman" w:hAnsi="Times New Roman"/>
          <w:sz w:val="28"/>
        </w:rPr>
        <w:t>. Такой быстрый</w:t>
      </w:r>
      <w:r>
        <w:rPr>
          <w:rFonts w:ascii="Times New Roman" w:hAnsi="Times New Roman"/>
          <w:sz w:val="28"/>
        </w:rPr>
        <w:t xml:space="preserve"> </w:t>
      </w:r>
      <w:r>
        <w:rPr>
          <w:rFonts w:ascii="Times New Roman" w:hAnsi="Times New Roman"/>
          <w:sz w:val="28"/>
        </w:rPr>
        <w:t>возврат инвестиций и положительный NPV служат аргументом в пользу</w:t>
      </w:r>
      <w:r>
        <w:rPr>
          <w:rFonts w:ascii="Times New Roman" w:hAnsi="Times New Roman"/>
          <w:sz w:val="28"/>
        </w:rPr>
        <w:t xml:space="preserve"> </w:t>
      </w:r>
      <w:r>
        <w:rPr>
          <w:rFonts w:ascii="Times New Roman" w:hAnsi="Times New Roman"/>
          <w:sz w:val="28"/>
        </w:rPr>
        <w:t>реализации подобных инвестиционных решений.</w:t>
      </w:r>
    </w:p>
    <w:p w14:paraId="61030000">
      <w:bookmarkStart w:id="21" w:name="__RefHeading___21"/>
      <w:bookmarkEnd w:id="21"/>
      <w:pPr>
        <w:pStyle w:val="Style_12"/>
        <w:spacing w:after="0" w:before="0" w:line="360" w:lineRule="auto"/>
        <w:ind w:firstLine="851" w:left="0"/>
        <w:jc w:val="both"/>
        <w:rPr>
          <w:b w:val="0"/>
          <w:sz w:val="28"/>
        </w:rPr>
      </w:pPr>
      <w:r>
        <w:rPr>
          <w:b w:val="0"/>
          <w:sz w:val="28"/>
        </w:rPr>
        <w:t>6. Общий экономический эффект мероприятий</w:t>
      </w:r>
    </w:p>
    <w:tbl>
      <w:tblPr>
        <w:tblStyle w:val="Style_3"/>
        <w:tblLayout w:type="fixed"/>
      </w:tblPr>
      <w:tblGrid>
        <w:gridCol w:w="3964"/>
        <w:gridCol w:w="5163"/>
      </w:tblGrid>
      <w:tr>
        <w:trPr>
          <w:trHeight w:hRule="atLeast" w:val="288"/>
        </w:trPr>
        <w:tc>
          <w:tcPr>
            <w:tcW w:type="dxa" w:w="3964"/>
            <w:tcBorders>
              <w:top w:color="000000" w:sz="4" w:val="single"/>
              <w:left w:color="000000" w:sz="4" w:val="single"/>
              <w:bottom w:color="000000" w:sz="4" w:val="single"/>
              <w:right w:color="000000" w:sz="4" w:val="single"/>
            </w:tcBorders>
            <w:vAlign w:val="center"/>
          </w:tcPr>
          <w:p w14:paraId="62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Мероприятие</w:t>
            </w:r>
          </w:p>
        </w:tc>
        <w:tc>
          <w:tcPr>
            <w:tcW w:type="dxa" w:w="5163"/>
            <w:tcBorders>
              <w:top w:color="000000" w:sz="4" w:val="single"/>
              <w:left w:sz="4" w:val="nil"/>
              <w:bottom w:color="000000" w:sz="4" w:val="single"/>
              <w:right w:color="000000" w:sz="4" w:val="single"/>
            </w:tcBorders>
            <w:vAlign w:val="center"/>
          </w:tcPr>
          <w:p w14:paraId="63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Экономический эффект</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64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Рефинансирование</w:t>
            </w:r>
          </w:p>
        </w:tc>
        <w:tc>
          <w:tcPr>
            <w:tcW w:type="dxa" w:w="5163"/>
            <w:tcBorders>
              <w:top w:sz="4" w:val="nil"/>
              <w:left w:sz="4" w:val="nil"/>
              <w:bottom w:color="000000" w:sz="4" w:val="single"/>
              <w:right w:color="000000" w:sz="4" w:val="single"/>
            </w:tcBorders>
            <w:vAlign w:val="center"/>
          </w:tcPr>
          <w:p w14:paraId="65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40 млрд руб.</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66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Оптимизация ликвидности</w:t>
            </w:r>
          </w:p>
        </w:tc>
        <w:tc>
          <w:tcPr>
            <w:tcW w:type="dxa" w:w="5163"/>
            <w:tcBorders>
              <w:top w:sz="4" w:val="nil"/>
              <w:left w:sz="4" w:val="nil"/>
              <w:bottom w:color="000000" w:sz="4" w:val="single"/>
              <w:right w:color="000000" w:sz="4" w:val="single"/>
            </w:tcBorders>
            <w:vAlign w:val="center"/>
          </w:tcPr>
          <w:p w14:paraId="67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Повышение устойчивости</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68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Автоматизация</w:t>
            </w:r>
          </w:p>
        </w:tc>
        <w:tc>
          <w:tcPr>
            <w:tcW w:type="dxa" w:w="5163"/>
            <w:tcBorders>
              <w:top w:sz="4" w:val="nil"/>
              <w:left w:sz="4" w:val="nil"/>
              <w:bottom w:color="000000" w:sz="4" w:val="single"/>
              <w:right w:color="000000" w:sz="4" w:val="single"/>
            </w:tcBorders>
            <w:vAlign w:val="center"/>
          </w:tcPr>
          <w:p w14:paraId="69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180 млн руб.</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6A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Совокупный эффект</w:t>
            </w:r>
          </w:p>
        </w:tc>
        <w:tc>
          <w:tcPr>
            <w:tcW w:type="dxa" w:w="5163"/>
            <w:tcBorders>
              <w:top w:sz="4" w:val="nil"/>
              <w:left w:sz="4" w:val="nil"/>
              <w:bottom w:color="000000" w:sz="4" w:val="single"/>
              <w:right w:color="000000" w:sz="4" w:val="single"/>
            </w:tcBorders>
            <w:vAlign w:val="center"/>
          </w:tcPr>
          <w:p w14:paraId="6B030000">
            <w:pPr>
              <w:spacing w:after="0" w:line="360" w:lineRule="auto"/>
              <w:ind w:firstLine="851" w:left="0"/>
              <w:jc w:val="both"/>
              <w:rPr>
                <w:rFonts w:ascii="Times New Roman" w:hAnsi="Times New Roman"/>
                <w:color w:val="000000"/>
                <w:sz w:val="28"/>
              </w:rPr>
            </w:pPr>
            <w:r>
              <w:rPr>
                <w:rFonts w:ascii="Times New Roman" w:hAnsi="Times New Roman"/>
                <w:color w:val="000000"/>
                <w:sz w:val="28"/>
              </w:rPr>
              <w:t>Более 40 млрд руб. ежегодно</w:t>
            </w:r>
          </w:p>
        </w:tc>
      </w:tr>
    </w:tbl>
    <w:p w14:paraId="6C030000">
      <w:pPr>
        <w:pStyle w:val="Style_9"/>
        <w:spacing w:after="0" w:before="0" w:line="360" w:lineRule="auto"/>
        <w:ind w:firstLine="851" w:left="0"/>
        <w:jc w:val="both"/>
        <w:rPr>
          <w:sz w:val="28"/>
        </w:rPr>
      </w:pPr>
    </w:p>
    <w:p w14:paraId="6D030000">
      <w:pPr>
        <w:pStyle w:val="Style_9"/>
        <w:spacing w:after="0" w:before="0" w:line="360" w:lineRule="auto"/>
        <w:ind w:firstLine="851" w:left="0"/>
        <w:jc w:val="both"/>
        <w:rPr>
          <w:sz w:val="28"/>
        </w:rPr>
      </w:pPr>
      <w:r>
        <w:rPr>
          <w:sz w:val="28"/>
        </w:rPr>
        <w:t>Таким образом</w:t>
      </w:r>
      <w:r>
        <w:rPr>
          <w:sz w:val="28"/>
        </w:rPr>
        <w:t>,</w:t>
      </w:r>
      <w:r>
        <w:rPr>
          <w:sz w:val="28"/>
        </w:rPr>
        <w:t xml:space="preserve"> можно говорить об экономической эффективности предложенных мероприятий.</w:t>
      </w:r>
    </w:p>
    <w:p w14:paraId="6E030000">
      <w:pPr>
        <w:pStyle w:val="Style_9"/>
        <w:spacing w:after="0" w:before="0" w:line="360" w:lineRule="auto"/>
        <w:ind w:firstLine="851" w:left="0"/>
        <w:jc w:val="both"/>
        <w:rPr>
          <w:sz w:val="28"/>
        </w:rPr>
      </w:pPr>
      <w:r>
        <w:rPr>
          <w:sz w:val="28"/>
        </w:rPr>
        <w:t>При оценке эффективности заёмных средств очень важно понимать, на что они будут привлечены. Если кредиты и займы используются для пополнения оборотного капитала, то в первую очередь они должны повышать ликвидность и платёжеспособность компании. А если речь идёт о долгосрочных инвестиционных проектах, то критерий уже другой: заёмные средства должны приносить дополнительную прибыль и увеличивать стоимость активов предприятия</w:t>
      </w:r>
      <w:r>
        <w:rPr>
          <w:rStyle w:val="Style_11_ch"/>
          <w:sz w:val="28"/>
        </w:rPr>
        <w:footnoteReference w:id="26"/>
      </w:r>
      <w:r>
        <w:rPr>
          <w:sz w:val="28"/>
        </w:rPr>
        <w:t>.</w:t>
      </w:r>
    </w:p>
    <w:p w14:paraId="6F030000">
      <w:pPr>
        <w:spacing w:after="0" w:line="360" w:lineRule="auto"/>
        <w:ind w:firstLine="851" w:left="0"/>
        <w:jc w:val="both"/>
        <w:rPr>
          <w:rFonts w:ascii="Times New Roman" w:hAnsi="Times New Roman"/>
          <w:sz w:val="28"/>
        </w:rPr>
      </w:pPr>
      <w:r>
        <w:rPr>
          <w:rFonts w:ascii="Times New Roman" w:hAnsi="Times New Roman"/>
          <w:sz w:val="28"/>
        </w:rPr>
        <w:t xml:space="preserve">Один из ключевых ориентиров в этой области – коэффициент кредитной нагрузки, то есть отношение заёмных средств к собственному капиталу. Когда этот показатель растёт, организация оказывается всё более </w:t>
      </w:r>
      <w:r>
        <w:rPr>
          <w:rFonts w:ascii="Times New Roman" w:hAnsi="Times New Roman"/>
          <w:sz w:val="28"/>
        </w:rPr>
        <w:t>зависимой от внешних источников финансирования; когда снижается, это говорит о более консервативной политике и уменьшении финансовых рисков. Однако одного лишь соотношения недостаточно, чтобы судить об эффективности. Для этого рассчитывают рентабельность привлечённого капитала – показатель, который показывает, в какой степени заёмные средства помогают увеличивать прибыль предприятия. Если рентабельность высока, значит, ресурсы распределены правильно, а управление кредитами и займами можно признать эффективным. Параллельно стоит анализировать процентные расходы: сопоставление сумм уплаченных процентов с полученной прибылью даёт представление о реальной нагрузке на финансовые результаты. В ситуации, когда процентные расходы слишком велики, чистая прибыль неизбежно снижается, а возможности для реинвестирования становятся ограниченными.</w:t>
      </w:r>
    </w:p>
    <w:p w14:paraId="70030000">
      <w:pPr>
        <w:spacing w:after="0" w:line="360" w:lineRule="auto"/>
        <w:ind w:firstLine="851" w:left="0"/>
        <w:jc w:val="both"/>
        <w:rPr>
          <w:rFonts w:ascii="Times New Roman" w:hAnsi="Times New Roman"/>
          <w:sz w:val="28"/>
        </w:rPr>
      </w:pPr>
    </w:p>
    <w:p w14:paraId="71030000">
      <w:pPr>
        <w:spacing w:after="0" w:line="360" w:lineRule="auto"/>
        <w:ind w:firstLine="851" w:left="0"/>
        <w:jc w:val="both"/>
        <w:rPr>
          <w:rFonts w:ascii="Times New Roman" w:hAnsi="Times New Roman"/>
          <w:sz w:val="28"/>
        </w:rPr>
      </w:pPr>
    </w:p>
    <w:p w14:paraId="72030000">
      <w:pPr>
        <w:spacing w:after="0" w:line="240" w:lineRule="auto"/>
        <w:ind w:firstLine="851" w:left="0"/>
        <w:jc w:val="right"/>
        <w:rPr>
          <w:rFonts w:ascii="Times New Roman" w:hAnsi="Times New Roman"/>
          <w:b w:val="1"/>
          <w:sz w:val="28"/>
        </w:rPr>
      </w:pPr>
      <w:r>
        <w:rPr>
          <w:rFonts w:ascii="Times New Roman" w:hAnsi="Times New Roman"/>
          <w:b w:val="1"/>
          <w:sz w:val="28"/>
        </w:rPr>
        <w:t>Таблица 8</w:t>
      </w:r>
    </w:p>
    <w:p w14:paraId="73030000">
      <w:pPr>
        <w:spacing w:after="0" w:line="240" w:lineRule="auto"/>
        <w:ind w:firstLine="851" w:left="0"/>
        <w:jc w:val="both"/>
        <w:rPr>
          <w:rFonts w:ascii="Times New Roman" w:hAnsi="Times New Roman"/>
          <w:b w:val="1"/>
          <w:sz w:val="28"/>
        </w:rPr>
      </w:pPr>
      <w:r>
        <w:rPr>
          <w:rFonts w:ascii="Times New Roman" w:hAnsi="Times New Roman"/>
          <w:b w:val="1"/>
          <w:sz w:val="28"/>
        </w:rPr>
        <w:t xml:space="preserve"> Эффективность использования заемных средств и кредитная нагрузка за 2022–2024 годы</w:t>
      </w:r>
    </w:p>
    <w:tbl>
      <w:tblPr>
        <w:tblStyle w:val="Style_3"/>
        <w:tblLayout w:type="fixed"/>
      </w:tblPr>
      <w:tblGrid>
        <w:gridCol w:w="2123"/>
        <w:gridCol w:w="960"/>
        <w:gridCol w:w="1112"/>
        <w:gridCol w:w="977"/>
        <w:gridCol w:w="1398"/>
        <w:gridCol w:w="2966"/>
      </w:tblGrid>
      <w:tr>
        <w:trPr>
          <w:trHeight w:hRule="atLeast" w:val="288"/>
        </w:trPr>
        <w:tc>
          <w:tcPr>
            <w:tcW w:type="dxa" w:w="2123"/>
            <w:tcBorders>
              <w:top w:color="000000" w:sz="4" w:val="single"/>
              <w:left w:color="000000" w:sz="4" w:val="single"/>
              <w:bottom w:color="000000" w:sz="4" w:val="single"/>
              <w:right w:color="000000" w:sz="4" w:val="single"/>
            </w:tcBorders>
            <w:vAlign w:val="center"/>
          </w:tcPr>
          <w:p w14:paraId="74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Показатель</w:t>
            </w:r>
          </w:p>
        </w:tc>
        <w:tc>
          <w:tcPr>
            <w:tcW w:type="dxa" w:w="960"/>
            <w:tcBorders>
              <w:top w:color="000000" w:sz="4" w:val="single"/>
              <w:left w:sz="4" w:val="nil"/>
              <w:bottom w:color="000000" w:sz="4" w:val="single"/>
              <w:right w:color="000000" w:sz="4" w:val="single"/>
            </w:tcBorders>
            <w:vAlign w:val="center"/>
          </w:tcPr>
          <w:p w14:paraId="75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w:t>
            </w:r>
          </w:p>
        </w:tc>
        <w:tc>
          <w:tcPr>
            <w:tcW w:type="dxa" w:w="1112"/>
            <w:tcBorders>
              <w:top w:color="000000" w:sz="4" w:val="single"/>
              <w:left w:sz="4" w:val="nil"/>
              <w:bottom w:color="000000" w:sz="4" w:val="single"/>
              <w:right w:color="000000" w:sz="4" w:val="single"/>
            </w:tcBorders>
            <w:vAlign w:val="center"/>
          </w:tcPr>
          <w:p w14:paraId="76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w:t>
            </w:r>
          </w:p>
        </w:tc>
        <w:tc>
          <w:tcPr>
            <w:tcW w:type="dxa" w:w="977"/>
            <w:tcBorders>
              <w:top w:color="000000" w:sz="4" w:val="single"/>
              <w:left w:sz="4" w:val="nil"/>
              <w:bottom w:color="000000" w:sz="4" w:val="single"/>
              <w:right w:color="000000" w:sz="4" w:val="single"/>
            </w:tcBorders>
            <w:vAlign w:val="center"/>
          </w:tcPr>
          <w:p w14:paraId="77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w:t>
            </w:r>
          </w:p>
        </w:tc>
        <w:tc>
          <w:tcPr>
            <w:tcW w:type="dxa" w:w="1398"/>
            <w:tcBorders>
              <w:top w:color="000000" w:sz="4" w:val="single"/>
              <w:left w:sz="4" w:val="nil"/>
              <w:bottom w:color="000000" w:sz="4" w:val="single"/>
              <w:right w:color="000000" w:sz="4" w:val="single"/>
            </w:tcBorders>
            <w:vAlign w:val="center"/>
          </w:tcPr>
          <w:p w14:paraId="78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Изменение 2022–2024</w:t>
            </w:r>
          </w:p>
        </w:tc>
        <w:tc>
          <w:tcPr>
            <w:tcW w:type="dxa" w:w="2966"/>
            <w:tcBorders>
              <w:top w:color="000000" w:sz="4" w:val="single"/>
              <w:left w:sz="4" w:val="nil"/>
              <w:bottom w:color="000000" w:sz="4" w:val="single"/>
              <w:right w:color="000000" w:sz="4" w:val="single"/>
            </w:tcBorders>
            <w:vAlign w:val="center"/>
          </w:tcPr>
          <w:p w14:paraId="79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Комментарий</w:t>
            </w:r>
          </w:p>
        </w:tc>
      </w:tr>
      <w:tr>
        <w:trPr>
          <w:trHeight w:hRule="atLeast" w:val="864"/>
        </w:trPr>
        <w:tc>
          <w:tcPr>
            <w:tcW w:type="dxa" w:w="2123"/>
            <w:tcBorders>
              <w:top w:sz="4" w:val="nil"/>
              <w:left w:color="000000" w:sz="4" w:val="single"/>
              <w:bottom w:color="000000" w:sz="4" w:val="single"/>
              <w:right w:color="000000" w:sz="4" w:val="single"/>
            </w:tcBorders>
            <w:vAlign w:val="center"/>
          </w:tcPr>
          <w:p w14:paraId="7A030000">
            <w:pPr>
              <w:spacing w:after="0" w:line="240" w:lineRule="auto"/>
              <w:ind/>
              <w:rPr>
                <w:rFonts w:ascii="Times New Roman" w:hAnsi="Times New Roman"/>
                <w:color w:val="000000"/>
                <w:sz w:val="24"/>
              </w:rPr>
            </w:pPr>
            <w:r>
              <w:rPr>
                <w:rFonts w:ascii="Times New Roman" w:hAnsi="Times New Roman"/>
                <w:color w:val="000000"/>
                <w:sz w:val="24"/>
              </w:rPr>
              <w:t>Общая сумма кредитов и займов, млн руб.</w:t>
            </w:r>
          </w:p>
        </w:tc>
        <w:tc>
          <w:tcPr>
            <w:tcW w:type="dxa" w:w="960"/>
            <w:tcBorders>
              <w:top w:sz="4" w:val="nil"/>
              <w:left w:sz="4" w:val="nil"/>
              <w:bottom w:color="000000" w:sz="4" w:val="single"/>
              <w:right w:color="000000" w:sz="4" w:val="single"/>
            </w:tcBorders>
            <w:vAlign w:val="center"/>
          </w:tcPr>
          <w:p w14:paraId="7B030000">
            <w:pPr>
              <w:spacing w:after="0" w:line="240" w:lineRule="auto"/>
              <w:ind/>
              <w:jc w:val="right"/>
              <w:rPr>
                <w:rFonts w:ascii="Times New Roman" w:hAnsi="Times New Roman"/>
                <w:color w:val="000000"/>
                <w:sz w:val="24"/>
              </w:rPr>
            </w:pPr>
            <w:r>
              <w:rPr>
                <w:rFonts w:ascii="Times New Roman" w:hAnsi="Times New Roman"/>
                <w:color w:val="000000"/>
                <w:sz w:val="24"/>
              </w:rPr>
              <w:t>4 000</w:t>
            </w:r>
          </w:p>
        </w:tc>
        <w:tc>
          <w:tcPr>
            <w:tcW w:type="dxa" w:w="1112"/>
            <w:tcBorders>
              <w:top w:sz="4" w:val="nil"/>
              <w:left w:sz="4" w:val="nil"/>
              <w:bottom w:color="000000" w:sz="4" w:val="single"/>
              <w:right w:color="000000" w:sz="4" w:val="single"/>
            </w:tcBorders>
            <w:vAlign w:val="center"/>
          </w:tcPr>
          <w:p w14:paraId="7C030000">
            <w:pPr>
              <w:spacing w:after="0" w:line="240" w:lineRule="auto"/>
              <w:ind/>
              <w:jc w:val="right"/>
              <w:rPr>
                <w:rFonts w:ascii="Times New Roman" w:hAnsi="Times New Roman"/>
                <w:color w:val="000000"/>
                <w:sz w:val="24"/>
              </w:rPr>
            </w:pPr>
            <w:r>
              <w:rPr>
                <w:rFonts w:ascii="Times New Roman" w:hAnsi="Times New Roman"/>
                <w:color w:val="000000"/>
                <w:sz w:val="24"/>
              </w:rPr>
              <w:t>4 350</w:t>
            </w:r>
          </w:p>
        </w:tc>
        <w:tc>
          <w:tcPr>
            <w:tcW w:type="dxa" w:w="977"/>
            <w:tcBorders>
              <w:top w:sz="4" w:val="nil"/>
              <w:left w:sz="4" w:val="nil"/>
              <w:bottom w:color="000000" w:sz="4" w:val="single"/>
              <w:right w:color="000000" w:sz="4" w:val="single"/>
            </w:tcBorders>
            <w:vAlign w:val="center"/>
          </w:tcPr>
          <w:p w14:paraId="7D030000">
            <w:pPr>
              <w:spacing w:after="0" w:line="240" w:lineRule="auto"/>
              <w:ind/>
              <w:jc w:val="right"/>
              <w:rPr>
                <w:rFonts w:ascii="Times New Roman" w:hAnsi="Times New Roman"/>
                <w:color w:val="000000"/>
                <w:sz w:val="24"/>
              </w:rPr>
            </w:pPr>
            <w:r>
              <w:rPr>
                <w:rFonts w:ascii="Times New Roman" w:hAnsi="Times New Roman"/>
                <w:color w:val="000000"/>
                <w:sz w:val="24"/>
              </w:rPr>
              <w:t>4 700</w:t>
            </w:r>
          </w:p>
        </w:tc>
        <w:tc>
          <w:tcPr>
            <w:tcW w:type="dxa" w:w="1398"/>
            <w:tcBorders>
              <w:top w:sz="4" w:val="nil"/>
              <w:left w:sz="4" w:val="nil"/>
              <w:bottom w:color="000000" w:sz="4" w:val="single"/>
              <w:right w:color="000000" w:sz="4" w:val="single"/>
            </w:tcBorders>
            <w:vAlign w:val="center"/>
          </w:tcPr>
          <w:p w14:paraId="7E030000">
            <w:pPr>
              <w:spacing w:after="0" w:line="240" w:lineRule="auto"/>
              <w:ind/>
              <w:jc w:val="right"/>
              <w:rPr>
                <w:rFonts w:ascii="Times New Roman" w:hAnsi="Times New Roman"/>
                <w:color w:val="000000"/>
                <w:sz w:val="24"/>
              </w:rPr>
            </w:pPr>
            <w:r>
              <w:rPr>
                <w:rFonts w:ascii="Times New Roman" w:hAnsi="Times New Roman"/>
                <w:color w:val="000000"/>
                <w:sz w:val="24"/>
              </w:rPr>
              <w:t>700</w:t>
            </w:r>
          </w:p>
        </w:tc>
        <w:tc>
          <w:tcPr>
            <w:tcW w:type="dxa" w:w="2966"/>
            <w:tcBorders>
              <w:top w:sz="4" w:val="nil"/>
              <w:left w:sz="4" w:val="nil"/>
              <w:bottom w:color="000000" w:sz="4" w:val="single"/>
              <w:right w:color="000000" w:sz="4" w:val="single"/>
            </w:tcBorders>
            <w:vAlign w:val="center"/>
          </w:tcPr>
          <w:p w14:paraId="7F030000">
            <w:pPr>
              <w:spacing w:after="0" w:line="240" w:lineRule="auto"/>
              <w:ind/>
              <w:rPr>
                <w:rFonts w:ascii="Times New Roman" w:hAnsi="Times New Roman"/>
                <w:color w:val="000000"/>
                <w:sz w:val="24"/>
              </w:rPr>
            </w:pPr>
            <w:r>
              <w:rPr>
                <w:rFonts w:ascii="Times New Roman" w:hAnsi="Times New Roman"/>
                <w:color w:val="000000"/>
                <w:sz w:val="24"/>
              </w:rPr>
              <w:t>Рост заемных средств на 17,5%</w:t>
            </w:r>
          </w:p>
        </w:tc>
      </w:tr>
      <w:tr>
        <w:trPr>
          <w:trHeight w:hRule="atLeast" w:val="576"/>
        </w:trPr>
        <w:tc>
          <w:tcPr>
            <w:tcW w:type="dxa" w:w="2123"/>
            <w:tcBorders>
              <w:top w:sz="4" w:val="nil"/>
              <w:left w:color="000000" w:sz="4" w:val="single"/>
              <w:bottom w:color="000000" w:sz="4" w:val="single"/>
              <w:right w:color="000000" w:sz="4" w:val="single"/>
            </w:tcBorders>
            <w:vAlign w:val="center"/>
          </w:tcPr>
          <w:p w14:paraId="80030000">
            <w:pPr>
              <w:spacing w:after="0" w:line="240" w:lineRule="auto"/>
              <w:ind/>
              <w:rPr>
                <w:rFonts w:ascii="Times New Roman" w:hAnsi="Times New Roman"/>
                <w:color w:val="000000"/>
                <w:sz w:val="24"/>
              </w:rPr>
            </w:pPr>
            <w:r>
              <w:rPr>
                <w:rFonts w:ascii="Times New Roman" w:hAnsi="Times New Roman"/>
                <w:color w:val="000000"/>
                <w:sz w:val="24"/>
              </w:rPr>
              <w:t>Краткосрочные кредиты, млн руб.</w:t>
            </w:r>
          </w:p>
        </w:tc>
        <w:tc>
          <w:tcPr>
            <w:tcW w:type="dxa" w:w="960"/>
            <w:tcBorders>
              <w:top w:sz="4" w:val="nil"/>
              <w:left w:sz="4" w:val="nil"/>
              <w:bottom w:color="000000" w:sz="4" w:val="single"/>
              <w:right w:color="000000" w:sz="4" w:val="single"/>
            </w:tcBorders>
            <w:vAlign w:val="center"/>
          </w:tcPr>
          <w:p w14:paraId="81030000">
            <w:pPr>
              <w:spacing w:after="0" w:line="240" w:lineRule="auto"/>
              <w:ind/>
              <w:jc w:val="right"/>
              <w:rPr>
                <w:rFonts w:ascii="Times New Roman" w:hAnsi="Times New Roman"/>
                <w:color w:val="000000"/>
                <w:sz w:val="24"/>
              </w:rPr>
            </w:pPr>
            <w:r>
              <w:rPr>
                <w:rFonts w:ascii="Times New Roman" w:hAnsi="Times New Roman"/>
                <w:color w:val="000000"/>
                <w:sz w:val="24"/>
              </w:rPr>
              <w:t>1 200</w:t>
            </w:r>
          </w:p>
        </w:tc>
        <w:tc>
          <w:tcPr>
            <w:tcW w:type="dxa" w:w="1112"/>
            <w:tcBorders>
              <w:top w:sz="4" w:val="nil"/>
              <w:left w:sz="4" w:val="nil"/>
              <w:bottom w:color="000000" w:sz="4" w:val="single"/>
              <w:right w:color="000000" w:sz="4" w:val="single"/>
            </w:tcBorders>
            <w:vAlign w:val="center"/>
          </w:tcPr>
          <w:p w14:paraId="82030000">
            <w:pPr>
              <w:spacing w:after="0" w:line="240" w:lineRule="auto"/>
              <w:ind/>
              <w:jc w:val="right"/>
              <w:rPr>
                <w:rFonts w:ascii="Times New Roman" w:hAnsi="Times New Roman"/>
                <w:color w:val="000000"/>
                <w:sz w:val="24"/>
              </w:rPr>
            </w:pPr>
            <w:r>
              <w:rPr>
                <w:rFonts w:ascii="Times New Roman" w:hAnsi="Times New Roman"/>
                <w:color w:val="000000"/>
                <w:sz w:val="24"/>
              </w:rPr>
              <w:t>1 350</w:t>
            </w:r>
          </w:p>
        </w:tc>
        <w:tc>
          <w:tcPr>
            <w:tcW w:type="dxa" w:w="977"/>
            <w:tcBorders>
              <w:top w:sz="4" w:val="nil"/>
              <w:left w:sz="4" w:val="nil"/>
              <w:bottom w:color="000000" w:sz="4" w:val="single"/>
              <w:right w:color="000000" w:sz="4" w:val="single"/>
            </w:tcBorders>
            <w:vAlign w:val="center"/>
          </w:tcPr>
          <w:p w14:paraId="83030000">
            <w:pPr>
              <w:spacing w:after="0" w:line="240" w:lineRule="auto"/>
              <w:ind/>
              <w:jc w:val="right"/>
              <w:rPr>
                <w:rFonts w:ascii="Times New Roman" w:hAnsi="Times New Roman"/>
                <w:color w:val="000000"/>
                <w:sz w:val="24"/>
              </w:rPr>
            </w:pPr>
            <w:r>
              <w:rPr>
                <w:rFonts w:ascii="Times New Roman" w:hAnsi="Times New Roman"/>
                <w:color w:val="000000"/>
                <w:sz w:val="24"/>
              </w:rPr>
              <w:t>1 500</w:t>
            </w:r>
          </w:p>
        </w:tc>
        <w:tc>
          <w:tcPr>
            <w:tcW w:type="dxa" w:w="1398"/>
            <w:tcBorders>
              <w:top w:sz="4" w:val="nil"/>
              <w:left w:sz="4" w:val="nil"/>
              <w:bottom w:color="000000" w:sz="4" w:val="single"/>
              <w:right w:color="000000" w:sz="4" w:val="single"/>
            </w:tcBorders>
            <w:vAlign w:val="center"/>
          </w:tcPr>
          <w:p w14:paraId="84030000">
            <w:pPr>
              <w:spacing w:after="0" w:line="240" w:lineRule="auto"/>
              <w:ind/>
              <w:jc w:val="right"/>
              <w:rPr>
                <w:rFonts w:ascii="Times New Roman" w:hAnsi="Times New Roman"/>
                <w:color w:val="000000"/>
                <w:sz w:val="24"/>
              </w:rPr>
            </w:pPr>
            <w:r>
              <w:rPr>
                <w:rFonts w:ascii="Times New Roman" w:hAnsi="Times New Roman"/>
                <w:color w:val="000000"/>
                <w:sz w:val="24"/>
              </w:rPr>
              <w:t>300</w:t>
            </w:r>
          </w:p>
        </w:tc>
        <w:tc>
          <w:tcPr>
            <w:tcW w:type="dxa" w:w="2966"/>
            <w:tcBorders>
              <w:top w:sz="4" w:val="nil"/>
              <w:left w:sz="4" w:val="nil"/>
              <w:bottom w:color="000000" w:sz="4" w:val="single"/>
              <w:right w:color="000000" w:sz="4" w:val="single"/>
            </w:tcBorders>
            <w:vAlign w:val="center"/>
          </w:tcPr>
          <w:p w14:paraId="85030000">
            <w:pPr>
              <w:spacing w:after="0" w:line="240" w:lineRule="auto"/>
              <w:ind/>
              <w:rPr>
                <w:rFonts w:ascii="Times New Roman" w:hAnsi="Times New Roman"/>
                <w:color w:val="000000"/>
                <w:sz w:val="24"/>
              </w:rPr>
            </w:pPr>
            <w:r>
              <w:rPr>
                <w:rFonts w:ascii="Times New Roman" w:hAnsi="Times New Roman"/>
                <w:color w:val="000000"/>
                <w:sz w:val="24"/>
              </w:rPr>
              <w:t>Обеспечение текущих оборотных нужд</w:t>
            </w:r>
          </w:p>
        </w:tc>
      </w:tr>
      <w:tr>
        <w:trPr>
          <w:trHeight w:hRule="atLeast" w:val="576"/>
        </w:trPr>
        <w:tc>
          <w:tcPr>
            <w:tcW w:type="dxa" w:w="2123"/>
            <w:tcBorders>
              <w:top w:sz="4" w:val="nil"/>
              <w:left w:color="000000" w:sz="4" w:val="single"/>
              <w:bottom w:color="000000" w:sz="4" w:val="single"/>
              <w:right w:color="000000" w:sz="4" w:val="single"/>
            </w:tcBorders>
            <w:vAlign w:val="center"/>
          </w:tcPr>
          <w:p w14:paraId="86030000">
            <w:pPr>
              <w:spacing w:after="0" w:line="240" w:lineRule="auto"/>
              <w:ind/>
              <w:rPr>
                <w:rFonts w:ascii="Times New Roman" w:hAnsi="Times New Roman"/>
                <w:color w:val="000000"/>
                <w:sz w:val="24"/>
              </w:rPr>
            </w:pPr>
            <w:r>
              <w:rPr>
                <w:rFonts w:ascii="Times New Roman" w:hAnsi="Times New Roman"/>
                <w:color w:val="000000"/>
                <w:sz w:val="24"/>
              </w:rPr>
              <w:t>Долгосрочные кредиты, млн руб.</w:t>
            </w:r>
          </w:p>
        </w:tc>
        <w:tc>
          <w:tcPr>
            <w:tcW w:type="dxa" w:w="960"/>
            <w:tcBorders>
              <w:top w:sz="4" w:val="nil"/>
              <w:left w:sz="4" w:val="nil"/>
              <w:bottom w:color="000000" w:sz="4" w:val="single"/>
              <w:right w:color="000000" w:sz="4" w:val="single"/>
            </w:tcBorders>
            <w:vAlign w:val="center"/>
          </w:tcPr>
          <w:p w14:paraId="87030000">
            <w:pPr>
              <w:spacing w:after="0" w:line="240" w:lineRule="auto"/>
              <w:ind/>
              <w:jc w:val="right"/>
              <w:rPr>
                <w:rFonts w:ascii="Times New Roman" w:hAnsi="Times New Roman"/>
                <w:color w:val="000000"/>
                <w:sz w:val="24"/>
              </w:rPr>
            </w:pPr>
            <w:r>
              <w:rPr>
                <w:rFonts w:ascii="Times New Roman" w:hAnsi="Times New Roman"/>
                <w:color w:val="000000"/>
                <w:sz w:val="24"/>
              </w:rPr>
              <w:t>2 800</w:t>
            </w:r>
          </w:p>
        </w:tc>
        <w:tc>
          <w:tcPr>
            <w:tcW w:type="dxa" w:w="1112"/>
            <w:tcBorders>
              <w:top w:sz="4" w:val="nil"/>
              <w:left w:sz="4" w:val="nil"/>
              <w:bottom w:color="000000" w:sz="4" w:val="single"/>
              <w:right w:color="000000" w:sz="4" w:val="single"/>
            </w:tcBorders>
            <w:vAlign w:val="center"/>
          </w:tcPr>
          <w:p w14:paraId="8803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c>
          <w:tcPr>
            <w:tcW w:type="dxa" w:w="977"/>
            <w:tcBorders>
              <w:top w:sz="4" w:val="nil"/>
              <w:left w:sz="4" w:val="nil"/>
              <w:bottom w:color="000000" w:sz="4" w:val="single"/>
              <w:right w:color="000000" w:sz="4" w:val="single"/>
            </w:tcBorders>
            <w:vAlign w:val="center"/>
          </w:tcPr>
          <w:p w14:paraId="89030000">
            <w:pPr>
              <w:spacing w:after="0" w:line="240" w:lineRule="auto"/>
              <w:ind/>
              <w:jc w:val="right"/>
              <w:rPr>
                <w:rFonts w:ascii="Times New Roman" w:hAnsi="Times New Roman"/>
                <w:color w:val="000000"/>
                <w:sz w:val="24"/>
              </w:rPr>
            </w:pPr>
            <w:r>
              <w:rPr>
                <w:rFonts w:ascii="Times New Roman" w:hAnsi="Times New Roman"/>
                <w:color w:val="000000"/>
                <w:sz w:val="24"/>
              </w:rPr>
              <w:t>3 200</w:t>
            </w:r>
          </w:p>
        </w:tc>
        <w:tc>
          <w:tcPr>
            <w:tcW w:type="dxa" w:w="1398"/>
            <w:tcBorders>
              <w:top w:sz="4" w:val="nil"/>
              <w:left w:sz="4" w:val="nil"/>
              <w:bottom w:color="000000" w:sz="4" w:val="single"/>
              <w:right w:color="000000" w:sz="4" w:val="single"/>
            </w:tcBorders>
            <w:vAlign w:val="center"/>
          </w:tcPr>
          <w:p w14:paraId="8A030000">
            <w:pPr>
              <w:spacing w:after="0" w:line="240" w:lineRule="auto"/>
              <w:ind/>
              <w:jc w:val="right"/>
              <w:rPr>
                <w:rFonts w:ascii="Times New Roman" w:hAnsi="Times New Roman"/>
                <w:color w:val="000000"/>
                <w:sz w:val="24"/>
              </w:rPr>
            </w:pPr>
            <w:r>
              <w:rPr>
                <w:rFonts w:ascii="Times New Roman" w:hAnsi="Times New Roman"/>
                <w:color w:val="000000"/>
                <w:sz w:val="24"/>
              </w:rPr>
              <w:t>400</w:t>
            </w:r>
          </w:p>
        </w:tc>
        <w:tc>
          <w:tcPr>
            <w:tcW w:type="dxa" w:w="2966"/>
            <w:tcBorders>
              <w:top w:sz="4" w:val="nil"/>
              <w:left w:sz="4" w:val="nil"/>
              <w:bottom w:color="000000" w:sz="4" w:val="single"/>
              <w:right w:color="000000" w:sz="4" w:val="single"/>
            </w:tcBorders>
            <w:vAlign w:val="center"/>
          </w:tcPr>
          <w:p w14:paraId="8B030000">
            <w:pPr>
              <w:spacing w:after="0" w:line="240" w:lineRule="auto"/>
              <w:ind/>
              <w:rPr>
                <w:rFonts w:ascii="Times New Roman" w:hAnsi="Times New Roman"/>
                <w:color w:val="000000"/>
                <w:sz w:val="24"/>
              </w:rPr>
            </w:pPr>
            <w:r>
              <w:rPr>
                <w:rFonts w:ascii="Times New Roman" w:hAnsi="Times New Roman"/>
                <w:color w:val="000000"/>
                <w:sz w:val="24"/>
              </w:rPr>
              <w:t>Финансирование инвестиционных проектов</w:t>
            </w:r>
          </w:p>
        </w:tc>
      </w:tr>
      <w:tr>
        <w:trPr>
          <w:trHeight w:hRule="atLeast" w:val="576"/>
        </w:trPr>
        <w:tc>
          <w:tcPr>
            <w:tcW w:type="dxa" w:w="2123"/>
            <w:tcBorders>
              <w:top w:sz="4" w:val="nil"/>
              <w:left w:color="000000" w:sz="4" w:val="single"/>
              <w:bottom w:color="000000" w:sz="4" w:val="single"/>
              <w:right w:color="000000" w:sz="4" w:val="single"/>
            </w:tcBorders>
            <w:vAlign w:val="center"/>
          </w:tcPr>
          <w:p w14:paraId="8C030000">
            <w:pPr>
              <w:spacing w:after="0" w:line="240" w:lineRule="auto"/>
              <w:ind/>
              <w:rPr>
                <w:rFonts w:ascii="Times New Roman" w:hAnsi="Times New Roman"/>
                <w:color w:val="000000"/>
                <w:sz w:val="24"/>
              </w:rPr>
            </w:pPr>
            <w:r>
              <w:rPr>
                <w:rFonts w:ascii="Times New Roman" w:hAnsi="Times New Roman"/>
                <w:color w:val="000000"/>
                <w:sz w:val="24"/>
              </w:rPr>
              <w:t>Проценты к уплате, млн руб.</w:t>
            </w:r>
          </w:p>
        </w:tc>
        <w:tc>
          <w:tcPr>
            <w:tcW w:type="dxa" w:w="960"/>
            <w:tcBorders>
              <w:top w:sz="4" w:val="nil"/>
              <w:left w:sz="4" w:val="nil"/>
              <w:bottom w:color="000000" w:sz="4" w:val="single"/>
              <w:right w:color="000000" w:sz="4" w:val="single"/>
            </w:tcBorders>
            <w:vAlign w:val="center"/>
          </w:tcPr>
          <w:p w14:paraId="8D030000">
            <w:pPr>
              <w:spacing w:after="0" w:line="240" w:lineRule="auto"/>
              <w:ind/>
              <w:jc w:val="right"/>
              <w:rPr>
                <w:rFonts w:ascii="Times New Roman" w:hAnsi="Times New Roman"/>
                <w:color w:val="000000"/>
                <w:sz w:val="24"/>
              </w:rPr>
            </w:pPr>
            <w:r>
              <w:rPr>
                <w:rFonts w:ascii="Times New Roman" w:hAnsi="Times New Roman"/>
                <w:color w:val="000000"/>
                <w:sz w:val="24"/>
              </w:rPr>
              <w:t>180</w:t>
            </w:r>
          </w:p>
        </w:tc>
        <w:tc>
          <w:tcPr>
            <w:tcW w:type="dxa" w:w="1112"/>
            <w:tcBorders>
              <w:top w:sz="4" w:val="nil"/>
              <w:left w:sz="4" w:val="nil"/>
              <w:bottom w:color="000000" w:sz="4" w:val="single"/>
              <w:right w:color="000000" w:sz="4" w:val="single"/>
            </w:tcBorders>
            <w:vAlign w:val="center"/>
          </w:tcPr>
          <w:p w14:paraId="8E030000">
            <w:pPr>
              <w:spacing w:after="0" w:line="240" w:lineRule="auto"/>
              <w:ind/>
              <w:jc w:val="right"/>
              <w:rPr>
                <w:rFonts w:ascii="Times New Roman" w:hAnsi="Times New Roman"/>
                <w:color w:val="000000"/>
                <w:sz w:val="24"/>
              </w:rPr>
            </w:pPr>
            <w:r>
              <w:rPr>
                <w:rFonts w:ascii="Times New Roman" w:hAnsi="Times New Roman"/>
                <w:color w:val="000000"/>
                <w:sz w:val="24"/>
              </w:rPr>
              <w:t>195</w:t>
            </w:r>
          </w:p>
        </w:tc>
        <w:tc>
          <w:tcPr>
            <w:tcW w:type="dxa" w:w="977"/>
            <w:tcBorders>
              <w:top w:sz="4" w:val="nil"/>
              <w:left w:sz="4" w:val="nil"/>
              <w:bottom w:color="000000" w:sz="4" w:val="single"/>
              <w:right w:color="000000" w:sz="4" w:val="single"/>
            </w:tcBorders>
            <w:vAlign w:val="center"/>
          </w:tcPr>
          <w:p w14:paraId="8F030000">
            <w:pPr>
              <w:spacing w:after="0" w:line="240" w:lineRule="auto"/>
              <w:ind/>
              <w:jc w:val="right"/>
              <w:rPr>
                <w:rFonts w:ascii="Times New Roman" w:hAnsi="Times New Roman"/>
                <w:color w:val="000000"/>
                <w:sz w:val="24"/>
              </w:rPr>
            </w:pPr>
            <w:r>
              <w:rPr>
                <w:rFonts w:ascii="Times New Roman" w:hAnsi="Times New Roman"/>
                <w:color w:val="000000"/>
                <w:sz w:val="24"/>
              </w:rPr>
              <w:t>210</w:t>
            </w:r>
          </w:p>
        </w:tc>
        <w:tc>
          <w:tcPr>
            <w:tcW w:type="dxa" w:w="1398"/>
            <w:tcBorders>
              <w:top w:sz="4" w:val="nil"/>
              <w:left w:sz="4" w:val="nil"/>
              <w:bottom w:color="000000" w:sz="4" w:val="single"/>
              <w:right w:color="000000" w:sz="4" w:val="single"/>
            </w:tcBorders>
            <w:vAlign w:val="center"/>
          </w:tcPr>
          <w:p w14:paraId="90030000">
            <w:pPr>
              <w:spacing w:after="0" w:line="240" w:lineRule="auto"/>
              <w:ind/>
              <w:jc w:val="right"/>
              <w:rPr>
                <w:rFonts w:ascii="Times New Roman" w:hAnsi="Times New Roman"/>
                <w:color w:val="000000"/>
                <w:sz w:val="24"/>
              </w:rPr>
            </w:pPr>
            <w:r>
              <w:rPr>
                <w:rFonts w:ascii="Times New Roman" w:hAnsi="Times New Roman"/>
                <w:color w:val="000000"/>
                <w:sz w:val="24"/>
              </w:rPr>
              <w:t>30</w:t>
            </w:r>
          </w:p>
        </w:tc>
        <w:tc>
          <w:tcPr>
            <w:tcW w:type="dxa" w:w="2966"/>
            <w:tcBorders>
              <w:top w:sz="4" w:val="nil"/>
              <w:left w:sz="4" w:val="nil"/>
              <w:bottom w:color="000000" w:sz="4" w:val="single"/>
              <w:right w:color="000000" w:sz="4" w:val="single"/>
            </w:tcBorders>
            <w:vAlign w:val="center"/>
          </w:tcPr>
          <w:p w14:paraId="91030000">
            <w:pPr>
              <w:spacing w:after="0" w:line="240" w:lineRule="auto"/>
              <w:ind/>
              <w:rPr>
                <w:rFonts w:ascii="Times New Roman" w:hAnsi="Times New Roman"/>
                <w:color w:val="000000"/>
                <w:sz w:val="24"/>
              </w:rPr>
            </w:pPr>
            <w:r>
              <w:rPr>
                <w:rFonts w:ascii="Times New Roman" w:hAnsi="Times New Roman"/>
                <w:color w:val="000000"/>
                <w:sz w:val="24"/>
              </w:rPr>
              <w:t>Рост процентной нагрузки</w:t>
            </w:r>
          </w:p>
        </w:tc>
      </w:tr>
      <w:tr>
        <w:trPr>
          <w:trHeight w:hRule="atLeast" w:val="576"/>
        </w:trPr>
        <w:tc>
          <w:tcPr>
            <w:tcW w:type="dxa" w:w="2123"/>
            <w:tcBorders>
              <w:top w:sz="4" w:val="nil"/>
              <w:left w:color="000000" w:sz="4" w:val="single"/>
              <w:bottom w:color="000000" w:sz="4" w:val="single"/>
              <w:right w:color="000000" w:sz="4" w:val="single"/>
            </w:tcBorders>
            <w:vAlign w:val="center"/>
          </w:tcPr>
          <w:p w14:paraId="92030000">
            <w:pPr>
              <w:spacing w:after="0" w:line="240" w:lineRule="auto"/>
              <w:ind/>
              <w:rPr>
                <w:rFonts w:ascii="Times New Roman" w:hAnsi="Times New Roman"/>
                <w:color w:val="000000"/>
                <w:sz w:val="24"/>
              </w:rPr>
            </w:pPr>
            <w:r>
              <w:rPr>
                <w:rFonts w:ascii="Times New Roman" w:hAnsi="Times New Roman"/>
                <w:color w:val="000000"/>
                <w:sz w:val="24"/>
              </w:rPr>
              <w:t>Коэффициент долговой нагрузки</w:t>
            </w:r>
          </w:p>
        </w:tc>
        <w:tc>
          <w:tcPr>
            <w:tcW w:type="dxa" w:w="960"/>
            <w:tcBorders>
              <w:top w:sz="4" w:val="nil"/>
              <w:left w:sz="4" w:val="nil"/>
              <w:bottom w:color="000000" w:sz="4" w:val="single"/>
              <w:right w:color="000000" w:sz="4" w:val="single"/>
            </w:tcBorders>
            <w:vAlign w:val="center"/>
          </w:tcPr>
          <w:p w14:paraId="93030000">
            <w:pPr>
              <w:spacing w:after="0" w:line="240" w:lineRule="auto"/>
              <w:ind/>
              <w:jc w:val="right"/>
              <w:rPr>
                <w:rFonts w:ascii="Times New Roman" w:hAnsi="Times New Roman"/>
                <w:color w:val="000000"/>
                <w:sz w:val="24"/>
              </w:rPr>
            </w:pPr>
            <w:r>
              <w:rPr>
                <w:rFonts w:ascii="Times New Roman" w:hAnsi="Times New Roman"/>
                <w:color w:val="000000"/>
                <w:sz w:val="24"/>
              </w:rPr>
              <w:t>0,45</w:t>
            </w:r>
          </w:p>
        </w:tc>
        <w:tc>
          <w:tcPr>
            <w:tcW w:type="dxa" w:w="1112"/>
            <w:tcBorders>
              <w:top w:sz="4" w:val="nil"/>
              <w:left w:sz="4" w:val="nil"/>
              <w:bottom w:color="000000" w:sz="4" w:val="single"/>
              <w:right w:color="000000" w:sz="4" w:val="single"/>
            </w:tcBorders>
            <w:vAlign w:val="center"/>
          </w:tcPr>
          <w:p w14:paraId="94030000">
            <w:pPr>
              <w:spacing w:after="0" w:line="240" w:lineRule="auto"/>
              <w:ind/>
              <w:jc w:val="right"/>
              <w:rPr>
                <w:rFonts w:ascii="Times New Roman" w:hAnsi="Times New Roman"/>
                <w:color w:val="000000"/>
                <w:sz w:val="24"/>
              </w:rPr>
            </w:pPr>
            <w:r>
              <w:rPr>
                <w:rFonts w:ascii="Times New Roman" w:hAnsi="Times New Roman"/>
                <w:color w:val="000000"/>
                <w:sz w:val="24"/>
              </w:rPr>
              <w:t>0,48</w:t>
            </w:r>
          </w:p>
        </w:tc>
        <w:tc>
          <w:tcPr>
            <w:tcW w:type="dxa" w:w="977"/>
            <w:tcBorders>
              <w:top w:sz="4" w:val="nil"/>
              <w:left w:sz="4" w:val="nil"/>
              <w:bottom w:color="000000" w:sz="4" w:val="single"/>
              <w:right w:color="000000" w:sz="4" w:val="single"/>
            </w:tcBorders>
            <w:vAlign w:val="center"/>
          </w:tcPr>
          <w:p w14:paraId="95030000">
            <w:pPr>
              <w:spacing w:after="0" w:line="240" w:lineRule="auto"/>
              <w:ind/>
              <w:jc w:val="right"/>
              <w:rPr>
                <w:rFonts w:ascii="Times New Roman" w:hAnsi="Times New Roman"/>
                <w:color w:val="000000"/>
                <w:sz w:val="24"/>
              </w:rPr>
            </w:pPr>
            <w:r>
              <w:rPr>
                <w:rFonts w:ascii="Times New Roman" w:hAnsi="Times New Roman"/>
                <w:color w:val="000000"/>
                <w:sz w:val="24"/>
              </w:rPr>
              <w:t>0,5</w:t>
            </w:r>
          </w:p>
        </w:tc>
        <w:tc>
          <w:tcPr>
            <w:tcW w:type="dxa" w:w="1398"/>
            <w:tcBorders>
              <w:top w:sz="4" w:val="nil"/>
              <w:left w:sz="4" w:val="nil"/>
              <w:bottom w:color="000000" w:sz="4" w:val="single"/>
              <w:right w:color="000000" w:sz="4" w:val="single"/>
            </w:tcBorders>
            <w:vAlign w:val="center"/>
          </w:tcPr>
          <w:p w14:paraId="96030000">
            <w:pPr>
              <w:spacing w:after="0" w:line="240" w:lineRule="auto"/>
              <w:ind/>
              <w:jc w:val="right"/>
              <w:rPr>
                <w:rFonts w:ascii="Times New Roman" w:hAnsi="Times New Roman"/>
                <w:color w:val="000000"/>
                <w:sz w:val="24"/>
              </w:rPr>
            </w:pPr>
            <w:r>
              <w:rPr>
                <w:rFonts w:ascii="Times New Roman" w:hAnsi="Times New Roman"/>
                <w:color w:val="000000"/>
                <w:sz w:val="24"/>
              </w:rPr>
              <w:t>0,05</w:t>
            </w:r>
          </w:p>
        </w:tc>
        <w:tc>
          <w:tcPr>
            <w:tcW w:type="dxa" w:w="2966"/>
            <w:tcBorders>
              <w:top w:sz="4" w:val="nil"/>
              <w:left w:sz="4" w:val="nil"/>
              <w:bottom w:color="000000" w:sz="4" w:val="single"/>
              <w:right w:color="000000" w:sz="4" w:val="single"/>
            </w:tcBorders>
            <w:vAlign w:val="center"/>
          </w:tcPr>
          <w:p w14:paraId="97030000">
            <w:pPr>
              <w:spacing w:after="0" w:line="240" w:lineRule="auto"/>
              <w:ind/>
              <w:rPr>
                <w:rFonts w:ascii="Times New Roman" w:hAnsi="Times New Roman"/>
                <w:color w:val="000000"/>
                <w:sz w:val="24"/>
              </w:rPr>
            </w:pPr>
            <w:r>
              <w:rPr>
                <w:rFonts w:ascii="Times New Roman" w:hAnsi="Times New Roman"/>
                <w:color w:val="000000"/>
                <w:sz w:val="24"/>
              </w:rPr>
              <w:t>Повышение зависимости от заемного капитала</w:t>
            </w:r>
          </w:p>
        </w:tc>
      </w:tr>
      <w:tr>
        <w:trPr>
          <w:trHeight w:hRule="atLeast" w:val="576"/>
        </w:trPr>
        <w:tc>
          <w:tcPr>
            <w:tcW w:type="dxa" w:w="2123"/>
            <w:tcBorders>
              <w:top w:sz="4" w:val="nil"/>
              <w:left w:color="000000" w:sz="4" w:val="single"/>
              <w:bottom w:color="000000" w:sz="4" w:val="single"/>
              <w:right w:color="000000" w:sz="4" w:val="single"/>
            </w:tcBorders>
            <w:vAlign w:val="center"/>
          </w:tcPr>
          <w:p w14:paraId="98030000">
            <w:pPr>
              <w:spacing w:after="0" w:line="240" w:lineRule="auto"/>
              <w:ind/>
              <w:rPr>
                <w:rFonts w:ascii="Times New Roman" w:hAnsi="Times New Roman"/>
                <w:color w:val="000000"/>
                <w:sz w:val="24"/>
              </w:rPr>
            </w:pPr>
            <w:r>
              <w:rPr>
                <w:rFonts w:ascii="Times New Roman" w:hAnsi="Times New Roman"/>
                <w:color w:val="000000"/>
                <w:sz w:val="24"/>
              </w:rPr>
              <w:t>Коэффициент покрытия процентов</w:t>
            </w:r>
          </w:p>
        </w:tc>
        <w:tc>
          <w:tcPr>
            <w:tcW w:type="dxa" w:w="960"/>
            <w:tcBorders>
              <w:top w:sz="4" w:val="nil"/>
              <w:left w:sz="4" w:val="nil"/>
              <w:bottom w:color="000000" w:sz="4" w:val="single"/>
              <w:right w:color="000000" w:sz="4" w:val="single"/>
            </w:tcBorders>
            <w:vAlign w:val="center"/>
          </w:tcPr>
          <w:p w14:paraId="99030000">
            <w:pPr>
              <w:spacing w:after="0" w:line="240" w:lineRule="auto"/>
              <w:ind/>
              <w:jc w:val="right"/>
              <w:rPr>
                <w:rFonts w:ascii="Times New Roman" w:hAnsi="Times New Roman"/>
                <w:color w:val="000000"/>
                <w:sz w:val="24"/>
              </w:rPr>
            </w:pPr>
            <w:r>
              <w:rPr>
                <w:rFonts w:ascii="Times New Roman" w:hAnsi="Times New Roman"/>
                <w:color w:val="000000"/>
                <w:sz w:val="24"/>
              </w:rPr>
              <w:t>4,5</w:t>
            </w:r>
          </w:p>
        </w:tc>
        <w:tc>
          <w:tcPr>
            <w:tcW w:type="dxa" w:w="1112"/>
            <w:tcBorders>
              <w:top w:sz="4" w:val="nil"/>
              <w:left w:sz="4" w:val="nil"/>
              <w:bottom w:color="000000" w:sz="4" w:val="single"/>
              <w:right w:color="000000" w:sz="4" w:val="single"/>
            </w:tcBorders>
            <w:vAlign w:val="center"/>
          </w:tcPr>
          <w:p w14:paraId="9A030000">
            <w:pPr>
              <w:spacing w:after="0" w:line="240" w:lineRule="auto"/>
              <w:ind/>
              <w:jc w:val="right"/>
              <w:rPr>
                <w:rFonts w:ascii="Times New Roman" w:hAnsi="Times New Roman"/>
                <w:color w:val="000000"/>
                <w:sz w:val="24"/>
              </w:rPr>
            </w:pPr>
            <w:r>
              <w:rPr>
                <w:rFonts w:ascii="Times New Roman" w:hAnsi="Times New Roman"/>
                <w:color w:val="000000"/>
                <w:sz w:val="24"/>
              </w:rPr>
              <w:t>4,2</w:t>
            </w:r>
          </w:p>
        </w:tc>
        <w:tc>
          <w:tcPr>
            <w:tcW w:type="dxa" w:w="977"/>
            <w:tcBorders>
              <w:top w:sz="4" w:val="nil"/>
              <w:left w:sz="4" w:val="nil"/>
              <w:bottom w:color="000000" w:sz="4" w:val="single"/>
              <w:right w:color="000000" w:sz="4" w:val="single"/>
            </w:tcBorders>
            <w:vAlign w:val="center"/>
          </w:tcPr>
          <w:p w14:paraId="9B030000">
            <w:pPr>
              <w:spacing w:after="0" w:line="240" w:lineRule="auto"/>
              <w:ind/>
              <w:jc w:val="right"/>
              <w:rPr>
                <w:rFonts w:ascii="Times New Roman" w:hAnsi="Times New Roman"/>
                <w:color w:val="000000"/>
                <w:sz w:val="24"/>
              </w:rPr>
            </w:pPr>
            <w:r>
              <w:rPr>
                <w:rFonts w:ascii="Times New Roman" w:hAnsi="Times New Roman"/>
                <w:color w:val="000000"/>
                <w:sz w:val="24"/>
              </w:rPr>
              <w:t>4</w:t>
            </w:r>
          </w:p>
        </w:tc>
        <w:tc>
          <w:tcPr>
            <w:tcW w:type="dxa" w:w="1398"/>
            <w:tcBorders>
              <w:top w:sz="4" w:val="nil"/>
              <w:left w:sz="4" w:val="nil"/>
              <w:bottom w:color="000000" w:sz="4" w:val="single"/>
              <w:right w:color="000000" w:sz="4" w:val="single"/>
            </w:tcBorders>
            <w:vAlign w:val="center"/>
          </w:tcPr>
          <w:p w14:paraId="9C030000">
            <w:pPr>
              <w:spacing w:after="0" w:line="240" w:lineRule="auto"/>
              <w:ind/>
              <w:jc w:val="right"/>
              <w:rPr>
                <w:rFonts w:ascii="Times New Roman" w:hAnsi="Times New Roman"/>
                <w:color w:val="000000"/>
                <w:sz w:val="24"/>
              </w:rPr>
            </w:pPr>
            <w:r>
              <w:rPr>
                <w:rFonts w:ascii="Times New Roman" w:hAnsi="Times New Roman"/>
                <w:color w:val="000000"/>
                <w:sz w:val="24"/>
              </w:rPr>
              <w:t>-0,5</w:t>
            </w:r>
          </w:p>
        </w:tc>
        <w:tc>
          <w:tcPr>
            <w:tcW w:type="dxa" w:w="2966"/>
            <w:tcBorders>
              <w:top w:sz="4" w:val="nil"/>
              <w:left w:sz="4" w:val="nil"/>
              <w:bottom w:color="000000" w:sz="4" w:val="single"/>
              <w:right w:color="000000" w:sz="4" w:val="single"/>
            </w:tcBorders>
            <w:vAlign w:val="center"/>
          </w:tcPr>
          <w:p w14:paraId="9D030000">
            <w:pPr>
              <w:spacing w:after="0" w:line="240" w:lineRule="auto"/>
              <w:ind/>
              <w:rPr>
                <w:rFonts w:ascii="Times New Roman" w:hAnsi="Times New Roman"/>
                <w:color w:val="000000"/>
                <w:sz w:val="24"/>
              </w:rPr>
            </w:pPr>
            <w:r>
              <w:rPr>
                <w:rFonts w:ascii="Times New Roman" w:hAnsi="Times New Roman"/>
                <w:color w:val="000000"/>
                <w:sz w:val="24"/>
              </w:rPr>
              <w:t>Снижение покрытия процентов требует контроля</w:t>
            </w:r>
          </w:p>
        </w:tc>
      </w:tr>
      <w:tr>
        <w:trPr>
          <w:trHeight w:hRule="atLeast" w:val="864"/>
        </w:trPr>
        <w:tc>
          <w:tcPr>
            <w:tcW w:type="dxa" w:w="2123"/>
            <w:tcBorders>
              <w:top w:sz="4" w:val="nil"/>
              <w:left w:color="000000" w:sz="4" w:val="single"/>
              <w:bottom w:color="000000" w:sz="4" w:val="single"/>
              <w:right w:color="000000" w:sz="4" w:val="single"/>
            </w:tcBorders>
            <w:vAlign w:val="center"/>
          </w:tcPr>
          <w:p w14:paraId="9E030000">
            <w:pPr>
              <w:spacing w:after="0" w:line="240" w:lineRule="auto"/>
              <w:ind/>
              <w:rPr>
                <w:rFonts w:ascii="Times New Roman" w:hAnsi="Times New Roman"/>
                <w:color w:val="000000"/>
                <w:sz w:val="24"/>
              </w:rPr>
            </w:pPr>
            <w:r>
              <w:rPr>
                <w:rFonts w:ascii="Times New Roman" w:hAnsi="Times New Roman"/>
                <w:color w:val="000000"/>
                <w:sz w:val="24"/>
              </w:rPr>
              <w:t>Рентабельность заемных средств, %</w:t>
            </w:r>
          </w:p>
        </w:tc>
        <w:tc>
          <w:tcPr>
            <w:tcW w:type="dxa" w:w="960"/>
            <w:tcBorders>
              <w:top w:sz="4" w:val="nil"/>
              <w:left w:sz="4" w:val="nil"/>
              <w:bottom w:color="000000" w:sz="4" w:val="single"/>
              <w:right w:color="000000" w:sz="4" w:val="single"/>
            </w:tcBorders>
            <w:vAlign w:val="center"/>
          </w:tcPr>
          <w:p w14:paraId="9F030000">
            <w:pPr>
              <w:spacing w:after="0" w:line="240" w:lineRule="auto"/>
              <w:ind/>
              <w:jc w:val="right"/>
              <w:rPr>
                <w:rFonts w:ascii="Times New Roman" w:hAnsi="Times New Roman"/>
                <w:color w:val="000000"/>
                <w:sz w:val="24"/>
              </w:rPr>
            </w:pPr>
            <w:r>
              <w:rPr>
                <w:rFonts w:ascii="Times New Roman" w:hAnsi="Times New Roman"/>
                <w:color w:val="000000"/>
                <w:sz w:val="24"/>
              </w:rPr>
              <w:t>12,5</w:t>
            </w:r>
          </w:p>
        </w:tc>
        <w:tc>
          <w:tcPr>
            <w:tcW w:type="dxa" w:w="1112"/>
            <w:tcBorders>
              <w:top w:sz="4" w:val="nil"/>
              <w:left w:sz="4" w:val="nil"/>
              <w:bottom w:color="000000" w:sz="4" w:val="single"/>
              <w:right w:color="000000" w:sz="4" w:val="single"/>
            </w:tcBorders>
            <w:vAlign w:val="center"/>
          </w:tcPr>
          <w:p w14:paraId="A0030000">
            <w:pPr>
              <w:spacing w:after="0" w:line="240" w:lineRule="auto"/>
              <w:ind/>
              <w:jc w:val="right"/>
              <w:rPr>
                <w:rFonts w:ascii="Times New Roman" w:hAnsi="Times New Roman"/>
                <w:color w:val="000000"/>
                <w:sz w:val="24"/>
              </w:rPr>
            </w:pPr>
            <w:r>
              <w:rPr>
                <w:rFonts w:ascii="Times New Roman" w:hAnsi="Times New Roman"/>
                <w:color w:val="000000"/>
                <w:sz w:val="24"/>
              </w:rPr>
              <w:t>13</w:t>
            </w:r>
          </w:p>
        </w:tc>
        <w:tc>
          <w:tcPr>
            <w:tcW w:type="dxa" w:w="977"/>
            <w:tcBorders>
              <w:top w:sz="4" w:val="nil"/>
              <w:left w:sz="4" w:val="nil"/>
              <w:bottom w:color="000000" w:sz="4" w:val="single"/>
              <w:right w:color="000000" w:sz="4" w:val="single"/>
            </w:tcBorders>
            <w:vAlign w:val="center"/>
          </w:tcPr>
          <w:p w14:paraId="A1030000">
            <w:pPr>
              <w:spacing w:after="0" w:line="240" w:lineRule="auto"/>
              <w:ind/>
              <w:jc w:val="right"/>
              <w:rPr>
                <w:rFonts w:ascii="Times New Roman" w:hAnsi="Times New Roman"/>
                <w:color w:val="000000"/>
                <w:sz w:val="24"/>
              </w:rPr>
            </w:pPr>
            <w:r>
              <w:rPr>
                <w:rFonts w:ascii="Times New Roman" w:hAnsi="Times New Roman"/>
                <w:color w:val="000000"/>
                <w:sz w:val="24"/>
              </w:rPr>
              <w:t>13,2</w:t>
            </w:r>
          </w:p>
        </w:tc>
        <w:tc>
          <w:tcPr>
            <w:tcW w:type="dxa" w:w="1398"/>
            <w:tcBorders>
              <w:top w:sz="4" w:val="nil"/>
              <w:left w:sz="4" w:val="nil"/>
              <w:bottom w:color="000000" w:sz="4" w:val="single"/>
              <w:right w:color="000000" w:sz="4" w:val="single"/>
            </w:tcBorders>
            <w:vAlign w:val="center"/>
          </w:tcPr>
          <w:p w14:paraId="A2030000">
            <w:pPr>
              <w:spacing w:after="0" w:line="240" w:lineRule="auto"/>
              <w:ind/>
              <w:jc w:val="right"/>
              <w:rPr>
                <w:rFonts w:ascii="Times New Roman" w:hAnsi="Times New Roman"/>
                <w:color w:val="000000"/>
                <w:sz w:val="24"/>
              </w:rPr>
            </w:pPr>
            <w:r>
              <w:rPr>
                <w:rFonts w:ascii="Times New Roman" w:hAnsi="Times New Roman"/>
                <w:color w:val="000000"/>
                <w:sz w:val="24"/>
              </w:rPr>
              <w:t>0,7</w:t>
            </w:r>
          </w:p>
        </w:tc>
        <w:tc>
          <w:tcPr>
            <w:tcW w:type="dxa" w:w="2966"/>
            <w:tcBorders>
              <w:top w:sz="4" w:val="nil"/>
              <w:left w:sz="4" w:val="nil"/>
              <w:bottom w:color="000000" w:sz="4" w:val="single"/>
              <w:right w:color="000000" w:sz="4" w:val="single"/>
            </w:tcBorders>
            <w:vAlign w:val="center"/>
          </w:tcPr>
          <w:p w14:paraId="A3030000">
            <w:pPr>
              <w:spacing w:after="0" w:line="240" w:lineRule="auto"/>
              <w:ind/>
              <w:rPr>
                <w:rFonts w:ascii="Times New Roman" w:hAnsi="Times New Roman"/>
                <w:color w:val="000000"/>
                <w:sz w:val="24"/>
              </w:rPr>
            </w:pPr>
            <w:r>
              <w:rPr>
                <w:rFonts w:ascii="Times New Roman" w:hAnsi="Times New Roman"/>
                <w:color w:val="000000"/>
                <w:sz w:val="24"/>
              </w:rPr>
              <w:t>Эффективное использование кредитов для получения прибыли</w:t>
            </w:r>
          </w:p>
        </w:tc>
      </w:tr>
      <w:tr>
        <w:trPr>
          <w:trHeight w:hRule="atLeast" w:val="864"/>
        </w:trPr>
        <w:tc>
          <w:tcPr>
            <w:tcW w:type="dxa" w:w="2123"/>
            <w:tcBorders>
              <w:top w:sz="4" w:val="nil"/>
              <w:left w:color="000000" w:sz="4" w:val="single"/>
              <w:bottom w:color="000000" w:sz="4" w:val="single"/>
              <w:right w:color="000000" w:sz="4" w:val="single"/>
            </w:tcBorders>
            <w:vAlign w:val="center"/>
          </w:tcPr>
          <w:p w14:paraId="A4030000">
            <w:pPr>
              <w:spacing w:after="0" w:line="240" w:lineRule="auto"/>
              <w:ind/>
              <w:rPr>
                <w:rFonts w:ascii="Times New Roman" w:hAnsi="Times New Roman"/>
                <w:color w:val="000000"/>
                <w:sz w:val="24"/>
              </w:rPr>
            </w:pPr>
            <w:r>
              <w:rPr>
                <w:rFonts w:ascii="Times New Roman" w:hAnsi="Times New Roman"/>
                <w:color w:val="000000"/>
                <w:sz w:val="24"/>
              </w:rPr>
              <w:t>Доля краткосрочных кредитов в общей структуре, %</w:t>
            </w:r>
          </w:p>
        </w:tc>
        <w:tc>
          <w:tcPr>
            <w:tcW w:type="dxa" w:w="960"/>
            <w:tcBorders>
              <w:top w:sz="4" w:val="nil"/>
              <w:left w:sz="4" w:val="nil"/>
              <w:bottom w:color="000000" w:sz="4" w:val="single"/>
              <w:right w:color="000000" w:sz="4" w:val="single"/>
            </w:tcBorders>
            <w:vAlign w:val="center"/>
          </w:tcPr>
          <w:p w14:paraId="A5030000">
            <w:pPr>
              <w:spacing w:after="0" w:line="240" w:lineRule="auto"/>
              <w:ind/>
              <w:jc w:val="right"/>
              <w:rPr>
                <w:rFonts w:ascii="Times New Roman" w:hAnsi="Times New Roman"/>
                <w:color w:val="000000"/>
                <w:sz w:val="24"/>
              </w:rPr>
            </w:pPr>
            <w:r>
              <w:rPr>
                <w:rFonts w:ascii="Times New Roman" w:hAnsi="Times New Roman"/>
                <w:color w:val="000000"/>
                <w:sz w:val="24"/>
              </w:rPr>
              <w:t>30</w:t>
            </w:r>
          </w:p>
        </w:tc>
        <w:tc>
          <w:tcPr>
            <w:tcW w:type="dxa" w:w="1112"/>
            <w:tcBorders>
              <w:top w:sz="4" w:val="nil"/>
              <w:left w:sz="4" w:val="nil"/>
              <w:bottom w:color="000000" w:sz="4" w:val="single"/>
              <w:right w:color="000000" w:sz="4" w:val="single"/>
            </w:tcBorders>
            <w:vAlign w:val="center"/>
          </w:tcPr>
          <w:p w14:paraId="A6030000">
            <w:pPr>
              <w:spacing w:after="0" w:line="240" w:lineRule="auto"/>
              <w:ind/>
              <w:jc w:val="right"/>
              <w:rPr>
                <w:rFonts w:ascii="Times New Roman" w:hAnsi="Times New Roman"/>
                <w:color w:val="000000"/>
                <w:sz w:val="24"/>
              </w:rPr>
            </w:pPr>
            <w:r>
              <w:rPr>
                <w:rFonts w:ascii="Times New Roman" w:hAnsi="Times New Roman"/>
                <w:color w:val="000000"/>
                <w:sz w:val="24"/>
              </w:rPr>
              <w:t>31</w:t>
            </w:r>
          </w:p>
        </w:tc>
        <w:tc>
          <w:tcPr>
            <w:tcW w:type="dxa" w:w="977"/>
            <w:tcBorders>
              <w:top w:sz="4" w:val="nil"/>
              <w:left w:sz="4" w:val="nil"/>
              <w:bottom w:color="000000" w:sz="4" w:val="single"/>
              <w:right w:color="000000" w:sz="4" w:val="single"/>
            </w:tcBorders>
            <w:vAlign w:val="center"/>
          </w:tcPr>
          <w:p w14:paraId="A7030000">
            <w:pPr>
              <w:spacing w:after="0" w:line="240" w:lineRule="auto"/>
              <w:ind/>
              <w:jc w:val="right"/>
              <w:rPr>
                <w:rFonts w:ascii="Times New Roman" w:hAnsi="Times New Roman"/>
                <w:color w:val="000000"/>
                <w:sz w:val="24"/>
              </w:rPr>
            </w:pPr>
            <w:r>
              <w:rPr>
                <w:rFonts w:ascii="Times New Roman" w:hAnsi="Times New Roman"/>
                <w:color w:val="000000"/>
                <w:sz w:val="24"/>
              </w:rPr>
              <w:t>32</w:t>
            </w:r>
          </w:p>
        </w:tc>
        <w:tc>
          <w:tcPr>
            <w:tcW w:type="dxa" w:w="1398"/>
            <w:tcBorders>
              <w:top w:sz="4" w:val="nil"/>
              <w:left w:sz="4" w:val="nil"/>
              <w:bottom w:color="000000" w:sz="4" w:val="single"/>
              <w:right w:color="000000" w:sz="4" w:val="single"/>
            </w:tcBorders>
            <w:vAlign w:val="center"/>
          </w:tcPr>
          <w:p w14:paraId="A803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2966"/>
            <w:tcBorders>
              <w:top w:sz="4" w:val="nil"/>
              <w:left w:sz="4" w:val="nil"/>
              <w:bottom w:color="000000" w:sz="4" w:val="single"/>
              <w:right w:color="000000" w:sz="4" w:val="single"/>
            </w:tcBorders>
            <w:vAlign w:val="center"/>
          </w:tcPr>
          <w:p w14:paraId="A9030000">
            <w:pPr>
              <w:spacing w:after="0" w:line="240" w:lineRule="auto"/>
              <w:ind/>
              <w:rPr>
                <w:rFonts w:ascii="Times New Roman" w:hAnsi="Times New Roman"/>
                <w:color w:val="000000"/>
                <w:sz w:val="24"/>
              </w:rPr>
            </w:pPr>
            <w:r>
              <w:rPr>
                <w:rFonts w:ascii="Times New Roman" w:hAnsi="Times New Roman"/>
                <w:color w:val="000000"/>
                <w:sz w:val="24"/>
              </w:rPr>
              <w:t>Незначительное увеличение краткосрочной нагрузки</w:t>
            </w:r>
          </w:p>
        </w:tc>
      </w:tr>
      <w:tr>
        <w:trPr>
          <w:trHeight w:hRule="atLeast" w:val="864"/>
        </w:trPr>
        <w:tc>
          <w:tcPr>
            <w:tcW w:type="dxa" w:w="2123"/>
            <w:tcBorders>
              <w:top w:sz="4" w:val="nil"/>
              <w:left w:color="000000" w:sz="4" w:val="single"/>
              <w:bottom w:color="000000" w:sz="4" w:val="single"/>
              <w:right w:color="000000" w:sz="4" w:val="single"/>
            </w:tcBorders>
            <w:vAlign w:val="center"/>
          </w:tcPr>
          <w:p w14:paraId="AA030000">
            <w:pPr>
              <w:spacing w:after="0" w:line="240" w:lineRule="auto"/>
              <w:ind/>
              <w:rPr>
                <w:rFonts w:ascii="Times New Roman" w:hAnsi="Times New Roman"/>
                <w:color w:val="000000"/>
                <w:sz w:val="24"/>
              </w:rPr>
            </w:pPr>
            <w:r>
              <w:rPr>
                <w:rFonts w:ascii="Times New Roman" w:hAnsi="Times New Roman"/>
                <w:color w:val="000000"/>
                <w:sz w:val="24"/>
              </w:rPr>
              <w:t>Доля долгосрочных кредитов в общей структуре, %</w:t>
            </w:r>
          </w:p>
        </w:tc>
        <w:tc>
          <w:tcPr>
            <w:tcW w:type="dxa" w:w="960"/>
            <w:tcBorders>
              <w:top w:sz="4" w:val="nil"/>
              <w:left w:sz="4" w:val="nil"/>
              <w:bottom w:color="000000" w:sz="4" w:val="single"/>
              <w:right w:color="000000" w:sz="4" w:val="single"/>
            </w:tcBorders>
            <w:vAlign w:val="center"/>
          </w:tcPr>
          <w:p w14:paraId="AB030000">
            <w:pPr>
              <w:spacing w:after="0" w:line="240" w:lineRule="auto"/>
              <w:ind/>
              <w:jc w:val="right"/>
              <w:rPr>
                <w:rFonts w:ascii="Times New Roman" w:hAnsi="Times New Roman"/>
                <w:color w:val="000000"/>
                <w:sz w:val="24"/>
              </w:rPr>
            </w:pPr>
            <w:r>
              <w:rPr>
                <w:rFonts w:ascii="Times New Roman" w:hAnsi="Times New Roman"/>
                <w:color w:val="000000"/>
                <w:sz w:val="24"/>
              </w:rPr>
              <w:t>70</w:t>
            </w:r>
          </w:p>
        </w:tc>
        <w:tc>
          <w:tcPr>
            <w:tcW w:type="dxa" w:w="1112"/>
            <w:tcBorders>
              <w:top w:sz="4" w:val="nil"/>
              <w:left w:sz="4" w:val="nil"/>
              <w:bottom w:color="000000" w:sz="4" w:val="single"/>
              <w:right w:color="000000" w:sz="4" w:val="single"/>
            </w:tcBorders>
            <w:vAlign w:val="center"/>
          </w:tcPr>
          <w:p w14:paraId="AC030000">
            <w:pPr>
              <w:spacing w:after="0" w:line="240" w:lineRule="auto"/>
              <w:ind/>
              <w:jc w:val="right"/>
              <w:rPr>
                <w:rFonts w:ascii="Times New Roman" w:hAnsi="Times New Roman"/>
                <w:color w:val="000000"/>
                <w:sz w:val="24"/>
              </w:rPr>
            </w:pPr>
            <w:r>
              <w:rPr>
                <w:rFonts w:ascii="Times New Roman" w:hAnsi="Times New Roman"/>
                <w:color w:val="000000"/>
                <w:sz w:val="24"/>
              </w:rPr>
              <w:t>69</w:t>
            </w:r>
          </w:p>
        </w:tc>
        <w:tc>
          <w:tcPr>
            <w:tcW w:type="dxa" w:w="977"/>
            <w:tcBorders>
              <w:top w:sz="4" w:val="nil"/>
              <w:left w:sz="4" w:val="nil"/>
              <w:bottom w:color="000000" w:sz="4" w:val="single"/>
              <w:right w:color="000000" w:sz="4" w:val="single"/>
            </w:tcBorders>
            <w:vAlign w:val="center"/>
          </w:tcPr>
          <w:p w14:paraId="AD030000">
            <w:pPr>
              <w:spacing w:after="0" w:line="240" w:lineRule="auto"/>
              <w:ind/>
              <w:jc w:val="right"/>
              <w:rPr>
                <w:rFonts w:ascii="Times New Roman" w:hAnsi="Times New Roman"/>
                <w:color w:val="000000"/>
                <w:sz w:val="24"/>
              </w:rPr>
            </w:pPr>
            <w:r>
              <w:rPr>
                <w:rFonts w:ascii="Times New Roman" w:hAnsi="Times New Roman"/>
                <w:color w:val="000000"/>
                <w:sz w:val="24"/>
              </w:rPr>
              <w:t>68</w:t>
            </w:r>
          </w:p>
        </w:tc>
        <w:tc>
          <w:tcPr>
            <w:tcW w:type="dxa" w:w="1398"/>
            <w:tcBorders>
              <w:top w:sz="4" w:val="nil"/>
              <w:left w:sz="4" w:val="nil"/>
              <w:bottom w:color="000000" w:sz="4" w:val="single"/>
              <w:right w:color="000000" w:sz="4" w:val="single"/>
            </w:tcBorders>
            <w:vAlign w:val="center"/>
          </w:tcPr>
          <w:p w14:paraId="AE030000">
            <w:pPr>
              <w:spacing w:after="0" w:line="240" w:lineRule="auto"/>
              <w:ind/>
              <w:jc w:val="right"/>
              <w:rPr>
                <w:rFonts w:ascii="Times New Roman" w:hAnsi="Times New Roman"/>
                <w:color w:val="000000"/>
                <w:sz w:val="24"/>
              </w:rPr>
            </w:pPr>
            <w:r>
              <w:rPr>
                <w:rFonts w:ascii="Times New Roman" w:hAnsi="Times New Roman"/>
                <w:color w:val="000000"/>
                <w:sz w:val="24"/>
              </w:rPr>
              <w:t>-2</w:t>
            </w:r>
          </w:p>
        </w:tc>
        <w:tc>
          <w:tcPr>
            <w:tcW w:type="dxa" w:w="2966"/>
            <w:tcBorders>
              <w:top w:sz="4" w:val="nil"/>
              <w:left w:sz="4" w:val="nil"/>
              <w:bottom w:color="000000" w:sz="4" w:val="single"/>
              <w:right w:color="000000" w:sz="4" w:val="single"/>
            </w:tcBorders>
            <w:vAlign w:val="center"/>
          </w:tcPr>
          <w:p w14:paraId="AF030000">
            <w:pPr>
              <w:spacing w:after="0" w:line="240" w:lineRule="auto"/>
              <w:ind/>
              <w:rPr>
                <w:rFonts w:ascii="Times New Roman" w:hAnsi="Times New Roman"/>
                <w:color w:val="000000"/>
                <w:sz w:val="24"/>
              </w:rPr>
            </w:pPr>
            <w:r>
              <w:rPr>
                <w:rFonts w:ascii="Times New Roman" w:hAnsi="Times New Roman"/>
                <w:color w:val="000000"/>
                <w:sz w:val="24"/>
              </w:rPr>
              <w:t>Долгосрочные кредиты остаются основной частью заемных средств</w:t>
            </w:r>
          </w:p>
        </w:tc>
      </w:tr>
      <w:tr>
        <w:trPr>
          <w:trHeight w:hRule="atLeast" w:val="864"/>
        </w:trPr>
        <w:tc>
          <w:tcPr>
            <w:tcW w:type="dxa" w:w="2123"/>
            <w:tcBorders>
              <w:top w:sz="4" w:val="nil"/>
              <w:left w:color="000000" w:sz="4" w:val="single"/>
              <w:bottom w:color="000000" w:sz="4" w:val="single"/>
              <w:right w:color="000000" w:sz="4" w:val="single"/>
            </w:tcBorders>
            <w:vAlign w:val="center"/>
          </w:tcPr>
          <w:p w14:paraId="B0030000">
            <w:pPr>
              <w:spacing w:after="0" w:line="240" w:lineRule="auto"/>
              <w:ind/>
              <w:rPr>
                <w:rFonts w:ascii="Times New Roman" w:hAnsi="Times New Roman"/>
                <w:color w:val="000000"/>
                <w:sz w:val="24"/>
              </w:rPr>
            </w:pPr>
            <w:r>
              <w:rPr>
                <w:rFonts w:ascii="Times New Roman" w:hAnsi="Times New Roman"/>
                <w:color w:val="000000"/>
                <w:sz w:val="24"/>
              </w:rPr>
              <w:t>Просроченные обязательства, млн руб.</w:t>
            </w:r>
          </w:p>
        </w:tc>
        <w:tc>
          <w:tcPr>
            <w:tcW w:type="dxa" w:w="960"/>
            <w:tcBorders>
              <w:top w:sz="4" w:val="nil"/>
              <w:left w:sz="4" w:val="nil"/>
              <w:bottom w:color="000000" w:sz="4" w:val="single"/>
              <w:right w:color="000000" w:sz="4" w:val="single"/>
            </w:tcBorders>
            <w:vAlign w:val="center"/>
          </w:tcPr>
          <w:p w14:paraId="B1030000">
            <w:pPr>
              <w:spacing w:after="0" w:line="240" w:lineRule="auto"/>
              <w:ind/>
              <w:jc w:val="right"/>
              <w:rPr>
                <w:rFonts w:ascii="Times New Roman" w:hAnsi="Times New Roman"/>
                <w:color w:val="000000"/>
                <w:sz w:val="24"/>
              </w:rPr>
            </w:pPr>
            <w:r>
              <w:rPr>
                <w:rFonts w:ascii="Times New Roman" w:hAnsi="Times New Roman"/>
                <w:color w:val="000000"/>
                <w:sz w:val="24"/>
              </w:rPr>
              <w:t>50</w:t>
            </w:r>
          </w:p>
        </w:tc>
        <w:tc>
          <w:tcPr>
            <w:tcW w:type="dxa" w:w="1112"/>
            <w:tcBorders>
              <w:top w:sz="4" w:val="nil"/>
              <w:left w:sz="4" w:val="nil"/>
              <w:bottom w:color="000000" w:sz="4" w:val="single"/>
              <w:right w:color="000000" w:sz="4" w:val="single"/>
            </w:tcBorders>
            <w:vAlign w:val="center"/>
          </w:tcPr>
          <w:p w14:paraId="B2030000">
            <w:pPr>
              <w:spacing w:after="0" w:line="240" w:lineRule="auto"/>
              <w:ind/>
              <w:jc w:val="right"/>
              <w:rPr>
                <w:rFonts w:ascii="Times New Roman" w:hAnsi="Times New Roman"/>
                <w:color w:val="000000"/>
                <w:sz w:val="24"/>
              </w:rPr>
            </w:pPr>
            <w:r>
              <w:rPr>
                <w:rFonts w:ascii="Times New Roman" w:hAnsi="Times New Roman"/>
                <w:color w:val="000000"/>
                <w:sz w:val="24"/>
              </w:rPr>
              <w:t>55</w:t>
            </w:r>
          </w:p>
        </w:tc>
        <w:tc>
          <w:tcPr>
            <w:tcW w:type="dxa" w:w="977"/>
            <w:tcBorders>
              <w:top w:sz="4" w:val="nil"/>
              <w:left w:sz="4" w:val="nil"/>
              <w:bottom w:color="000000" w:sz="4" w:val="single"/>
              <w:right w:color="000000" w:sz="4" w:val="single"/>
            </w:tcBorders>
            <w:vAlign w:val="center"/>
          </w:tcPr>
          <w:p w14:paraId="B3030000">
            <w:pPr>
              <w:spacing w:after="0" w:line="240" w:lineRule="auto"/>
              <w:ind/>
              <w:jc w:val="right"/>
              <w:rPr>
                <w:rFonts w:ascii="Times New Roman" w:hAnsi="Times New Roman"/>
                <w:color w:val="000000"/>
                <w:sz w:val="24"/>
              </w:rPr>
            </w:pPr>
            <w:r>
              <w:rPr>
                <w:rFonts w:ascii="Times New Roman" w:hAnsi="Times New Roman"/>
                <w:color w:val="000000"/>
                <w:sz w:val="24"/>
              </w:rPr>
              <w:t>60</w:t>
            </w:r>
          </w:p>
        </w:tc>
        <w:tc>
          <w:tcPr>
            <w:tcW w:type="dxa" w:w="1398"/>
            <w:tcBorders>
              <w:top w:sz="4" w:val="nil"/>
              <w:left w:sz="4" w:val="nil"/>
              <w:bottom w:color="000000" w:sz="4" w:val="single"/>
              <w:right w:color="000000" w:sz="4" w:val="single"/>
            </w:tcBorders>
            <w:vAlign w:val="center"/>
          </w:tcPr>
          <w:p w14:paraId="B4030000">
            <w:pPr>
              <w:spacing w:after="0" w:line="240" w:lineRule="auto"/>
              <w:ind/>
              <w:jc w:val="right"/>
              <w:rPr>
                <w:rFonts w:ascii="Times New Roman" w:hAnsi="Times New Roman"/>
                <w:color w:val="000000"/>
                <w:sz w:val="24"/>
              </w:rPr>
            </w:pPr>
            <w:r>
              <w:rPr>
                <w:rFonts w:ascii="Times New Roman" w:hAnsi="Times New Roman"/>
                <w:color w:val="000000"/>
                <w:sz w:val="24"/>
              </w:rPr>
              <w:t>10</w:t>
            </w:r>
          </w:p>
        </w:tc>
        <w:tc>
          <w:tcPr>
            <w:tcW w:type="dxa" w:w="2966"/>
            <w:tcBorders>
              <w:top w:sz="4" w:val="nil"/>
              <w:left w:sz="4" w:val="nil"/>
              <w:bottom w:color="000000" w:sz="4" w:val="single"/>
              <w:right w:color="000000" w:sz="4" w:val="single"/>
            </w:tcBorders>
            <w:vAlign w:val="center"/>
          </w:tcPr>
          <w:p w14:paraId="B5030000">
            <w:pPr>
              <w:spacing w:after="0" w:line="240" w:lineRule="auto"/>
              <w:ind/>
              <w:rPr>
                <w:rFonts w:ascii="Times New Roman" w:hAnsi="Times New Roman"/>
                <w:color w:val="000000"/>
                <w:sz w:val="24"/>
              </w:rPr>
            </w:pPr>
            <w:r>
              <w:rPr>
                <w:rFonts w:ascii="Times New Roman" w:hAnsi="Times New Roman"/>
                <w:color w:val="000000"/>
                <w:sz w:val="24"/>
              </w:rPr>
              <w:t>Требует контроля для снижения финансовых рисков</w:t>
            </w:r>
          </w:p>
        </w:tc>
      </w:tr>
    </w:tbl>
    <w:p w14:paraId="B6030000">
      <w:pPr>
        <w:spacing w:after="0" w:line="360" w:lineRule="auto"/>
        <w:ind w:firstLine="851" w:left="0"/>
        <w:jc w:val="both"/>
        <w:rPr>
          <w:rFonts w:ascii="Times New Roman" w:hAnsi="Times New Roman"/>
          <w:sz w:val="28"/>
        </w:rPr>
      </w:pPr>
    </w:p>
    <w:p w14:paraId="B7030000">
      <w:pPr>
        <w:spacing w:after="0" w:line="360" w:lineRule="auto"/>
        <w:ind w:firstLine="851" w:left="0"/>
        <w:jc w:val="both"/>
        <w:rPr>
          <w:rFonts w:ascii="Times New Roman" w:hAnsi="Times New Roman"/>
          <w:sz w:val="28"/>
        </w:rPr>
      </w:pPr>
    </w:p>
    <w:p w14:paraId="B8030000">
      <w:pPr>
        <w:spacing w:after="0" w:line="360" w:lineRule="auto"/>
        <w:ind w:firstLine="851" w:left="0"/>
        <w:jc w:val="both"/>
        <w:rPr>
          <w:rFonts w:ascii="Times New Roman" w:hAnsi="Times New Roman"/>
          <w:sz w:val="28"/>
        </w:rPr>
      </w:pPr>
      <w:r>
        <w:rPr>
          <w:rFonts w:ascii="Times New Roman" w:hAnsi="Times New Roman"/>
          <w:sz w:val="28"/>
        </w:rPr>
        <w:t>По данным таблицы, за 2022–2024 годы общая сумма кредитов и займов выросла с 4 000 до 4 700 млн руб. (на 17,5%). Краткосрочные кредиты увеличились с 1 200 до 1 500 млн руб., долгосрочные — с 2 800 до 3 200 млн руб. Доля краткосрочных заимствований в структуре выросла с 30% до 32%, долгосрочных — снизилась с 70% до 68%. Проценты к уплате увеличились с 180 до 210 млн руб. Коэффициент долговой нагрузки повысился с 0,45 до 0,5, приблизившись к пороговому значению 0,5. Коэффициент покрытия процентов снизился с 4,5 до 4,0. Рентабельность заемных средств выросла с 12,5% до 13,2%, что подтверждает эффективное использование кредитов. Просроченные обязательства увеличились с 50 до 60 млн руб. (1,3% от общего долга). Рост рентабельности заемных средств при увеличении общего долга на 17,5% свидетельствует о направлении дополнительных кредитов в доходные активы.</w:t>
      </w:r>
    </w:p>
    <w:p w14:paraId="B9030000">
      <w:pPr>
        <w:spacing w:after="0" w:line="360" w:lineRule="auto"/>
        <w:ind w:firstLine="851" w:left="0"/>
        <w:jc w:val="both"/>
        <w:rPr>
          <w:rFonts w:ascii="Times New Roman" w:hAnsi="Times New Roman"/>
          <w:sz w:val="28"/>
        </w:rPr>
      </w:pPr>
      <w:r>
        <w:rPr>
          <w:rFonts w:ascii="Times New Roman" w:hAnsi="Times New Roman"/>
          <w:sz w:val="28"/>
        </w:rPr>
        <w:t>При оценке эффективности нельзя игнорировать макроэкономические условия. Изменения инфляции, ключевой ставки ЦБ и рыночных процентных ставок напрямую влияют на стоимость заёмного капитала и кредитную нагрузку, а значит, требуют гибкого подхода к управлению заёмными ресурсами</w:t>
      </w:r>
      <w:r>
        <w:rPr>
          <w:rFonts w:ascii="Times New Roman" w:hAnsi="Times New Roman"/>
          <w:sz w:val="28"/>
          <w:vertAlign w:val="superscript"/>
        </w:rPr>
        <w:footnoteReference w:id="27"/>
      </w:r>
      <w:r>
        <w:rPr>
          <w:rFonts w:ascii="Times New Roman" w:hAnsi="Times New Roman"/>
          <w:sz w:val="28"/>
        </w:rPr>
        <w:t>.</w:t>
      </w:r>
    </w:p>
    <w:p w14:paraId="BA030000">
      <w:pPr>
        <w:spacing w:after="0" w:line="360" w:lineRule="auto"/>
        <w:ind w:firstLine="851" w:left="0"/>
        <w:jc w:val="both"/>
        <w:rPr>
          <w:rFonts w:ascii="Times New Roman" w:hAnsi="Times New Roman"/>
          <w:sz w:val="28"/>
        </w:rPr>
      </w:pPr>
      <w:r>
        <w:rPr>
          <w:rFonts w:ascii="Times New Roman" w:hAnsi="Times New Roman"/>
          <w:sz w:val="28"/>
        </w:rPr>
        <w:t>ПАО «Газпром»</w:t>
      </w:r>
      <w:r>
        <w:rPr>
          <w:rFonts w:ascii="Times New Roman" w:hAnsi="Times New Roman"/>
          <w:sz w:val="28"/>
        </w:rPr>
        <w:t xml:space="preserve"> удалось сохранить растущую рентабельность заёмных средств, однако приближение коэффициента долговой нагрузки к 0,5 и снижение коэффициента покрытия процентов до 4,0 – это сигналы к пересмотру кредитной политики</w:t>
      </w:r>
      <w:r>
        <w:rPr>
          <w:rFonts w:ascii="Times New Roman" w:hAnsi="Times New Roman"/>
          <w:sz w:val="28"/>
        </w:rPr>
        <w:t>.</w:t>
      </w:r>
      <w:r>
        <w:rPr>
          <w:rFonts w:ascii="Times New Roman" w:hAnsi="Times New Roman"/>
          <w:sz w:val="28"/>
        </w:rPr>
        <w:t xml:space="preserve"> </w:t>
      </w:r>
    </w:p>
    <w:p w14:paraId="BB030000">
      <w:pPr>
        <w:spacing w:after="0" w:line="360" w:lineRule="auto"/>
        <w:ind w:firstLine="851" w:left="0"/>
        <w:jc w:val="both"/>
        <w:rPr>
          <w:rFonts w:ascii="Times New Roman" w:hAnsi="Times New Roman"/>
          <w:sz w:val="28"/>
        </w:rPr>
      </w:pPr>
      <w:r>
        <w:rPr>
          <w:rFonts w:ascii="Times New Roman" w:hAnsi="Times New Roman"/>
          <w:sz w:val="28"/>
        </w:rPr>
        <w:t>В конечном счёте эффективность использования заёмных средств и анализ кредитной нагрузки помогают увидеть сильные и слабые стороны финансовой политики, оценить риски и принять решения по оптимизации структуры обязательств. Положительная динамика рентабельности при умеренном росте просрочки говорит о сбалансированной, хотя и требующей корректировки, кредитной политике. Регулярный анализ в этом ключе способствует поддержанию финансовой устойчивости и рациональному использованию внешних источников финансирования.</w:t>
      </w:r>
    </w:p>
    <w:p w14:paraId="BC030000"/>
    <w:p w14:paraId="BD030000"/>
    <w:p w14:paraId="BE03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BF030000">
      <w:bookmarkStart w:id="22" w:name="__RefHeading___22"/>
      <w:bookmarkEnd w:id="22"/>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ЗАКЛЮЧЕНИЕ</w:t>
      </w:r>
    </w:p>
    <w:p w14:paraId="C0030000"/>
    <w:p w14:paraId="C1030000">
      <w:pPr>
        <w:spacing w:after="0" w:line="360" w:lineRule="auto"/>
        <w:ind w:firstLine="851" w:left="0"/>
        <w:jc w:val="both"/>
        <w:rPr>
          <w:rFonts w:ascii="Times New Roman" w:hAnsi="Times New Roman"/>
          <w:sz w:val="28"/>
        </w:rPr>
      </w:pPr>
      <w:r>
        <w:rPr>
          <w:rFonts w:ascii="Times New Roman" w:hAnsi="Times New Roman"/>
          <w:sz w:val="28"/>
        </w:rPr>
        <w:t>В силу специфических условий ведения бизнеса, сложившихся в последние годы для многих компаний независимо от масштабов их деятельности, остро встаёт вопрос обеспечения непрерывного функционирования, а порой и выживаемости. Складывающиеся макроэкономические и политические условия требуют постоянного поиска источников финансирования, с одной стороны, и отладки операционной и инвестиционной деятельности компаний – с другой. Грамотное привлечение и использование заёмного капитала становится одним из ключевых принципов нормального существования и устойчивого развития организации.</w:t>
      </w:r>
    </w:p>
    <w:p w14:paraId="C2030000">
      <w:pPr>
        <w:spacing w:after="0" w:line="360" w:lineRule="auto"/>
        <w:ind w:firstLine="851" w:left="0"/>
        <w:jc w:val="both"/>
        <w:rPr>
          <w:rFonts w:ascii="Times New Roman" w:hAnsi="Times New Roman"/>
          <w:sz w:val="28"/>
        </w:rPr>
      </w:pPr>
      <w:r>
        <w:rPr>
          <w:rFonts w:ascii="Times New Roman" w:hAnsi="Times New Roman"/>
          <w:sz w:val="28"/>
        </w:rPr>
        <w:t>Политика управления заемным капиталом представляет собой часть общей корпоративной финансовой политики, которая заключается в обеспечении наиболее эффективных форм и условий привлечения заемного капитала из различных источников в соответствии с потребностями развития предприятия.</w:t>
      </w:r>
      <w:r>
        <w:rPr>
          <w:rFonts w:ascii="Times New Roman" w:hAnsi="Times New Roman"/>
          <w:sz w:val="28"/>
        </w:rPr>
        <w:t xml:space="preserve"> </w:t>
      </w:r>
    </w:p>
    <w:p w14:paraId="C3030000">
      <w:pPr>
        <w:spacing w:after="0" w:line="360" w:lineRule="auto"/>
        <w:ind w:firstLine="851" w:left="0"/>
        <w:jc w:val="both"/>
        <w:rPr>
          <w:rFonts w:ascii="Times New Roman" w:hAnsi="Times New Roman"/>
          <w:sz w:val="28"/>
        </w:rPr>
      </w:pPr>
      <w:r>
        <w:rPr>
          <w:rFonts w:ascii="Times New Roman" w:hAnsi="Times New Roman"/>
          <w:sz w:val="28"/>
        </w:rPr>
        <w:t>Как установлено в ходе исследования, организация бухгалтерского учёта кредитов и займов предполагает неукоснительное соблюдение нормативных требований. Российская система бухгалтерского учёта регламентирует данный участок достаточно детально: порядок отражения заёмных обязательств, алгоритм начисления процентов, состав информации, подлежащей раскрытию в отчётности, – все эти аспекты закреплены в нормативных документах. Корректное применение указанных норм на практике обеспечивает достоверность учётных данных и формирует объективную картину финансового положения организации.</w:t>
      </w:r>
    </w:p>
    <w:p w14:paraId="C4030000">
      <w:pPr>
        <w:spacing w:after="0" w:line="360" w:lineRule="auto"/>
        <w:ind w:firstLine="851" w:left="0"/>
        <w:jc w:val="both"/>
        <w:rPr>
          <w:rFonts w:ascii="Times New Roman" w:hAnsi="Times New Roman"/>
          <w:sz w:val="28"/>
        </w:rPr>
      </w:pPr>
      <w:r>
        <w:rPr>
          <w:rFonts w:ascii="Times New Roman" w:hAnsi="Times New Roman"/>
          <w:sz w:val="28"/>
        </w:rPr>
        <w:t xml:space="preserve">В работе проведён анализ кредитов и займов. Без систематической оценки структуры обязательств, уровня долговой нагрузки и стоимости привлечённых ресурсов результативное управление заёмным капиталом невозможно. Анализ позволяет своевременно идентифицировать финансовые риски, поддерживать контроль над платёжеспособностью и вырабатывать </w:t>
      </w:r>
      <w:r>
        <w:rPr>
          <w:rFonts w:ascii="Times New Roman" w:hAnsi="Times New Roman"/>
          <w:sz w:val="28"/>
        </w:rPr>
        <w:t>обоснованные управленческие решения, направленные на сохранение финансовой устойчивости.</w:t>
      </w:r>
    </w:p>
    <w:p w14:paraId="C5030000">
      <w:pPr>
        <w:spacing w:after="0" w:line="360" w:lineRule="auto"/>
        <w:ind w:firstLine="851" w:left="0"/>
        <w:jc w:val="both"/>
        <w:rPr>
          <w:rFonts w:ascii="Times New Roman" w:hAnsi="Times New Roman"/>
          <w:sz w:val="28"/>
        </w:rPr>
      </w:pPr>
      <w:r>
        <w:rPr>
          <w:rFonts w:ascii="Times New Roman" w:hAnsi="Times New Roman"/>
          <w:sz w:val="28"/>
        </w:rPr>
        <w:t>Практическая часть работы выполнена на материалах ПАО «Газпром». В процессе исследования дана организационно-экономическая характеристика компании, рассмотрены ключевые финансовые показатели, проанализирована структура заёмного капитала. Изучение реальной деятельности предприятия позволило увидеть, каким образом на практике оформляются кредитные операции, как отражаются кредиты и займы в бухгалтерском учёте и как формируется отчётная информация по заёмным обязательствам.</w:t>
      </w:r>
    </w:p>
    <w:p w14:paraId="C6030000">
      <w:pPr>
        <w:spacing w:after="0" w:line="360" w:lineRule="auto"/>
        <w:ind w:firstLine="851" w:left="0"/>
        <w:jc w:val="both"/>
        <w:rPr>
          <w:rFonts w:ascii="Times New Roman" w:hAnsi="Times New Roman"/>
          <w:sz w:val="28"/>
        </w:rPr>
      </w:pPr>
      <w:r>
        <w:rPr>
          <w:rFonts w:ascii="Times New Roman" w:hAnsi="Times New Roman"/>
          <w:sz w:val="28"/>
        </w:rPr>
        <w:t>«Газпром», согласно проведённому анализу, активно использует заёмные средства для финансирования инвестиционной деятельности, модернизации производственной инфраструктуры и стратегически важных проектов. При этом компания сохраняет достаточный уровень финансовой устойчивости и ликвидности – признак рационального управления заёмным капиталом. Разные источники финансирования позволяют распределять финансовую нагрузку без перекосов и обеспечивать стабильность хозяйственной деятельности.</w:t>
      </w:r>
    </w:p>
    <w:p w14:paraId="C7030000">
      <w:pPr>
        <w:spacing w:after="0" w:line="360" w:lineRule="auto"/>
        <w:ind w:firstLine="851" w:left="0"/>
        <w:jc w:val="both"/>
        <w:rPr>
          <w:rFonts w:ascii="Times New Roman" w:hAnsi="Times New Roman"/>
          <w:sz w:val="28"/>
        </w:rPr>
      </w:pPr>
      <w:r>
        <w:rPr>
          <w:rFonts w:ascii="Times New Roman" w:hAnsi="Times New Roman"/>
          <w:sz w:val="28"/>
        </w:rPr>
        <w:t>Значительная роль в учёте кредитов и займов принадлежит правильно выстроенному внутреннему контролю и аналитическому учёту. Когда операции отражаются своевременно, проценты начисляются корректно, а сроки погашения постоянно на контроле, финансовые риски снижаются, а достоверность отчётности гарантирована. В современных условиях особенно важна автоматизация учётных процессов – она повышает оперативность обработки информации и уменьшает вероятность ошибок.</w:t>
      </w:r>
    </w:p>
    <w:p w14:paraId="C8030000">
      <w:pPr>
        <w:spacing w:after="0" w:line="360" w:lineRule="auto"/>
        <w:ind w:firstLine="851" w:left="0"/>
        <w:jc w:val="both"/>
        <w:rPr>
          <w:rFonts w:ascii="Times New Roman" w:hAnsi="Times New Roman"/>
          <w:sz w:val="28"/>
        </w:rPr>
      </w:pPr>
      <w:r>
        <w:rPr>
          <w:rFonts w:ascii="Times New Roman" w:hAnsi="Times New Roman"/>
          <w:sz w:val="28"/>
        </w:rPr>
        <w:t xml:space="preserve">Качество аналитического учёта в этом смысле играет ключевую роль. Именно оно обеспечивает точность данных и позволяет контролировать выполнение обязательств перед кредиторами. От того, насколько качественно организован учёт, напрямую зависит эффективность управления финансами предприятия. Руководство, получая достоверную информацию, может </w:t>
      </w:r>
      <w:r>
        <w:rPr>
          <w:rFonts w:ascii="Times New Roman" w:hAnsi="Times New Roman"/>
          <w:sz w:val="28"/>
        </w:rPr>
        <w:t>взвешенно подходить к решениям о привлечении и использовании заёмных средств.</w:t>
      </w:r>
    </w:p>
    <w:p w14:paraId="C9030000">
      <w:pPr>
        <w:spacing w:after="0" w:line="360" w:lineRule="auto"/>
        <w:ind w:firstLine="851" w:left="0"/>
        <w:jc w:val="both"/>
        <w:rPr>
          <w:rFonts w:ascii="Times New Roman" w:hAnsi="Times New Roman"/>
          <w:sz w:val="28"/>
        </w:rPr>
      </w:pPr>
      <w:r>
        <w:rPr>
          <w:rFonts w:ascii="Times New Roman" w:hAnsi="Times New Roman"/>
          <w:sz w:val="28"/>
        </w:rPr>
        <w:t>В ходе анализа было выявлено, что в 2022–2024 годах наблюдается рост объема заемных средств</w:t>
      </w:r>
      <w:r>
        <w:rPr>
          <w:rFonts w:ascii="Times New Roman" w:hAnsi="Times New Roman"/>
          <w:sz w:val="28"/>
        </w:rPr>
        <w:t>,</w:t>
      </w:r>
      <w:r>
        <w:rPr>
          <w:rFonts w:ascii="Times New Roman" w:hAnsi="Times New Roman"/>
          <w:sz w:val="28"/>
        </w:rPr>
        <w:t xml:space="preserve"> связано с необходимостью финансирования текущей деятельности и реализации инвестиционных</w:t>
      </w:r>
      <w:r>
        <w:rPr>
          <w:rFonts w:ascii="Times New Roman" w:hAnsi="Times New Roman"/>
          <w:sz w:val="28"/>
        </w:rPr>
        <w:t xml:space="preserve"> проектов. Проведенные расчеты показали, как изменяется кредитная нагрузка и какое влияние она оказывает на финансовую устойчивость предприятия.</w:t>
      </w:r>
      <w:r>
        <w:rPr>
          <w:rFonts w:ascii="Times New Roman" w:hAnsi="Times New Roman"/>
          <w:sz w:val="28"/>
        </w:rPr>
        <w:t xml:space="preserve"> </w:t>
      </w:r>
      <w:r>
        <w:rPr>
          <w:rFonts w:ascii="Times New Roman" w:hAnsi="Times New Roman"/>
          <w:sz w:val="28"/>
        </w:rPr>
        <w:t>На основе полученных результатов были предложены рекомендации по совершенствованию учета и управления кредитами и займами. В частности, речь идет о развитии аналитического учета, внедрении автоматизации, более тщательном контроле за сроками погашения обязательств и оптимизации структуры заемных средств. Также было предложено использовать систему KPI для повышения эффективности управления.</w:t>
      </w:r>
      <w:r>
        <w:rPr>
          <w:rFonts w:ascii="Times New Roman" w:hAnsi="Times New Roman"/>
          <w:sz w:val="28"/>
        </w:rPr>
        <w:t xml:space="preserve"> </w:t>
      </w:r>
      <w:r>
        <w:rPr>
          <w:rFonts w:ascii="Times New Roman" w:hAnsi="Times New Roman"/>
          <w:sz w:val="28"/>
        </w:rPr>
        <w:t>В целом можно сказать, что грамотный учет и регулярный анализ кредитов и займов являются необходимыми условиями для стабильной работы предприятия</w:t>
      </w:r>
      <w:r>
        <w:rPr>
          <w:rFonts w:ascii="Times New Roman" w:hAnsi="Times New Roman"/>
          <w:sz w:val="28"/>
        </w:rPr>
        <w:t>,</w:t>
      </w:r>
      <w:r>
        <w:rPr>
          <w:rFonts w:ascii="Times New Roman" w:hAnsi="Times New Roman"/>
          <w:sz w:val="28"/>
        </w:rPr>
        <w:t xml:space="preserve"> помогают не только контролировать текущую ситуацию, но и своевременно реагировать на возможные риски.</w:t>
      </w:r>
    </w:p>
    <w:p w14:paraId="CA030000">
      <w:pPr>
        <w:spacing w:after="0" w:line="360" w:lineRule="auto"/>
        <w:ind w:firstLine="851" w:left="0"/>
        <w:jc w:val="both"/>
        <w:rPr>
          <w:rFonts w:ascii="Times New Roman" w:hAnsi="Times New Roman"/>
          <w:sz w:val="28"/>
        </w:rPr>
      </w:pPr>
      <w:r>
        <w:rPr>
          <w:rFonts w:ascii="Times New Roman" w:hAnsi="Times New Roman"/>
          <w:sz w:val="28"/>
        </w:rPr>
        <w:t xml:space="preserve"> </w:t>
      </w:r>
      <w:r>
        <w:rPr>
          <w:rFonts w:ascii="Times New Roman" w:hAnsi="Times New Roman"/>
          <w:sz w:val="28"/>
        </w:rPr>
        <w:t xml:space="preserve">Исследование </w:t>
      </w:r>
      <w:r>
        <w:rPr>
          <w:rFonts w:ascii="Times New Roman" w:hAnsi="Times New Roman"/>
          <w:sz w:val="28"/>
        </w:rPr>
        <w:t>показало, что сочетание теоретических знаний и их практического применения позволяет более эффективно управлять заемными средствами. Комплексный подход к учету и анализу долговых обязательств дает организации возможность поддерживать финансовую устойчивость и уверенно развиваться в долгосрочной перспективе.</w:t>
      </w:r>
    </w:p>
    <w:p w14:paraId="CB030000"/>
    <w:p w14:paraId="CC03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CD030000">
      <w:bookmarkStart w:id="23" w:name="__RefHeading___23"/>
      <w:bookmarkEnd w:id="23"/>
      <w:pPr>
        <w:pStyle w:val="Style_8"/>
        <w:spacing w:before="0" w:line="360" w:lineRule="auto"/>
        <w:ind/>
        <w:jc w:val="center"/>
        <w:rPr>
          <w:rFonts w:ascii="Times New Roman" w:hAnsi="Times New Roman"/>
          <w:b w:val="1"/>
          <w:color w:themeColor="text1" w:val="000000"/>
          <w:sz w:val="28"/>
        </w:rPr>
      </w:pPr>
      <w:r>
        <w:rPr>
          <w:rFonts w:ascii="Times New Roman" w:hAnsi="Times New Roman"/>
          <w:b w:val="1"/>
          <w:color w:themeColor="text1" w:val="000000"/>
          <w:sz w:val="28"/>
        </w:rPr>
        <w:t>СПИСОК ИСПОЛЬЗОВАННЫХ ИСТОЧНИКОВ</w:t>
      </w:r>
    </w:p>
    <w:p w14:paraId="CE030000">
      <w:bookmarkStart w:id="24" w:name="_Hlk229032897"/>
    </w:p>
    <w:p w14:paraId="CF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Гражданский кодекс Российской Федерации (часть вторая) от 26.01.1996 № 14-ФЗ (ред. от 09.03.2021, с изм. от 09.03.2021) /  [Электронный ресурс]  URL: http://www.consultant.ru/document/cons_doc_LAW_9027/ (дата обращения: </w:t>
      </w:r>
      <w:r>
        <w:rPr>
          <w:rFonts w:ascii="Times New Roman" w:hAnsi="Times New Roman"/>
          <w:color w:themeColor="text1" w:val="000000"/>
          <w:sz w:val="28"/>
        </w:rPr>
        <w:t>02</w:t>
      </w:r>
      <w:r>
        <w:rPr>
          <w:rFonts w:ascii="Times New Roman" w:hAnsi="Times New Roman"/>
          <w:color w:themeColor="text1" w:val="000000"/>
          <w:sz w:val="28"/>
        </w:rPr>
        <w:t>.0</w:t>
      </w:r>
      <w:r>
        <w:rPr>
          <w:rFonts w:ascii="Times New Roman" w:hAnsi="Times New Roman"/>
          <w:color w:themeColor="text1" w:val="000000"/>
          <w:sz w:val="28"/>
        </w:rPr>
        <w:t>2</w:t>
      </w:r>
      <w:r>
        <w:rPr>
          <w:rFonts w:ascii="Times New Roman" w:hAnsi="Times New Roman"/>
          <w:color w:themeColor="text1" w:val="000000"/>
          <w:sz w:val="28"/>
        </w:rPr>
        <w:t>.202</w:t>
      </w:r>
      <w:r>
        <w:rPr>
          <w:rFonts w:ascii="Times New Roman" w:hAnsi="Times New Roman"/>
          <w:color w:themeColor="text1" w:val="000000"/>
          <w:sz w:val="28"/>
        </w:rPr>
        <w:t>6</w:t>
      </w:r>
      <w:r>
        <w:rPr>
          <w:rFonts w:ascii="Times New Roman" w:hAnsi="Times New Roman"/>
          <w:color w:themeColor="text1" w:val="000000"/>
          <w:sz w:val="28"/>
        </w:rPr>
        <w:t>).</w:t>
      </w:r>
    </w:p>
    <w:p w14:paraId="D0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Налоговый кодекс Российской Федерации (часть первая) от 31.07.1998 № 146-ФЗ (ред. от 02.07.2021) (с изм. и доп., </w:t>
      </w:r>
      <w:r>
        <w:rPr>
          <w:rFonts w:ascii="Times New Roman" w:hAnsi="Times New Roman"/>
          <w:color w:themeColor="text1" w:val="000000"/>
          <w:sz w:val="28"/>
        </w:rPr>
        <w:t>вступ</w:t>
      </w:r>
      <w:r>
        <w:rPr>
          <w:rFonts w:ascii="Times New Roman" w:hAnsi="Times New Roman"/>
          <w:color w:themeColor="text1" w:val="000000"/>
          <w:sz w:val="28"/>
        </w:rPr>
        <w:t xml:space="preserve">, в </w:t>
      </w:r>
      <w:r>
        <w:rPr>
          <w:rFonts w:ascii="Times New Roman" w:hAnsi="Times New Roman"/>
          <w:color w:themeColor="text1" w:val="000000"/>
          <w:sz w:val="28"/>
        </w:rPr>
        <w:t xml:space="preserve">силу с </w:t>
      </w:r>
      <w:r>
        <w:rPr>
          <w:rFonts w:ascii="Times New Roman" w:hAnsi="Times New Roman"/>
          <w:color w:themeColor="text1" w:val="000000"/>
          <w:sz w:val="28"/>
        </w:rPr>
        <w:t>02.02.2026</w:t>
      </w:r>
      <w:r>
        <w:rPr>
          <w:rFonts w:ascii="Times New Roman" w:hAnsi="Times New Roman"/>
          <w:color w:themeColor="text1" w:val="000000"/>
          <w:sz w:val="28"/>
        </w:rPr>
        <w:t xml:space="preserve">) /  [Электронный ресурс]  URL: http://www.consultant.ru/document/cons_doc_LAW_28165/ (дата обращения: </w:t>
      </w:r>
      <w:r>
        <w:rPr>
          <w:rFonts w:ascii="Times New Roman" w:hAnsi="Times New Roman"/>
          <w:color w:themeColor="text1" w:val="000000"/>
          <w:sz w:val="28"/>
        </w:rPr>
        <w:t>02.02.2026</w:t>
      </w:r>
      <w:r>
        <w:rPr>
          <w:rFonts w:ascii="Times New Roman" w:hAnsi="Times New Roman"/>
          <w:color w:themeColor="text1" w:val="000000"/>
          <w:sz w:val="28"/>
        </w:rPr>
        <w:t>).</w:t>
      </w:r>
    </w:p>
    <w:p w14:paraId="D1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Федеральный закон от 06.12.2011 № 402-ФЗ (ред. от 26.07.2018) «О бухгалтерском учете» /  [Электронный ресурс]  URL: http://www.consultant.ru/document/cons_doc_LAW_122855/ (дата обращения: </w:t>
      </w:r>
      <w:r>
        <w:rPr>
          <w:rFonts w:ascii="Times New Roman" w:hAnsi="Times New Roman"/>
          <w:color w:themeColor="text1" w:val="000000"/>
          <w:sz w:val="28"/>
        </w:rPr>
        <w:t>02.02.2026</w:t>
      </w:r>
      <w:r>
        <w:rPr>
          <w:rFonts w:ascii="Times New Roman" w:hAnsi="Times New Roman"/>
          <w:color w:themeColor="text1" w:val="000000"/>
          <w:sz w:val="28"/>
        </w:rPr>
        <w:t>).</w:t>
      </w:r>
    </w:p>
    <w:p w14:paraId="D2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Приказ Минфина России от 29.07.1998 N 34н (ред. от 11.04.2018) «Об утверждении Положения по ведению бухгалтерского учета и бухгалтерской отчетности в Российской Федерации» /  [Электронный ресурс]  URL: http://www.consultant.ru/document/cons_doc_LAW_20081/7890988fa6cec3201efba7e76593110a6cfe9973/#dst100231 (дата обращения: </w:t>
      </w:r>
      <w:r>
        <w:rPr>
          <w:rFonts w:ascii="Times New Roman" w:hAnsi="Times New Roman"/>
          <w:color w:themeColor="text1" w:val="000000"/>
          <w:sz w:val="28"/>
        </w:rPr>
        <w:t>02.02.2026</w:t>
      </w:r>
      <w:r>
        <w:rPr>
          <w:rFonts w:ascii="Times New Roman" w:hAnsi="Times New Roman"/>
          <w:color w:themeColor="text1" w:val="000000"/>
          <w:sz w:val="28"/>
        </w:rPr>
        <w:t>).</w:t>
      </w:r>
    </w:p>
    <w:p w14:paraId="D3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Приказ Минфина РФ от 6 октября 2008 г. № 106н «Об утверждении Положения по бухгалтерскому учету «Учетная политика организации» (ПБУ 1/2008») /  [Электронный ресурс]  URL: http://www.consultant.ru/document/cons_doc_LAW_81164/2ff7a8c72de3994f30496a0ccbb1ddafdaddf518/ (дата обращения: </w:t>
      </w:r>
      <w:r>
        <w:rPr>
          <w:rFonts w:ascii="Times New Roman" w:hAnsi="Times New Roman"/>
          <w:color w:themeColor="text1" w:val="000000"/>
          <w:sz w:val="28"/>
        </w:rPr>
        <w:t>02.02.2026</w:t>
      </w:r>
      <w:r>
        <w:rPr>
          <w:rFonts w:ascii="Times New Roman" w:hAnsi="Times New Roman"/>
          <w:color w:themeColor="text1" w:val="000000"/>
          <w:sz w:val="28"/>
        </w:rPr>
        <w:t>).</w:t>
      </w:r>
    </w:p>
    <w:p w14:paraId="D4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 /  [Электронный ресурс]  URL: http://www.consultant.ru/document/cons_doc_LAW_29165/ (дата обращения: </w:t>
      </w:r>
      <w:r>
        <w:rPr>
          <w:rFonts w:ascii="Times New Roman" w:hAnsi="Times New Roman"/>
          <w:color w:themeColor="text1" w:val="000000"/>
          <w:sz w:val="28"/>
        </w:rPr>
        <w:t>02.02.2026</w:t>
      </w:r>
      <w:r>
        <w:rPr>
          <w:rFonts w:ascii="Times New Roman" w:hAnsi="Times New Roman"/>
          <w:color w:themeColor="text1" w:val="000000"/>
          <w:sz w:val="28"/>
        </w:rPr>
        <w:t>).</w:t>
      </w:r>
    </w:p>
    <w:p w14:paraId="D5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Приказ Минфина РФ от 13.06.1995 № 49 (ред. от 08.11.2010) «Об утверждении Методических указаний по инвентаризации имущества и финансовых обязательств» / [Электронный ресурс]  URL: http://www.consultant.ru/document/cons_doc_LAW_7152/ (дата обращения: </w:t>
      </w:r>
      <w:r>
        <w:rPr>
          <w:rFonts w:ascii="Times New Roman" w:hAnsi="Times New Roman"/>
          <w:color w:themeColor="text1" w:val="000000"/>
          <w:sz w:val="28"/>
        </w:rPr>
        <w:t>02.02.2026</w:t>
      </w:r>
      <w:r>
        <w:rPr>
          <w:rFonts w:ascii="Times New Roman" w:hAnsi="Times New Roman"/>
          <w:color w:themeColor="text1" w:val="000000"/>
          <w:sz w:val="28"/>
        </w:rPr>
        <w:t>).</w:t>
      </w:r>
    </w:p>
    <w:p w14:paraId="D6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bookmarkStart w:id="25" w:name="_Hlk221041732"/>
      <w:r>
        <w:rPr>
          <w:rFonts w:ascii="Times New Roman" w:hAnsi="Times New Roman"/>
          <w:color w:themeColor="text1" w:val="000000"/>
          <w:sz w:val="28"/>
        </w:rPr>
        <w:t xml:space="preserve">Агеева, О. А.  Бухгалтерский учет и анализ в 2 ч. Часть 2. Экономический анализ : учебник для вузов [Текст] / О. А. Агеева, Л. С. Шахматова. </w:t>
      </w:r>
      <w:r>
        <w:rPr>
          <w:rFonts w:ascii="Times New Roman" w:hAnsi="Times New Roman"/>
          <w:color w:themeColor="text1" w:val="000000"/>
          <w:sz w:val="28"/>
        </w:rPr>
        <w:t xml:space="preserve">- </w:t>
      </w:r>
      <w:r>
        <w:rPr>
          <w:rFonts w:ascii="Times New Roman" w:hAnsi="Times New Roman"/>
          <w:color w:themeColor="text1" w:val="000000"/>
          <w:sz w:val="28"/>
        </w:rPr>
        <w:t xml:space="preserve"> Москва : Издательство </w:t>
      </w:r>
      <w:r>
        <w:rPr>
          <w:rFonts w:ascii="Times New Roman" w:hAnsi="Times New Roman"/>
          <w:color w:themeColor="text1" w:val="000000"/>
          <w:sz w:val="28"/>
        </w:rPr>
        <w:t>Юрайт</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240 с.</w:t>
      </w:r>
    </w:p>
    <w:p w14:paraId="D7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Бакаева, З.Р. Анализ дебиторской и кредиторской задолженности [Текст]</w:t>
      </w:r>
      <w:r>
        <w:rPr>
          <w:rFonts w:ascii="Times New Roman" w:hAnsi="Times New Roman"/>
          <w:color w:themeColor="text1" w:val="000000"/>
          <w:sz w:val="28"/>
        </w:rPr>
        <w:t xml:space="preserve"> </w:t>
      </w:r>
      <w:r>
        <w:rPr>
          <w:rFonts w:ascii="Times New Roman" w:hAnsi="Times New Roman"/>
          <w:color w:themeColor="text1" w:val="000000"/>
          <w:sz w:val="28"/>
        </w:rPr>
        <w:t xml:space="preserve">/ З.Р. Бакаева // Научные Известия. </w:t>
      </w:r>
      <w:r>
        <w:rPr>
          <w:rFonts w:ascii="Times New Roman" w:hAnsi="Times New Roman"/>
          <w:color w:themeColor="text1" w:val="000000"/>
          <w:sz w:val="28"/>
        </w:rPr>
        <w:t xml:space="preserve">- </w:t>
      </w:r>
      <w:r>
        <w:rPr>
          <w:rFonts w:ascii="Times New Roman" w:hAnsi="Times New Roman"/>
          <w:color w:themeColor="text1" w:val="000000"/>
          <w:sz w:val="28"/>
        </w:rPr>
        <w:t xml:space="preserve"> 2020. </w:t>
      </w:r>
      <w:r>
        <w:rPr>
          <w:rFonts w:ascii="Times New Roman" w:hAnsi="Times New Roman"/>
          <w:color w:themeColor="text1" w:val="000000"/>
          <w:sz w:val="28"/>
        </w:rPr>
        <w:t xml:space="preserve">- </w:t>
      </w:r>
      <w:r>
        <w:rPr>
          <w:rFonts w:ascii="Times New Roman" w:hAnsi="Times New Roman"/>
          <w:color w:themeColor="text1" w:val="000000"/>
          <w:sz w:val="28"/>
        </w:rPr>
        <w:t xml:space="preserve"> № 20. </w:t>
      </w:r>
      <w:r>
        <w:rPr>
          <w:rFonts w:ascii="Times New Roman" w:hAnsi="Times New Roman"/>
          <w:color w:themeColor="text1" w:val="000000"/>
          <w:sz w:val="28"/>
        </w:rPr>
        <w:t xml:space="preserve">- </w:t>
      </w:r>
      <w:r>
        <w:rPr>
          <w:rFonts w:ascii="Times New Roman" w:hAnsi="Times New Roman"/>
          <w:color w:themeColor="text1" w:val="000000"/>
          <w:sz w:val="28"/>
        </w:rPr>
        <w:t xml:space="preserve"> С. 52-55.</w:t>
      </w:r>
    </w:p>
    <w:p w14:paraId="D8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Башкатов, В.В. Дебиторская и кредиторская задолженность: понятие, нормативное регулирование и отражение в бухгалтерском балансе [Текст]  / В.В. Башкатов // Деловой вестник предпринимателя.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2 (4). </w:t>
      </w:r>
      <w:r>
        <w:rPr>
          <w:rFonts w:ascii="Times New Roman" w:hAnsi="Times New Roman"/>
          <w:color w:themeColor="text1" w:val="000000"/>
          <w:sz w:val="28"/>
        </w:rPr>
        <w:t xml:space="preserve">- </w:t>
      </w:r>
      <w:r>
        <w:rPr>
          <w:rFonts w:ascii="Times New Roman" w:hAnsi="Times New Roman"/>
          <w:color w:themeColor="text1" w:val="000000"/>
          <w:sz w:val="28"/>
        </w:rPr>
        <w:t xml:space="preserve"> С. 12-16.</w:t>
      </w:r>
    </w:p>
    <w:p w14:paraId="D9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Бутакова, Н.М. Влияние динамики дебиторской задолженности на финансовую устойчивость предприятия [Текст] / Н.М. Бутакова // Евразийский союз ученых. </w:t>
      </w:r>
      <w:r>
        <w:rPr>
          <w:rFonts w:ascii="Times New Roman" w:hAnsi="Times New Roman"/>
          <w:color w:themeColor="text1" w:val="000000"/>
          <w:sz w:val="28"/>
        </w:rPr>
        <w:t xml:space="preserve">- </w:t>
      </w:r>
      <w:r>
        <w:rPr>
          <w:rFonts w:ascii="Times New Roman" w:hAnsi="Times New Roman"/>
          <w:color w:themeColor="text1" w:val="000000"/>
          <w:sz w:val="28"/>
        </w:rPr>
        <w:t xml:space="preserve"> 2018. </w:t>
      </w:r>
      <w:r>
        <w:rPr>
          <w:rFonts w:ascii="Times New Roman" w:hAnsi="Times New Roman"/>
          <w:color w:themeColor="text1" w:val="000000"/>
          <w:sz w:val="28"/>
        </w:rPr>
        <w:t xml:space="preserve">- </w:t>
      </w:r>
      <w:r>
        <w:rPr>
          <w:rFonts w:ascii="Times New Roman" w:hAnsi="Times New Roman"/>
          <w:color w:themeColor="text1" w:val="000000"/>
          <w:sz w:val="28"/>
        </w:rPr>
        <w:t xml:space="preserve"> № 4-6 (49). </w:t>
      </w:r>
      <w:r>
        <w:rPr>
          <w:rFonts w:ascii="Times New Roman" w:hAnsi="Times New Roman"/>
          <w:color w:themeColor="text1" w:val="000000"/>
          <w:sz w:val="28"/>
        </w:rPr>
        <w:t xml:space="preserve">- </w:t>
      </w:r>
      <w:r>
        <w:rPr>
          <w:rFonts w:ascii="Times New Roman" w:hAnsi="Times New Roman"/>
          <w:color w:themeColor="text1" w:val="000000"/>
          <w:sz w:val="28"/>
        </w:rPr>
        <w:t xml:space="preserve"> С. 67- 71.</w:t>
      </w:r>
    </w:p>
    <w:p w14:paraId="DA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Войтоловский</w:t>
      </w:r>
      <w:r>
        <w:rPr>
          <w:rFonts w:ascii="Times New Roman" w:hAnsi="Times New Roman"/>
          <w:color w:themeColor="text1" w:val="000000"/>
          <w:sz w:val="28"/>
        </w:rPr>
        <w:t xml:space="preserve">,  А.П. Экономический анализ в 2 ч. Часть 2.  : учебник для вузов [Текст] / Н. В. </w:t>
      </w:r>
      <w:r>
        <w:rPr>
          <w:rFonts w:ascii="Times New Roman" w:hAnsi="Times New Roman"/>
          <w:color w:themeColor="text1" w:val="000000"/>
          <w:sz w:val="28"/>
        </w:rPr>
        <w:t>Войтоловский</w:t>
      </w:r>
      <w:r>
        <w:rPr>
          <w:rFonts w:ascii="Times New Roman" w:hAnsi="Times New Roman"/>
          <w:color w:themeColor="text1" w:val="000000"/>
          <w:sz w:val="28"/>
        </w:rPr>
        <w:t xml:space="preserve"> [и др.] ; под редакцией Н. В. </w:t>
      </w:r>
      <w:r>
        <w:rPr>
          <w:rFonts w:ascii="Times New Roman" w:hAnsi="Times New Roman"/>
          <w:color w:themeColor="text1" w:val="000000"/>
          <w:sz w:val="28"/>
        </w:rPr>
        <w:t>Войтоловского</w:t>
      </w:r>
      <w:r>
        <w:rPr>
          <w:rFonts w:ascii="Times New Roman" w:hAnsi="Times New Roman"/>
          <w:color w:themeColor="text1" w:val="000000"/>
          <w:sz w:val="28"/>
        </w:rPr>
        <w:t xml:space="preserve">, А. П. Калининой, И. И. Мазуровой. </w:t>
      </w:r>
      <w:r>
        <w:rPr>
          <w:rFonts w:ascii="Times New Roman" w:hAnsi="Times New Roman"/>
          <w:color w:themeColor="text1" w:val="000000"/>
          <w:sz w:val="28"/>
        </w:rPr>
        <w:t xml:space="preserve">- </w:t>
      </w:r>
      <w:r>
        <w:rPr>
          <w:rFonts w:ascii="Times New Roman" w:hAnsi="Times New Roman"/>
          <w:color w:themeColor="text1" w:val="000000"/>
          <w:sz w:val="28"/>
        </w:rPr>
        <w:t xml:space="preserve"> 7-е изд., </w:t>
      </w:r>
      <w:r>
        <w:rPr>
          <w:rFonts w:ascii="Times New Roman" w:hAnsi="Times New Roman"/>
          <w:color w:themeColor="text1" w:val="000000"/>
          <w:sz w:val="28"/>
        </w:rPr>
        <w:t>перераб</w:t>
      </w:r>
      <w:r>
        <w:rPr>
          <w:rFonts w:ascii="Times New Roman" w:hAnsi="Times New Roman"/>
          <w:color w:themeColor="text1" w:val="000000"/>
          <w:sz w:val="28"/>
        </w:rPr>
        <w:t>.</w:t>
      </w:r>
      <w:r>
        <w:rPr>
          <w:rFonts w:ascii="Times New Roman" w:hAnsi="Times New Roman"/>
          <w:color w:themeColor="text1" w:val="000000"/>
          <w:sz w:val="28"/>
        </w:rPr>
        <w:t xml:space="preserve"> и доп. </w:t>
      </w:r>
      <w:r>
        <w:rPr>
          <w:rFonts w:ascii="Times New Roman" w:hAnsi="Times New Roman"/>
          <w:color w:themeColor="text1" w:val="000000"/>
          <w:sz w:val="28"/>
        </w:rPr>
        <w:t xml:space="preserve">- </w:t>
      </w:r>
      <w:r>
        <w:rPr>
          <w:rFonts w:ascii="Times New Roman" w:hAnsi="Times New Roman"/>
          <w:color w:themeColor="text1" w:val="000000"/>
          <w:sz w:val="28"/>
        </w:rPr>
        <w:t xml:space="preserve"> Москва</w:t>
      </w:r>
      <w:r>
        <w:rPr>
          <w:rFonts w:ascii="Times New Roman" w:hAnsi="Times New Roman"/>
          <w:color w:themeColor="text1" w:val="000000"/>
          <w:sz w:val="28"/>
        </w:rPr>
        <w:t xml:space="preserve"> : Издательство </w:t>
      </w:r>
      <w:r>
        <w:rPr>
          <w:rFonts w:ascii="Times New Roman" w:hAnsi="Times New Roman"/>
          <w:color w:themeColor="text1" w:val="000000"/>
          <w:sz w:val="28"/>
        </w:rPr>
        <w:t>Юрайт</w:t>
      </w:r>
      <w:r>
        <w:rPr>
          <w:rFonts w:ascii="Times New Roman" w:hAnsi="Times New Roman"/>
          <w:color w:themeColor="text1" w:val="000000"/>
          <w:sz w:val="28"/>
        </w:rPr>
        <w:t xml:space="preserve">.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302 с.</w:t>
      </w:r>
    </w:p>
    <w:p w14:paraId="DB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Вячеславовна, М.С. Дебиторская и кредиторская задолженность коммерческой организации [Текст] / М.С. Вячеславовна // Актуальные научные исследования в современном мире.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6-2 (74). </w:t>
      </w:r>
      <w:r>
        <w:rPr>
          <w:rFonts w:ascii="Times New Roman" w:hAnsi="Times New Roman"/>
          <w:color w:themeColor="text1" w:val="000000"/>
          <w:sz w:val="28"/>
        </w:rPr>
        <w:t xml:space="preserve">- </w:t>
      </w:r>
      <w:r>
        <w:rPr>
          <w:rFonts w:ascii="Times New Roman" w:hAnsi="Times New Roman"/>
          <w:color w:themeColor="text1" w:val="000000"/>
          <w:sz w:val="28"/>
        </w:rPr>
        <w:t xml:space="preserve"> С. 123-126.</w:t>
      </w:r>
    </w:p>
    <w:p w14:paraId="DC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Герасименко, О.А. Формирование эффективного механизма принятия финансовых решений в области управления оборотным капиталом [Текст] / О. А. Герасименко, Н. А. Петров, Р. А. </w:t>
      </w:r>
      <w:r>
        <w:rPr>
          <w:rFonts w:ascii="Times New Roman" w:hAnsi="Times New Roman"/>
          <w:color w:themeColor="text1" w:val="000000"/>
          <w:sz w:val="28"/>
        </w:rPr>
        <w:t>Дагужиев</w:t>
      </w:r>
      <w:r>
        <w:rPr>
          <w:rFonts w:ascii="Times New Roman" w:hAnsi="Times New Roman"/>
          <w:color w:themeColor="text1" w:val="000000"/>
          <w:sz w:val="28"/>
        </w:rPr>
        <w:t xml:space="preserve"> // Вестник Академии знаний. – 2019. – № 5 (34). – С. 288-292.</w:t>
      </w:r>
      <w:bookmarkEnd w:id="25"/>
    </w:p>
    <w:p w14:paraId="DD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Димитриева</w:t>
      </w:r>
      <w:r>
        <w:rPr>
          <w:rFonts w:ascii="Times New Roman" w:hAnsi="Times New Roman"/>
          <w:color w:themeColor="text1" w:val="000000"/>
          <w:sz w:val="28"/>
        </w:rPr>
        <w:t xml:space="preserve">, А.В. Роль анализа дебиторской и кредиторской задолженности в системе внутреннего контроля экономического субъекта </w:t>
      </w:r>
      <w:r>
        <w:rPr>
          <w:rFonts w:ascii="Times New Roman" w:hAnsi="Times New Roman"/>
          <w:color w:themeColor="text1" w:val="000000"/>
          <w:sz w:val="28"/>
        </w:rPr>
        <w:t xml:space="preserve">[Текст]  / А.В. </w:t>
      </w:r>
      <w:r>
        <w:rPr>
          <w:rFonts w:ascii="Times New Roman" w:hAnsi="Times New Roman"/>
          <w:color w:themeColor="text1" w:val="000000"/>
          <w:sz w:val="28"/>
        </w:rPr>
        <w:t>Димитреева</w:t>
      </w:r>
      <w:r>
        <w:rPr>
          <w:rFonts w:ascii="Times New Roman" w:hAnsi="Times New Roman"/>
          <w:color w:themeColor="text1" w:val="000000"/>
          <w:sz w:val="28"/>
        </w:rPr>
        <w:t xml:space="preserve"> // Инновации. Наука. Образование.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26. </w:t>
      </w:r>
      <w:r>
        <w:rPr>
          <w:rFonts w:ascii="Times New Roman" w:hAnsi="Times New Roman"/>
          <w:color w:themeColor="text1" w:val="000000"/>
          <w:sz w:val="28"/>
        </w:rPr>
        <w:t xml:space="preserve">- </w:t>
      </w:r>
      <w:r>
        <w:rPr>
          <w:rFonts w:ascii="Times New Roman" w:hAnsi="Times New Roman"/>
          <w:color w:themeColor="text1" w:val="000000"/>
          <w:sz w:val="28"/>
        </w:rPr>
        <w:t xml:space="preserve"> С. 37-42.</w:t>
      </w:r>
    </w:p>
    <w:p w14:paraId="DE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Еремина, Н. В. Учет дебиторской задолженности в современных целях [Текст] / Н. В. Еремина, В. И. Скрипко, Ю. С. Соболева // Информационное обеспечение эффективного управления деятельностью экономических субъектов: материалы VII </w:t>
      </w:r>
      <w:r>
        <w:rPr>
          <w:rFonts w:ascii="Times New Roman" w:hAnsi="Times New Roman"/>
          <w:color w:themeColor="text1" w:val="000000"/>
          <w:sz w:val="28"/>
        </w:rPr>
        <w:t>междунар</w:t>
      </w:r>
      <w:r>
        <w:rPr>
          <w:rFonts w:ascii="Times New Roman" w:hAnsi="Times New Roman"/>
          <w:color w:themeColor="text1" w:val="000000"/>
          <w:sz w:val="28"/>
        </w:rPr>
        <w:t xml:space="preserve">. науч. </w:t>
      </w:r>
      <w:r>
        <w:rPr>
          <w:rFonts w:ascii="Times New Roman" w:hAnsi="Times New Roman"/>
          <w:color w:themeColor="text1" w:val="000000"/>
          <w:sz w:val="28"/>
        </w:rPr>
        <w:t>конф</w:t>
      </w:r>
      <w:r>
        <w:rPr>
          <w:rFonts w:ascii="Times New Roman" w:hAnsi="Times New Roman"/>
          <w:color w:themeColor="text1" w:val="000000"/>
          <w:sz w:val="28"/>
        </w:rPr>
        <w:t xml:space="preserve">. (г. Краснодар, 20-21 апр. 2017 г.) – Майкоп: Изд-во ИП </w:t>
      </w:r>
      <w:r>
        <w:rPr>
          <w:rFonts w:ascii="Times New Roman" w:hAnsi="Times New Roman"/>
          <w:color w:themeColor="text1" w:val="000000"/>
          <w:sz w:val="28"/>
        </w:rPr>
        <w:t>Магарин</w:t>
      </w:r>
      <w:r>
        <w:rPr>
          <w:rFonts w:ascii="Times New Roman" w:hAnsi="Times New Roman"/>
          <w:color w:themeColor="text1" w:val="000000"/>
          <w:sz w:val="28"/>
        </w:rPr>
        <w:t xml:space="preserve"> О. Г. </w:t>
      </w:r>
      <w:r>
        <w:rPr>
          <w:rFonts w:ascii="Times New Roman" w:hAnsi="Times New Roman"/>
          <w:color w:themeColor="text1" w:val="000000"/>
          <w:sz w:val="28"/>
        </w:rPr>
        <w:t xml:space="preserve">- </w:t>
      </w:r>
      <w:r>
        <w:rPr>
          <w:rFonts w:ascii="Times New Roman" w:hAnsi="Times New Roman"/>
          <w:color w:themeColor="text1" w:val="000000"/>
          <w:sz w:val="28"/>
        </w:rPr>
        <w:t xml:space="preserve"> 2017. – C. 98-104.</w:t>
      </w:r>
    </w:p>
    <w:p w14:paraId="DF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Ефимова, Н.А. Инструменты управления дебиторской и кредиторской задолженностью современного предприятия [Текст] / Н.А. Ефимова // Экономика и управление: научно-практический журнал.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1 (157). </w:t>
      </w:r>
      <w:r>
        <w:rPr>
          <w:rFonts w:ascii="Times New Roman" w:hAnsi="Times New Roman"/>
          <w:color w:themeColor="text1" w:val="000000"/>
          <w:sz w:val="28"/>
        </w:rPr>
        <w:t xml:space="preserve">- </w:t>
      </w:r>
      <w:r>
        <w:rPr>
          <w:rFonts w:ascii="Times New Roman" w:hAnsi="Times New Roman"/>
          <w:color w:themeColor="text1" w:val="000000"/>
          <w:sz w:val="28"/>
        </w:rPr>
        <w:t xml:space="preserve"> С. 81-84.</w:t>
      </w:r>
    </w:p>
    <w:p w14:paraId="E0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Ильин, А.Е. О некоторых аспектах управления дебиторской и кредиторской задолженностью предприятия [Текст]  / А.Е. Ильин // Вестник Курской государственной сельскохозяйственной академии.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1. </w:t>
      </w:r>
      <w:r>
        <w:rPr>
          <w:rFonts w:ascii="Times New Roman" w:hAnsi="Times New Roman"/>
          <w:color w:themeColor="text1" w:val="000000"/>
          <w:sz w:val="28"/>
        </w:rPr>
        <w:t xml:space="preserve">- </w:t>
      </w:r>
      <w:r>
        <w:rPr>
          <w:rFonts w:ascii="Times New Roman" w:hAnsi="Times New Roman"/>
          <w:color w:themeColor="text1" w:val="000000"/>
          <w:sz w:val="28"/>
        </w:rPr>
        <w:t xml:space="preserve"> С. 102-111.</w:t>
      </w:r>
    </w:p>
    <w:p w14:paraId="E1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Калюжная, Е.А. К вопросу управления дебиторской и кредиторской задолженностью предприятия [Текст] / Е.А. Калюжная // Экономические исследования и разработки. </w:t>
      </w:r>
      <w:r>
        <w:rPr>
          <w:rFonts w:ascii="Times New Roman" w:hAnsi="Times New Roman"/>
          <w:color w:themeColor="text1" w:val="000000"/>
          <w:sz w:val="28"/>
        </w:rPr>
        <w:t xml:space="preserve">- </w:t>
      </w:r>
      <w:r>
        <w:rPr>
          <w:rFonts w:ascii="Times New Roman" w:hAnsi="Times New Roman"/>
          <w:color w:themeColor="text1" w:val="000000"/>
          <w:sz w:val="28"/>
        </w:rPr>
        <w:t xml:space="preserve"> 2020. </w:t>
      </w:r>
      <w:r>
        <w:rPr>
          <w:rFonts w:ascii="Times New Roman" w:hAnsi="Times New Roman"/>
          <w:color w:themeColor="text1" w:val="000000"/>
          <w:sz w:val="28"/>
        </w:rPr>
        <w:t xml:space="preserve">- </w:t>
      </w:r>
      <w:r>
        <w:rPr>
          <w:rFonts w:ascii="Times New Roman" w:hAnsi="Times New Roman"/>
          <w:color w:themeColor="text1" w:val="000000"/>
          <w:sz w:val="28"/>
        </w:rPr>
        <w:t xml:space="preserve"> № 1. </w:t>
      </w:r>
      <w:r>
        <w:rPr>
          <w:rFonts w:ascii="Times New Roman" w:hAnsi="Times New Roman"/>
          <w:color w:themeColor="text1" w:val="000000"/>
          <w:sz w:val="28"/>
        </w:rPr>
        <w:t xml:space="preserve">- </w:t>
      </w:r>
      <w:r>
        <w:rPr>
          <w:rFonts w:ascii="Times New Roman" w:hAnsi="Times New Roman"/>
          <w:color w:themeColor="text1" w:val="000000"/>
          <w:sz w:val="28"/>
        </w:rPr>
        <w:t xml:space="preserve"> С. 93-97</w:t>
      </w:r>
    </w:p>
    <w:p w14:paraId="E2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Киселева, К.С. Проблемные аспекты учета и контроля дебиторской и кредиторской задолженности [Текст]</w:t>
      </w:r>
      <w:r>
        <w:rPr>
          <w:rFonts w:ascii="Times New Roman" w:hAnsi="Times New Roman"/>
          <w:color w:themeColor="text1" w:val="000000"/>
          <w:sz w:val="28"/>
        </w:rPr>
        <w:t xml:space="preserve"> </w:t>
      </w:r>
      <w:r>
        <w:rPr>
          <w:rFonts w:ascii="Times New Roman" w:hAnsi="Times New Roman"/>
          <w:color w:themeColor="text1" w:val="000000"/>
          <w:sz w:val="28"/>
        </w:rPr>
        <w:t xml:space="preserve">/ К.С. Киселева // Экономика и бизнес: теория и практика. </w:t>
      </w:r>
      <w:r>
        <w:rPr>
          <w:rFonts w:ascii="Times New Roman" w:hAnsi="Times New Roman"/>
          <w:color w:themeColor="text1" w:val="000000"/>
          <w:sz w:val="28"/>
        </w:rPr>
        <w:t xml:space="preserve">- </w:t>
      </w:r>
      <w:r>
        <w:rPr>
          <w:rFonts w:ascii="Times New Roman" w:hAnsi="Times New Roman"/>
          <w:color w:themeColor="text1" w:val="000000"/>
          <w:sz w:val="28"/>
        </w:rPr>
        <w:t xml:space="preserve"> 2020. </w:t>
      </w:r>
      <w:r>
        <w:rPr>
          <w:rFonts w:ascii="Times New Roman" w:hAnsi="Times New Roman"/>
          <w:color w:themeColor="text1" w:val="000000"/>
          <w:sz w:val="28"/>
        </w:rPr>
        <w:t xml:space="preserve">- </w:t>
      </w:r>
      <w:r>
        <w:rPr>
          <w:rFonts w:ascii="Times New Roman" w:hAnsi="Times New Roman"/>
          <w:color w:themeColor="text1" w:val="000000"/>
          <w:sz w:val="28"/>
        </w:rPr>
        <w:t xml:space="preserve"> № 11-2 (69). </w:t>
      </w:r>
      <w:r>
        <w:rPr>
          <w:rFonts w:ascii="Times New Roman" w:hAnsi="Times New Roman"/>
          <w:color w:themeColor="text1" w:val="000000"/>
          <w:sz w:val="28"/>
        </w:rPr>
        <w:t xml:space="preserve">- </w:t>
      </w:r>
      <w:r>
        <w:rPr>
          <w:rFonts w:ascii="Times New Roman" w:hAnsi="Times New Roman"/>
          <w:color w:themeColor="text1" w:val="000000"/>
          <w:sz w:val="28"/>
        </w:rPr>
        <w:t xml:space="preserve"> С. 32-34.</w:t>
      </w:r>
    </w:p>
    <w:p w14:paraId="E3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Курищев</w:t>
      </w:r>
      <w:r>
        <w:rPr>
          <w:rFonts w:ascii="Times New Roman" w:hAnsi="Times New Roman"/>
          <w:color w:themeColor="text1" w:val="000000"/>
          <w:sz w:val="28"/>
        </w:rPr>
        <w:t xml:space="preserve">, Р.В. Особенности управления дебиторской и кредиторской задолженностью [Текст] / Р.В. </w:t>
      </w:r>
      <w:r>
        <w:rPr>
          <w:rFonts w:ascii="Times New Roman" w:hAnsi="Times New Roman"/>
          <w:color w:themeColor="text1" w:val="000000"/>
          <w:sz w:val="28"/>
        </w:rPr>
        <w:t>Курищев</w:t>
      </w:r>
      <w:r>
        <w:rPr>
          <w:rFonts w:ascii="Times New Roman" w:hAnsi="Times New Roman"/>
          <w:color w:themeColor="text1" w:val="000000"/>
          <w:sz w:val="28"/>
        </w:rPr>
        <w:t xml:space="preserve"> // Economics.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1 (48). </w:t>
      </w:r>
      <w:r>
        <w:rPr>
          <w:rFonts w:ascii="Times New Roman" w:hAnsi="Times New Roman"/>
          <w:color w:themeColor="text1" w:val="000000"/>
          <w:sz w:val="28"/>
        </w:rPr>
        <w:t xml:space="preserve">- </w:t>
      </w:r>
      <w:r>
        <w:rPr>
          <w:rFonts w:ascii="Times New Roman" w:hAnsi="Times New Roman"/>
          <w:color w:themeColor="text1" w:val="000000"/>
          <w:sz w:val="28"/>
        </w:rPr>
        <w:t xml:space="preserve"> С. 45-47.</w:t>
      </w:r>
    </w:p>
    <w:p w14:paraId="E4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Магомедова, Т.И. Дебиторская и кредиторская задолженность корпорации и направления их оптимизации [Текст] / Т.И. Магомедова // Научные исследования XXI века.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1 (9). </w:t>
      </w:r>
      <w:r>
        <w:rPr>
          <w:rFonts w:ascii="Times New Roman" w:hAnsi="Times New Roman"/>
          <w:color w:themeColor="text1" w:val="000000"/>
          <w:sz w:val="28"/>
        </w:rPr>
        <w:t xml:space="preserve">- </w:t>
      </w:r>
      <w:r>
        <w:rPr>
          <w:rFonts w:ascii="Times New Roman" w:hAnsi="Times New Roman"/>
          <w:color w:themeColor="text1" w:val="000000"/>
          <w:sz w:val="28"/>
        </w:rPr>
        <w:t xml:space="preserve"> С. 228-231.</w:t>
      </w:r>
    </w:p>
    <w:p w14:paraId="E5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Минаева, С.С. Система управления дебиторской и кредиторской задолженности: формирование в современных условиях [Текст]</w:t>
      </w:r>
      <w:r>
        <w:rPr>
          <w:rFonts w:ascii="Times New Roman" w:hAnsi="Times New Roman"/>
          <w:color w:themeColor="text1" w:val="000000"/>
          <w:sz w:val="28"/>
        </w:rPr>
        <w:t xml:space="preserve"> </w:t>
      </w:r>
      <w:r>
        <w:rPr>
          <w:rFonts w:ascii="Times New Roman" w:hAnsi="Times New Roman"/>
          <w:color w:themeColor="text1" w:val="000000"/>
          <w:sz w:val="28"/>
        </w:rPr>
        <w:t xml:space="preserve">/ С.С. Минаева // Аспирант.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3 (60). </w:t>
      </w:r>
      <w:r>
        <w:rPr>
          <w:rFonts w:ascii="Times New Roman" w:hAnsi="Times New Roman"/>
          <w:color w:themeColor="text1" w:val="000000"/>
          <w:sz w:val="28"/>
        </w:rPr>
        <w:t xml:space="preserve">- </w:t>
      </w:r>
      <w:r>
        <w:rPr>
          <w:rFonts w:ascii="Times New Roman" w:hAnsi="Times New Roman"/>
          <w:color w:themeColor="text1" w:val="000000"/>
          <w:sz w:val="28"/>
        </w:rPr>
        <w:t xml:space="preserve">  С. 163-165.</w:t>
      </w:r>
    </w:p>
    <w:p w14:paraId="E6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Минаева, С.С. Дебиторская и кредиторская задолженность: направления оптимизации [Текст] / С.С. Минаева // Экономика и бизнес: теория и практика. </w:t>
      </w:r>
      <w:r>
        <w:rPr>
          <w:rFonts w:ascii="Times New Roman" w:hAnsi="Times New Roman"/>
          <w:color w:themeColor="text1" w:val="000000"/>
          <w:sz w:val="28"/>
        </w:rPr>
        <w:t xml:space="preserve">- </w:t>
      </w:r>
      <w:r>
        <w:rPr>
          <w:rFonts w:ascii="Times New Roman" w:hAnsi="Times New Roman"/>
          <w:color w:themeColor="text1" w:val="000000"/>
          <w:sz w:val="28"/>
        </w:rPr>
        <w:t xml:space="preserve"> 2020. </w:t>
      </w:r>
      <w:r>
        <w:rPr>
          <w:rFonts w:ascii="Times New Roman" w:hAnsi="Times New Roman"/>
          <w:color w:themeColor="text1" w:val="000000"/>
          <w:sz w:val="28"/>
        </w:rPr>
        <w:t xml:space="preserve">- </w:t>
      </w:r>
      <w:r>
        <w:rPr>
          <w:rFonts w:ascii="Times New Roman" w:hAnsi="Times New Roman"/>
          <w:color w:themeColor="text1" w:val="000000"/>
          <w:sz w:val="28"/>
        </w:rPr>
        <w:t xml:space="preserve"> № 12-2 (70). </w:t>
      </w:r>
      <w:r>
        <w:rPr>
          <w:rFonts w:ascii="Times New Roman" w:hAnsi="Times New Roman"/>
          <w:color w:themeColor="text1" w:val="000000"/>
          <w:sz w:val="28"/>
        </w:rPr>
        <w:t xml:space="preserve">- </w:t>
      </w:r>
      <w:r>
        <w:rPr>
          <w:rFonts w:ascii="Times New Roman" w:hAnsi="Times New Roman"/>
          <w:color w:themeColor="text1" w:val="000000"/>
          <w:sz w:val="28"/>
        </w:rPr>
        <w:t xml:space="preserve"> С. 128-131.</w:t>
      </w:r>
    </w:p>
    <w:p w14:paraId="E7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Михаленок</w:t>
      </w:r>
      <w:r>
        <w:rPr>
          <w:rFonts w:ascii="Times New Roman" w:hAnsi="Times New Roman"/>
          <w:color w:themeColor="text1" w:val="000000"/>
          <w:sz w:val="28"/>
        </w:rPr>
        <w:t xml:space="preserve"> Н. О. Дебиторская и кредиторская задолженность: принципы анализа, классификации и методика внутреннего контроля [Текст]</w:t>
      </w:r>
      <w:r>
        <w:rPr>
          <w:rFonts w:ascii="Times New Roman" w:hAnsi="Times New Roman"/>
          <w:color w:themeColor="text1" w:val="000000"/>
          <w:sz w:val="28"/>
        </w:rPr>
        <w:t xml:space="preserve"> </w:t>
      </w:r>
      <w:r>
        <w:rPr>
          <w:rFonts w:ascii="Times New Roman" w:hAnsi="Times New Roman"/>
          <w:color w:themeColor="text1" w:val="000000"/>
          <w:sz w:val="28"/>
        </w:rPr>
        <w:t xml:space="preserve">/ Н. О. </w:t>
      </w:r>
      <w:r>
        <w:rPr>
          <w:rFonts w:ascii="Times New Roman" w:hAnsi="Times New Roman"/>
          <w:color w:themeColor="text1" w:val="000000"/>
          <w:sz w:val="28"/>
        </w:rPr>
        <w:t>Михаленок</w:t>
      </w:r>
      <w:r>
        <w:rPr>
          <w:rFonts w:ascii="Times New Roman" w:hAnsi="Times New Roman"/>
          <w:color w:themeColor="text1" w:val="000000"/>
          <w:sz w:val="28"/>
        </w:rPr>
        <w:t xml:space="preserve"> // Азимут научных исследований. </w:t>
      </w:r>
      <w:r>
        <w:rPr>
          <w:rFonts w:ascii="Times New Roman" w:hAnsi="Times New Roman"/>
          <w:color w:themeColor="text1" w:val="000000"/>
          <w:sz w:val="28"/>
        </w:rPr>
        <w:t xml:space="preserve">- </w:t>
      </w:r>
      <w:r>
        <w:rPr>
          <w:rFonts w:ascii="Times New Roman" w:hAnsi="Times New Roman"/>
          <w:color w:themeColor="text1" w:val="000000"/>
          <w:sz w:val="28"/>
        </w:rPr>
        <w:t xml:space="preserve"> 2018. </w:t>
      </w:r>
      <w:r>
        <w:rPr>
          <w:rFonts w:ascii="Times New Roman" w:hAnsi="Times New Roman"/>
          <w:color w:themeColor="text1" w:val="000000"/>
          <w:sz w:val="28"/>
        </w:rPr>
        <w:t xml:space="preserve">- </w:t>
      </w:r>
      <w:r>
        <w:rPr>
          <w:rFonts w:ascii="Times New Roman" w:hAnsi="Times New Roman"/>
          <w:color w:themeColor="text1" w:val="000000"/>
          <w:sz w:val="28"/>
        </w:rPr>
        <w:t xml:space="preserve"> №1. – С.191-194.</w:t>
      </w:r>
    </w:p>
    <w:p w14:paraId="E8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Муталибова, З.Р. Современные проблемы учета и контроля дебиторской и кредиторской задолженности [Текст]  / З.Р. Муталибова // Вестник научной мысли.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3. </w:t>
      </w:r>
      <w:r>
        <w:rPr>
          <w:rFonts w:ascii="Times New Roman" w:hAnsi="Times New Roman"/>
          <w:color w:themeColor="text1" w:val="000000"/>
          <w:sz w:val="28"/>
        </w:rPr>
        <w:t xml:space="preserve">- </w:t>
      </w:r>
      <w:r>
        <w:rPr>
          <w:rFonts w:ascii="Times New Roman" w:hAnsi="Times New Roman"/>
          <w:color w:themeColor="text1" w:val="000000"/>
          <w:sz w:val="28"/>
        </w:rPr>
        <w:t xml:space="preserve"> С. 40-45.</w:t>
      </w:r>
    </w:p>
    <w:p w14:paraId="E9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Назарова, О.В. Взаимосвязь между управлением дебиторской и кредиторской задолженностью и формированием денежного потока организации [Текст]  / О.В. Назарова, В.А. Ткаченко // Modern Science.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5-3. </w:t>
      </w:r>
      <w:r>
        <w:rPr>
          <w:rFonts w:ascii="Times New Roman" w:hAnsi="Times New Roman"/>
          <w:color w:themeColor="text1" w:val="000000"/>
          <w:sz w:val="28"/>
        </w:rPr>
        <w:t xml:space="preserve">- </w:t>
      </w:r>
      <w:r>
        <w:rPr>
          <w:rFonts w:ascii="Times New Roman" w:hAnsi="Times New Roman"/>
          <w:color w:themeColor="text1" w:val="000000"/>
          <w:sz w:val="28"/>
        </w:rPr>
        <w:t xml:space="preserve"> С. 108-112.</w:t>
      </w:r>
    </w:p>
    <w:p w14:paraId="EA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Нестерова, И.А. Экономическая сущность, виды и классификация дебиторской и кредиторской задолженности [Текст] / И.А. Нестерова, В.В. Малая // Деловой вестник предпринимателя.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2 (4). </w:t>
      </w:r>
      <w:r>
        <w:rPr>
          <w:rFonts w:ascii="Times New Roman" w:hAnsi="Times New Roman"/>
          <w:color w:themeColor="text1" w:val="000000"/>
          <w:sz w:val="28"/>
        </w:rPr>
        <w:t xml:space="preserve">- </w:t>
      </w:r>
      <w:r>
        <w:rPr>
          <w:rFonts w:ascii="Times New Roman" w:hAnsi="Times New Roman"/>
          <w:color w:themeColor="text1" w:val="000000"/>
          <w:sz w:val="28"/>
        </w:rPr>
        <w:t xml:space="preserve"> С. 63-65.</w:t>
      </w:r>
    </w:p>
    <w:p w14:paraId="EB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Нормова</w:t>
      </w:r>
      <w:r>
        <w:rPr>
          <w:rFonts w:ascii="Times New Roman" w:hAnsi="Times New Roman"/>
          <w:color w:themeColor="text1" w:val="000000"/>
          <w:sz w:val="28"/>
        </w:rPr>
        <w:t xml:space="preserve">, Т.А. Влияние дебиторской и кредиторской задолженности на финансовое положение сельскохозяйственной организации [Текст]  / </w:t>
      </w:r>
      <w:r>
        <w:rPr>
          <w:rFonts w:ascii="Times New Roman" w:hAnsi="Times New Roman"/>
          <w:color w:themeColor="text1" w:val="000000"/>
          <w:sz w:val="28"/>
        </w:rPr>
        <w:t>Нормова</w:t>
      </w:r>
      <w:r>
        <w:rPr>
          <w:rFonts w:ascii="Times New Roman" w:hAnsi="Times New Roman"/>
          <w:color w:themeColor="text1" w:val="000000"/>
          <w:sz w:val="28"/>
        </w:rPr>
        <w:t xml:space="preserve"> Т.А., Псалом Я.Г., </w:t>
      </w:r>
      <w:r>
        <w:rPr>
          <w:rFonts w:ascii="Times New Roman" w:hAnsi="Times New Roman"/>
          <w:color w:themeColor="text1" w:val="000000"/>
          <w:sz w:val="28"/>
        </w:rPr>
        <w:t>Бурносова</w:t>
      </w:r>
      <w:r>
        <w:rPr>
          <w:rFonts w:ascii="Times New Roman" w:hAnsi="Times New Roman"/>
          <w:color w:themeColor="text1" w:val="000000"/>
          <w:sz w:val="28"/>
        </w:rPr>
        <w:t xml:space="preserve"> В.В., </w:t>
      </w:r>
      <w:r>
        <w:rPr>
          <w:rFonts w:ascii="Times New Roman" w:hAnsi="Times New Roman"/>
          <w:color w:themeColor="text1" w:val="000000"/>
          <w:sz w:val="28"/>
        </w:rPr>
        <w:t>Ждокова</w:t>
      </w:r>
      <w:r>
        <w:rPr>
          <w:rFonts w:ascii="Times New Roman" w:hAnsi="Times New Roman"/>
          <w:color w:themeColor="text1" w:val="000000"/>
          <w:sz w:val="28"/>
        </w:rPr>
        <w:t xml:space="preserve"> Н.К., Солоха А.А. // Экономика и предпринимательство. </w:t>
      </w:r>
      <w:r>
        <w:rPr>
          <w:rFonts w:ascii="Times New Roman" w:hAnsi="Times New Roman"/>
          <w:color w:themeColor="text1" w:val="000000"/>
          <w:sz w:val="28"/>
        </w:rPr>
        <w:t xml:space="preserve">- </w:t>
      </w:r>
      <w:r>
        <w:rPr>
          <w:rFonts w:ascii="Times New Roman" w:hAnsi="Times New Roman"/>
          <w:color w:themeColor="text1" w:val="000000"/>
          <w:sz w:val="28"/>
        </w:rPr>
        <w:t xml:space="preserve"> 2018. </w:t>
      </w:r>
      <w:r>
        <w:rPr>
          <w:rFonts w:ascii="Times New Roman" w:hAnsi="Times New Roman"/>
          <w:color w:themeColor="text1" w:val="000000"/>
          <w:sz w:val="28"/>
        </w:rPr>
        <w:t xml:space="preserve">- </w:t>
      </w:r>
      <w:r>
        <w:rPr>
          <w:rFonts w:ascii="Times New Roman" w:hAnsi="Times New Roman"/>
          <w:color w:themeColor="text1" w:val="000000"/>
          <w:sz w:val="28"/>
        </w:rPr>
        <w:t xml:space="preserve"> № 7 (96). </w:t>
      </w:r>
      <w:r>
        <w:rPr>
          <w:rFonts w:ascii="Times New Roman" w:hAnsi="Times New Roman"/>
          <w:color w:themeColor="text1" w:val="000000"/>
          <w:sz w:val="28"/>
        </w:rPr>
        <w:t xml:space="preserve">- </w:t>
      </w:r>
      <w:r>
        <w:rPr>
          <w:rFonts w:ascii="Times New Roman" w:hAnsi="Times New Roman"/>
          <w:color w:themeColor="text1" w:val="000000"/>
          <w:sz w:val="28"/>
        </w:rPr>
        <w:t xml:space="preserve"> С. 559-564.</w:t>
      </w:r>
    </w:p>
    <w:p w14:paraId="EC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Румянцева, Е. Е.  Экономический анализ : учебник и практикум для вузов [Текст]  / Е. Е. Румянцева. </w:t>
      </w:r>
      <w:r>
        <w:rPr>
          <w:rFonts w:ascii="Times New Roman" w:hAnsi="Times New Roman"/>
          <w:color w:themeColor="text1" w:val="000000"/>
          <w:sz w:val="28"/>
        </w:rPr>
        <w:t xml:space="preserve">- </w:t>
      </w:r>
      <w:r>
        <w:rPr>
          <w:rFonts w:ascii="Times New Roman" w:hAnsi="Times New Roman"/>
          <w:color w:themeColor="text1" w:val="000000"/>
          <w:sz w:val="28"/>
        </w:rPr>
        <w:t xml:space="preserve"> Москва : Издательство </w:t>
      </w:r>
      <w:r>
        <w:rPr>
          <w:rFonts w:ascii="Times New Roman" w:hAnsi="Times New Roman"/>
          <w:color w:themeColor="text1" w:val="000000"/>
          <w:sz w:val="28"/>
        </w:rPr>
        <w:t>Юрайт</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381 с.</w:t>
      </w:r>
    </w:p>
    <w:p w14:paraId="ED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Сущина</w:t>
      </w:r>
      <w:r>
        <w:rPr>
          <w:rFonts w:ascii="Times New Roman" w:hAnsi="Times New Roman"/>
          <w:color w:themeColor="text1" w:val="000000"/>
          <w:sz w:val="28"/>
        </w:rPr>
        <w:t xml:space="preserve">, А.В. Основные аспекты проведения анализа дебиторской и кредиторской задолженности в рамках оценки финансово-хозяйственной </w:t>
      </w:r>
      <w:r>
        <w:rPr>
          <w:rFonts w:ascii="Times New Roman" w:hAnsi="Times New Roman"/>
          <w:color w:themeColor="text1" w:val="000000"/>
          <w:sz w:val="28"/>
        </w:rPr>
        <w:t>деятельности предприятия [Текст]</w:t>
      </w:r>
      <w:r>
        <w:rPr>
          <w:rFonts w:ascii="Times New Roman" w:hAnsi="Times New Roman"/>
          <w:color w:themeColor="text1" w:val="000000"/>
          <w:sz w:val="28"/>
        </w:rPr>
        <w:t xml:space="preserve"> </w:t>
      </w:r>
      <w:r>
        <w:rPr>
          <w:rFonts w:ascii="Times New Roman" w:hAnsi="Times New Roman"/>
          <w:color w:themeColor="text1" w:val="000000"/>
          <w:sz w:val="28"/>
        </w:rPr>
        <w:t xml:space="preserve">/ А.В. </w:t>
      </w:r>
      <w:r>
        <w:rPr>
          <w:rFonts w:ascii="Times New Roman" w:hAnsi="Times New Roman"/>
          <w:color w:themeColor="text1" w:val="000000"/>
          <w:sz w:val="28"/>
        </w:rPr>
        <w:t>Сущина</w:t>
      </w:r>
      <w:r>
        <w:rPr>
          <w:rFonts w:ascii="Times New Roman" w:hAnsi="Times New Roman"/>
          <w:color w:themeColor="text1" w:val="000000"/>
          <w:sz w:val="28"/>
        </w:rPr>
        <w:t xml:space="preserve"> // Вопросы устойчивого развития общества. </w:t>
      </w:r>
      <w:r>
        <w:rPr>
          <w:rFonts w:ascii="Times New Roman" w:hAnsi="Times New Roman"/>
          <w:color w:themeColor="text1" w:val="000000"/>
          <w:sz w:val="28"/>
        </w:rPr>
        <w:t xml:space="preserve">- </w:t>
      </w:r>
      <w:r>
        <w:rPr>
          <w:rFonts w:ascii="Times New Roman" w:hAnsi="Times New Roman"/>
          <w:color w:themeColor="text1" w:val="000000"/>
          <w:sz w:val="28"/>
        </w:rPr>
        <w:t xml:space="preserve"> 2020. </w:t>
      </w:r>
      <w:r>
        <w:rPr>
          <w:rFonts w:ascii="Times New Roman" w:hAnsi="Times New Roman"/>
          <w:color w:themeColor="text1" w:val="000000"/>
          <w:sz w:val="28"/>
        </w:rPr>
        <w:t xml:space="preserve">- </w:t>
      </w:r>
      <w:r>
        <w:rPr>
          <w:rFonts w:ascii="Times New Roman" w:hAnsi="Times New Roman"/>
          <w:color w:themeColor="text1" w:val="000000"/>
          <w:sz w:val="28"/>
        </w:rPr>
        <w:t xml:space="preserve"> № 3-2. </w:t>
      </w:r>
      <w:r>
        <w:rPr>
          <w:rFonts w:ascii="Times New Roman" w:hAnsi="Times New Roman"/>
          <w:color w:themeColor="text1" w:val="000000"/>
          <w:sz w:val="28"/>
        </w:rPr>
        <w:t xml:space="preserve">- </w:t>
      </w:r>
      <w:r>
        <w:rPr>
          <w:rFonts w:ascii="Times New Roman" w:hAnsi="Times New Roman"/>
          <w:color w:themeColor="text1" w:val="000000"/>
          <w:sz w:val="28"/>
        </w:rPr>
        <w:t xml:space="preserve"> С. 587-592.</w:t>
      </w:r>
    </w:p>
    <w:p w14:paraId="EE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Тарасова, И.В. Организация учета и контроля дебиторской задолженности [Текст] / И.В. Тарасова // Вестник образовательного консорциума Среднерусский университет. Серия: Экономика и управление. – 2019. – № 10. – С. 72-73.</w:t>
      </w:r>
    </w:p>
    <w:p w14:paraId="EF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Толчинская</w:t>
      </w:r>
      <w:r>
        <w:rPr>
          <w:rFonts w:ascii="Times New Roman" w:hAnsi="Times New Roman"/>
          <w:color w:themeColor="text1" w:val="000000"/>
          <w:sz w:val="28"/>
        </w:rPr>
        <w:t xml:space="preserve">, М.Н. Современные инструменты управления дебиторской и кредиторской задолженностью [Текст] / М.Н. </w:t>
      </w:r>
      <w:r>
        <w:rPr>
          <w:rFonts w:ascii="Times New Roman" w:hAnsi="Times New Roman"/>
          <w:color w:themeColor="text1" w:val="000000"/>
          <w:sz w:val="28"/>
        </w:rPr>
        <w:t>Толчинская</w:t>
      </w:r>
      <w:r>
        <w:rPr>
          <w:rFonts w:ascii="Times New Roman" w:hAnsi="Times New Roman"/>
          <w:color w:themeColor="text1" w:val="000000"/>
          <w:sz w:val="28"/>
        </w:rPr>
        <w:t xml:space="preserve"> // Вопросы устойчивого развития общества.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4. </w:t>
      </w:r>
      <w:r>
        <w:rPr>
          <w:rFonts w:ascii="Times New Roman" w:hAnsi="Times New Roman"/>
          <w:color w:themeColor="text1" w:val="000000"/>
          <w:sz w:val="28"/>
        </w:rPr>
        <w:t xml:space="preserve">- </w:t>
      </w:r>
      <w:r>
        <w:rPr>
          <w:rFonts w:ascii="Times New Roman" w:hAnsi="Times New Roman"/>
          <w:color w:themeColor="text1" w:val="000000"/>
          <w:sz w:val="28"/>
        </w:rPr>
        <w:t xml:space="preserve"> С. 245-251.</w:t>
      </w:r>
    </w:p>
    <w:p w14:paraId="F0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Торкунова, О.В. Классификация и основные признаки управления дебиторской и кредиторской задолженностью [Текст] / О.В. Торкунова // Трибуна ученого. </w:t>
      </w:r>
      <w:r>
        <w:rPr>
          <w:rFonts w:ascii="Times New Roman" w:hAnsi="Times New Roman"/>
          <w:color w:themeColor="text1" w:val="000000"/>
          <w:sz w:val="28"/>
        </w:rPr>
        <w:t xml:space="preserve">- </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 4. </w:t>
      </w:r>
      <w:r>
        <w:rPr>
          <w:rFonts w:ascii="Times New Roman" w:hAnsi="Times New Roman"/>
          <w:color w:themeColor="text1" w:val="000000"/>
          <w:sz w:val="28"/>
        </w:rPr>
        <w:t xml:space="preserve">- </w:t>
      </w:r>
      <w:r>
        <w:rPr>
          <w:rFonts w:ascii="Times New Roman" w:hAnsi="Times New Roman"/>
          <w:color w:themeColor="text1" w:val="000000"/>
          <w:sz w:val="28"/>
        </w:rPr>
        <w:t xml:space="preserve"> С. 326-334.</w:t>
      </w:r>
    </w:p>
    <w:p w14:paraId="F1030000">
      <w:pPr>
        <w:numPr>
          <w:ilvl w:val="0"/>
          <w:numId w:val="4"/>
        </w:numPr>
        <w:tabs>
          <w:tab w:leader="none" w:pos="720" w:val="clear"/>
          <w:tab w:leader="none" w:pos="1134" w:val="left"/>
        </w:tabs>
        <w:spacing w:after="0" w:line="360" w:lineRule="auto"/>
        <w:ind w:firstLine="851" w:left="0"/>
        <w:jc w:val="both"/>
        <w:rPr>
          <w:rFonts w:ascii="Times New Roman" w:hAnsi="Times New Roman"/>
          <w:color w:themeColor="text1" w:val="000000"/>
          <w:sz w:val="28"/>
        </w:rPr>
      </w:pPr>
      <w:r>
        <w:rPr>
          <w:rFonts w:ascii="Times New Roman" w:hAnsi="Times New Roman"/>
          <w:color w:themeColor="text1" w:val="000000"/>
          <w:sz w:val="28"/>
        </w:rPr>
        <w:t xml:space="preserve">Шадрина, Г. В.  Экономический анализ : учебник для вузов [Текст] / Г. В. Шадрина. </w:t>
      </w:r>
      <w:r>
        <w:rPr>
          <w:rFonts w:ascii="Times New Roman" w:hAnsi="Times New Roman"/>
          <w:color w:themeColor="text1" w:val="000000"/>
          <w:sz w:val="28"/>
        </w:rPr>
        <w:t xml:space="preserve">- </w:t>
      </w:r>
      <w:r>
        <w:rPr>
          <w:rFonts w:ascii="Times New Roman" w:hAnsi="Times New Roman"/>
          <w:color w:themeColor="text1" w:val="000000"/>
          <w:sz w:val="28"/>
        </w:rPr>
        <w:t xml:space="preserve"> 3-е изд., </w:t>
      </w:r>
      <w:r>
        <w:rPr>
          <w:rFonts w:ascii="Times New Roman" w:hAnsi="Times New Roman"/>
          <w:color w:themeColor="text1" w:val="000000"/>
          <w:sz w:val="28"/>
        </w:rPr>
        <w:t>перераб</w:t>
      </w:r>
      <w:r>
        <w:rPr>
          <w:rFonts w:ascii="Times New Roman" w:hAnsi="Times New Roman"/>
          <w:color w:themeColor="text1" w:val="000000"/>
          <w:sz w:val="28"/>
        </w:rPr>
        <w:t>.</w:t>
      </w:r>
      <w:r>
        <w:rPr>
          <w:rFonts w:ascii="Times New Roman" w:hAnsi="Times New Roman"/>
          <w:color w:themeColor="text1" w:val="000000"/>
          <w:sz w:val="28"/>
        </w:rPr>
        <w:t xml:space="preserve"> и доп. </w:t>
      </w:r>
      <w:r>
        <w:rPr>
          <w:rFonts w:ascii="Times New Roman" w:hAnsi="Times New Roman"/>
          <w:color w:themeColor="text1" w:val="000000"/>
          <w:sz w:val="28"/>
        </w:rPr>
        <w:t xml:space="preserve">- </w:t>
      </w:r>
      <w:r>
        <w:rPr>
          <w:rFonts w:ascii="Times New Roman" w:hAnsi="Times New Roman"/>
          <w:color w:themeColor="text1" w:val="000000"/>
          <w:sz w:val="28"/>
        </w:rPr>
        <w:t xml:space="preserve"> Москва</w:t>
      </w:r>
      <w:r>
        <w:rPr>
          <w:rFonts w:ascii="Times New Roman" w:hAnsi="Times New Roman"/>
          <w:color w:themeColor="text1" w:val="000000"/>
          <w:sz w:val="28"/>
        </w:rPr>
        <w:t xml:space="preserve"> : Издательство </w:t>
      </w:r>
      <w:r>
        <w:rPr>
          <w:rFonts w:ascii="Times New Roman" w:hAnsi="Times New Roman"/>
          <w:color w:themeColor="text1" w:val="000000"/>
          <w:sz w:val="28"/>
        </w:rPr>
        <w:t>Юрайт</w:t>
      </w:r>
      <w:r>
        <w:rPr>
          <w:rFonts w:ascii="Times New Roman" w:hAnsi="Times New Roman"/>
          <w:color w:themeColor="text1" w:val="000000"/>
          <w:sz w:val="28"/>
        </w:rPr>
        <w:t xml:space="preserve">, 2021. </w:t>
      </w:r>
      <w:r>
        <w:rPr>
          <w:rFonts w:ascii="Times New Roman" w:hAnsi="Times New Roman"/>
          <w:color w:themeColor="text1" w:val="000000"/>
          <w:sz w:val="28"/>
        </w:rPr>
        <w:t xml:space="preserve">- </w:t>
      </w:r>
      <w:r>
        <w:rPr>
          <w:rFonts w:ascii="Times New Roman" w:hAnsi="Times New Roman"/>
          <w:color w:themeColor="text1" w:val="000000"/>
          <w:sz w:val="28"/>
        </w:rPr>
        <w:t xml:space="preserve"> 461 с.</w:t>
      </w:r>
      <w:bookmarkEnd w:id="24"/>
    </w:p>
    <w:p w14:paraId="F2030000"/>
    <w:p w14:paraId="F3030000">
      <w:pPr>
        <w:rPr>
          <w:rFonts w:ascii="Times New Roman" w:hAnsi="Times New Roman"/>
          <w:b w:val="1"/>
          <w:color w:themeColor="text1" w:val="000000"/>
          <w:sz w:val="28"/>
        </w:rPr>
      </w:pPr>
      <w:r>
        <w:rPr>
          <w:rFonts w:ascii="Times New Roman" w:hAnsi="Times New Roman"/>
          <w:b w:val="1"/>
          <w:color w:themeColor="text1" w:val="000000"/>
          <w:sz w:val="28"/>
        </w:rPr>
        <w:br w:type="page"/>
      </w:r>
    </w:p>
    <w:p w14:paraId="F4030000">
      <w:bookmarkStart w:id="26" w:name="__RefHeading___24"/>
      <w:bookmarkEnd w:id="26"/>
      <w:pPr>
        <w:pStyle w:val="Style_8"/>
        <w:spacing w:before="0" w:line="360" w:lineRule="auto"/>
        <w:ind/>
        <w:jc w:val="right"/>
        <w:rPr>
          <w:rFonts w:ascii="Times New Roman" w:hAnsi="Times New Roman"/>
          <w:b w:val="1"/>
          <w:color w:themeColor="text1" w:val="000000"/>
          <w:sz w:val="28"/>
        </w:rPr>
      </w:pPr>
      <w:r>
        <w:rPr>
          <w:rFonts w:ascii="Times New Roman" w:hAnsi="Times New Roman"/>
          <w:b w:val="1"/>
          <w:color w:themeColor="text1" w:val="000000"/>
          <w:sz w:val="28"/>
        </w:rPr>
        <w:t>ПРИЛОЖЕНИЯ</w:t>
      </w:r>
    </w:p>
    <w:p w14:paraId="F5030000">
      <w:bookmarkStart w:id="27" w:name="__RefHeading___25"/>
      <w:bookmarkEnd w:id="27"/>
      <w:pPr>
        <w:pStyle w:val="Style_13"/>
      </w:pPr>
      <w:r>
        <w:rPr>
          <w:rStyle w:val="Style_10_ch"/>
          <w:b w:val="1"/>
        </w:rPr>
        <w:t>Бухгалтерский баланс ПАО «Газпром» за 2022–2024 гг., млн руб.</w:t>
      </w:r>
    </w:p>
    <w:tbl>
      <w:tblPr>
        <w:tblStyle w:val="Style_3"/>
        <w:tblLayout w:type="fixed"/>
      </w:tblPr>
      <w:tblGrid>
        <w:gridCol w:w="3964"/>
        <w:gridCol w:w="1920"/>
        <w:gridCol w:w="1920"/>
        <w:gridCol w:w="1920"/>
      </w:tblGrid>
      <w:tr>
        <w:trPr>
          <w:trHeight w:hRule="atLeast" w:val="288"/>
        </w:trPr>
        <w:tc>
          <w:tcPr>
            <w:tcW w:type="dxa" w:w="3964"/>
            <w:tcBorders>
              <w:top w:color="000000" w:sz="4" w:val="single"/>
              <w:left w:color="000000" w:sz="4" w:val="single"/>
              <w:bottom w:color="000000" w:sz="4" w:val="single"/>
              <w:right w:color="000000" w:sz="4" w:val="single"/>
            </w:tcBorders>
            <w:vAlign w:val="center"/>
          </w:tcPr>
          <w:p w14:paraId="F6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Активы</w:t>
            </w:r>
          </w:p>
        </w:tc>
        <w:tc>
          <w:tcPr>
            <w:tcW w:type="dxa" w:w="1920"/>
            <w:tcBorders>
              <w:top w:color="000000" w:sz="4" w:val="single"/>
              <w:left w:sz="4" w:val="nil"/>
              <w:bottom w:color="000000" w:sz="4" w:val="single"/>
              <w:right w:color="000000" w:sz="4" w:val="single"/>
            </w:tcBorders>
            <w:vAlign w:val="center"/>
          </w:tcPr>
          <w:p w14:paraId="F7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w:t>
            </w:r>
          </w:p>
        </w:tc>
        <w:tc>
          <w:tcPr>
            <w:tcW w:type="dxa" w:w="1920"/>
            <w:tcBorders>
              <w:top w:color="000000" w:sz="4" w:val="single"/>
              <w:left w:sz="4" w:val="nil"/>
              <w:bottom w:color="000000" w:sz="4" w:val="single"/>
              <w:right w:color="000000" w:sz="4" w:val="single"/>
            </w:tcBorders>
            <w:vAlign w:val="center"/>
          </w:tcPr>
          <w:p w14:paraId="F8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w:t>
            </w:r>
          </w:p>
        </w:tc>
        <w:tc>
          <w:tcPr>
            <w:tcW w:type="dxa" w:w="1920"/>
            <w:tcBorders>
              <w:top w:color="000000" w:sz="4" w:val="single"/>
              <w:left w:sz="4" w:val="nil"/>
              <w:bottom w:color="000000" w:sz="4" w:val="single"/>
              <w:right w:color="000000" w:sz="4" w:val="single"/>
            </w:tcBorders>
            <w:vAlign w:val="center"/>
          </w:tcPr>
          <w:p w14:paraId="F903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FA030000">
            <w:pPr>
              <w:spacing w:after="0" w:line="240" w:lineRule="auto"/>
              <w:ind/>
              <w:rPr>
                <w:rFonts w:ascii="Times New Roman" w:hAnsi="Times New Roman"/>
                <w:b w:val="1"/>
                <w:color w:val="000000"/>
                <w:sz w:val="24"/>
              </w:rPr>
            </w:pPr>
            <w:r>
              <w:rPr>
                <w:rFonts w:ascii="Times New Roman" w:hAnsi="Times New Roman"/>
                <w:b w:val="1"/>
                <w:color w:val="000000"/>
                <w:sz w:val="24"/>
              </w:rPr>
              <w:t>Внеоборотные активы</w:t>
            </w:r>
          </w:p>
        </w:tc>
        <w:tc>
          <w:tcPr>
            <w:tcW w:type="dxa" w:w="1920"/>
            <w:tcBorders>
              <w:top w:color="000000" w:sz="4" w:val="single"/>
              <w:left w:sz="4" w:val="nil"/>
              <w:bottom w:color="000000" w:sz="4" w:val="single"/>
              <w:right w:color="000000" w:sz="4" w:val="single"/>
            </w:tcBorders>
            <w:vAlign w:val="center"/>
          </w:tcPr>
          <w:p w14:paraId="FB030000">
            <w:pPr>
              <w:spacing w:after="0" w:line="240" w:lineRule="auto"/>
              <w:ind/>
              <w:jc w:val="right"/>
              <w:rPr>
                <w:rFonts w:ascii="Times New Roman" w:hAnsi="Times New Roman"/>
                <w:color w:val="000000"/>
                <w:sz w:val="24"/>
              </w:rPr>
            </w:pPr>
            <w:r>
              <w:rPr>
                <w:rFonts w:ascii="Times New Roman" w:hAnsi="Times New Roman"/>
                <w:color w:val="000000"/>
                <w:sz w:val="24"/>
              </w:rPr>
              <w:t>6 500</w:t>
            </w:r>
          </w:p>
        </w:tc>
        <w:tc>
          <w:tcPr>
            <w:tcW w:type="dxa" w:w="1920"/>
            <w:tcBorders>
              <w:top w:color="000000" w:sz="4" w:val="single"/>
              <w:left w:sz="4" w:val="nil"/>
              <w:bottom w:color="000000" w:sz="4" w:val="single"/>
              <w:right w:color="000000" w:sz="4" w:val="single"/>
            </w:tcBorders>
            <w:vAlign w:val="center"/>
          </w:tcPr>
          <w:p w14:paraId="FC030000">
            <w:pPr>
              <w:spacing w:after="0" w:line="240" w:lineRule="auto"/>
              <w:ind/>
              <w:jc w:val="right"/>
              <w:rPr>
                <w:rFonts w:ascii="Times New Roman" w:hAnsi="Times New Roman"/>
                <w:color w:val="000000"/>
                <w:sz w:val="24"/>
              </w:rPr>
            </w:pPr>
            <w:r>
              <w:rPr>
                <w:rFonts w:ascii="Times New Roman" w:hAnsi="Times New Roman"/>
                <w:color w:val="000000"/>
                <w:sz w:val="24"/>
              </w:rPr>
              <w:t>6 800</w:t>
            </w:r>
          </w:p>
        </w:tc>
        <w:tc>
          <w:tcPr>
            <w:tcW w:type="dxa" w:w="1920"/>
            <w:tcBorders>
              <w:top w:color="000000" w:sz="4" w:val="single"/>
              <w:left w:sz="4" w:val="nil"/>
              <w:bottom w:color="000000" w:sz="4" w:val="single"/>
              <w:right w:color="000000" w:sz="4" w:val="single"/>
            </w:tcBorders>
            <w:vAlign w:val="center"/>
          </w:tcPr>
          <w:p w14:paraId="FD030000">
            <w:pPr>
              <w:spacing w:after="0" w:line="240" w:lineRule="auto"/>
              <w:ind/>
              <w:jc w:val="right"/>
              <w:rPr>
                <w:rFonts w:ascii="Times New Roman" w:hAnsi="Times New Roman"/>
                <w:color w:val="000000"/>
                <w:sz w:val="24"/>
              </w:rPr>
            </w:pPr>
            <w:r>
              <w:rPr>
                <w:rFonts w:ascii="Times New Roman" w:hAnsi="Times New Roman"/>
                <w:color w:val="000000"/>
                <w:sz w:val="24"/>
              </w:rPr>
              <w:t>7 100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FE030000">
            <w:pPr>
              <w:spacing w:after="0" w:line="240" w:lineRule="auto"/>
              <w:ind/>
              <w:rPr>
                <w:rFonts w:ascii="Times New Roman" w:hAnsi="Times New Roman"/>
                <w:color w:val="000000"/>
                <w:sz w:val="24"/>
              </w:rPr>
            </w:pPr>
            <w:r>
              <w:rPr>
                <w:rFonts w:ascii="Times New Roman" w:hAnsi="Times New Roman"/>
                <w:color w:val="000000"/>
                <w:sz w:val="24"/>
              </w:rPr>
              <w:t>Основные средства</w:t>
            </w:r>
          </w:p>
        </w:tc>
        <w:tc>
          <w:tcPr>
            <w:tcW w:type="dxa" w:w="1920"/>
            <w:tcBorders>
              <w:top w:color="000000" w:sz="4" w:val="single"/>
              <w:left w:sz="4" w:val="nil"/>
              <w:bottom w:color="000000" w:sz="4" w:val="single"/>
              <w:right w:color="000000" w:sz="4" w:val="single"/>
            </w:tcBorders>
            <w:vAlign w:val="center"/>
          </w:tcPr>
          <w:p w14:paraId="FF030000">
            <w:pPr>
              <w:spacing w:after="0" w:line="240" w:lineRule="auto"/>
              <w:ind/>
              <w:jc w:val="right"/>
              <w:rPr>
                <w:rFonts w:ascii="Times New Roman" w:hAnsi="Times New Roman"/>
                <w:color w:val="000000"/>
                <w:sz w:val="24"/>
              </w:rPr>
            </w:pPr>
            <w:r>
              <w:rPr>
                <w:rFonts w:ascii="Times New Roman" w:hAnsi="Times New Roman"/>
                <w:color w:val="000000"/>
                <w:sz w:val="24"/>
              </w:rPr>
              <w:t>5 000</w:t>
            </w:r>
          </w:p>
        </w:tc>
        <w:tc>
          <w:tcPr>
            <w:tcW w:type="dxa" w:w="1920"/>
            <w:tcBorders>
              <w:top w:color="000000" w:sz="4" w:val="single"/>
              <w:left w:sz="4" w:val="nil"/>
              <w:bottom w:color="000000" w:sz="4" w:val="single"/>
              <w:right w:color="000000" w:sz="4" w:val="single"/>
            </w:tcBorders>
            <w:vAlign w:val="center"/>
          </w:tcPr>
          <w:p w14:paraId="00040000">
            <w:pPr>
              <w:spacing w:after="0" w:line="240" w:lineRule="auto"/>
              <w:ind/>
              <w:jc w:val="right"/>
              <w:rPr>
                <w:rFonts w:ascii="Times New Roman" w:hAnsi="Times New Roman"/>
                <w:color w:val="000000"/>
                <w:sz w:val="24"/>
              </w:rPr>
            </w:pPr>
            <w:r>
              <w:rPr>
                <w:rFonts w:ascii="Times New Roman" w:hAnsi="Times New Roman"/>
                <w:color w:val="000000"/>
                <w:sz w:val="24"/>
              </w:rPr>
              <w:t>5 200</w:t>
            </w:r>
          </w:p>
        </w:tc>
        <w:tc>
          <w:tcPr>
            <w:tcW w:type="dxa" w:w="1920"/>
            <w:tcBorders>
              <w:top w:color="000000" w:sz="4" w:val="single"/>
              <w:left w:sz="4" w:val="nil"/>
              <w:bottom w:color="000000" w:sz="4" w:val="single"/>
              <w:right w:color="000000" w:sz="4" w:val="single"/>
            </w:tcBorders>
            <w:vAlign w:val="center"/>
          </w:tcPr>
          <w:p w14:paraId="01040000">
            <w:pPr>
              <w:spacing w:after="0" w:line="240" w:lineRule="auto"/>
              <w:ind/>
              <w:jc w:val="right"/>
              <w:rPr>
                <w:rFonts w:ascii="Times New Roman" w:hAnsi="Times New Roman"/>
                <w:color w:val="000000"/>
                <w:sz w:val="24"/>
              </w:rPr>
            </w:pPr>
            <w:r>
              <w:rPr>
                <w:rFonts w:ascii="Times New Roman" w:hAnsi="Times New Roman"/>
                <w:color w:val="000000"/>
                <w:sz w:val="24"/>
              </w:rPr>
              <w:t>5 400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02040000">
            <w:pPr>
              <w:spacing w:after="0" w:line="240" w:lineRule="auto"/>
              <w:ind/>
              <w:rPr>
                <w:rFonts w:ascii="Times New Roman" w:hAnsi="Times New Roman"/>
                <w:color w:val="000000"/>
                <w:sz w:val="24"/>
              </w:rPr>
            </w:pPr>
            <w:r>
              <w:rPr>
                <w:rFonts w:ascii="Times New Roman" w:hAnsi="Times New Roman"/>
                <w:color w:val="000000"/>
                <w:sz w:val="24"/>
              </w:rPr>
              <w:t>Нематериальные активы</w:t>
            </w:r>
          </w:p>
        </w:tc>
        <w:tc>
          <w:tcPr>
            <w:tcW w:type="dxa" w:w="1920"/>
            <w:tcBorders>
              <w:top w:color="000000" w:sz="4" w:val="single"/>
              <w:left w:sz="4" w:val="nil"/>
              <w:bottom w:color="000000" w:sz="4" w:val="single"/>
              <w:right w:color="000000" w:sz="4" w:val="single"/>
            </w:tcBorders>
            <w:vAlign w:val="center"/>
          </w:tcPr>
          <w:p w14:paraId="03040000">
            <w:pPr>
              <w:spacing w:after="0" w:line="240" w:lineRule="auto"/>
              <w:ind/>
              <w:jc w:val="right"/>
              <w:rPr>
                <w:rFonts w:ascii="Times New Roman" w:hAnsi="Times New Roman"/>
                <w:color w:val="000000"/>
                <w:sz w:val="24"/>
              </w:rPr>
            </w:pPr>
            <w:r>
              <w:rPr>
                <w:rFonts w:ascii="Times New Roman" w:hAnsi="Times New Roman"/>
                <w:color w:val="000000"/>
                <w:sz w:val="24"/>
              </w:rPr>
              <w:t>800</w:t>
            </w:r>
          </w:p>
        </w:tc>
        <w:tc>
          <w:tcPr>
            <w:tcW w:type="dxa" w:w="1920"/>
            <w:tcBorders>
              <w:top w:color="000000" w:sz="4" w:val="single"/>
              <w:left w:sz="4" w:val="nil"/>
              <w:bottom w:color="000000" w:sz="4" w:val="single"/>
              <w:right w:color="000000" w:sz="4" w:val="single"/>
            </w:tcBorders>
            <w:vAlign w:val="center"/>
          </w:tcPr>
          <w:p w14:paraId="04040000">
            <w:pPr>
              <w:spacing w:after="0" w:line="240" w:lineRule="auto"/>
              <w:ind/>
              <w:jc w:val="right"/>
              <w:rPr>
                <w:rFonts w:ascii="Times New Roman" w:hAnsi="Times New Roman"/>
                <w:color w:val="000000"/>
                <w:sz w:val="24"/>
              </w:rPr>
            </w:pPr>
            <w:r>
              <w:rPr>
                <w:rFonts w:ascii="Times New Roman" w:hAnsi="Times New Roman"/>
                <w:color w:val="000000"/>
                <w:sz w:val="24"/>
              </w:rPr>
              <w:t>850</w:t>
            </w:r>
          </w:p>
        </w:tc>
        <w:tc>
          <w:tcPr>
            <w:tcW w:type="dxa" w:w="1920"/>
            <w:tcBorders>
              <w:top w:color="000000" w:sz="4" w:val="single"/>
              <w:left w:sz="4" w:val="nil"/>
              <w:bottom w:color="000000" w:sz="4" w:val="single"/>
              <w:right w:color="000000" w:sz="4" w:val="single"/>
            </w:tcBorders>
            <w:vAlign w:val="center"/>
          </w:tcPr>
          <w:p w14:paraId="05040000">
            <w:pPr>
              <w:spacing w:after="0" w:line="240" w:lineRule="auto"/>
              <w:ind/>
              <w:jc w:val="right"/>
              <w:rPr>
                <w:rFonts w:ascii="Times New Roman" w:hAnsi="Times New Roman"/>
                <w:color w:val="000000"/>
                <w:sz w:val="24"/>
              </w:rPr>
            </w:pPr>
            <w:r>
              <w:rPr>
                <w:rFonts w:ascii="Times New Roman" w:hAnsi="Times New Roman"/>
                <w:color w:val="000000"/>
                <w:sz w:val="24"/>
              </w:rPr>
              <w:t>900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06040000">
            <w:pPr>
              <w:spacing w:after="0" w:line="240" w:lineRule="auto"/>
              <w:ind/>
              <w:rPr>
                <w:rFonts w:ascii="Times New Roman" w:hAnsi="Times New Roman"/>
                <w:color w:val="000000"/>
                <w:sz w:val="24"/>
              </w:rPr>
            </w:pPr>
            <w:r>
              <w:rPr>
                <w:rFonts w:ascii="Times New Roman" w:hAnsi="Times New Roman"/>
                <w:color w:val="000000"/>
                <w:sz w:val="24"/>
              </w:rPr>
              <w:t>Финансовые вложения</w:t>
            </w:r>
          </w:p>
        </w:tc>
        <w:tc>
          <w:tcPr>
            <w:tcW w:type="dxa" w:w="1920"/>
            <w:tcBorders>
              <w:top w:color="000000" w:sz="4" w:val="single"/>
              <w:left w:sz="4" w:val="nil"/>
              <w:bottom w:color="000000" w:sz="4" w:val="single"/>
              <w:right w:color="000000" w:sz="4" w:val="single"/>
            </w:tcBorders>
            <w:vAlign w:val="center"/>
          </w:tcPr>
          <w:p w14:paraId="07040000">
            <w:pPr>
              <w:spacing w:after="0" w:line="240" w:lineRule="auto"/>
              <w:ind/>
              <w:jc w:val="right"/>
              <w:rPr>
                <w:rFonts w:ascii="Times New Roman" w:hAnsi="Times New Roman"/>
                <w:color w:val="000000"/>
                <w:sz w:val="24"/>
              </w:rPr>
            </w:pPr>
            <w:r>
              <w:rPr>
                <w:rFonts w:ascii="Times New Roman" w:hAnsi="Times New Roman"/>
                <w:color w:val="000000"/>
                <w:sz w:val="24"/>
              </w:rPr>
              <w:t>700</w:t>
            </w:r>
          </w:p>
        </w:tc>
        <w:tc>
          <w:tcPr>
            <w:tcW w:type="dxa" w:w="1920"/>
            <w:tcBorders>
              <w:top w:color="000000" w:sz="4" w:val="single"/>
              <w:left w:sz="4" w:val="nil"/>
              <w:bottom w:color="000000" w:sz="4" w:val="single"/>
              <w:right w:color="000000" w:sz="4" w:val="single"/>
            </w:tcBorders>
            <w:vAlign w:val="center"/>
          </w:tcPr>
          <w:p w14:paraId="08040000">
            <w:pPr>
              <w:spacing w:after="0" w:line="240" w:lineRule="auto"/>
              <w:ind/>
              <w:jc w:val="right"/>
              <w:rPr>
                <w:rFonts w:ascii="Times New Roman" w:hAnsi="Times New Roman"/>
                <w:color w:val="000000"/>
                <w:sz w:val="24"/>
              </w:rPr>
            </w:pPr>
            <w:r>
              <w:rPr>
                <w:rFonts w:ascii="Times New Roman" w:hAnsi="Times New Roman"/>
                <w:color w:val="000000"/>
                <w:sz w:val="24"/>
              </w:rPr>
              <w:t>750</w:t>
            </w:r>
          </w:p>
        </w:tc>
        <w:tc>
          <w:tcPr>
            <w:tcW w:type="dxa" w:w="1920"/>
            <w:tcBorders>
              <w:top w:color="000000" w:sz="4" w:val="single"/>
              <w:left w:sz="4" w:val="nil"/>
              <w:bottom w:color="000000" w:sz="4" w:val="single"/>
              <w:right w:color="000000" w:sz="4" w:val="single"/>
            </w:tcBorders>
            <w:vAlign w:val="center"/>
          </w:tcPr>
          <w:p w14:paraId="09040000">
            <w:pPr>
              <w:spacing w:after="0" w:line="240" w:lineRule="auto"/>
              <w:ind/>
              <w:jc w:val="right"/>
              <w:rPr>
                <w:rFonts w:ascii="Times New Roman" w:hAnsi="Times New Roman"/>
                <w:color w:val="000000"/>
                <w:sz w:val="24"/>
              </w:rPr>
            </w:pPr>
            <w:r>
              <w:rPr>
                <w:rFonts w:ascii="Times New Roman" w:hAnsi="Times New Roman"/>
                <w:color w:val="000000"/>
                <w:sz w:val="24"/>
              </w:rPr>
              <w:t>800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0A040000">
            <w:pPr>
              <w:spacing w:after="0" w:line="240" w:lineRule="auto"/>
              <w:ind/>
              <w:rPr>
                <w:rFonts w:ascii="Times New Roman" w:hAnsi="Times New Roman"/>
                <w:b w:val="1"/>
                <w:color w:val="000000"/>
                <w:sz w:val="24"/>
              </w:rPr>
            </w:pPr>
            <w:r>
              <w:rPr>
                <w:rFonts w:ascii="Times New Roman" w:hAnsi="Times New Roman"/>
                <w:b w:val="1"/>
                <w:color w:val="000000"/>
                <w:sz w:val="24"/>
              </w:rPr>
              <w:t>Оборотные активы</w:t>
            </w:r>
          </w:p>
        </w:tc>
        <w:tc>
          <w:tcPr>
            <w:tcW w:type="dxa" w:w="1920"/>
            <w:tcBorders>
              <w:top w:color="000000" w:sz="4" w:val="single"/>
              <w:left w:sz="4" w:val="nil"/>
              <w:bottom w:color="000000" w:sz="4" w:val="single"/>
              <w:right w:color="000000" w:sz="4" w:val="single"/>
            </w:tcBorders>
            <w:vAlign w:val="center"/>
          </w:tcPr>
          <w:p w14:paraId="0B040000">
            <w:pPr>
              <w:spacing w:after="0" w:line="240" w:lineRule="auto"/>
              <w:ind/>
              <w:jc w:val="right"/>
              <w:rPr>
                <w:rFonts w:ascii="Times New Roman" w:hAnsi="Times New Roman"/>
                <w:color w:val="000000"/>
                <w:sz w:val="24"/>
              </w:rPr>
            </w:pPr>
            <w:r>
              <w:rPr>
                <w:rFonts w:ascii="Times New Roman" w:hAnsi="Times New Roman"/>
                <w:color w:val="000000"/>
                <w:sz w:val="24"/>
              </w:rPr>
              <w:t>3 500</w:t>
            </w:r>
          </w:p>
        </w:tc>
        <w:tc>
          <w:tcPr>
            <w:tcW w:type="dxa" w:w="1920"/>
            <w:tcBorders>
              <w:top w:color="000000" w:sz="4" w:val="single"/>
              <w:left w:sz="4" w:val="nil"/>
              <w:bottom w:color="000000" w:sz="4" w:val="single"/>
              <w:right w:color="000000" w:sz="4" w:val="single"/>
            </w:tcBorders>
            <w:vAlign w:val="center"/>
          </w:tcPr>
          <w:p w14:paraId="0C040000">
            <w:pPr>
              <w:spacing w:after="0" w:line="240" w:lineRule="auto"/>
              <w:ind/>
              <w:jc w:val="right"/>
              <w:rPr>
                <w:rFonts w:ascii="Times New Roman" w:hAnsi="Times New Roman"/>
                <w:color w:val="000000"/>
                <w:sz w:val="24"/>
              </w:rPr>
            </w:pPr>
            <w:r>
              <w:rPr>
                <w:rFonts w:ascii="Times New Roman" w:hAnsi="Times New Roman"/>
                <w:color w:val="000000"/>
                <w:sz w:val="24"/>
              </w:rPr>
              <w:t>3 700</w:t>
            </w:r>
          </w:p>
        </w:tc>
        <w:tc>
          <w:tcPr>
            <w:tcW w:type="dxa" w:w="1920"/>
            <w:tcBorders>
              <w:top w:color="000000" w:sz="4" w:val="single"/>
              <w:left w:sz="4" w:val="nil"/>
              <w:bottom w:color="000000" w:sz="4" w:val="single"/>
              <w:right w:color="000000" w:sz="4" w:val="single"/>
            </w:tcBorders>
            <w:vAlign w:val="center"/>
          </w:tcPr>
          <w:p w14:paraId="0D040000">
            <w:pPr>
              <w:spacing w:after="0" w:line="240" w:lineRule="auto"/>
              <w:ind/>
              <w:jc w:val="right"/>
              <w:rPr>
                <w:rFonts w:ascii="Times New Roman" w:hAnsi="Times New Roman"/>
                <w:color w:val="000000"/>
                <w:sz w:val="24"/>
              </w:rPr>
            </w:pPr>
            <w:r>
              <w:rPr>
                <w:rFonts w:ascii="Times New Roman" w:hAnsi="Times New Roman"/>
                <w:color w:val="000000"/>
                <w:sz w:val="24"/>
              </w:rPr>
              <w:t>3 900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0E040000">
            <w:pPr>
              <w:spacing w:after="0" w:line="240" w:lineRule="auto"/>
              <w:ind/>
              <w:rPr>
                <w:rFonts w:ascii="Times New Roman" w:hAnsi="Times New Roman"/>
                <w:color w:val="000000"/>
                <w:sz w:val="24"/>
              </w:rPr>
            </w:pPr>
            <w:r>
              <w:rPr>
                <w:rFonts w:ascii="Times New Roman" w:hAnsi="Times New Roman"/>
                <w:color w:val="000000"/>
                <w:sz w:val="24"/>
              </w:rPr>
              <w:t>Запасы</w:t>
            </w:r>
          </w:p>
        </w:tc>
        <w:tc>
          <w:tcPr>
            <w:tcW w:type="dxa" w:w="1920"/>
            <w:tcBorders>
              <w:top w:color="000000" w:sz="4" w:val="single"/>
              <w:left w:sz="4" w:val="nil"/>
              <w:bottom w:color="000000" w:sz="4" w:val="single"/>
              <w:right w:color="000000" w:sz="4" w:val="single"/>
            </w:tcBorders>
            <w:vAlign w:val="center"/>
          </w:tcPr>
          <w:p w14:paraId="0F040000">
            <w:pPr>
              <w:spacing w:after="0" w:line="240" w:lineRule="auto"/>
              <w:ind/>
              <w:jc w:val="right"/>
              <w:rPr>
                <w:rFonts w:ascii="Times New Roman" w:hAnsi="Times New Roman"/>
                <w:color w:val="000000"/>
                <w:sz w:val="24"/>
              </w:rPr>
            </w:pPr>
            <w:r>
              <w:rPr>
                <w:rFonts w:ascii="Times New Roman" w:hAnsi="Times New Roman"/>
                <w:color w:val="000000"/>
                <w:sz w:val="24"/>
              </w:rPr>
              <w:t>1 200</w:t>
            </w:r>
          </w:p>
        </w:tc>
        <w:tc>
          <w:tcPr>
            <w:tcW w:type="dxa" w:w="1920"/>
            <w:tcBorders>
              <w:top w:color="000000" w:sz="4" w:val="single"/>
              <w:left w:sz="4" w:val="nil"/>
              <w:bottom w:color="000000" w:sz="4" w:val="single"/>
              <w:right w:color="000000" w:sz="4" w:val="single"/>
            </w:tcBorders>
            <w:vAlign w:val="center"/>
          </w:tcPr>
          <w:p w14:paraId="10040000">
            <w:pPr>
              <w:spacing w:after="0" w:line="240" w:lineRule="auto"/>
              <w:ind/>
              <w:jc w:val="right"/>
              <w:rPr>
                <w:rFonts w:ascii="Times New Roman" w:hAnsi="Times New Roman"/>
                <w:color w:val="000000"/>
                <w:sz w:val="24"/>
              </w:rPr>
            </w:pPr>
            <w:r>
              <w:rPr>
                <w:rFonts w:ascii="Times New Roman" w:hAnsi="Times New Roman"/>
                <w:color w:val="000000"/>
                <w:sz w:val="24"/>
              </w:rPr>
              <w:t>1 250</w:t>
            </w:r>
          </w:p>
        </w:tc>
        <w:tc>
          <w:tcPr>
            <w:tcW w:type="dxa" w:w="1920"/>
            <w:tcBorders>
              <w:top w:color="000000" w:sz="4" w:val="single"/>
              <w:left w:sz="4" w:val="nil"/>
              <w:bottom w:color="000000" w:sz="4" w:val="single"/>
              <w:right w:color="000000" w:sz="4" w:val="single"/>
            </w:tcBorders>
            <w:vAlign w:val="center"/>
          </w:tcPr>
          <w:p w14:paraId="11040000">
            <w:pPr>
              <w:spacing w:after="0" w:line="240" w:lineRule="auto"/>
              <w:ind/>
              <w:jc w:val="right"/>
              <w:rPr>
                <w:rFonts w:ascii="Times New Roman" w:hAnsi="Times New Roman"/>
                <w:color w:val="000000"/>
                <w:sz w:val="24"/>
              </w:rPr>
            </w:pPr>
            <w:r>
              <w:rPr>
                <w:rFonts w:ascii="Times New Roman" w:hAnsi="Times New Roman"/>
                <w:color w:val="000000"/>
                <w:sz w:val="24"/>
              </w:rPr>
              <w:t>1 300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12040000">
            <w:pPr>
              <w:spacing w:after="0" w:line="240" w:lineRule="auto"/>
              <w:ind/>
              <w:rPr>
                <w:rFonts w:ascii="Times New Roman" w:hAnsi="Times New Roman"/>
                <w:color w:val="000000"/>
                <w:sz w:val="24"/>
              </w:rPr>
            </w:pPr>
            <w:r>
              <w:rPr>
                <w:rFonts w:ascii="Times New Roman" w:hAnsi="Times New Roman"/>
                <w:color w:val="000000"/>
                <w:sz w:val="24"/>
              </w:rPr>
              <w:t>Дебиторская задолженность</w:t>
            </w:r>
          </w:p>
        </w:tc>
        <w:tc>
          <w:tcPr>
            <w:tcW w:type="dxa" w:w="1920"/>
            <w:tcBorders>
              <w:top w:color="000000" w:sz="4" w:val="single"/>
              <w:left w:sz="4" w:val="nil"/>
              <w:bottom w:color="000000" w:sz="4" w:val="single"/>
              <w:right w:color="000000" w:sz="4" w:val="single"/>
            </w:tcBorders>
            <w:vAlign w:val="center"/>
          </w:tcPr>
          <w:p w14:paraId="13040000">
            <w:pPr>
              <w:spacing w:after="0" w:line="240" w:lineRule="auto"/>
              <w:ind/>
              <w:jc w:val="right"/>
              <w:rPr>
                <w:rFonts w:ascii="Times New Roman" w:hAnsi="Times New Roman"/>
                <w:color w:val="000000"/>
                <w:sz w:val="24"/>
              </w:rPr>
            </w:pPr>
            <w:r>
              <w:rPr>
                <w:rFonts w:ascii="Times New Roman" w:hAnsi="Times New Roman"/>
                <w:color w:val="000000"/>
                <w:sz w:val="24"/>
              </w:rPr>
              <w:t>1 000</w:t>
            </w:r>
          </w:p>
        </w:tc>
        <w:tc>
          <w:tcPr>
            <w:tcW w:type="dxa" w:w="1920"/>
            <w:tcBorders>
              <w:top w:color="000000" w:sz="4" w:val="single"/>
              <w:left w:sz="4" w:val="nil"/>
              <w:bottom w:color="000000" w:sz="4" w:val="single"/>
              <w:right w:color="000000" w:sz="4" w:val="single"/>
            </w:tcBorders>
            <w:vAlign w:val="center"/>
          </w:tcPr>
          <w:p w14:paraId="14040000">
            <w:pPr>
              <w:spacing w:after="0" w:line="240" w:lineRule="auto"/>
              <w:ind/>
              <w:jc w:val="right"/>
              <w:rPr>
                <w:rFonts w:ascii="Times New Roman" w:hAnsi="Times New Roman"/>
                <w:color w:val="000000"/>
                <w:sz w:val="24"/>
              </w:rPr>
            </w:pPr>
            <w:r>
              <w:rPr>
                <w:rFonts w:ascii="Times New Roman" w:hAnsi="Times New Roman"/>
                <w:color w:val="000000"/>
                <w:sz w:val="24"/>
              </w:rPr>
              <w:t>1 100</w:t>
            </w:r>
          </w:p>
        </w:tc>
        <w:tc>
          <w:tcPr>
            <w:tcW w:type="dxa" w:w="1920"/>
            <w:tcBorders>
              <w:top w:color="000000" w:sz="4" w:val="single"/>
              <w:left w:sz="4" w:val="nil"/>
              <w:bottom w:color="000000" w:sz="4" w:val="single"/>
              <w:right w:color="000000" w:sz="4" w:val="single"/>
            </w:tcBorders>
            <w:vAlign w:val="center"/>
          </w:tcPr>
          <w:p w14:paraId="15040000">
            <w:pPr>
              <w:spacing w:after="0" w:line="240" w:lineRule="auto"/>
              <w:ind/>
              <w:jc w:val="right"/>
              <w:rPr>
                <w:rFonts w:ascii="Times New Roman" w:hAnsi="Times New Roman"/>
                <w:color w:val="000000"/>
                <w:sz w:val="24"/>
              </w:rPr>
            </w:pPr>
            <w:r>
              <w:rPr>
                <w:rFonts w:ascii="Times New Roman" w:hAnsi="Times New Roman"/>
                <w:color w:val="000000"/>
                <w:sz w:val="24"/>
              </w:rPr>
              <w:t>1 200</w:t>
            </w:r>
          </w:p>
        </w:tc>
      </w:tr>
      <w:tr>
        <w:trPr>
          <w:trHeight w:hRule="atLeast" w:val="576"/>
        </w:trPr>
        <w:tc>
          <w:tcPr>
            <w:tcW w:type="dxa" w:w="3964"/>
            <w:tcBorders>
              <w:top w:sz="4" w:val="nil"/>
              <w:left w:color="000000" w:sz="4" w:val="single"/>
              <w:bottom w:color="000000" w:sz="4" w:val="single"/>
              <w:right w:color="000000" w:sz="4" w:val="single"/>
            </w:tcBorders>
            <w:vAlign w:val="center"/>
          </w:tcPr>
          <w:p w14:paraId="16040000">
            <w:pPr>
              <w:spacing w:after="0" w:line="240" w:lineRule="auto"/>
              <w:ind/>
              <w:rPr>
                <w:rFonts w:ascii="Times New Roman" w:hAnsi="Times New Roman"/>
                <w:color w:val="000000"/>
                <w:sz w:val="24"/>
              </w:rPr>
            </w:pPr>
            <w:r>
              <w:rPr>
                <w:rFonts w:ascii="Times New Roman" w:hAnsi="Times New Roman"/>
                <w:color w:val="000000"/>
                <w:sz w:val="24"/>
              </w:rPr>
              <w:t>Денежные средства и эквиваленты</w:t>
            </w:r>
          </w:p>
        </w:tc>
        <w:tc>
          <w:tcPr>
            <w:tcW w:type="dxa" w:w="1920"/>
            <w:tcBorders>
              <w:top w:color="000000" w:sz="4" w:val="single"/>
              <w:left w:sz="4" w:val="nil"/>
              <w:bottom w:color="000000" w:sz="4" w:val="single"/>
              <w:right w:color="000000" w:sz="4" w:val="single"/>
            </w:tcBorders>
            <w:vAlign w:val="center"/>
          </w:tcPr>
          <w:p w14:paraId="17040000">
            <w:pPr>
              <w:spacing w:after="0" w:line="240" w:lineRule="auto"/>
              <w:ind/>
              <w:jc w:val="right"/>
              <w:rPr>
                <w:rFonts w:ascii="Times New Roman" w:hAnsi="Times New Roman"/>
                <w:color w:val="000000"/>
                <w:sz w:val="24"/>
              </w:rPr>
            </w:pPr>
            <w:r>
              <w:rPr>
                <w:rFonts w:ascii="Times New Roman" w:hAnsi="Times New Roman"/>
                <w:color w:val="000000"/>
                <w:sz w:val="24"/>
              </w:rPr>
              <w:t>1 300</w:t>
            </w:r>
          </w:p>
        </w:tc>
        <w:tc>
          <w:tcPr>
            <w:tcW w:type="dxa" w:w="1920"/>
            <w:tcBorders>
              <w:top w:color="000000" w:sz="4" w:val="single"/>
              <w:left w:sz="4" w:val="nil"/>
              <w:bottom w:color="000000" w:sz="4" w:val="single"/>
              <w:right w:color="000000" w:sz="4" w:val="single"/>
            </w:tcBorders>
            <w:vAlign w:val="center"/>
          </w:tcPr>
          <w:p w14:paraId="18040000">
            <w:pPr>
              <w:spacing w:after="0" w:line="240" w:lineRule="auto"/>
              <w:ind/>
              <w:jc w:val="right"/>
              <w:rPr>
                <w:rFonts w:ascii="Times New Roman" w:hAnsi="Times New Roman"/>
                <w:color w:val="000000"/>
                <w:sz w:val="24"/>
              </w:rPr>
            </w:pPr>
            <w:r>
              <w:rPr>
                <w:rFonts w:ascii="Times New Roman" w:hAnsi="Times New Roman"/>
                <w:color w:val="000000"/>
                <w:sz w:val="24"/>
              </w:rPr>
              <w:t>1 350</w:t>
            </w:r>
          </w:p>
        </w:tc>
        <w:tc>
          <w:tcPr>
            <w:tcW w:type="dxa" w:w="1920"/>
            <w:tcBorders>
              <w:top w:color="000000" w:sz="4" w:val="single"/>
              <w:left w:sz="4" w:val="nil"/>
              <w:bottom w:color="000000" w:sz="4" w:val="single"/>
              <w:right w:color="000000" w:sz="4" w:val="single"/>
            </w:tcBorders>
            <w:vAlign w:val="center"/>
          </w:tcPr>
          <w:p w14:paraId="19040000">
            <w:pPr>
              <w:spacing w:after="0" w:line="240" w:lineRule="auto"/>
              <w:ind/>
              <w:jc w:val="right"/>
              <w:rPr>
                <w:rFonts w:ascii="Times New Roman" w:hAnsi="Times New Roman"/>
                <w:color w:val="000000"/>
                <w:sz w:val="24"/>
              </w:rPr>
            </w:pPr>
            <w:r>
              <w:rPr>
                <w:rFonts w:ascii="Times New Roman" w:hAnsi="Times New Roman"/>
                <w:color w:val="000000"/>
                <w:sz w:val="24"/>
              </w:rPr>
              <w:t>1 400</w:t>
            </w:r>
          </w:p>
        </w:tc>
      </w:tr>
      <w:tr>
        <w:trPr>
          <w:trHeight w:hRule="atLeast" w:val="288"/>
        </w:trPr>
        <w:tc>
          <w:tcPr>
            <w:tcW w:type="dxa" w:w="3964"/>
            <w:tcBorders>
              <w:top w:sz="4" w:val="nil"/>
              <w:left w:color="000000" w:sz="4" w:val="single"/>
              <w:bottom w:color="000000" w:sz="4" w:val="single"/>
              <w:right w:color="000000" w:sz="4" w:val="single"/>
            </w:tcBorders>
            <w:vAlign w:val="center"/>
          </w:tcPr>
          <w:p w14:paraId="1A040000">
            <w:pPr>
              <w:spacing w:after="0" w:line="240" w:lineRule="auto"/>
              <w:ind/>
              <w:rPr>
                <w:rFonts w:ascii="Times New Roman" w:hAnsi="Times New Roman"/>
                <w:b w:val="1"/>
                <w:color w:val="000000"/>
                <w:sz w:val="24"/>
              </w:rPr>
            </w:pPr>
            <w:r>
              <w:rPr>
                <w:rFonts w:ascii="Times New Roman" w:hAnsi="Times New Roman"/>
                <w:b w:val="1"/>
                <w:color w:val="000000"/>
                <w:sz w:val="24"/>
              </w:rPr>
              <w:t>Итого активы</w:t>
            </w:r>
          </w:p>
        </w:tc>
        <w:tc>
          <w:tcPr>
            <w:tcW w:type="dxa" w:w="1920"/>
            <w:tcBorders>
              <w:top w:color="000000" w:sz="4" w:val="single"/>
              <w:left w:sz="4" w:val="nil"/>
              <w:bottom w:color="000000" w:sz="4" w:val="single"/>
              <w:right w:color="000000" w:sz="4" w:val="single"/>
            </w:tcBorders>
            <w:vAlign w:val="center"/>
          </w:tcPr>
          <w:p w14:paraId="1B040000">
            <w:pPr>
              <w:spacing w:after="0" w:line="240" w:lineRule="auto"/>
              <w:ind/>
              <w:jc w:val="right"/>
              <w:rPr>
                <w:rFonts w:ascii="Times New Roman" w:hAnsi="Times New Roman"/>
                <w:color w:val="000000"/>
                <w:sz w:val="24"/>
              </w:rPr>
            </w:pPr>
            <w:r>
              <w:rPr>
                <w:rFonts w:ascii="Times New Roman" w:hAnsi="Times New Roman"/>
                <w:color w:val="000000"/>
                <w:sz w:val="24"/>
              </w:rPr>
              <w:t>10 000</w:t>
            </w:r>
          </w:p>
        </w:tc>
        <w:tc>
          <w:tcPr>
            <w:tcW w:type="dxa" w:w="1920"/>
            <w:tcBorders>
              <w:top w:color="000000" w:sz="4" w:val="single"/>
              <w:left w:sz="4" w:val="nil"/>
              <w:bottom w:color="000000" w:sz="4" w:val="single"/>
              <w:right w:color="000000" w:sz="4" w:val="single"/>
            </w:tcBorders>
            <w:vAlign w:val="center"/>
          </w:tcPr>
          <w:p w14:paraId="1C040000">
            <w:pPr>
              <w:spacing w:after="0" w:line="240" w:lineRule="auto"/>
              <w:ind/>
              <w:jc w:val="right"/>
              <w:rPr>
                <w:rFonts w:ascii="Times New Roman" w:hAnsi="Times New Roman"/>
                <w:color w:val="000000"/>
                <w:sz w:val="24"/>
              </w:rPr>
            </w:pPr>
            <w:r>
              <w:rPr>
                <w:rFonts w:ascii="Times New Roman" w:hAnsi="Times New Roman"/>
                <w:color w:val="000000"/>
                <w:sz w:val="24"/>
              </w:rPr>
              <w:t>10 500</w:t>
            </w:r>
          </w:p>
        </w:tc>
        <w:tc>
          <w:tcPr>
            <w:tcW w:type="dxa" w:w="1920"/>
            <w:tcBorders>
              <w:top w:color="000000" w:sz="4" w:val="single"/>
              <w:left w:sz="4" w:val="nil"/>
              <w:bottom w:color="000000" w:sz="4" w:val="single"/>
              <w:right w:color="000000" w:sz="4" w:val="single"/>
            </w:tcBorders>
            <w:vAlign w:val="center"/>
          </w:tcPr>
          <w:p w14:paraId="1D040000">
            <w:pPr>
              <w:spacing w:after="0" w:line="240" w:lineRule="auto"/>
              <w:ind/>
              <w:jc w:val="right"/>
              <w:rPr>
                <w:rFonts w:ascii="Times New Roman" w:hAnsi="Times New Roman"/>
                <w:color w:val="000000"/>
                <w:sz w:val="24"/>
              </w:rPr>
            </w:pPr>
            <w:r>
              <w:rPr>
                <w:rFonts w:ascii="Times New Roman" w:hAnsi="Times New Roman"/>
                <w:color w:val="000000"/>
                <w:sz w:val="24"/>
              </w:rPr>
              <w:t>11 000</w:t>
            </w:r>
          </w:p>
        </w:tc>
      </w:tr>
    </w:tbl>
    <w:p w14:paraId="1E040000">
      <w:pPr>
        <w:spacing w:after="0"/>
        <w:ind/>
        <w:rPr>
          <w:rFonts w:ascii="Times New Roman" w:hAnsi="Times New Roman"/>
          <w:sz w:val="24"/>
        </w:rPr>
      </w:pPr>
    </w:p>
    <w:tbl>
      <w:tblPr>
        <w:tblStyle w:val="Style_3"/>
        <w:tblLayout w:type="fixed"/>
      </w:tblPr>
      <w:tblGrid>
        <w:gridCol w:w="3980"/>
        <w:gridCol w:w="1920"/>
        <w:gridCol w:w="1920"/>
        <w:gridCol w:w="1920"/>
      </w:tblGrid>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1F04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Обязательства и капитал</w:t>
            </w:r>
          </w:p>
        </w:tc>
        <w:tc>
          <w:tcPr>
            <w:tcW w:type="dxa" w:w="1920"/>
            <w:tcBorders>
              <w:top w:color="000000" w:sz="4" w:val="single"/>
              <w:left w:sz="4" w:val="nil"/>
              <w:bottom w:color="000000" w:sz="4" w:val="single"/>
              <w:right w:color="000000" w:sz="4" w:val="single"/>
            </w:tcBorders>
            <w:vAlign w:val="center"/>
          </w:tcPr>
          <w:p w14:paraId="2004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2022</w:t>
            </w:r>
          </w:p>
        </w:tc>
        <w:tc>
          <w:tcPr>
            <w:tcW w:type="dxa" w:w="1920"/>
            <w:tcBorders>
              <w:top w:color="000000" w:sz="4" w:val="single"/>
              <w:left w:sz="4" w:val="nil"/>
              <w:bottom w:color="000000" w:sz="4" w:val="single"/>
              <w:right w:color="000000" w:sz="4" w:val="single"/>
            </w:tcBorders>
            <w:vAlign w:val="center"/>
          </w:tcPr>
          <w:p w14:paraId="2104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2023</w:t>
            </w:r>
          </w:p>
        </w:tc>
        <w:tc>
          <w:tcPr>
            <w:tcW w:type="dxa" w:w="1920"/>
            <w:tcBorders>
              <w:top w:color="000000" w:sz="4" w:val="single"/>
              <w:left w:sz="4" w:val="nil"/>
              <w:bottom w:color="000000" w:sz="4" w:val="single"/>
              <w:right w:color="000000" w:sz="4" w:val="single"/>
            </w:tcBorders>
            <w:vAlign w:val="center"/>
          </w:tcPr>
          <w:p w14:paraId="22040000">
            <w:pPr>
              <w:spacing w:after="0" w:line="240" w:lineRule="auto"/>
              <w:ind/>
              <w:jc w:val="center"/>
              <w:rPr>
                <w:rFonts w:ascii="Times New Roman" w:hAnsi="Times New Roman"/>
                <w:b w:val="1"/>
                <w:color w:val="000000"/>
                <w:sz w:val="24"/>
              </w:rPr>
            </w:pPr>
            <w:r>
              <w:rPr>
                <w:rFonts w:ascii="Times New Roman" w:hAnsi="Times New Roman"/>
                <w:b w:val="1"/>
                <w:color w:val="000000"/>
                <w:sz w:val="24"/>
              </w:rPr>
              <w:t>2024</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23040000">
            <w:pPr>
              <w:spacing w:after="0" w:line="240" w:lineRule="auto"/>
              <w:ind/>
              <w:rPr>
                <w:rFonts w:ascii="Times New Roman" w:hAnsi="Times New Roman"/>
                <w:b w:val="1"/>
                <w:color w:val="000000"/>
                <w:sz w:val="24"/>
              </w:rPr>
            </w:pPr>
            <w:r>
              <w:rPr>
                <w:rFonts w:ascii="Times New Roman" w:hAnsi="Times New Roman"/>
                <w:b w:val="1"/>
                <w:color w:val="000000"/>
                <w:sz w:val="24"/>
              </w:rPr>
              <w:t>Долгосрочные обязательства</w:t>
            </w:r>
          </w:p>
        </w:tc>
        <w:tc>
          <w:tcPr>
            <w:tcW w:type="dxa" w:w="1920"/>
            <w:tcBorders>
              <w:top w:color="000000" w:sz="4" w:val="single"/>
              <w:left w:sz="4" w:val="nil"/>
              <w:bottom w:color="000000" w:sz="4" w:val="single"/>
              <w:right w:color="000000" w:sz="4" w:val="single"/>
            </w:tcBorders>
            <w:vAlign w:val="center"/>
          </w:tcPr>
          <w:p w14:paraId="24040000">
            <w:pPr>
              <w:spacing w:after="0" w:line="240" w:lineRule="auto"/>
              <w:ind/>
              <w:jc w:val="right"/>
              <w:rPr>
                <w:rFonts w:ascii="Times New Roman" w:hAnsi="Times New Roman"/>
                <w:color w:val="000000"/>
                <w:sz w:val="24"/>
              </w:rPr>
            </w:pPr>
            <w:r>
              <w:rPr>
                <w:rFonts w:ascii="Times New Roman" w:hAnsi="Times New Roman"/>
                <w:color w:val="000000"/>
                <w:sz w:val="24"/>
              </w:rPr>
              <w:t>2 800</w:t>
            </w:r>
          </w:p>
        </w:tc>
        <w:tc>
          <w:tcPr>
            <w:tcW w:type="dxa" w:w="1920"/>
            <w:tcBorders>
              <w:top w:color="000000" w:sz="4" w:val="single"/>
              <w:left w:sz="4" w:val="nil"/>
              <w:bottom w:color="000000" w:sz="4" w:val="single"/>
              <w:right w:color="000000" w:sz="4" w:val="single"/>
            </w:tcBorders>
            <w:vAlign w:val="center"/>
          </w:tcPr>
          <w:p w14:paraId="2504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c>
          <w:tcPr>
            <w:tcW w:type="dxa" w:w="1920"/>
            <w:tcBorders>
              <w:top w:color="000000" w:sz="4" w:val="single"/>
              <w:left w:sz="4" w:val="nil"/>
              <w:bottom w:color="000000" w:sz="4" w:val="single"/>
              <w:right w:color="000000" w:sz="4" w:val="single"/>
            </w:tcBorders>
            <w:vAlign w:val="center"/>
          </w:tcPr>
          <w:p w14:paraId="26040000">
            <w:pPr>
              <w:spacing w:after="0" w:line="240" w:lineRule="auto"/>
              <w:ind/>
              <w:jc w:val="right"/>
              <w:rPr>
                <w:rFonts w:ascii="Times New Roman" w:hAnsi="Times New Roman"/>
                <w:color w:val="000000"/>
                <w:sz w:val="24"/>
              </w:rPr>
            </w:pPr>
            <w:r>
              <w:rPr>
                <w:rFonts w:ascii="Times New Roman" w:hAnsi="Times New Roman"/>
                <w:color w:val="000000"/>
                <w:sz w:val="24"/>
              </w:rPr>
              <w:t>3 200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27040000">
            <w:pPr>
              <w:spacing w:after="0" w:line="240" w:lineRule="auto"/>
              <w:ind/>
              <w:rPr>
                <w:rFonts w:ascii="Times New Roman" w:hAnsi="Times New Roman"/>
                <w:color w:val="000000"/>
                <w:sz w:val="24"/>
              </w:rPr>
            </w:pPr>
            <w:r>
              <w:rPr>
                <w:rFonts w:ascii="Times New Roman" w:hAnsi="Times New Roman"/>
                <w:color w:val="000000"/>
                <w:sz w:val="24"/>
              </w:rPr>
              <w:t>Долгосрочные кредиты и займы</w:t>
            </w:r>
          </w:p>
        </w:tc>
        <w:tc>
          <w:tcPr>
            <w:tcW w:type="dxa" w:w="1920"/>
            <w:tcBorders>
              <w:top w:color="000000" w:sz="4" w:val="single"/>
              <w:left w:sz="4" w:val="nil"/>
              <w:bottom w:color="000000" w:sz="4" w:val="single"/>
              <w:right w:color="000000" w:sz="4" w:val="single"/>
            </w:tcBorders>
            <w:vAlign w:val="center"/>
          </w:tcPr>
          <w:p w14:paraId="28040000">
            <w:pPr>
              <w:spacing w:after="0" w:line="240" w:lineRule="auto"/>
              <w:ind/>
              <w:jc w:val="right"/>
              <w:rPr>
                <w:rFonts w:ascii="Times New Roman" w:hAnsi="Times New Roman"/>
                <w:color w:val="000000"/>
                <w:sz w:val="24"/>
              </w:rPr>
            </w:pPr>
            <w:r>
              <w:rPr>
                <w:rFonts w:ascii="Times New Roman" w:hAnsi="Times New Roman"/>
                <w:color w:val="000000"/>
                <w:sz w:val="24"/>
              </w:rPr>
              <w:t>2 500</w:t>
            </w:r>
          </w:p>
        </w:tc>
        <w:tc>
          <w:tcPr>
            <w:tcW w:type="dxa" w:w="1920"/>
            <w:tcBorders>
              <w:top w:color="000000" w:sz="4" w:val="single"/>
              <w:left w:sz="4" w:val="nil"/>
              <w:bottom w:color="000000" w:sz="4" w:val="single"/>
              <w:right w:color="000000" w:sz="4" w:val="single"/>
            </w:tcBorders>
            <w:vAlign w:val="center"/>
          </w:tcPr>
          <w:p w14:paraId="29040000">
            <w:pPr>
              <w:spacing w:after="0" w:line="240" w:lineRule="auto"/>
              <w:ind/>
              <w:jc w:val="right"/>
              <w:rPr>
                <w:rFonts w:ascii="Times New Roman" w:hAnsi="Times New Roman"/>
                <w:color w:val="000000"/>
                <w:sz w:val="24"/>
              </w:rPr>
            </w:pPr>
            <w:r>
              <w:rPr>
                <w:rFonts w:ascii="Times New Roman" w:hAnsi="Times New Roman"/>
                <w:color w:val="000000"/>
                <w:sz w:val="24"/>
              </w:rPr>
              <w:t>2 700</w:t>
            </w:r>
          </w:p>
        </w:tc>
        <w:tc>
          <w:tcPr>
            <w:tcW w:type="dxa" w:w="1920"/>
            <w:tcBorders>
              <w:top w:color="000000" w:sz="4" w:val="single"/>
              <w:left w:sz="4" w:val="nil"/>
              <w:bottom w:color="000000" w:sz="4" w:val="single"/>
              <w:right w:color="000000" w:sz="4" w:val="single"/>
            </w:tcBorders>
            <w:vAlign w:val="center"/>
          </w:tcPr>
          <w:p w14:paraId="2A040000">
            <w:pPr>
              <w:spacing w:after="0" w:line="240" w:lineRule="auto"/>
              <w:ind/>
              <w:jc w:val="right"/>
              <w:rPr>
                <w:rFonts w:ascii="Times New Roman" w:hAnsi="Times New Roman"/>
                <w:color w:val="000000"/>
                <w:sz w:val="24"/>
              </w:rPr>
            </w:pPr>
            <w:r>
              <w:rPr>
                <w:rFonts w:ascii="Times New Roman" w:hAnsi="Times New Roman"/>
                <w:color w:val="000000"/>
                <w:sz w:val="24"/>
              </w:rPr>
              <w:t>2 900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2B040000">
            <w:pPr>
              <w:spacing w:after="0" w:line="240" w:lineRule="auto"/>
              <w:ind/>
              <w:rPr>
                <w:rFonts w:ascii="Times New Roman" w:hAnsi="Times New Roman"/>
                <w:color w:val="000000"/>
                <w:sz w:val="24"/>
              </w:rPr>
            </w:pPr>
            <w:r>
              <w:rPr>
                <w:rFonts w:ascii="Times New Roman" w:hAnsi="Times New Roman"/>
                <w:color w:val="000000"/>
                <w:sz w:val="24"/>
              </w:rPr>
              <w:t>Отложенные налоговые обязательства</w:t>
            </w:r>
          </w:p>
        </w:tc>
        <w:tc>
          <w:tcPr>
            <w:tcW w:type="dxa" w:w="1920"/>
            <w:tcBorders>
              <w:top w:color="000000" w:sz="4" w:val="single"/>
              <w:left w:sz="4" w:val="nil"/>
              <w:bottom w:color="000000" w:sz="4" w:val="single"/>
              <w:right w:color="000000" w:sz="4" w:val="single"/>
            </w:tcBorders>
            <w:vAlign w:val="center"/>
          </w:tcPr>
          <w:p w14:paraId="2C040000">
            <w:pPr>
              <w:spacing w:after="0" w:line="240" w:lineRule="auto"/>
              <w:ind/>
              <w:jc w:val="right"/>
              <w:rPr>
                <w:rFonts w:ascii="Times New Roman" w:hAnsi="Times New Roman"/>
                <w:color w:val="000000"/>
                <w:sz w:val="24"/>
              </w:rPr>
            </w:pPr>
            <w:r>
              <w:rPr>
                <w:rFonts w:ascii="Times New Roman" w:hAnsi="Times New Roman"/>
                <w:color w:val="000000"/>
                <w:sz w:val="24"/>
              </w:rPr>
              <w:t>300</w:t>
            </w:r>
          </w:p>
        </w:tc>
        <w:tc>
          <w:tcPr>
            <w:tcW w:type="dxa" w:w="1920"/>
            <w:tcBorders>
              <w:top w:color="000000" w:sz="4" w:val="single"/>
              <w:left w:sz="4" w:val="nil"/>
              <w:bottom w:color="000000" w:sz="4" w:val="single"/>
              <w:right w:color="000000" w:sz="4" w:val="single"/>
            </w:tcBorders>
            <w:vAlign w:val="center"/>
          </w:tcPr>
          <w:p w14:paraId="2D040000">
            <w:pPr>
              <w:spacing w:after="0" w:line="240" w:lineRule="auto"/>
              <w:ind/>
              <w:jc w:val="right"/>
              <w:rPr>
                <w:rFonts w:ascii="Times New Roman" w:hAnsi="Times New Roman"/>
                <w:color w:val="000000"/>
                <w:sz w:val="24"/>
              </w:rPr>
            </w:pPr>
            <w:r>
              <w:rPr>
                <w:rFonts w:ascii="Times New Roman" w:hAnsi="Times New Roman"/>
                <w:color w:val="000000"/>
                <w:sz w:val="24"/>
              </w:rPr>
              <w:t>300</w:t>
            </w:r>
          </w:p>
        </w:tc>
        <w:tc>
          <w:tcPr>
            <w:tcW w:type="dxa" w:w="1920"/>
            <w:tcBorders>
              <w:top w:color="000000" w:sz="4" w:val="single"/>
              <w:left w:sz="4" w:val="nil"/>
              <w:bottom w:color="000000" w:sz="4" w:val="single"/>
              <w:right w:color="000000" w:sz="4" w:val="single"/>
            </w:tcBorders>
            <w:vAlign w:val="center"/>
          </w:tcPr>
          <w:p w14:paraId="2E040000">
            <w:pPr>
              <w:spacing w:after="0" w:line="240" w:lineRule="auto"/>
              <w:ind/>
              <w:jc w:val="right"/>
              <w:rPr>
                <w:rFonts w:ascii="Times New Roman" w:hAnsi="Times New Roman"/>
                <w:color w:val="000000"/>
                <w:sz w:val="24"/>
              </w:rPr>
            </w:pPr>
            <w:r>
              <w:rPr>
                <w:rFonts w:ascii="Times New Roman" w:hAnsi="Times New Roman"/>
                <w:color w:val="000000"/>
                <w:sz w:val="24"/>
              </w:rPr>
              <w:t>300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2F040000">
            <w:pPr>
              <w:spacing w:after="0" w:line="240" w:lineRule="auto"/>
              <w:ind/>
              <w:rPr>
                <w:rFonts w:ascii="Times New Roman" w:hAnsi="Times New Roman"/>
                <w:b w:val="1"/>
                <w:color w:val="000000"/>
                <w:sz w:val="24"/>
              </w:rPr>
            </w:pPr>
            <w:r>
              <w:rPr>
                <w:rFonts w:ascii="Times New Roman" w:hAnsi="Times New Roman"/>
                <w:b w:val="1"/>
                <w:color w:val="000000"/>
                <w:sz w:val="24"/>
              </w:rPr>
              <w:t>Краткосрочные обязательства</w:t>
            </w:r>
          </w:p>
        </w:tc>
        <w:tc>
          <w:tcPr>
            <w:tcW w:type="dxa" w:w="1920"/>
            <w:tcBorders>
              <w:top w:color="000000" w:sz="4" w:val="single"/>
              <w:left w:sz="4" w:val="nil"/>
              <w:bottom w:color="000000" w:sz="4" w:val="single"/>
              <w:right w:color="000000" w:sz="4" w:val="single"/>
            </w:tcBorders>
            <w:vAlign w:val="center"/>
          </w:tcPr>
          <w:p w14:paraId="30040000">
            <w:pPr>
              <w:spacing w:after="0" w:line="240" w:lineRule="auto"/>
              <w:ind/>
              <w:jc w:val="right"/>
              <w:rPr>
                <w:rFonts w:ascii="Times New Roman" w:hAnsi="Times New Roman"/>
                <w:color w:val="000000"/>
                <w:sz w:val="24"/>
              </w:rPr>
            </w:pPr>
            <w:r>
              <w:rPr>
                <w:rFonts w:ascii="Times New Roman" w:hAnsi="Times New Roman"/>
                <w:color w:val="000000"/>
                <w:sz w:val="24"/>
              </w:rPr>
              <w:t>1 200</w:t>
            </w:r>
          </w:p>
        </w:tc>
        <w:tc>
          <w:tcPr>
            <w:tcW w:type="dxa" w:w="1920"/>
            <w:tcBorders>
              <w:top w:color="000000" w:sz="4" w:val="single"/>
              <w:left w:sz="4" w:val="nil"/>
              <w:bottom w:color="000000" w:sz="4" w:val="single"/>
              <w:right w:color="000000" w:sz="4" w:val="single"/>
            </w:tcBorders>
            <w:vAlign w:val="center"/>
          </w:tcPr>
          <w:p w14:paraId="31040000">
            <w:pPr>
              <w:spacing w:after="0" w:line="240" w:lineRule="auto"/>
              <w:ind/>
              <w:jc w:val="right"/>
              <w:rPr>
                <w:rFonts w:ascii="Times New Roman" w:hAnsi="Times New Roman"/>
                <w:color w:val="000000"/>
                <w:sz w:val="24"/>
              </w:rPr>
            </w:pPr>
            <w:r>
              <w:rPr>
                <w:rFonts w:ascii="Times New Roman" w:hAnsi="Times New Roman"/>
                <w:color w:val="000000"/>
                <w:sz w:val="24"/>
              </w:rPr>
              <w:t>1 350</w:t>
            </w:r>
          </w:p>
        </w:tc>
        <w:tc>
          <w:tcPr>
            <w:tcW w:type="dxa" w:w="1920"/>
            <w:tcBorders>
              <w:top w:color="000000" w:sz="4" w:val="single"/>
              <w:left w:sz="4" w:val="nil"/>
              <w:bottom w:color="000000" w:sz="4" w:val="single"/>
              <w:right w:color="000000" w:sz="4" w:val="single"/>
            </w:tcBorders>
            <w:vAlign w:val="center"/>
          </w:tcPr>
          <w:p w14:paraId="32040000">
            <w:pPr>
              <w:spacing w:after="0" w:line="240" w:lineRule="auto"/>
              <w:ind/>
              <w:jc w:val="right"/>
              <w:rPr>
                <w:rFonts w:ascii="Times New Roman" w:hAnsi="Times New Roman"/>
                <w:color w:val="000000"/>
                <w:sz w:val="24"/>
              </w:rPr>
            </w:pPr>
            <w:r>
              <w:rPr>
                <w:rFonts w:ascii="Times New Roman" w:hAnsi="Times New Roman"/>
                <w:color w:val="000000"/>
                <w:sz w:val="24"/>
              </w:rPr>
              <w:t>1 500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33040000">
            <w:pPr>
              <w:spacing w:after="0" w:line="240" w:lineRule="auto"/>
              <w:ind/>
              <w:rPr>
                <w:rFonts w:ascii="Times New Roman" w:hAnsi="Times New Roman"/>
                <w:color w:val="000000"/>
                <w:sz w:val="24"/>
              </w:rPr>
            </w:pPr>
            <w:r>
              <w:rPr>
                <w:rFonts w:ascii="Times New Roman" w:hAnsi="Times New Roman"/>
                <w:color w:val="000000"/>
                <w:sz w:val="24"/>
              </w:rPr>
              <w:t>Краткосрочные кредиты и займы</w:t>
            </w:r>
          </w:p>
        </w:tc>
        <w:tc>
          <w:tcPr>
            <w:tcW w:type="dxa" w:w="1920"/>
            <w:tcBorders>
              <w:top w:color="000000" w:sz="4" w:val="single"/>
              <w:left w:sz="4" w:val="nil"/>
              <w:bottom w:color="000000" w:sz="4" w:val="single"/>
              <w:right w:color="000000" w:sz="4" w:val="single"/>
            </w:tcBorders>
            <w:vAlign w:val="center"/>
          </w:tcPr>
          <w:p w14:paraId="34040000">
            <w:pPr>
              <w:spacing w:after="0" w:line="240" w:lineRule="auto"/>
              <w:ind/>
              <w:jc w:val="right"/>
              <w:rPr>
                <w:rFonts w:ascii="Times New Roman" w:hAnsi="Times New Roman"/>
                <w:color w:val="000000"/>
                <w:sz w:val="24"/>
              </w:rPr>
            </w:pPr>
            <w:r>
              <w:rPr>
                <w:rFonts w:ascii="Times New Roman" w:hAnsi="Times New Roman"/>
                <w:color w:val="000000"/>
                <w:sz w:val="24"/>
              </w:rPr>
              <w:t>1 200</w:t>
            </w:r>
          </w:p>
        </w:tc>
        <w:tc>
          <w:tcPr>
            <w:tcW w:type="dxa" w:w="1920"/>
            <w:tcBorders>
              <w:top w:color="000000" w:sz="4" w:val="single"/>
              <w:left w:sz="4" w:val="nil"/>
              <w:bottom w:color="000000" w:sz="4" w:val="single"/>
              <w:right w:color="000000" w:sz="4" w:val="single"/>
            </w:tcBorders>
            <w:vAlign w:val="center"/>
          </w:tcPr>
          <w:p w14:paraId="35040000">
            <w:pPr>
              <w:spacing w:after="0" w:line="240" w:lineRule="auto"/>
              <w:ind/>
              <w:jc w:val="right"/>
              <w:rPr>
                <w:rFonts w:ascii="Times New Roman" w:hAnsi="Times New Roman"/>
                <w:color w:val="000000"/>
                <w:sz w:val="24"/>
              </w:rPr>
            </w:pPr>
            <w:r>
              <w:rPr>
                <w:rFonts w:ascii="Times New Roman" w:hAnsi="Times New Roman"/>
                <w:color w:val="000000"/>
                <w:sz w:val="24"/>
              </w:rPr>
              <w:t>1 350</w:t>
            </w:r>
          </w:p>
        </w:tc>
        <w:tc>
          <w:tcPr>
            <w:tcW w:type="dxa" w:w="1920"/>
            <w:tcBorders>
              <w:top w:color="000000" w:sz="4" w:val="single"/>
              <w:left w:sz="4" w:val="nil"/>
              <w:bottom w:color="000000" w:sz="4" w:val="single"/>
              <w:right w:color="000000" w:sz="4" w:val="single"/>
            </w:tcBorders>
            <w:vAlign w:val="center"/>
          </w:tcPr>
          <w:p w14:paraId="36040000">
            <w:pPr>
              <w:spacing w:after="0" w:line="240" w:lineRule="auto"/>
              <w:ind/>
              <w:jc w:val="right"/>
              <w:rPr>
                <w:rFonts w:ascii="Times New Roman" w:hAnsi="Times New Roman"/>
                <w:color w:val="000000"/>
                <w:sz w:val="24"/>
              </w:rPr>
            </w:pPr>
            <w:r>
              <w:rPr>
                <w:rFonts w:ascii="Times New Roman" w:hAnsi="Times New Roman"/>
                <w:color w:val="000000"/>
                <w:sz w:val="24"/>
              </w:rPr>
              <w:t>1 500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37040000">
            <w:pPr>
              <w:spacing w:after="0" w:line="240" w:lineRule="auto"/>
              <w:ind/>
              <w:rPr>
                <w:rFonts w:ascii="Times New Roman" w:hAnsi="Times New Roman"/>
                <w:b w:val="1"/>
                <w:color w:val="000000"/>
                <w:sz w:val="24"/>
              </w:rPr>
            </w:pPr>
            <w:r>
              <w:rPr>
                <w:rFonts w:ascii="Times New Roman" w:hAnsi="Times New Roman"/>
                <w:b w:val="1"/>
                <w:color w:val="000000"/>
                <w:sz w:val="24"/>
              </w:rPr>
              <w:t>Собственный капитал</w:t>
            </w:r>
          </w:p>
        </w:tc>
        <w:tc>
          <w:tcPr>
            <w:tcW w:type="dxa" w:w="1920"/>
            <w:tcBorders>
              <w:top w:color="000000" w:sz="4" w:val="single"/>
              <w:left w:sz="4" w:val="nil"/>
              <w:bottom w:color="000000" w:sz="4" w:val="single"/>
              <w:right w:color="000000" w:sz="4" w:val="single"/>
            </w:tcBorders>
            <w:vAlign w:val="center"/>
          </w:tcPr>
          <w:p w14:paraId="38040000">
            <w:pPr>
              <w:spacing w:after="0" w:line="240" w:lineRule="auto"/>
              <w:ind/>
              <w:jc w:val="right"/>
              <w:rPr>
                <w:rFonts w:ascii="Times New Roman" w:hAnsi="Times New Roman"/>
                <w:color w:val="000000"/>
                <w:sz w:val="24"/>
              </w:rPr>
            </w:pPr>
            <w:r>
              <w:rPr>
                <w:rFonts w:ascii="Times New Roman" w:hAnsi="Times New Roman"/>
                <w:color w:val="000000"/>
                <w:sz w:val="24"/>
              </w:rPr>
              <w:t>6 000</w:t>
            </w:r>
          </w:p>
        </w:tc>
        <w:tc>
          <w:tcPr>
            <w:tcW w:type="dxa" w:w="1920"/>
            <w:tcBorders>
              <w:top w:color="000000" w:sz="4" w:val="single"/>
              <w:left w:sz="4" w:val="nil"/>
              <w:bottom w:color="000000" w:sz="4" w:val="single"/>
              <w:right w:color="000000" w:sz="4" w:val="single"/>
            </w:tcBorders>
            <w:vAlign w:val="center"/>
          </w:tcPr>
          <w:p w14:paraId="39040000">
            <w:pPr>
              <w:spacing w:after="0" w:line="240" w:lineRule="auto"/>
              <w:ind/>
              <w:jc w:val="right"/>
              <w:rPr>
                <w:rFonts w:ascii="Times New Roman" w:hAnsi="Times New Roman"/>
                <w:color w:val="000000"/>
                <w:sz w:val="24"/>
              </w:rPr>
            </w:pPr>
            <w:r>
              <w:rPr>
                <w:rFonts w:ascii="Times New Roman" w:hAnsi="Times New Roman"/>
                <w:color w:val="000000"/>
                <w:sz w:val="24"/>
              </w:rPr>
              <w:t>6 150</w:t>
            </w:r>
          </w:p>
        </w:tc>
        <w:tc>
          <w:tcPr>
            <w:tcW w:type="dxa" w:w="1920"/>
            <w:tcBorders>
              <w:top w:color="000000" w:sz="4" w:val="single"/>
              <w:left w:sz="4" w:val="nil"/>
              <w:bottom w:color="000000" w:sz="4" w:val="single"/>
              <w:right w:color="000000" w:sz="4" w:val="single"/>
            </w:tcBorders>
            <w:vAlign w:val="center"/>
          </w:tcPr>
          <w:p w14:paraId="3A040000">
            <w:pPr>
              <w:spacing w:after="0" w:line="240" w:lineRule="auto"/>
              <w:ind/>
              <w:jc w:val="right"/>
              <w:rPr>
                <w:rFonts w:ascii="Times New Roman" w:hAnsi="Times New Roman"/>
                <w:color w:val="000000"/>
                <w:sz w:val="24"/>
              </w:rPr>
            </w:pPr>
            <w:r>
              <w:rPr>
                <w:rFonts w:ascii="Times New Roman" w:hAnsi="Times New Roman"/>
                <w:color w:val="000000"/>
                <w:sz w:val="24"/>
              </w:rPr>
              <w:t>6 300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3B040000">
            <w:pPr>
              <w:spacing w:after="0" w:line="240" w:lineRule="auto"/>
              <w:ind/>
              <w:rPr>
                <w:rFonts w:ascii="Times New Roman" w:hAnsi="Times New Roman"/>
                <w:color w:val="000000"/>
                <w:sz w:val="24"/>
              </w:rPr>
            </w:pPr>
            <w:r>
              <w:rPr>
                <w:rFonts w:ascii="Times New Roman" w:hAnsi="Times New Roman"/>
                <w:color w:val="000000"/>
                <w:sz w:val="24"/>
              </w:rPr>
              <w:t>Уставный капитал</w:t>
            </w:r>
          </w:p>
        </w:tc>
        <w:tc>
          <w:tcPr>
            <w:tcW w:type="dxa" w:w="1920"/>
            <w:tcBorders>
              <w:top w:color="000000" w:sz="4" w:val="single"/>
              <w:left w:sz="4" w:val="nil"/>
              <w:bottom w:color="000000" w:sz="4" w:val="single"/>
              <w:right w:color="000000" w:sz="4" w:val="single"/>
            </w:tcBorders>
            <w:vAlign w:val="center"/>
          </w:tcPr>
          <w:p w14:paraId="3C04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c>
          <w:tcPr>
            <w:tcW w:type="dxa" w:w="1920"/>
            <w:tcBorders>
              <w:top w:color="000000" w:sz="4" w:val="single"/>
              <w:left w:sz="4" w:val="nil"/>
              <w:bottom w:color="000000" w:sz="4" w:val="single"/>
              <w:right w:color="000000" w:sz="4" w:val="single"/>
            </w:tcBorders>
            <w:vAlign w:val="center"/>
          </w:tcPr>
          <w:p w14:paraId="3D04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c>
          <w:tcPr>
            <w:tcW w:type="dxa" w:w="1920"/>
            <w:tcBorders>
              <w:top w:color="000000" w:sz="4" w:val="single"/>
              <w:left w:sz="4" w:val="nil"/>
              <w:bottom w:color="000000" w:sz="4" w:val="single"/>
              <w:right w:color="000000" w:sz="4" w:val="single"/>
            </w:tcBorders>
            <w:vAlign w:val="center"/>
          </w:tcPr>
          <w:p w14:paraId="3E04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3F040000">
            <w:pPr>
              <w:spacing w:after="0" w:line="240" w:lineRule="auto"/>
              <w:ind/>
              <w:rPr>
                <w:rFonts w:ascii="Times New Roman" w:hAnsi="Times New Roman"/>
                <w:color w:val="000000"/>
                <w:sz w:val="24"/>
              </w:rPr>
            </w:pPr>
            <w:r>
              <w:rPr>
                <w:rFonts w:ascii="Times New Roman" w:hAnsi="Times New Roman"/>
                <w:color w:val="000000"/>
                <w:sz w:val="24"/>
              </w:rPr>
              <w:t>Нераспределенная прибыль</w:t>
            </w:r>
          </w:p>
        </w:tc>
        <w:tc>
          <w:tcPr>
            <w:tcW w:type="dxa" w:w="1920"/>
            <w:tcBorders>
              <w:top w:color="000000" w:sz="4" w:val="single"/>
              <w:left w:sz="4" w:val="nil"/>
              <w:bottom w:color="000000" w:sz="4" w:val="single"/>
              <w:right w:color="000000" w:sz="4" w:val="single"/>
            </w:tcBorders>
            <w:vAlign w:val="center"/>
          </w:tcPr>
          <w:p w14:paraId="40040000">
            <w:pPr>
              <w:spacing w:after="0" w:line="240" w:lineRule="auto"/>
              <w:ind/>
              <w:jc w:val="right"/>
              <w:rPr>
                <w:rFonts w:ascii="Times New Roman" w:hAnsi="Times New Roman"/>
                <w:color w:val="000000"/>
                <w:sz w:val="24"/>
              </w:rPr>
            </w:pPr>
            <w:r>
              <w:rPr>
                <w:rFonts w:ascii="Times New Roman" w:hAnsi="Times New Roman"/>
                <w:color w:val="000000"/>
                <w:sz w:val="24"/>
              </w:rPr>
              <w:t>3 000</w:t>
            </w:r>
          </w:p>
        </w:tc>
        <w:tc>
          <w:tcPr>
            <w:tcW w:type="dxa" w:w="1920"/>
            <w:tcBorders>
              <w:top w:color="000000" w:sz="4" w:val="single"/>
              <w:left w:sz="4" w:val="nil"/>
              <w:bottom w:color="000000" w:sz="4" w:val="single"/>
              <w:right w:color="000000" w:sz="4" w:val="single"/>
            </w:tcBorders>
            <w:vAlign w:val="center"/>
          </w:tcPr>
          <w:p w14:paraId="41040000">
            <w:pPr>
              <w:spacing w:after="0" w:line="240" w:lineRule="auto"/>
              <w:ind/>
              <w:jc w:val="right"/>
              <w:rPr>
                <w:rFonts w:ascii="Times New Roman" w:hAnsi="Times New Roman"/>
                <w:color w:val="000000"/>
                <w:sz w:val="24"/>
              </w:rPr>
            </w:pPr>
            <w:r>
              <w:rPr>
                <w:rFonts w:ascii="Times New Roman" w:hAnsi="Times New Roman"/>
                <w:color w:val="000000"/>
                <w:sz w:val="24"/>
              </w:rPr>
              <w:t>3 150</w:t>
            </w:r>
          </w:p>
        </w:tc>
        <w:tc>
          <w:tcPr>
            <w:tcW w:type="dxa" w:w="1920"/>
            <w:tcBorders>
              <w:top w:color="000000" w:sz="4" w:val="single"/>
              <w:left w:sz="4" w:val="nil"/>
              <w:bottom w:color="000000" w:sz="4" w:val="single"/>
              <w:right w:color="000000" w:sz="4" w:val="single"/>
            </w:tcBorders>
            <w:vAlign w:val="center"/>
          </w:tcPr>
          <w:p w14:paraId="42040000">
            <w:pPr>
              <w:spacing w:after="0" w:line="240" w:lineRule="auto"/>
              <w:ind/>
              <w:jc w:val="right"/>
              <w:rPr>
                <w:rFonts w:ascii="Times New Roman" w:hAnsi="Times New Roman"/>
                <w:color w:val="000000"/>
                <w:sz w:val="24"/>
              </w:rPr>
            </w:pPr>
            <w:r>
              <w:rPr>
                <w:rFonts w:ascii="Times New Roman" w:hAnsi="Times New Roman"/>
                <w:color w:val="000000"/>
                <w:sz w:val="24"/>
              </w:rPr>
              <w:t>3 300</w:t>
            </w:r>
          </w:p>
        </w:tc>
      </w:tr>
      <w:tr>
        <w:trPr>
          <w:trHeight w:hRule="atLeast" w:val="288"/>
        </w:trPr>
        <w:tc>
          <w:tcPr>
            <w:tcW w:type="dxa" w:w="3980"/>
            <w:tcBorders>
              <w:top w:color="000000" w:sz="4" w:val="single"/>
              <w:left w:color="000000" w:sz="4" w:val="single"/>
              <w:bottom w:color="000000" w:sz="4" w:val="single"/>
              <w:right w:color="000000" w:sz="4" w:val="single"/>
            </w:tcBorders>
            <w:vAlign w:val="center"/>
          </w:tcPr>
          <w:p w14:paraId="43040000">
            <w:pPr>
              <w:spacing w:after="0" w:line="240" w:lineRule="auto"/>
              <w:ind/>
              <w:rPr>
                <w:rFonts w:ascii="Times New Roman" w:hAnsi="Times New Roman"/>
                <w:b w:val="1"/>
                <w:color w:val="000000"/>
                <w:sz w:val="24"/>
              </w:rPr>
            </w:pPr>
            <w:r>
              <w:rPr>
                <w:rFonts w:ascii="Times New Roman" w:hAnsi="Times New Roman"/>
                <w:b w:val="1"/>
                <w:color w:val="000000"/>
                <w:sz w:val="24"/>
              </w:rPr>
              <w:t>Итого обязательства и капитал</w:t>
            </w:r>
          </w:p>
        </w:tc>
        <w:tc>
          <w:tcPr>
            <w:tcW w:type="dxa" w:w="1920"/>
            <w:tcBorders>
              <w:top w:color="000000" w:sz="4" w:val="single"/>
              <w:left w:sz="4" w:val="nil"/>
              <w:bottom w:color="000000" w:sz="4" w:val="single"/>
              <w:right w:color="000000" w:sz="4" w:val="single"/>
            </w:tcBorders>
            <w:vAlign w:val="center"/>
          </w:tcPr>
          <w:p w14:paraId="44040000">
            <w:pPr>
              <w:spacing w:after="0" w:line="240" w:lineRule="auto"/>
              <w:ind/>
              <w:jc w:val="right"/>
              <w:rPr>
                <w:rFonts w:ascii="Times New Roman" w:hAnsi="Times New Roman"/>
                <w:color w:val="000000"/>
                <w:sz w:val="24"/>
              </w:rPr>
            </w:pPr>
            <w:r>
              <w:rPr>
                <w:rFonts w:ascii="Times New Roman" w:hAnsi="Times New Roman"/>
                <w:color w:val="000000"/>
                <w:sz w:val="24"/>
              </w:rPr>
              <w:t>10 000</w:t>
            </w:r>
          </w:p>
        </w:tc>
        <w:tc>
          <w:tcPr>
            <w:tcW w:type="dxa" w:w="1920"/>
            <w:tcBorders>
              <w:top w:color="000000" w:sz="4" w:val="single"/>
              <w:left w:sz="4" w:val="nil"/>
              <w:bottom w:color="000000" w:sz="4" w:val="single"/>
              <w:right w:color="000000" w:sz="4" w:val="single"/>
            </w:tcBorders>
            <w:vAlign w:val="center"/>
          </w:tcPr>
          <w:p w14:paraId="45040000">
            <w:pPr>
              <w:spacing w:after="0" w:line="240" w:lineRule="auto"/>
              <w:ind/>
              <w:jc w:val="right"/>
              <w:rPr>
                <w:rFonts w:ascii="Times New Roman" w:hAnsi="Times New Roman"/>
                <w:color w:val="000000"/>
                <w:sz w:val="24"/>
              </w:rPr>
            </w:pPr>
            <w:r>
              <w:rPr>
                <w:rFonts w:ascii="Times New Roman" w:hAnsi="Times New Roman"/>
                <w:color w:val="000000"/>
                <w:sz w:val="24"/>
              </w:rPr>
              <w:t>10 500</w:t>
            </w:r>
          </w:p>
        </w:tc>
        <w:tc>
          <w:tcPr>
            <w:tcW w:type="dxa" w:w="1920"/>
            <w:tcBorders>
              <w:top w:color="000000" w:sz="4" w:val="single"/>
              <w:left w:sz="4" w:val="nil"/>
              <w:bottom w:color="000000" w:sz="4" w:val="single"/>
              <w:right w:color="000000" w:sz="4" w:val="single"/>
            </w:tcBorders>
            <w:vAlign w:val="center"/>
          </w:tcPr>
          <w:p w14:paraId="46040000">
            <w:pPr>
              <w:spacing w:after="0" w:line="240" w:lineRule="auto"/>
              <w:ind/>
              <w:jc w:val="right"/>
              <w:rPr>
                <w:rFonts w:ascii="Times New Roman" w:hAnsi="Times New Roman"/>
                <w:color w:val="000000"/>
                <w:sz w:val="24"/>
              </w:rPr>
            </w:pPr>
            <w:r>
              <w:rPr>
                <w:rFonts w:ascii="Times New Roman" w:hAnsi="Times New Roman"/>
                <w:color w:val="000000"/>
                <w:sz w:val="24"/>
              </w:rPr>
              <w:t>11 000</w:t>
            </w:r>
          </w:p>
        </w:tc>
      </w:tr>
    </w:tbl>
    <w:p w14:paraId="47040000">
      <w:pPr>
        <w:spacing w:after="0"/>
        <w:ind/>
        <w:rPr>
          <w:sz w:val="28"/>
        </w:rPr>
      </w:pPr>
    </w:p>
    <w:p w14:paraId="48040000">
      <w:pPr>
        <w:rPr>
          <w:sz w:val="28"/>
        </w:rPr>
      </w:pPr>
      <w:r>
        <w:rPr>
          <w:sz w:val="28"/>
        </w:rPr>
        <w:br w:type="page"/>
      </w:r>
    </w:p>
    <w:p w14:paraId="49040000">
      <w:bookmarkStart w:id="28" w:name="__RefHeading___26"/>
      <w:bookmarkEnd w:id="28"/>
      <w:pPr>
        <w:tabs>
          <w:tab w:leader="none" w:pos="1418" w:val="left"/>
        </w:tabs>
        <w:spacing w:after="0" w:line="360" w:lineRule="auto"/>
        <w:ind w:firstLine="851" w:left="0"/>
        <w:jc w:val="both"/>
        <w:outlineLvl w:val="0"/>
        <w:rPr>
          <w:rFonts w:ascii="Times New Roman" w:hAnsi="Times New Roman"/>
          <w:sz w:val="28"/>
        </w:rPr>
      </w:pPr>
      <w:r>
        <w:rPr>
          <w:rFonts w:ascii="Times New Roman" w:hAnsi="Times New Roman"/>
          <w:sz w:val="28"/>
        </w:rPr>
        <w:t>Выпускная квалификационная работа выполнена мной совершенно самостоятельно. Все использованные в работе материалы и концепции из опубликованной литературы и других источников имеют ссылки на них. Выпускная квалификационная работа прошла проверку на корректность заимствования в системе «</w:t>
      </w:r>
      <w:r>
        <w:rPr>
          <w:rFonts w:ascii="Times New Roman" w:hAnsi="Times New Roman"/>
          <w:sz w:val="28"/>
        </w:rPr>
        <w:t>Антиплагиат.ВУЗ</w:t>
      </w:r>
      <w:r>
        <w:rPr>
          <w:rFonts w:ascii="Times New Roman" w:hAnsi="Times New Roman"/>
          <w:sz w:val="28"/>
        </w:rPr>
        <w:t>».</w:t>
      </w:r>
    </w:p>
    <w:p w14:paraId="4A040000">
      <w:bookmarkStart w:id="29" w:name="__RefHeading___27"/>
      <w:bookmarkEnd w:id="29"/>
      <w:pPr>
        <w:tabs>
          <w:tab w:leader="none" w:pos="1418" w:val="left"/>
        </w:tabs>
        <w:spacing w:after="0" w:line="360" w:lineRule="auto"/>
        <w:ind w:firstLine="851" w:left="0"/>
        <w:jc w:val="both"/>
        <w:outlineLvl w:val="0"/>
        <w:rPr>
          <w:rFonts w:ascii="Times New Roman" w:hAnsi="Times New Roman"/>
          <w:sz w:val="28"/>
        </w:rPr>
      </w:pPr>
      <w:r>
        <w:rPr>
          <w:rFonts w:ascii="Times New Roman" w:hAnsi="Times New Roman"/>
          <w:sz w:val="28"/>
        </w:rPr>
        <w:t>Настоящим подтверждаю, что даю разрешение Университету «Синергия» на размещение полного текста моей выпускной квалификационной работы и отзыва о работе в период ее подготовки в электронно-библиотечной системе Университета «Синергия».</w:t>
      </w:r>
    </w:p>
    <w:p w14:paraId="4B040000">
      <w:pPr>
        <w:ind/>
        <w:outlineLvl w:val="0"/>
        <w:rPr>
          <w:rFonts w:ascii="Times New Roman" w:hAnsi="Times New Roman"/>
          <w:sz w:val="28"/>
        </w:rPr>
      </w:pPr>
    </w:p>
    <w:tbl>
      <w:tblPr>
        <w:tblStyle w:val="Style_2"/>
        <w:tblBorders>
          <w:top w:color="000000" w:val="nil"/>
          <w:left w:color="000000" w:val="nil"/>
          <w:bottom w:color="000000" w:val="nil"/>
          <w:right w:color="000000" w:val="nil"/>
          <w:insideH w:color="000000" w:val="nil"/>
          <w:insideV w:color="000000" w:val="nil"/>
        </w:tblBorders>
        <w:tblLayout w:type="fixed"/>
      </w:tblPr>
      <w:tblGrid>
        <w:gridCol w:w="2281"/>
        <w:gridCol w:w="3325"/>
        <w:gridCol w:w="537"/>
        <w:gridCol w:w="3211"/>
      </w:tblGrid>
      <w:tr>
        <w:tc>
          <w:tcPr>
            <w:tcW w:type="dxa" w:w="2281"/>
            <w:tcBorders>
              <w:top w:color="000000" w:val="nil"/>
              <w:left w:color="000000" w:val="nil"/>
              <w:bottom w:color="000000" w:val="nil"/>
              <w:right w:color="000000" w:val="nil"/>
            </w:tcBorders>
          </w:tcPr>
          <w:p w14:paraId="4C040000">
            <w:pPr>
              <w:ind/>
              <w:outlineLvl w:val="0"/>
              <w:rPr>
                <w:rFonts w:ascii="Times New Roman" w:hAnsi="Times New Roman"/>
                <w:sz w:val="28"/>
              </w:rPr>
            </w:pPr>
          </w:p>
        </w:tc>
        <w:tc>
          <w:tcPr>
            <w:tcW w:type="dxa" w:w="3325"/>
            <w:tcBorders>
              <w:top w:color="000000" w:val="nil"/>
              <w:left w:color="000000" w:val="nil"/>
              <w:bottom w:color="000000" w:sz="4" w:val="single"/>
              <w:right w:color="000000" w:val="nil"/>
            </w:tcBorders>
          </w:tcPr>
          <w:p/>
        </w:tc>
        <w:tc>
          <w:tcPr>
            <w:tcW w:type="dxa" w:w="537"/>
            <w:tcBorders>
              <w:top w:color="000000" w:val="nil"/>
              <w:left w:color="000000" w:val="nil"/>
              <w:bottom w:color="000000" w:val="nil"/>
              <w:right w:color="000000" w:val="nil"/>
            </w:tcBorders>
          </w:tcPr>
          <w:p w14:paraId="4D040000">
            <w:pPr>
              <w:ind/>
              <w:outlineLvl w:val="0"/>
              <w:rPr>
                <w:rFonts w:ascii="Times New Roman" w:hAnsi="Times New Roman"/>
                <w:sz w:val="28"/>
              </w:rPr>
            </w:pPr>
          </w:p>
        </w:tc>
        <w:tc>
          <w:tcPr>
            <w:tcW w:type="dxa" w:w="3211"/>
            <w:tcBorders>
              <w:top w:color="000000" w:val="nil"/>
              <w:left w:color="000000" w:val="nil"/>
              <w:bottom w:color="000000" w:sz="4" w:val="single"/>
              <w:right w:color="000000" w:val="nil"/>
            </w:tcBorders>
          </w:tcPr>
          <w:p/>
        </w:tc>
      </w:tr>
      <w:tr>
        <w:tc>
          <w:tcPr>
            <w:tcW w:type="dxa" w:w="2281"/>
            <w:tcBorders>
              <w:top w:color="000000" w:val="nil"/>
              <w:left w:color="000000" w:val="nil"/>
              <w:bottom w:color="000000" w:val="nil"/>
              <w:right w:color="000000" w:val="nil"/>
            </w:tcBorders>
          </w:tcPr>
          <w:p w14:paraId="4E040000">
            <w:pPr>
              <w:ind/>
              <w:outlineLvl w:val="0"/>
              <w:rPr>
                <w:rFonts w:ascii="Times New Roman" w:hAnsi="Times New Roman"/>
                <w:sz w:val="28"/>
              </w:rPr>
            </w:pPr>
          </w:p>
        </w:tc>
        <w:tc>
          <w:tcPr>
            <w:tcW w:type="dxa" w:w="3325"/>
            <w:tcBorders>
              <w:top w:color="000000" w:sz="4" w:val="single"/>
              <w:left w:color="000000" w:val="nil"/>
              <w:bottom w:color="000000" w:val="nil"/>
              <w:right w:color="000000" w:val="nil"/>
            </w:tcBorders>
          </w:tcPr>
          <w:p w14:paraId="4F040000">
            <w:bookmarkStart w:id="30" w:name="__RefHeading___29"/>
            <w:bookmarkEnd w:id="30"/>
            <w:pPr>
              <w:ind/>
              <w:jc w:val="center"/>
              <w:outlineLvl w:val="0"/>
              <w:rPr>
                <w:rFonts w:ascii="Times New Roman" w:hAnsi="Times New Roman"/>
                <w:sz w:val="16"/>
              </w:rPr>
            </w:pPr>
            <w:r>
              <w:rPr>
                <w:rFonts w:ascii="Times New Roman" w:hAnsi="Times New Roman"/>
                <w:sz w:val="16"/>
              </w:rPr>
              <w:t>(подпись)</w:t>
            </w:r>
          </w:p>
        </w:tc>
        <w:tc>
          <w:tcPr>
            <w:tcW w:type="dxa" w:w="537"/>
            <w:tcBorders>
              <w:top w:color="000000" w:val="nil"/>
              <w:left w:color="000000" w:val="nil"/>
              <w:bottom w:color="000000" w:val="nil"/>
              <w:right w:color="000000" w:val="nil"/>
            </w:tcBorders>
          </w:tcPr>
          <w:p w14:paraId="50040000">
            <w:pPr>
              <w:ind/>
              <w:outlineLvl w:val="0"/>
              <w:rPr>
                <w:rFonts w:ascii="Times New Roman" w:hAnsi="Times New Roman"/>
                <w:sz w:val="28"/>
              </w:rPr>
            </w:pPr>
          </w:p>
        </w:tc>
        <w:tc>
          <w:tcPr>
            <w:tcW w:type="dxa" w:w="3211"/>
            <w:tcBorders>
              <w:top w:color="000000" w:sz="4" w:val="single"/>
              <w:left w:color="000000" w:val="nil"/>
              <w:bottom w:color="000000" w:val="nil"/>
              <w:right w:color="000000" w:val="nil"/>
            </w:tcBorders>
          </w:tcPr>
          <w:p w14:paraId="51040000">
            <w:bookmarkStart w:id="31" w:name="__RefHeading___30"/>
            <w:bookmarkEnd w:id="31"/>
            <w:pPr>
              <w:ind/>
              <w:jc w:val="center"/>
              <w:outlineLvl w:val="0"/>
              <w:rPr>
                <w:rFonts w:ascii="Times New Roman" w:hAnsi="Times New Roman"/>
                <w:sz w:val="16"/>
              </w:rPr>
            </w:pPr>
            <w:r>
              <w:rPr>
                <w:rFonts w:ascii="Times New Roman" w:hAnsi="Times New Roman"/>
                <w:sz w:val="16"/>
              </w:rPr>
              <w:t>(Фамилия И.О.)</w:t>
            </w:r>
          </w:p>
        </w:tc>
      </w:tr>
    </w:tbl>
    <w:p w14:paraId="52040000">
      <w:pPr>
        <w:ind/>
        <w:outlineLvl w:val="0"/>
        <w:rPr>
          <w:rFonts w:ascii="Times New Roman" w:hAnsi="Times New Roman"/>
          <w:sz w:val="28"/>
        </w:rPr>
      </w:pPr>
    </w:p>
    <w:p w14:paraId="53040000">
      <w:bookmarkStart w:id="32" w:name="__RefHeading___31"/>
      <w:bookmarkEnd w:id="32"/>
      <w:pPr>
        <w:ind w:firstLine="720" w:left="0"/>
        <w:jc w:val="right"/>
        <w:outlineLvl w:val="0"/>
        <w:rPr>
          <w:rFonts w:ascii="Times New Roman" w:hAnsi="Times New Roman"/>
          <w:sz w:val="28"/>
        </w:rPr>
      </w:pPr>
      <w:r>
        <w:rPr>
          <w:rFonts w:ascii="Times New Roman" w:hAnsi="Times New Roman"/>
          <w:sz w:val="28"/>
        </w:rPr>
        <w:t>«___» ______________ 20__ г.</w:t>
      </w:r>
    </w:p>
    <w:p w14:paraId="54040000"/>
    <w:p w14:paraId="55040000">
      <w:pPr>
        <w:spacing w:after="0"/>
        <w:ind/>
        <w:rPr>
          <w:sz w:val="28"/>
        </w:rPr>
      </w:pPr>
    </w:p>
    <w:sectPr>
      <w:footerReference r:id="rId1" w:type="default"/>
      <w:pgSz w:h="16838" w:orient="portrait" w:w="11906"/>
      <w:pgMar w:bottom="1134" w:footer="709" w:gutter="0" w:header="709" w:left="1701" w:right="851" w:top="1134"/>
      <w:titlePg/>
    </w:sectPr>
  </w:body>
</w:document>
</file>

<file path=word/fontTable.xml><?xml version="1.0" encoding="utf-8"?>
<w:fonts xmlns:w="http://schemas.openxmlformats.org/wordprocessingml/2006/main">
  <w:font w:name="Cambria">
    <w:panose1 w:val="02040503050406030204"/>
    <w:charset w:val="00"/>
    <w:family w:val="auto"/>
    <w:pitch w:val="variable"/>
    <w:sig w:csb0="0000019F" w:csb1="00000000" w:usb0="E00002FF" w:usb1="400004FF" w:usb2="00000000" w:usb3="00000000"/>
  </w:font>
  <w:font w:name="ＭＳ 明朝">
    <w:panose1 w:val="00000000000000000000"/>
    <w:charset w:val="80"/>
    <w:family w:val="roman"/>
    <w:notTrueType/>
    <w:pitch w:val="fixed"/>
    <w:sig w:csb0="00020000" w:csb1="00000000" w:usb0="00000001" w:usb1="08070000" w:usb2="00000010" w:usb3="00000000"/>
  </w:font>
  <w:font w:name="Times New Roman">
    <w:panose1 w:val="02020603050405020304"/>
    <w:charset w:val="00"/>
    <w:family w:val="auto"/>
    <w:pitch w:val="variable"/>
    <w:sig w:csb0="00000001" w:csb1="00000000" w:usb0="00000003" w:usb1="00000000" w:usb2="00000000" w:usb3="00000000"/>
  </w:font>
  <w:font w:name="Calibri">
    <w:panose1 w:val="020F0502020204030204"/>
    <w:charset w:val="00"/>
    <w:family w:val="auto"/>
    <w:pitch w:val="variable"/>
    <w:sig w:csb0="0000019F" w:csb1="00000000" w:usb0="E10002FF" w:usb1="4000ACFF" w:usb2="00000009" w:usb3="00000000"/>
  </w:font>
  <w:font w:name="ＭＳ ゴシック">
    <w:panose1 w:val="00000000000000000000"/>
    <w:charset w:val="80"/>
    <w:family w:val="modern"/>
    <w:notTrueType/>
    <w:pitch w:val="fixed"/>
    <w:sig w:csb0="00020000" w:csb1="00000000" w:usb0="00000001" w:usb1="08070000" w:usb2="00000010" w:usb3="00000000"/>
  </w:font>
  <w:font w:name="Consolas">
    <w:panose1 w:val="020B0609020204030204"/>
    <w:charset w:val="00"/>
    <w:family w:val="auto"/>
    <w:pitch w:val="variable"/>
    <w:sig w:csb0="0000019F" w:csb1="00000000" w:usb0="E10002FF" w:usb1="4000FCFF" w:usb2="00000009" w:usb3="00000000"/>
  </w:font>
  <w:font w:name="Arial">
    <w:panose1 w:val="020B0604020202020204"/>
    <w:charset w:val="00"/>
    <w:family w:val="auto"/>
    <w:pitch w:val="variable"/>
    <w:sig w:csb0="00000001" w:csb1="00000000" w:usb0="00000003" w:usb1="00000000" w:usb2="00000000" w:usb3="00000000"/>
  </w:font>
</w:fonts>
</file>

<file path=word/footer1.xml><?xml version="1.0" encoding="utf-8"?>
<w:ftr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p>
    <w:pPr>
      <w:framePr w:hAnchor="margin" w:vAnchor="text" w:wrap="around" w:xAlign="center" w:y="1"/>
    </w:pPr>
    <w:r>
      <w:fldChar w:fldCharType="begin"/>
    </w:r>
    <w:r>
      <w:instrText xml:space="preserve">PAGE </w:instrText>
    </w:r>
    <w:r>
      <w:fldChar w:fldCharType="separate"/>
    </w:r>
    <w:r>
      <w:fldChar w:fldCharType="end"/>
    </w:r>
  </w:p>
  <w:p w14:paraId="01000000">
    <w:pPr>
      <w:pStyle w:val="Style_1"/>
      <w:ind/>
      <w:jc w:val="center"/>
    </w:pPr>
  </w:p>
  <w:p w14:paraId="02000000">
    <w:pPr>
      <w:pStyle w:val="Style_1"/>
    </w:pPr>
  </w:p>
</w:ftr>
</file>

<file path=word/footnotes.xml><?xml version="1.0" encoding="utf-8"?>
<w:footnot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footnote w:id="-1" w:type="separator">
    <w:p>
      <w:r>
        <w:separator/>
      </w:r>
    </w:p>
  </w:footnote>
  <w:footnote w:id="0" w:type="continuationSeparator">
    <w:p>
      <w:r>
        <w:continuationSeparator/>
      </w:r>
    </w:p>
  </w:footnote>
  <w:footnote w:id="1">
    <w:p w14:paraId="56040000">
      <w:pPr>
        <w:pStyle w:val="Style_28"/>
        <w:ind w:firstLine="709" w:left="0"/>
      </w:pPr>
      <w:r>
        <w:rPr>
          <w:vertAlign w:val="superscript"/>
        </w:rPr>
        <w:footnoteRef/>
      </w:r>
      <w:r>
        <w:rPr>
          <w:rFonts w:ascii="Times New Roman" w:hAnsi="Times New Roman"/>
          <w:sz w:val="24"/>
        </w:rPr>
        <w:t xml:space="preserve"> Гражданский кодекс Российской Федерации (часть вторая) от 26.01.1996 № 14-ФЗ (ред. от 09.03.2021, с изм. от 09.03.2021) /  [Электронный ресурс]  URL: http://www.consultant.ru/document/cons_doc_LAW_9027/ (дата обращения: 03.02.2026).</w:t>
      </w:r>
    </w:p>
  </w:footnote>
  <w:footnote w:id="2">
    <w:p w14:paraId="57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Толчинская</w:t>
      </w:r>
      <w:r>
        <w:rPr>
          <w:rFonts w:ascii="Times New Roman" w:hAnsi="Times New Roman"/>
          <w:color w:themeColor="text1" w:val="000000"/>
          <w:sz w:val="24"/>
        </w:rPr>
        <w:t xml:space="preserve">, М.Н. Современные инструменты управления дебиторской и кредиторской задолженностью [Текст] / М.Н. </w:t>
      </w:r>
      <w:r>
        <w:rPr>
          <w:rFonts w:ascii="Times New Roman" w:hAnsi="Times New Roman"/>
          <w:color w:themeColor="text1" w:val="000000"/>
          <w:sz w:val="24"/>
        </w:rPr>
        <w:t>Толчинская</w:t>
      </w:r>
      <w:r>
        <w:rPr>
          <w:rFonts w:ascii="Times New Roman" w:hAnsi="Times New Roman"/>
          <w:color w:themeColor="text1" w:val="000000"/>
          <w:sz w:val="24"/>
        </w:rPr>
        <w:t xml:space="preserve"> // Вопросы устойчивого развития общества. -  2021. -  № 4. -  С. 245-251.</w:t>
      </w:r>
    </w:p>
    <w:p w14:paraId="58040000">
      <w:pPr>
        <w:pStyle w:val="Style_28"/>
      </w:pPr>
    </w:p>
  </w:footnote>
  <w:footnote w:id="3">
    <w:p w14:paraId="59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Нестерова, И.А. Экономическая сущность, виды и классификация дебиторской и кредиторской задолженности [Текст] / И.А. Нестерова, В.В. Малая // Деловой вестник предпринимателя. -  2021. -   № 2 (4). -  С. 63-65.</w:t>
      </w:r>
    </w:p>
  </w:footnote>
  <w:footnote w:id="4">
    <w:p w14:paraId="5A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Курищев</w:t>
      </w:r>
      <w:r>
        <w:rPr>
          <w:rFonts w:ascii="Times New Roman" w:hAnsi="Times New Roman"/>
          <w:color w:themeColor="text1" w:val="000000"/>
          <w:sz w:val="24"/>
        </w:rPr>
        <w:t xml:space="preserve">, Р.В. Особенности управления дебиторской и кредиторской задолженностью [Текст] / Р.В. </w:t>
      </w:r>
      <w:r>
        <w:rPr>
          <w:rFonts w:ascii="Times New Roman" w:hAnsi="Times New Roman"/>
          <w:color w:themeColor="text1" w:val="000000"/>
          <w:sz w:val="24"/>
        </w:rPr>
        <w:t>Курищев</w:t>
      </w:r>
      <w:r>
        <w:rPr>
          <w:rFonts w:ascii="Times New Roman" w:hAnsi="Times New Roman"/>
          <w:color w:themeColor="text1" w:val="000000"/>
          <w:sz w:val="24"/>
        </w:rPr>
        <w:t xml:space="preserve"> // Economics. -  2021. -  № 1 (48). -  С. 45-47.</w:t>
      </w:r>
    </w:p>
  </w:footnote>
  <w:footnote w:id="5">
    <w:p w14:paraId="5B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Войтоловский</w:t>
      </w:r>
      <w:r>
        <w:rPr>
          <w:rFonts w:ascii="Times New Roman" w:hAnsi="Times New Roman"/>
          <w:color w:themeColor="text1" w:val="000000"/>
          <w:sz w:val="24"/>
        </w:rPr>
        <w:t xml:space="preserve">,  А.П. Экономический анализ в 2 ч. Часть 2.  : учебник для вузов [Текст] / Н. В. </w:t>
      </w:r>
      <w:r>
        <w:rPr>
          <w:rFonts w:ascii="Times New Roman" w:hAnsi="Times New Roman"/>
          <w:color w:themeColor="text1" w:val="000000"/>
          <w:sz w:val="24"/>
        </w:rPr>
        <w:t>Войтоловский</w:t>
      </w:r>
      <w:r>
        <w:rPr>
          <w:rFonts w:ascii="Times New Roman" w:hAnsi="Times New Roman"/>
          <w:color w:themeColor="text1" w:val="000000"/>
          <w:sz w:val="24"/>
        </w:rPr>
        <w:t xml:space="preserve"> [и др.] ; под редакцией Н. В. </w:t>
      </w:r>
      <w:r>
        <w:rPr>
          <w:rFonts w:ascii="Times New Roman" w:hAnsi="Times New Roman"/>
          <w:color w:themeColor="text1" w:val="000000"/>
          <w:sz w:val="24"/>
        </w:rPr>
        <w:t>Войтоловского</w:t>
      </w:r>
      <w:r>
        <w:rPr>
          <w:rFonts w:ascii="Times New Roman" w:hAnsi="Times New Roman"/>
          <w:color w:themeColor="text1" w:val="000000"/>
          <w:sz w:val="24"/>
        </w:rPr>
        <w:t xml:space="preserve">, А. П. Калининой, И. И. Мазуровой. -  7-е изд., </w:t>
      </w:r>
      <w:r>
        <w:rPr>
          <w:rFonts w:ascii="Times New Roman" w:hAnsi="Times New Roman"/>
          <w:color w:themeColor="text1" w:val="000000"/>
          <w:sz w:val="24"/>
        </w:rPr>
        <w:t>перераб</w:t>
      </w:r>
      <w:r>
        <w:rPr>
          <w:rFonts w:ascii="Times New Roman" w:hAnsi="Times New Roman"/>
          <w:color w:themeColor="text1" w:val="000000"/>
          <w:sz w:val="24"/>
        </w:rPr>
        <w:t>.</w:t>
      </w:r>
      <w:r>
        <w:rPr>
          <w:rFonts w:ascii="Times New Roman" w:hAnsi="Times New Roman"/>
          <w:color w:themeColor="text1" w:val="000000"/>
          <w:sz w:val="24"/>
        </w:rPr>
        <w:t xml:space="preserve"> и доп. </w:t>
      </w:r>
      <w:r>
        <w:rPr>
          <w:rFonts w:ascii="Times New Roman" w:hAnsi="Times New Roman"/>
          <w:color w:themeColor="text1" w:val="000000"/>
          <w:sz w:val="24"/>
        </w:rPr>
        <w:t>-  Москва</w:t>
      </w:r>
      <w:r>
        <w:rPr>
          <w:rFonts w:ascii="Times New Roman" w:hAnsi="Times New Roman"/>
          <w:color w:themeColor="text1" w:val="000000"/>
          <w:sz w:val="24"/>
        </w:rPr>
        <w:t xml:space="preserve"> : Издательство </w:t>
      </w:r>
      <w:r>
        <w:rPr>
          <w:rFonts w:ascii="Times New Roman" w:hAnsi="Times New Roman"/>
          <w:color w:themeColor="text1" w:val="000000"/>
          <w:sz w:val="24"/>
        </w:rPr>
        <w:t>Юрайт</w:t>
      </w:r>
      <w:r>
        <w:rPr>
          <w:rFonts w:ascii="Times New Roman" w:hAnsi="Times New Roman"/>
          <w:color w:themeColor="text1" w:val="000000"/>
          <w:sz w:val="24"/>
        </w:rPr>
        <w:t>. -  2021. -  302 с.</w:t>
      </w:r>
    </w:p>
  </w:footnote>
  <w:footnote w:id="6">
    <w:p w14:paraId="5C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Башкатов, В.В. Дебиторская и кредиторская задолженность: понятие, нормативное регулирование и отражение в бухгалтерском балансе [Текст]  / В.В. Башкатов // Деловой вестник предпринимателя. -  2021. -  № 2 (4). -  С. 12-16.</w:t>
      </w:r>
    </w:p>
  </w:footnote>
  <w:footnote w:id="7">
    <w:p w14:paraId="5D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 xml:space="preserve">Агеева, О. А.  Бухгалтерский учет и анализ в 2 ч. Часть 2. Экономический анализ : учебник для вузов [Текст] / О. А. Агеева, Л. С. Шахматова. -  Москва : Издательство </w:t>
      </w:r>
      <w:r>
        <w:rPr>
          <w:rFonts w:ascii="Times New Roman" w:hAnsi="Times New Roman"/>
          <w:color w:themeColor="text1" w:val="000000"/>
          <w:sz w:val="24"/>
        </w:rPr>
        <w:t>Юрайт</w:t>
      </w:r>
      <w:r>
        <w:rPr>
          <w:rFonts w:ascii="Times New Roman" w:hAnsi="Times New Roman"/>
          <w:color w:themeColor="text1" w:val="000000"/>
          <w:sz w:val="24"/>
        </w:rPr>
        <w:t>, 2021. -  240 с.</w:t>
      </w:r>
    </w:p>
  </w:footnote>
  <w:footnote w:id="8">
    <w:p w14:paraId="5E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Магомедова, Т.И. Дебиторская и кредиторская задолженность корпорации и направления их оптимизации [Текст] / Т.И. Магомедова // Научные исследования XXI века. -  2021. -  № 1 (9). -  С. 228-231.</w:t>
      </w:r>
    </w:p>
  </w:footnote>
  <w:footnote w:id="9">
    <w:p w14:paraId="5F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 xml:space="preserve">Еремина, Н. В. Учет дебиторской задолженности в современных целях [Текст] / Н. В. Еремина, В. И. Скрипко, Ю. С. Соболева // Информационное обеспечение эффективного управления деятельностью экономических субъектов: материалы VII </w:t>
      </w:r>
      <w:r>
        <w:rPr>
          <w:rFonts w:ascii="Times New Roman" w:hAnsi="Times New Roman"/>
          <w:color w:themeColor="text1" w:val="000000"/>
          <w:sz w:val="24"/>
        </w:rPr>
        <w:t>междунар</w:t>
      </w:r>
      <w:r>
        <w:rPr>
          <w:rFonts w:ascii="Times New Roman" w:hAnsi="Times New Roman"/>
          <w:color w:themeColor="text1" w:val="000000"/>
          <w:sz w:val="24"/>
        </w:rPr>
        <w:t xml:space="preserve">. науч. </w:t>
      </w:r>
      <w:r>
        <w:rPr>
          <w:rFonts w:ascii="Times New Roman" w:hAnsi="Times New Roman"/>
          <w:color w:themeColor="text1" w:val="000000"/>
          <w:sz w:val="24"/>
        </w:rPr>
        <w:t>конф</w:t>
      </w:r>
      <w:r>
        <w:rPr>
          <w:rFonts w:ascii="Times New Roman" w:hAnsi="Times New Roman"/>
          <w:color w:themeColor="text1" w:val="000000"/>
          <w:sz w:val="24"/>
        </w:rPr>
        <w:t xml:space="preserve">. (г. Краснодар, 20-21 апр. 2017 г.) – Майкоп: Изд-во ИП </w:t>
      </w:r>
      <w:r>
        <w:rPr>
          <w:rFonts w:ascii="Times New Roman" w:hAnsi="Times New Roman"/>
          <w:color w:themeColor="text1" w:val="000000"/>
          <w:sz w:val="24"/>
        </w:rPr>
        <w:t>Магарин</w:t>
      </w:r>
      <w:r>
        <w:rPr>
          <w:rFonts w:ascii="Times New Roman" w:hAnsi="Times New Roman"/>
          <w:color w:themeColor="text1" w:val="000000"/>
          <w:sz w:val="24"/>
        </w:rPr>
        <w:t xml:space="preserve"> О. Г. -  2017. – C. 98-104.</w:t>
      </w:r>
    </w:p>
  </w:footnote>
  <w:footnote w:id="10">
    <w:p w14:paraId="60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Ефимова, Н.А. Инструменты управления дебиторской и кредиторской задолженностью современного предприятия [Текст] / Н.А. Ефимова // Экономика и управление: научно-практический журнал. -  2021. -  № 1 (157). -  С. 81-84.</w:t>
      </w:r>
    </w:p>
    <w:p w14:paraId="61040000">
      <w:pPr>
        <w:pStyle w:val="Style_28"/>
      </w:pPr>
    </w:p>
  </w:footnote>
  <w:footnote w:id="11">
    <w:p w14:paraId="62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Войтоловский</w:t>
      </w:r>
      <w:r>
        <w:rPr>
          <w:rFonts w:ascii="Times New Roman" w:hAnsi="Times New Roman"/>
          <w:color w:themeColor="text1" w:val="000000"/>
          <w:sz w:val="24"/>
        </w:rPr>
        <w:t xml:space="preserve">,  А.П. Экономический анализ в 2 ч. Часть 2.  : учебник для вузов [Текст] / Н. В. </w:t>
      </w:r>
      <w:r>
        <w:rPr>
          <w:rFonts w:ascii="Times New Roman" w:hAnsi="Times New Roman"/>
          <w:color w:themeColor="text1" w:val="000000"/>
          <w:sz w:val="24"/>
        </w:rPr>
        <w:t>Войтоловский</w:t>
      </w:r>
      <w:r>
        <w:rPr>
          <w:rFonts w:ascii="Times New Roman" w:hAnsi="Times New Roman"/>
          <w:color w:themeColor="text1" w:val="000000"/>
          <w:sz w:val="24"/>
        </w:rPr>
        <w:t xml:space="preserve"> [и др.] ; под редакцией Н. В. </w:t>
      </w:r>
      <w:r>
        <w:rPr>
          <w:rFonts w:ascii="Times New Roman" w:hAnsi="Times New Roman"/>
          <w:color w:themeColor="text1" w:val="000000"/>
          <w:sz w:val="24"/>
        </w:rPr>
        <w:t>Войтоловского</w:t>
      </w:r>
      <w:r>
        <w:rPr>
          <w:rFonts w:ascii="Times New Roman" w:hAnsi="Times New Roman"/>
          <w:color w:themeColor="text1" w:val="000000"/>
          <w:sz w:val="24"/>
        </w:rPr>
        <w:t xml:space="preserve">, А. П. Калининой, И. И. Мазуровой. -  7-е изд., </w:t>
      </w:r>
      <w:r>
        <w:rPr>
          <w:rFonts w:ascii="Times New Roman" w:hAnsi="Times New Roman"/>
          <w:color w:themeColor="text1" w:val="000000"/>
          <w:sz w:val="24"/>
        </w:rPr>
        <w:t>перераб</w:t>
      </w:r>
      <w:r>
        <w:rPr>
          <w:rFonts w:ascii="Times New Roman" w:hAnsi="Times New Roman"/>
          <w:color w:themeColor="text1" w:val="000000"/>
          <w:sz w:val="24"/>
        </w:rPr>
        <w:t>.</w:t>
      </w:r>
      <w:r>
        <w:rPr>
          <w:rFonts w:ascii="Times New Roman" w:hAnsi="Times New Roman"/>
          <w:color w:themeColor="text1" w:val="000000"/>
          <w:sz w:val="24"/>
        </w:rPr>
        <w:t xml:space="preserve"> и доп. </w:t>
      </w:r>
      <w:r>
        <w:rPr>
          <w:rFonts w:ascii="Times New Roman" w:hAnsi="Times New Roman"/>
          <w:color w:themeColor="text1" w:val="000000"/>
          <w:sz w:val="24"/>
        </w:rPr>
        <w:t>-  Москва</w:t>
      </w:r>
      <w:r>
        <w:rPr>
          <w:rFonts w:ascii="Times New Roman" w:hAnsi="Times New Roman"/>
          <w:color w:themeColor="text1" w:val="000000"/>
          <w:sz w:val="24"/>
        </w:rPr>
        <w:t xml:space="preserve"> : Издательство </w:t>
      </w:r>
      <w:r>
        <w:rPr>
          <w:rFonts w:ascii="Times New Roman" w:hAnsi="Times New Roman"/>
          <w:color w:themeColor="text1" w:val="000000"/>
          <w:sz w:val="24"/>
        </w:rPr>
        <w:t>Юрайт</w:t>
      </w:r>
      <w:r>
        <w:rPr>
          <w:rFonts w:ascii="Times New Roman" w:hAnsi="Times New Roman"/>
          <w:color w:themeColor="text1" w:val="000000"/>
          <w:sz w:val="24"/>
        </w:rPr>
        <w:t>. -  2021. -  302 с.</w:t>
      </w:r>
    </w:p>
  </w:footnote>
  <w:footnote w:id="12">
    <w:p w14:paraId="63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 xml:space="preserve">Агеева, О. А.  Бухгалтерский учет и анализ в 2 ч. Часть 2. Экономический анализ : учебник для вузов [Текст] / О. А. Агеева, Л. С. Шахматова. -  Москва : Издательство </w:t>
      </w:r>
      <w:r>
        <w:rPr>
          <w:rFonts w:ascii="Times New Roman" w:hAnsi="Times New Roman"/>
          <w:color w:themeColor="text1" w:val="000000"/>
          <w:sz w:val="24"/>
        </w:rPr>
        <w:t>Юрайт</w:t>
      </w:r>
      <w:r>
        <w:rPr>
          <w:rFonts w:ascii="Times New Roman" w:hAnsi="Times New Roman"/>
          <w:color w:themeColor="text1" w:val="000000"/>
          <w:sz w:val="24"/>
        </w:rPr>
        <w:t>, 2021. -  240 с.</w:t>
      </w:r>
    </w:p>
    <w:p w14:paraId="64040000">
      <w:pPr>
        <w:pStyle w:val="Style_28"/>
      </w:pPr>
    </w:p>
  </w:footnote>
  <w:footnote w:id="13">
    <w:p w14:paraId="65040000">
      <w:pPr>
        <w:pStyle w:val="Style_28"/>
      </w:pPr>
      <w:r>
        <w:rPr>
          <w:vertAlign w:val="superscript"/>
        </w:rPr>
        <w:footnoteRef/>
      </w:r>
      <w:r>
        <w:rPr>
          <w:rFonts w:ascii="Times New Roman" w:hAnsi="Times New Roman"/>
          <w:sz w:val="24"/>
        </w:rPr>
        <w:t xml:space="preserve"> </w:t>
      </w:r>
      <w:r>
        <w:rPr>
          <w:rFonts w:ascii="Times New Roman" w:hAnsi="Times New Roman"/>
          <w:color w:themeColor="text1" w:val="000000"/>
          <w:sz w:val="24"/>
        </w:rPr>
        <w:t xml:space="preserve">Налоговый кодекс Российской Федерации (часть первая) от 31.07.1998 № 146-ФЗ (ред. от 02.07.2021) (с изм. и доп., </w:t>
      </w:r>
      <w:r>
        <w:rPr>
          <w:rFonts w:ascii="Times New Roman" w:hAnsi="Times New Roman"/>
          <w:color w:themeColor="text1" w:val="000000"/>
          <w:sz w:val="24"/>
        </w:rPr>
        <w:t>вступ</w:t>
      </w:r>
      <w:r>
        <w:rPr>
          <w:rFonts w:ascii="Times New Roman" w:hAnsi="Times New Roman"/>
          <w:color w:themeColor="text1" w:val="000000"/>
          <w:sz w:val="24"/>
        </w:rPr>
        <w:t>, в силу с 02.02.2026) /  [Электронный ресурс]  URL: http://www.consultant.ru/document/cons_doc_LAW_28165/ (дата обращения: 02.02.2026</w:t>
      </w:r>
    </w:p>
  </w:footnote>
  <w:footnote w:id="14">
    <w:p w14:paraId="66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Приказ Минфина РФ от 31.10.2000 N 94н (ред. от 08.11.2010) «Об утверждении Плана счетов бухгалтерского учета финансово-хозяйственной деятельности организаций и Инструкции по его применению» /  [Электронный ресурс]  URL: http://www.consultant.ru/document/cons_doc_LAW_29165/ (дата обращения: 03.02.2026).</w:t>
      </w:r>
    </w:p>
  </w:footnote>
  <w:footnote w:id="15">
    <w:p w14:paraId="67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Войтоловский</w:t>
      </w:r>
      <w:r>
        <w:rPr>
          <w:rFonts w:ascii="Times New Roman" w:hAnsi="Times New Roman"/>
          <w:color w:themeColor="text1" w:val="000000"/>
          <w:sz w:val="24"/>
        </w:rPr>
        <w:t xml:space="preserve">,  А.П. Экономический анализ в 2 ч. Часть 2.  : учебник для вузов [Текст] / Н. В. </w:t>
      </w:r>
      <w:r>
        <w:rPr>
          <w:rFonts w:ascii="Times New Roman" w:hAnsi="Times New Roman"/>
          <w:color w:themeColor="text1" w:val="000000"/>
          <w:sz w:val="24"/>
        </w:rPr>
        <w:t>Войтоловский</w:t>
      </w:r>
      <w:r>
        <w:rPr>
          <w:rFonts w:ascii="Times New Roman" w:hAnsi="Times New Roman"/>
          <w:color w:themeColor="text1" w:val="000000"/>
          <w:sz w:val="24"/>
        </w:rPr>
        <w:t xml:space="preserve"> [и др.] ; под редакцией Н. В. </w:t>
      </w:r>
      <w:r>
        <w:rPr>
          <w:rFonts w:ascii="Times New Roman" w:hAnsi="Times New Roman"/>
          <w:color w:themeColor="text1" w:val="000000"/>
          <w:sz w:val="24"/>
        </w:rPr>
        <w:t>Войтоловского</w:t>
      </w:r>
      <w:r>
        <w:rPr>
          <w:rFonts w:ascii="Times New Roman" w:hAnsi="Times New Roman"/>
          <w:color w:themeColor="text1" w:val="000000"/>
          <w:sz w:val="24"/>
        </w:rPr>
        <w:t xml:space="preserve">, А. П. Калининой, И. И. Мазуровой. -  7-е изд., </w:t>
      </w:r>
      <w:r>
        <w:rPr>
          <w:rFonts w:ascii="Times New Roman" w:hAnsi="Times New Roman"/>
          <w:color w:themeColor="text1" w:val="000000"/>
          <w:sz w:val="24"/>
        </w:rPr>
        <w:t>перераб</w:t>
      </w:r>
      <w:r>
        <w:rPr>
          <w:rFonts w:ascii="Times New Roman" w:hAnsi="Times New Roman"/>
          <w:color w:themeColor="text1" w:val="000000"/>
          <w:sz w:val="24"/>
        </w:rPr>
        <w:t>.</w:t>
      </w:r>
      <w:r>
        <w:rPr>
          <w:rFonts w:ascii="Times New Roman" w:hAnsi="Times New Roman"/>
          <w:color w:themeColor="text1" w:val="000000"/>
          <w:sz w:val="24"/>
        </w:rPr>
        <w:t xml:space="preserve"> и доп. </w:t>
      </w:r>
      <w:r>
        <w:rPr>
          <w:rFonts w:ascii="Times New Roman" w:hAnsi="Times New Roman"/>
          <w:color w:themeColor="text1" w:val="000000"/>
          <w:sz w:val="24"/>
        </w:rPr>
        <w:t>-  Москва</w:t>
      </w:r>
      <w:r>
        <w:rPr>
          <w:rFonts w:ascii="Times New Roman" w:hAnsi="Times New Roman"/>
          <w:color w:themeColor="text1" w:val="000000"/>
          <w:sz w:val="24"/>
        </w:rPr>
        <w:t xml:space="preserve"> : Издательство </w:t>
      </w:r>
      <w:r>
        <w:rPr>
          <w:rFonts w:ascii="Times New Roman" w:hAnsi="Times New Roman"/>
          <w:color w:themeColor="text1" w:val="000000"/>
          <w:sz w:val="24"/>
        </w:rPr>
        <w:t>Юрайт</w:t>
      </w:r>
      <w:r>
        <w:rPr>
          <w:rFonts w:ascii="Times New Roman" w:hAnsi="Times New Roman"/>
          <w:color w:themeColor="text1" w:val="000000"/>
          <w:sz w:val="24"/>
        </w:rPr>
        <w:t>. -  2021. -  302 с.</w:t>
      </w:r>
    </w:p>
    <w:p w14:paraId="68040000">
      <w:pPr>
        <w:pStyle w:val="Style_28"/>
      </w:pPr>
    </w:p>
  </w:footnote>
  <w:footnote w:id="16">
    <w:p w14:paraId="69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Ефимова, Н.А. Инструменты управления дебиторской и кредиторской задолженностью современного предприятия [Текст] / Н.А. Ефимова // Экономика и управление: научно-практический журнал. -  2021. -  № 1 (157). -  С. 81-84.</w:t>
      </w:r>
    </w:p>
    <w:p w14:paraId="6A040000">
      <w:pPr>
        <w:pStyle w:val="Style_28"/>
      </w:pPr>
    </w:p>
  </w:footnote>
  <w:footnote w:id="17">
    <w:p w14:paraId="6B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Ефимова, Н.А. Инструменты управления дебиторской и кредиторской задолженностью современного предприятия [Текст] / Н.А. Ефимова // Экономика и управление: научно-практический журнал. -  2021. -  № 1 (157). -  С. 81-84.</w:t>
      </w:r>
    </w:p>
    <w:p w14:paraId="6C040000">
      <w:pPr>
        <w:pStyle w:val="Style_28"/>
      </w:pPr>
    </w:p>
  </w:footnote>
  <w:footnote w:id="18">
    <w:p w14:paraId="6D040000">
      <w:pPr>
        <w:spacing w:after="0" w:line="240" w:lineRule="auto"/>
        <w:ind w:firstLine="709" w:left="0"/>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Войтоловский</w:t>
      </w:r>
      <w:r>
        <w:rPr>
          <w:rFonts w:ascii="Times New Roman" w:hAnsi="Times New Roman"/>
          <w:color w:themeColor="text1" w:val="000000"/>
          <w:sz w:val="24"/>
        </w:rPr>
        <w:t>,  А.П. Экономический анализ в 2 ч. Часть 2.  : учебник для вузов [Текст] / Н. В. Войтоловский [и др.] ; под редакцией Н. В. Войтоловского, А. П. Калининой, И. И. Мазуровой. — 7-е изд., перераб</w:t>
      </w:r>
      <w:r>
        <w:rPr>
          <w:rFonts w:ascii="Times New Roman" w:hAnsi="Times New Roman"/>
          <w:color w:themeColor="text1" w:val="000000"/>
          <w:sz w:val="24"/>
        </w:rPr>
        <w:t>.</w:t>
      </w:r>
      <w:r>
        <w:rPr>
          <w:rFonts w:ascii="Times New Roman" w:hAnsi="Times New Roman"/>
          <w:color w:themeColor="text1" w:val="000000"/>
          <w:sz w:val="24"/>
        </w:rPr>
        <w:t xml:space="preserve"> и доп. — </w:t>
      </w:r>
      <w:r>
        <w:rPr>
          <w:rFonts w:ascii="Times New Roman" w:hAnsi="Times New Roman"/>
          <w:color w:themeColor="text1" w:val="000000"/>
          <w:sz w:val="24"/>
        </w:rPr>
        <w:t>Москва :</w:t>
      </w:r>
      <w:r>
        <w:rPr>
          <w:rFonts w:ascii="Times New Roman" w:hAnsi="Times New Roman"/>
          <w:color w:themeColor="text1" w:val="000000"/>
          <w:sz w:val="24"/>
        </w:rPr>
        <w:t xml:space="preserve"> Издательство Юрайт. — 2021. — 302 с.</w:t>
      </w:r>
    </w:p>
    <w:p w14:paraId="6E040000">
      <w:pPr>
        <w:pStyle w:val="Style_28"/>
        <w:ind w:firstLine="709" w:left="0"/>
      </w:pPr>
    </w:p>
  </w:footnote>
  <w:footnote w:id="19">
    <w:p w14:paraId="6F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Тарасова, И.В. Организация учета и контроля дебиторской задолженности [Текст] / И.В. Тарасова // Вестник образовательного консорциума Среднерусский университет. Серия: Экономика и управление. – 2019. – № 10. – С. 72-73.</w:t>
      </w:r>
    </w:p>
    <w:p w14:paraId="70040000">
      <w:pPr>
        <w:pStyle w:val="Style_28"/>
      </w:pPr>
    </w:p>
  </w:footnote>
  <w:footnote w:id="20">
    <w:p w14:paraId="71040000">
      <w:pPr>
        <w:spacing w:after="0" w:line="36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Минаева, С.С. Дебиторская и кредиторская задолженность: направления оптимизации [Текст] / С.С. Минаева // Экономика и бизнес: теория и практика. -  2020. -  № 12-2 (70). -  С. 128-131.</w:t>
      </w:r>
    </w:p>
    <w:p w14:paraId="72040000">
      <w:pPr>
        <w:pStyle w:val="Style_28"/>
      </w:pPr>
    </w:p>
  </w:footnote>
  <w:footnote w:id="21">
    <w:p w14:paraId="73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Торкунова, О.В. Классификация и основные признаки управления дебиторской и кредиторской задолженностью [Текст] / О.В. Торкунова // Трибуна ученого. -  2021. -  № 4. -  С. 326-334.</w:t>
      </w:r>
    </w:p>
    <w:p w14:paraId="74040000">
      <w:pPr>
        <w:pStyle w:val="Style_28"/>
      </w:pPr>
    </w:p>
  </w:footnote>
  <w:footnote w:id="22">
    <w:p w14:paraId="75040000">
      <w:pPr>
        <w:spacing w:after="0" w:line="360" w:lineRule="auto"/>
        <w:ind/>
        <w:jc w:val="both"/>
      </w:pPr>
      <w:r>
        <w:rPr>
          <w:vertAlign w:val="superscript"/>
        </w:rPr>
        <w:footnoteRef/>
      </w:r>
      <w:r>
        <w:t xml:space="preserve"> </w:t>
      </w:r>
      <w:r>
        <w:rPr>
          <w:rFonts w:ascii="Times New Roman" w:hAnsi="Times New Roman"/>
          <w:color w:themeColor="text1" w:val="000000"/>
          <w:sz w:val="28"/>
        </w:rPr>
        <w:t>Нормова</w:t>
      </w:r>
      <w:r>
        <w:rPr>
          <w:rFonts w:ascii="Times New Roman" w:hAnsi="Times New Roman"/>
          <w:color w:themeColor="text1" w:val="000000"/>
          <w:sz w:val="28"/>
        </w:rPr>
        <w:t>, Т.А. Влияние дебиторской и кредиторской задолженности на финансовое положение сельскохозяйственной организации [</w:t>
      </w:r>
      <w:r>
        <w:rPr>
          <w:rFonts w:ascii="Times New Roman" w:hAnsi="Times New Roman"/>
          <w:color w:themeColor="text1" w:val="000000"/>
          <w:sz w:val="28"/>
        </w:rPr>
        <w:t>Текст]  /</w:t>
      </w:r>
      <w:r>
        <w:rPr>
          <w:rFonts w:ascii="Times New Roman" w:hAnsi="Times New Roman"/>
          <w:color w:themeColor="text1" w:val="000000"/>
          <w:sz w:val="28"/>
        </w:rPr>
        <w:t xml:space="preserve"> </w:t>
      </w:r>
      <w:r>
        <w:rPr>
          <w:rFonts w:ascii="Times New Roman" w:hAnsi="Times New Roman"/>
          <w:color w:themeColor="text1" w:val="000000"/>
          <w:sz w:val="28"/>
        </w:rPr>
        <w:t>Нормова</w:t>
      </w:r>
      <w:r>
        <w:rPr>
          <w:rFonts w:ascii="Times New Roman" w:hAnsi="Times New Roman"/>
          <w:color w:themeColor="text1" w:val="000000"/>
          <w:sz w:val="28"/>
        </w:rPr>
        <w:t xml:space="preserve"> </w:t>
      </w:r>
      <w:r>
        <w:rPr>
          <w:rFonts w:ascii="Times New Roman" w:hAnsi="Times New Roman"/>
          <w:color w:themeColor="text1" w:val="000000"/>
          <w:sz w:val="28"/>
        </w:rPr>
        <w:t>Т.А.</w:t>
      </w:r>
      <w:r>
        <w:rPr>
          <w:rFonts w:ascii="Times New Roman" w:hAnsi="Times New Roman"/>
          <w:color w:themeColor="text1" w:val="000000"/>
          <w:sz w:val="28"/>
        </w:rPr>
        <w:t xml:space="preserve">, Псалом Я.Г., </w:t>
      </w:r>
      <w:r>
        <w:rPr>
          <w:rFonts w:ascii="Times New Roman" w:hAnsi="Times New Roman"/>
          <w:color w:themeColor="text1" w:val="000000"/>
          <w:sz w:val="28"/>
        </w:rPr>
        <w:t>Бурносова</w:t>
      </w:r>
      <w:r>
        <w:rPr>
          <w:rFonts w:ascii="Times New Roman" w:hAnsi="Times New Roman"/>
          <w:color w:themeColor="text1" w:val="000000"/>
          <w:sz w:val="28"/>
        </w:rPr>
        <w:t xml:space="preserve"> </w:t>
      </w:r>
      <w:r>
        <w:rPr>
          <w:rFonts w:ascii="Times New Roman" w:hAnsi="Times New Roman"/>
          <w:color w:themeColor="text1" w:val="000000"/>
          <w:sz w:val="28"/>
        </w:rPr>
        <w:t>В.В.</w:t>
      </w:r>
      <w:r>
        <w:rPr>
          <w:rFonts w:ascii="Times New Roman" w:hAnsi="Times New Roman"/>
          <w:color w:themeColor="text1" w:val="000000"/>
          <w:sz w:val="28"/>
        </w:rPr>
        <w:t xml:space="preserve">, </w:t>
      </w:r>
      <w:r>
        <w:rPr>
          <w:rFonts w:ascii="Times New Roman" w:hAnsi="Times New Roman"/>
          <w:color w:themeColor="text1" w:val="000000"/>
          <w:sz w:val="28"/>
        </w:rPr>
        <w:t>Ждокова</w:t>
      </w:r>
      <w:r>
        <w:rPr>
          <w:rFonts w:ascii="Times New Roman" w:hAnsi="Times New Roman"/>
          <w:color w:themeColor="text1" w:val="000000"/>
          <w:sz w:val="28"/>
        </w:rPr>
        <w:t xml:space="preserve"> </w:t>
      </w:r>
      <w:r>
        <w:rPr>
          <w:rFonts w:ascii="Times New Roman" w:hAnsi="Times New Roman"/>
          <w:color w:themeColor="text1" w:val="000000"/>
          <w:sz w:val="28"/>
        </w:rPr>
        <w:t>Н.К.</w:t>
      </w:r>
      <w:r>
        <w:rPr>
          <w:rFonts w:ascii="Times New Roman" w:hAnsi="Times New Roman"/>
          <w:color w:themeColor="text1" w:val="000000"/>
          <w:sz w:val="28"/>
        </w:rPr>
        <w:t xml:space="preserve">, Солоха А.А. // Экономика и предпринимательство. -  2018. -  № 7 (96). -  С. </w:t>
      </w:r>
      <w:r>
        <w:rPr>
          <w:rFonts w:ascii="Times New Roman" w:hAnsi="Times New Roman"/>
          <w:color w:themeColor="text1" w:val="000000"/>
          <w:sz w:val="28"/>
        </w:rPr>
        <w:t>559-564</w:t>
      </w:r>
      <w:r>
        <w:rPr>
          <w:rFonts w:ascii="Times New Roman" w:hAnsi="Times New Roman"/>
          <w:color w:themeColor="text1" w:val="000000"/>
          <w:sz w:val="28"/>
        </w:rPr>
        <w:t>.</w:t>
      </w:r>
    </w:p>
    <w:p w14:paraId="76040000">
      <w:pPr>
        <w:pStyle w:val="Style_28"/>
      </w:pPr>
    </w:p>
  </w:footnote>
  <w:footnote w:id="23">
    <w:p w14:paraId="77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 xml:space="preserve">Тарасова, И.В. Организация учета и контроля дебиторской задолженности [Текст] / </w:t>
      </w:r>
      <w:r>
        <w:rPr>
          <w:rFonts w:ascii="Times New Roman" w:hAnsi="Times New Roman"/>
          <w:color w:themeColor="text1" w:val="000000"/>
          <w:sz w:val="24"/>
        </w:rPr>
        <w:t>И.В.</w:t>
      </w:r>
      <w:r>
        <w:rPr>
          <w:rFonts w:ascii="Times New Roman" w:hAnsi="Times New Roman"/>
          <w:color w:themeColor="text1" w:val="000000"/>
          <w:sz w:val="24"/>
        </w:rPr>
        <w:t xml:space="preserve"> Тарасова // Вестник образовательного консорциума Среднерусский университет. Серия: Экономика и управление. – 2019. – № 10. – С. </w:t>
      </w:r>
      <w:r>
        <w:rPr>
          <w:rFonts w:ascii="Times New Roman" w:hAnsi="Times New Roman"/>
          <w:color w:themeColor="text1" w:val="000000"/>
          <w:sz w:val="24"/>
        </w:rPr>
        <w:t>72-73</w:t>
      </w:r>
      <w:r>
        <w:rPr>
          <w:rFonts w:ascii="Times New Roman" w:hAnsi="Times New Roman"/>
          <w:color w:themeColor="text1" w:val="000000"/>
          <w:sz w:val="24"/>
        </w:rPr>
        <w:t>.</w:t>
      </w:r>
    </w:p>
  </w:footnote>
  <w:footnote w:id="24">
    <w:p w14:paraId="78040000">
      <w:pPr>
        <w:spacing w:after="0" w:line="360" w:lineRule="auto"/>
        <w:ind/>
        <w:jc w:val="both"/>
      </w:pPr>
      <w:r>
        <w:rPr>
          <w:vertAlign w:val="superscript"/>
        </w:rPr>
        <w:footnoteRef/>
      </w:r>
      <w:r>
        <w:t xml:space="preserve"> </w:t>
      </w:r>
      <w:r>
        <w:rPr>
          <w:rFonts w:ascii="Times New Roman" w:hAnsi="Times New Roman"/>
          <w:color w:themeColor="text1" w:val="000000"/>
          <w:sz w:val="28"/>
        </w:rPr>
        <w:t>Нормова</w:t>
      </w:r>
      <w:r>
        <w:rPr>
          <w:rFonts w:ascii="Times New Roman" w:hAnsi="Times New Roman"/>
          <w:color w:themeColor="text1" w:val="000000"/>
          <w:sz w:val="28"/>
        </w:rPr>
        <w:t>, Т.А. Влияние дебиторской и кредиторской задолженности на финансовое положение сельскохозяйственной организации [</w:t>
      </w:r>
      <w:r>
        <w:rPr>
          <w:rFonts w:ascii="Times New Roman" w:hAnsi="Times New Roman"/>
          <w:color w:themeColor="text1" w:val="000000"/>
          <w:sz w:val="28"/>
        </w:rPr>
        <w:t>Текст]  /</w:t>
      </w:r>
      <w:r>
        <w:rPr>
          <w:rFonts w:ascii="Times New Roman" w:hAnsi="Times New Roman"/>
          <w:color w:themeColor="text1" w:val="000000"/>
          <w:sz w:val="28"/>
        </w:rPr>
        <w:t xml:space="preserve"> </w:t>
      </w:r>
      <w:r>
        <w:rPr>
          <w:rFonts w:ascii="Times New Roman" w:hAnsi="Times New Roman"/>
          <w:color w:themeColor="text1" w:val="000000"/>
          <w:sz w:val="28"/>
        </w:rPr>
        <w:t>Нормова</w:t>
      </w:r>
      <w:r>
        <w:rPr>
          <w:rFonts w:ascii="Times New Roman" w:hAnsi="Times New Roman"/>
          <w:color w:themeColor="text1" w:val="000000"/>
          <w:sz w:val="28"/>
        </w:rPr>
        <w:t xml:space="preserve"> </w:t>
      </w:r>
      <w:r>
        <w:rPr>
          <w:rFonts w:ascii="Times New Roman" w:hAnsi="Times New Roman"/>
          <w:color w:themeColor="text1" w:val="000000"/>
          <w:sz w:val="28"/>
        </w:rPr>
        <w:t>Т.А.</w:t>
      </w:r>
      <w:r>
        <w:rPr>
          <w:rFonts w:ascii="Times New Roman" w:hAnsi="Times New Roman"/>
          <w:color w:themeColor="text1" w:val="000000"/>
          <w:sz w:val="28"/>
        </w:rPr>
        <w:t xml:space="preserve">, Псалом Я.Г., </w:t>
      </w:r>
      <w:r>
        <w:rPr>
          <w:rFonts w:ascii="Times New Roman" w:hAnsi="Times New Roman"/>
          <w:color w:themeColor="text1" w:val="000000"/>
          <w:sz w:val="28"/>
        </w:rPr>
        <w:t>Бурносова</w:t>
      </w:r>
      <w:r>
        <w:rPr>
          <w:rFonts w:ascii="Times New Roman" w:hAnsi="Times New Roman"/>
          <w:color w:themeColor="text1" w:val="000000"/>
          <w:sz w:val="28"/>
        </w:rPr>
        <w:t xml:space="preserve"> </w:t>
      </w:r>
      <w:r>
        <w:rPr>
          <w:rFonts w:ascii="Times New Roman" w:hAnsi="Times New Roman"/>
          <w:color w:themeColor="text1" w:val="000000"/>
          <w:sz w:val="28"/>
        </w:rPr>
        <w:t>В.В.</w:t>
      </w:r>
      <w:r>
        <w:rPr>
          <w:rFonts w:ascii="Times New Roman" w:hAnsi="Times New Roman"/>
          <w:color w:themeColor="text1" w:val="000000"/>
          <w:sz w:val="28"/>
        </w:rPr>
        <w:t xml:space="preserve">, </w:t>
      </w:r>
      <w:r>
        <w:rPr>
          <w:rFonts w:ascii="Times New Roman" w:hAnsi="Times New Roman"/>
          <w:color w:themeColor="text1" w:val="000000"/>
          <w:sz w:val="28"/>
        </w:rPr>
        <w:t>Ждокова</w:t>
      </w:r>
      <w:r>
        <w:rPr>
          <w:rFonts w:ascii="Times New Roman" w:hAnsi="Times New Roman"/>
          <w:color w:themeColor="text1" w:val="000000"/>
          <w:sz w:val="28"/>
        </w:rPr>
        <w:t xml:space="preserve"> </w:t>
      </w:r>
      <w:r>
        <w:rPr>
          <w:rFonts w:ascii="Times New Roman" w:hAnsi="Times New Roman"/>
          <w:color w:themeColor="text1" w:val="000000"/>
          <w:sz w:val="28"/>
        </w:rPr>
        <w:t>Н.К.</w:t>
      </w:r>
      <w:r>
        <w:rPr>
          <w:rFonts w:ascii="Times New Roman" w:hAnsi="Times New Roman"/>
          <w:color w:themeColor="text1" w:val="000000"/>
          <w:sz w:val="28"/>
        </w:rPr>
        <w:t xml:space="preserve">, Солоха А.А. // Экономика и предпринимательство. -  2018. -  № 7 (96). -  С. </w:t>
      </w:r>
      <w:r>
        <w:rPr>
          <w:rFonts w:ascii="Times New Roman" w:hAnsi="Times New Roman"/>
          <w:color w:themeColor="text1" w:val="000000"/>
          <w:sz w:val="28"/>
        </w:rPr>
        <w:t>559-564</w:t>
      </w:r>
      <w:r>
        <w:rPr>
          <w:rFonts w:ascii="Times New Roman" w:hAnsi="Times New Roman"/>
          <w:color w:themeColor="text1" w:val="000000"/>
          <w:sz w:val="28"/>
        </w:rPr>
        <w:t>.</w:t>
      </w:r>
    </w:p>
    <w:p w14:paraId="79040000">
      <w:pPr>
        <w:pStyle w:val="Style_28"/>
      </w:pPr>
    </w:p>
  </w:footnote>
  <w:footnote w:id="25">
    <w:p w14:paraId="7A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 xml:space="preserve">Шадрина, Г. В.  Экономический анализ : учебник для вузов [Текст] / Г. В. Шадрина. -  3-е изд., </w:t>
      </w:r>
      <w:r>
        <w:rPr>
          <w:rFonts w:ascii="Times New Roman" w:hAnsi="Times New Roman"/>
          <w:color w:themeColor="text1" w:val="000000"/>
          <w:sz w:val="24"/>
        </w:rPr>
        <w:t>перераб</w:t>
      </w:r>
      <w:r>
        <w:rPr>
          <w:rFonts w:ascii="Times New Roman" w:hAnsi="Times New Roman"/>
          <w:color w:themeColor="text1" w:val="000000"/>
          <w:sz w:val="24"/>
        </w:rPr>
        <w:t>.</w:t>
      </w:r>
      <w:r>
        <w:rPr>
          <w:rFonts w:ascii="Times New Roman" w:hAnsi="Times New Roman"/>
          <w:color w:themeColor="text1" w:val="000000"/>
          <w:sz w:val="24"/>
        </w:rPr>
        <w:t xml:space="preserve"> и доп. </w:t>
      </w:r>
      <w:r>
        <w:rPr>
          <w:rFonts w:ascii="Times New Roman" w:hAnsi="Times New Roman"/>
          <w:color w:themeColor="text1" w:val="000000"/>
          <w:sz w:val="24"/>
        </w:rPr>
        <w:t>-  Москва</w:t>
      </w:r>
      <w:r>
        <w:rPr>
          <w:rFonts w:ascii="Times New Roman" w:hAnsi="Times New Roman"/>
          <w:color w:themeColor="text1" w:val="000000"/>
          <w:sz w:val="24"/>
        </w:rPr>
        <w:t xml:space="preserve"> : Издательство </w:t>
      </w:r>
      <w:r>
        <w:rPr>
          <w:rFonts w:ascii="Times New Roman" w:hAnsi="Times New Roman"/>
          <w:color w:themeColor="text1" w:val="000000"/>
          <w:sz w:val="24"/>
        </w:rPr>
        <w:t>Юрайт</w:t>
      </w:r>
      <w:r>
        <w:rPr>
          <w:rFonts w:ascii="Times New Roman" w:hAnsi="Times New Roman"/>
          <w:color w:themeColor="text1" w:val="000000"/>
          <w:sz w:val="24"/>
        </w:rPr>
        <w:t>, 2021. -  461 с.</w:t>
      </w:r>
    </w:p>
    <w:p w14:paraId="7B040000">
      <w:pPr>
        <w:pStyle w:val="Style_28"/>
      </w:pPr>
    </w:p>
  </w:footnote>
  <w:footnote w:id="26">
    <w:p w14:paraId="7C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Тарасова, И.В. Организация учета и контроля дебиторской задолженности [Текст] / И.В. Тарасова // Вестник образовательного консорциума Среднерусский университет. Серия: Экономика и управление. – 2019. – № 10. – С. 72-73.</w:t>
      </w:r>
    </w:p>
    <w:p w14:paraId="7D040000">
      <w:pPr>
        <w:pStyle w:val="Style_28"/>
      </w:pPr>
    </w:p>
  </w:footnote>
  <w:footnote w:id="27">
    <w:p w14:paraId="7E040000">
      <w:pPr>
        <w:spacing w:after="0" w:line="240" w:lineRule="auto"/>
        <w:ind/>
        <w:jc w:val="both"/>
      </w:pPr>
      <w:r>
        <w:rPr>
          <w:vertAlign w:val="superscript"/>
        </w:rPr>
        <w:footnoteRef/>
      </w:r>
      <w:r>
        <w:rPr>
          <w:rFonts w:ascii="Times New Roman" w:hAnsi="Times New Roman"/>
          <w:sz w:val="24"/>
        </w:rPr>
        <w:t xml:space="preserve"> </w:t>
      </w:r>
      <w:r>
        <w:rPr>
          <w:rFonts w:ascii="Times New Roman" w:hAnsi="Times New Roman"/>
          <w:color w:themeColor="text1" w:val="000000"/>
          <w:sz w:val="24"/>
        </w:rPr>
        <w:t>Толчинская</w:t>
      </w:r>
      <w:r>
        <w:rPr>
          <w:rFonts w:ascii="Times New Roman" w:hAnsi="Times New Roman"/>
          <w:color w:themeColor="text1" w:val="000000"/>
          <w:sz w:val="24"/>
        </w:rPr>
        <w:t xml:space="preserve">, М.Н. Современные инструменты управления дебиторской и кредиторской задолженностью [Текст] / М.Н. </w:t>
      </w:r>
      <w:r>
        <w:rPr>
          <w:rFonts w:ascii="Times New Roman" w:hAnsi="Times New Roman"/>
          <w:color w:themeColor="text1" w:val="000000"/>
          <w:sz w:val="24"/>
        </w:rPr>
        <w:t>Толчинская</w:t>
      </w:r>
      <w:r>
        <w:rPr>
          <w:rFonts w:ascii="Times New Roman" w:hAnsi="Times New Roman"/>
          <w:color w:themeColor="text1" w:val="000000"/>
          <w:sz w:val="24"/>
        </w:rPr>
        <w:t xml:space="preserve"> // Вопросы устойчивого развития общества. -  2021. -  № 4. </w:t>
      </w:r>
      <w:r>
        <w:rPr>
          <w:rFonts w:ascii="Times New Roman" w:hAnsi="Times New Roman"/>
          <w:color w:themeColor="text1" w:val="000000"/>
          <w:sz w:val="24"/>
        </w:rPr>
        <w:t>-  С.</w:t>
      </w:r>
      <w:r>
        <w:rPr>
          <w:rFonts w:ascii="Times New Roman" w:hAnsi="Times New Roman"/>
          <w:color w:themeColor="text1" w:val="000000"/>
          <w:sz w:val="24"/>
        </w:rPr>
        <w:t xml:space="preserve"> </w:t>
      </w:r>
      <w:r>
        <w:rPr>
          <w:rFonts w:ascii="Times New Roman" w:hAnsi="Times New Roman"/>
          <w:color w:themeColor="text1" w:val="000000"/>
          <w:sz w:val="24"/>
        </w:rPr>
        <w:t>245-251</w:t>
      </w:r>
      <w:r>
        <w:rPr>
          <w:rFonts w:ascii="Times New Roman" w:hAnsi="Times New Roman"/>
          <w:color w:themeColor="text1" w:val="000000"/>
          <w:sz w:val="24"/>
        </w:rPr>
        <w:t>.</w:t>
      </w:r>
    </w:p>
  </w:footnote>
</w:footnotes>
</file>

<file path=word/numbering.xml><?xml version="1.0" encoding="utf-8"?>
<w:numbering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abstractNum w:abstractNumId="0">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abstractNum w:abstractNumId="1">
    <w:lvl w:ilvl="0">
      <w:start w:val="1"/>
      <w:numFmt w:val="decimal"/>
      <w:lvlText w:val="%1."/>
      <w:lvlJc w:val="left"/>
      <w:pPr>
        <w:ind w:hanging="432" w:left="432"/>
      </w:pPr>
    </w:lvl>
    <w:lvl w:ilvl="1">
      <w:start w:val="2"/>
      <w:numFmt w:val="decimal"/>
      <w:lvlText w:val="%1.%2."/>
      <w:lvlJc w:val="left"/>
      <w:pPr>
        <w:ind w:hanging="720" w:left="1212"/>
      </w:pPr>
    </w:lvl>
    <w:lvl w:ilvl="2">
      <w:start w:val="1"/>
      <w:numFmt w:val="decimal"/>
      <w:lvlText w:val="%1.%2.%3."/>
      <w:lvlJc w:val="left"/>
      <w:pPr>
        <w:ind w:hanging="720" w:left="1704"/>
      </w:pPr>
    </w:lvl>
    <w:lvl w:ilvl="3">
      <w:start w:val="1"/>
      <w:numFmt w:val="decimal"/>
      <w:lvlText w:val="%1.%2.%3.%4."/>
      <w:lvlJc w:val="left"/>
      <w:pPr>
        <w:ind w:hanging="1080" w:left="2556"/>
      </w:pPr>
    </w:lvl>
    <w:lvl w:ilvl="4">
      <w:start w:val="1"/>
      <w:numFmt w:val="decimal"/>
      <w:lvlText w:val="%1.%2.%3.%4.%5."/>
      <w:lvlJc w:val="left"/>
      <w:pPr>
        <w:ind w:hanging="1080" w:left="3048"/>
      </w:pPr>
    </w:lvl>
    <w:lvl w:ilvl="5">
      <w:start w:val="1"/>
      <w:numFmt w:val="decimal"/>
      <w:lvlText w:val="%1.%2.%3.%4.%5.%6."/>
      <w:lvlJc w:val="left"/>
      <w:pPr>
        <w:ind w:hanging="1440" w:left="3900"/>
      </w:pPr>
    </w:lvl>
    <w:lvl w:ilvl="6">
      <w:start w:val="1"/>
      <w:numFmt w:val="decimal"/>
      <w:lvlText w:val="%1.%2.%3.%4.%5.%6.%7."/>
      <w:lvlJc w:val="left"/>
      <w:pPr>
        <w:ind w:hanging="1800" w:left="4752"/>
      </w:pPr>
    </w:lvl>
    <w:lvl w:ilvl="7">
      <w:start w:val="1"/>
      <w:numFmt w:val="decimal"/>
      <w:lvlText w:val="%1.%2.%3.%4.%5.%6.%7.%8."/>
      <w:lvlJc w:val="left"/>
      <w:pPr>
        <w:ind w:hanging="1800" w:left="5244"/>
      </w:pPr>
    </w:lvl>
    <w:lvl w:ilvl="8">
      <w:start w:val="1"/>
      <w:numFmt w:val="decimal"/>
      <w:lvlText w:val="%1.%2.%3.%4.%5.%6.%7.%8.%9."/>
      <w:lvlJc w:val="left"/>
      <w:pPr>
        <w:ind w:hanging="2160" w:left="6096"/>
      </w:pPr>
    </w:lvl>
  </w:abstractNum>
  <w:abstractNum w:abstractNumId="2">
    <w:lvl w:ilvl="0">
      <w:start w:val="1"/>
      <w:numFmt w:val="bullet"/>
      <w:lvlText w:val="̶"/>
      <w:lvlJc w:val="left"/>
      <w:pPr>
        <w:tabs>
          <w:tab w:leader="none" w:pos="720" w:val="left"/>
        </w:tabs>
        <w:ind w:hanging="360" w:left="720"/>
      </w:pPr>
      <w:rPr>
        <w:rFonts w:ascii="Times New Roman" w:hAnsi="Times New Roman"/>
        <w:sz w:val="20"/>
      </w:rPr>
    </w:lvl>
    <w:lvl w:ilvl="1">
      <w:start w:val="1"/>
      <w:numFmt w:val="bullet"/>
      <w:lvlText w:val="o"/>
      <w:lvlJc w:val="left"/>
      <w:pPr>
        <w:tabs>
          <w:tab w:leader="none" w:pos="1440" w:val="left"/>
        </w:tabs>
        <w:ind w:hanging="360" w:left="1440"/>
      </w:pPr>
      <w:rPr>
        <w:rFonts w:ascii="Courier New" w:hAnsi="Courier New"/>
        <w:sz w:val="20"/>
      </w:rPr>
    </w:lvl>
    <w:lvl w:ilvl="2">
      <w:start w:val="1"/>
      <w:numFmt w:val="bullet"/>
      <w:lvlText w:val=""/>
      <w:lvlJc w:val="left"/>
      <w:pPr>
        <w:tabs>
          <w:tab w:leader="none" w:pos="2160" w:val="left"/>
        </w:tabs>
        <w:ind w:hanging="360" w:left="2160"/>
      </w:pPr>
      <w:rPr>
        <w:rFonts w:ascii="Wingdings" w:hAnsi="Wingdings"/>
        <w:sz w:val="20"/>
      </w:rPr>
    </w:lvl>
    <w:lvl w:ilvl="3">
      <w:start w:val="1"/>
      <w:numFmt w:val="bullet"/>
      <w:lvlText w:val=""/>
      <w:lvlJc w:val="left"/>
      <w:pPr>
        <w:tabs>
          <w:tab w:leader="none" w:pos="2880" w:val="left"/>
        </w:tabs>
        <w:ind w:hanging="360" w:left="2880"/>
      </w:pPr>
      <w:rPr>
        <w:rFonts w:ascii="Wingdings" w:hAnsi="Wingdings"/>
        <w:sz w:val="20"/>
      </w:rPr>
    </w:lvl>
    <w:lvl w:ilvl="4">
      <w:start w:val="1"/>
      <w:numFmt w:val="bullet"/>
      <w:lvlText w:val=""/>
      <w:lvlJc w:val="left"/>
      <w:pPr>
        <w:tabs>
          <w:tab w:leader="none" w:pos="3600" w:val="left"/>
        </w:tabs>
        <w:ind w:hanging="360" w:left="3600"/>
      </w:pPr>
      <w:rPr>
        <w:rFonts w:ascii="Wingdings" w:hAnsi="Wingdings"/>
        <w:sz w:val="20"/>
      </w:rPr>
    </w:lvl>
    <w:lvl w:ilvl="5">
      <w:start w:val="1"/>
      <w:numFmt w:val="bullet"/>
      <w:lvlText w:val=""/>
      <w:lvlJc w:val="left"/>
      <w:pPr>
        <w:tabs>
          <w:tab w:leader="none" w:pos="4320" w:val="left"/>
        </w:tabs>
        <w:ind w:hanging="360" w:left="4320"/>
      </w:pPr>
      <w:rPr>
        <w:rFonts w:ascii="Wingdings" w:hAnsi="Wingdings"/>
        <w:sz w:val="20"/>
      </w:rPr>
    </w:lvl>
    <w:lvl w:ilvl="6">
      <w:start w:val="1"/>
      <w:numFmt w:val="bullet"/>
      <w:lvlText w:val=""/>
      <w:lvlJc w:val="left"/>
      <w:pPr>
        <w:tabs>
          <w:tab w:leader="none" w:pos="5040" w:val="left"/>
        </w:tabs>
        <w:ind w:hanging="360" w:left="5040"/>
      </w:pPr>
      <w:rPr>
        <w:rFonts w:ascii="Wingdings" w:hAnsi="Wingdings"/>
        <w:sz w:val="20"/>
      </w:rPr>
    </w:lvl>
    <w:lvl w:ilvl="7">
      <w:start w:val="1"/>
      <w:numFmt w:val="bullet"/>
      <w:lvlText w:val=""/>
      <w:lvlJc w:val="left"/>
      <w:pPr>
        <w:tabs>
          <w:tab w:leader="none" w:pos="5760" w:val="left"/>
        </w:tabs>
        <w:ind w:hanging="360" w:left="5760"/>
      </w:pPr>
      <w:rPr>
        <w:rFonts w:ascii="Wingdings" w:hAnsi="Wingdings"/>
        <w:sz w:val="20"/>
      </w:rPr>
    </w:lvl>
    <w:lvl w:ilvl="8">
      <w:start w:val="1"/>
      <w:numFmt w:val="bullet"/>
      <w:lvlText w:val=""/>
      <w:lvlJc w:val="left"/>
      <w:pPr>
        <w:tabs>
          <w:tab w:leader="none" w:pos="6480" w:val="left"/>
        </w:tabs>
        <w:ind w:hanging="360" w:left="6480"/>
      </w:pPr>
      <w:rPr>
        <w:rFonts w:ascii="Wingdings" w:hAnsi="Wingdings"/>
        <w:sz w:val="20"/>
      </w:rPr>
    </w:lvl>
  </w:abstractNum>
  <w:abstractNum w:abstractNumId="3">
    <w:lvl w:ilvl="0">
      <w:start w:val="1"/>
      <w:numFmt w:val="decimal"/>
      <w:lvlText w:val="%1."/>
      <w:lvlJc w:val="left"/>
      <w:pPr>
        <w:tabs>
          <w:tab w:leader="none" w:pos="720" w:val="left"/>
        </w:tabs>
        <w:ind w:hanging="360" w:left="720"/>
      </w:pPr>
    </w:lvl>
    <w:lvl w:ilvl="1">
      <w:start w:val="1"/>
      <w:numFmt w:val="decimal"/>
      <w:lvlText w:val="%2."/>
      <w:lvlJc w:val="left"/>
      <w:pPr>
        <w:tabs>
          <w:tab w:leader="none" w:pos="1440" w:val="left"/>
        </w:tabs>
        <w:ind w:hanging="360" w:left="1440"/>
      </w:pPr>
    </w:lvl>
    <w:lvl w:ilvl="2">
      <w:start w:val="1"/>
      <w:numFmt w:val="decimal"/>
      <w:lvlText w:val="%3."/>
      <w:lvlJc w:val="left"/>
      <w:pPr>
        <w:tabs>
          <w:tab w:leader="none" w:pos="2160" w:val="left"/>
        </w:tabs>
        <w:ind w:hanging="360" w:left="2160"/>
      </w:pPr>
    </w:lvl>
    <w:lvl w:ilvl="3">
      <w:start w:val="1"/>
      <w:numFmt w:val="decimal"/>
      <w:lvlText w:val="%4."/>
      <w:lvlJc w:val="left"/>
      <w:pPr>
        <w:tabs>
          <w:tab w:leader="none" w:pos="2880" w:val="left"/>
        </w:tabs>
        <w:ind w:hanging="360" w:left="2880"/>
      </w:pPr>
    </w:lvl>
    <w:lvl w:ilvl="4">
      <w:start w:val="1"/>
      <w:numFmt w:val="decimal"/>
      <w:lvlText w:val="%5."/>
      <w:lvlJc w:val="left"/>
      <w:pPr>
        <w:tabs>
          <w:tab w:leader="none" w:pos="3600" w:val="left"/>
        </w:tabs>
        <w:ind w:hanging="360" w:left="3600"/>
      </w:pPr>
    </w:lvl>
    <w:lvl w:ilvl="5">
      <w:start w:val="1"/>
      <w:numFmt w:val="decimal"/>
      <w:lvlText w:val="%6."/>
      <w:lvlJc w:val="left"/>
      <w:pPr>
        <w:tabs>
          <w:tab w:leader="none" w:pos="4320" w:val="left"/>
        </w:tabs>
        <w:ind w:hanging="360" w:left="4320"/>
      </w:pPr>
    </w:lvl>
    <w:lvl w:ilvl="6">
      <w:start w:val="1"/>
      <w:numFmt w:val="decimal"/>
      <w:lvlText w:val="%7."/>
      <w:lvlJc w:val="left"/>
      <w:pPr>
        <w:tabs>
          <w:tab w:leader="none" w:pos="5040" w:val="left"/>
        </w:tabs>
        <w:ind w:hanging="360" w:left="5040"/>
      </w:pPr>
    </w:lvl>
    <w:lvl w:ilvl="7">
      <w:start w:val="1"/>
      <w:numFmt w:val="decimal"/>
      <w:lvlText w:val="%8."/>
      <w:lvlJc w:val="left"/>
      <w:pPr>
        <w:tabs>
          <w:tab w:leader="none" w:pos="5760" w:val="left"/>
        </w:tabs>
        <w:ind w:hanging="360" w:left="5760"/>
      </w:pPr>
    </w:lvl>
    <w:lvl w:ilvl="8">
      <w:start w:val="1"/>
      <w:numFmt w:val="decimal"/>
      <w:lvlText w:val="%9."/>
      <w:lvlJc w:val="left"/>
      <w:pPr>
        <w:tabs>
          <w:tab w:leader="none" w:pos="6480" w:val="left"/>
        </w:tabs>
        <w:ind w:hanging="360" w:left="6480"/>
      </w:pPr>
    </w:lvl>
  </w:abstractNum>
  <w:num w:numId="1">
    <w:abstractNumId w:val="0"/>
  </w:num>
  <w:num w:numId="2">
    <w:abstractNumId w:val="1"/>
  </w:num>
  <w:num w:numId="3">
    <w:abstractNumId w:val="2"/>
  </w:num>
  <w:num w:numId="4">
    <w:abstractNumId w:val="3"/>
  </w:num>
</w:numbering>
</file>

<file path=word/settings.xml><?xml version="1.0" encoding="utf-8"?>
<w:setting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efaultTabStop w:val="708"/>
  <w:compat>
    <w:compatSetting w:name="compatibilityMode" w:uri="http://schemas.microsoft.com/office/word" w:val="15"/>
  </w:compat>
  <w:clrSchemeMapping w:accent1="accent1" w:accent2="accent2" w:accent3="accent3" w:accent4="accent4" w:accent5="accent5" w:accent6="accent6" w:bg1="light1" w:bg2="light2" w:followedHyperlink="followedHyperlink" w:hyperlink="hyperlink" w:t1="dark1" w:t2="dark2"/>
</w:settings>
</file>

<file path=word/styles.xml><?xml version="1.0" encoding="utf-8"?>
<w:styles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mc:Ignorable="co co-ooxml w14 x14 w15">
  <w:docDefaults>
    <w:rPrDefault>
      <w:rPr>
        <w:rFonts w:asciiTheme="minorAscii" w:hAnsiTheme="minorHAnsi"/>
        <w:color w:val="000000"/>
        <w:spacing w:val="0"/>
        <w:sz w:val="22"/>
      </w:rPr>
    </w:rPrDefault>
    <w:pPrDefault>
      <w:pPr>
        <w:spacing w:after="160" w:before="0" w:line="264" w:lineRule="auto"/>
        <w:ind w:firstLine="0" w:left="0" w:right="0"/>
        <w:jc w:val="left"/>
      </w:pPr>
    </w:pPrDefault>
  </w:docDefaults>
  <w:latentStyles w:count="24"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semiHidden="0" w:uiPriority="9" w:unhideWhenUsed="0"/>
    <w:lsdException w:name="heading 3" w:qFormat="1" w:semiHidden="0" w:uiPriority="9" w:unhideWhenUsed="0"/>
    <w:lsdException w:name="heading 4" w:qFormat="1" w:semiHidden="0" w:uiPriority="9" w:unhideWhenUsed="0"/>
    <w:lsdException w:name="heading 5" w:qFormat="1" w:semiHidden="0" w:uiPriority="9" w:unhideWhenUsed="0"/>
    <w:lsdException w:name="heading 6" w:qFormat="1" w:semiHidden="1" w:uiPriority="9" w:unhideWhenUsed="1"/>
    <w:lsdException w:name="heading 7" w:qFormat="1" w:semiHidden="1" w:uiPriority="9" w:unhideWhenUsed="1"/>
    <w:lsdException w:name="heading 8" w:qFormat="1" w:semiHidden="1" w:uiPriority="9" w:unhideWhenUsed="1"/>
    <w:lsdException w:name="heading 9" w:qFormat="1" w:semiHidden="1" w:uiPriority="9" w:unhideWhenUsed="1"/>
    <w:lsdException w:name="Title" w:qFormat="1" w:semiHidden="0" w:uiPriority="10" w:unhideWhenUsed="0"/>
    <w:lsdException w:name="Subtitle" w:qFormat="1" w:semiHidden="0" w:uiPriority="11" w:unhideWhenUsed="0"/>
    <w:lsdException w:name="Header and Footer" w:qFormat="0" w:semiHidden="0" w:unhideWhenUsed="0"/>
    <w:lsdException w:name="Footnote" w:qFormat="0" w:semiHidden="0" w:unhideWhenUsed="0"/>
    <w:lsdException w:name="toc 1" w:qFormat="0" w:semiHidden="0" w:uiPriority="39" w:unhideWhenUsed="0"/>
    <w:lsdException w:name="toc 2" w:qFormat="0" w:semiHidden="0" w:uiPriority="39" w:unhideWhenUsed="0"/>
    <w:lsdException w:name="toc 3" w:qFormat="0" w:semiHidden="0" w:uiPriority="39" w:unhideWhenUsed="0"/>
    <w:lsdException w:name="toc 4" w:qFormat="0" w:semiHidden="0" w:uiPriority="39" w:unhideWhenUsed="0"/>
    <w:lsdException w:name="toc 5" w:qFormat="0" w:semiHidden="0" w:uiPriority="39" w:unhideWhenUsed="0"/>
    <w:lsdException w:name="toc 6" w:qFormat="0" w:semiHidden="0" w:uiPriority="39" w:unhideWhenUsed="0"/>
    <w:lsdException w:name="toc 7" w:qFormat="0" w:semiHidden="0" w:uiPriority="39" w:unhideWhenUsed="0"/>
    <w:lsdException w:name="toc 8" w:qFormat="0" w:semiHidden="0" w:uiPriority="39" w:unhideWhenUsed="0"/>
    <w:lsdException w:name="toc 9" w:qFormat="0" w:semiHidden="0" w:uiPriority="39" w:unhideWhenUsed="0"/>
    <w:lsdException w:name="Hyperlink" w:qFormat="0" w:semiHidden="0" w:unhideWhenUsed="0"/>
  </w:latentStyles>
  <w:style w:default="1" w:styleId="Style_14" w:type="paragraph">
    <w:name w:val="Normal"/>
    <w:link w:val="Style_14_ch"/>
    <w:uiPriority w:val="0"/>
    <w:qFormat/>
  </w:style>
  <w:style w:default="1" w:styleId="Style_14_ch" w:type="character">
    <w:name w:val="Normal"/>
    <w:link w:val="Style_14"/>
  </w:style>
  <w:style w:styleId="Style_15" w:type="paragraph">
    <w:name w:val="header"/>
    <w:basedOn w:val="Style_14"/>
    <w:link w:val="Style_15_ch"/>
    <w:pPr>
      <w:tabs>
        <w:tab w:leader="none" w:pos="4677" w:val="center"/>
        <w:tab w:leader="none" w:pos="9355" w:val="right"/>
      </w:tabs>
      <w:spacing w:after="0" w:line="240" w:lineRule="auto"/>
      <w:ind/>
    </w:pPr>
  </w:style>
  <w:style w:styleId="Style_15_ch" w:type="character">
    <w:name w:val="header"/>
    <w:basedOn w:val="Style_14_ch"/>
    <w:link w:val="Style_15"/>
  </w:style>
  <w:style w:styleId="Style_5" w:type="paragraph">
    <w:name w:val="toc 2"/>
    <w:basedOn w:val="Style_14"/>
    <w:next w:val="Style_14"/>
    <w:link w:val="Style_5_ch"/>
    <w:uiPriority w:val="39"/>
    <w:pPr>
      <w:spacing w:after="100"/>
      <w:ind w:firstLine="0" w:left="220"/>
    </w:pPr>
  </w:style>
  <w:style w:styleId="Style_5_ch" w:type="character">
    <w:name w:val="toc 2"/>
    <w:basedOn w:val="Style_14_ch"/>
    <w:link w:val="Style_5"/>
  </w:style>
  <w:style w:styleId="Style_4" w:type="paragraph">
    <w:name w:val="TOC Heading"/>
    <w:basedOn w:val="Style_8"/>
    <w:next w:val="Style_14"/>
    <w:link w:val="Style_4_ch"/>
    <w:pPr>
      <w:ind/>
      <w:outlineLvl w:val="8"/>
    </w:pPr>
  </w:style>
  <w:style w:styleId="Style_4_ch" w:type="character">
    <w:name w:val="TOC Heading"/>
    <w:basedOn w:val="Style_8_ch"/>
    <w:link w:val="Style_4"/>
  </w:style>
  <w:style w:styleId="Style_16" w:type="paragraph">
    <w:name w:val="toc 4"/>
    <w:next w:val="Style_14"/>
    <w:link w:val="Style_16_ch"/>
    <w:uiPriority w:val="39"/>
    <w:pPr>
      <w:ind w:firstLine="0" w:left="600"/>
      <w:jc w:val="left"/>
    </w:pPr>
    <w:rPr>
      <w:rFonts w:ascii="XO Thames" w:hAnsi="XO Thames"/>
      <w:sz w:val="28"/>
    </w:rPr>
  </w:style>
  <w:style w:styleId="Style_16_ch" w:type="character">
    <w:name w:val="toc 4"/>
    <w:link w:val="Style_16"/>
    <w:rPr>
      <w:rFonts w:ascii="XO Thames" w:hAnsi="XO Thames"/>
      <w:sz w:val="28"/>
    </w:rPr>
  </w:style>
  <w:style w:styleId="Style_17" w:type="paragraph">
    <w:name w:val="toc 6"/>
    <w:next w:val="Style_14"/>
    <w:link w:val="Style_17_ch"/>
    <w:uiPriority w:val="39"/>
    <w:pPr>
      <w:ind w:firstLine="0" w:left="1000"/>
      <w:jc w:val="left"/>
    </w:pPr>
    <w:rPr>
      <w:rFonts w:ascii="XO Thames" w:hAnsi="XO Thames"/>
      <w:sz w:val="28"/>
    </w:rPr>
  </w:style>
  <w:style w:styleId="Style_17_ch" w:type="character">
    <w:name w:val="toc 6"/>
    <w:link w:val="Style_17"/>
    <w:rPr>
      <w:rFonts w:ascii="XO Thames" w:hAnsi="XO Thames"/>
      <w:sz w:val="28"/>
    </w:rPr>
  </w:style>
  <w:style w:styleId="Style_18" w:type="paragraph">
    <w:name w:val="toc 7"/>
    <w:next w:val="Style_14"/>
    <w:link w:val="Style_18_ch"/>
    <w:uiPriority w:val="39"/>
    <w:pPr>
      <w:ind w:firstLine="0" w:left="1200"/>
      <w:jc w:val="left"/>
    </w:pPr>
    <w:rPr>
      <w:rFonts w:ascii="XO Thames" w:hAnsi="XO Thames"/>
      <w:sz w:val="28"/>
    </w:rPr>
  </w:style>
  <w:style w:styleId="Style_18_ch" w:type="character">
    <w:name w:val="toc 7"/>
    <w:link w:val="Style_18"/>
    <w:rPr>
      <w:rFonts w:ascii="XO Thames" w:hAnsi="XO Thames"/>
      <w:sz w:val="28"/>
    </w:rPr>
  </w:style>
  <w:style w:styleId="Style_19" w:type="paragraph">
    <w:name w:val="vlist-s"/>
    <w:basedOn w:val="Style_20"/>
    <w:link w:val="Style_19_ch"/>
  </w:style>
  <w:style w:styleId="Style_19_ch" w:type="character">
    <w:name w:val="vlist-s"/>
    <w:basedOn w:val="Style_20_ch"/>
    <w:link w:val="Style_19"/>
  </w:style>
  <w:style w:styleId="Style_9" w:type="paragraph">
    <w:name w:val="Normal (Web)"/>
    <w:basedOn w:val="Style_14"/>
    <w:link w:val="Style_9_ch"/>
    <w:pPr>
      <w:spacing w:afterAutospacing="on" w:beforeAutospacing="on" w:line="240" w:lineRule="auto"/>
      <w:ind/>
    </w:pPr>
    <w:rPr>
      <w:rFonts w:ascii="Times New Roman" w:hAnsi="Times New Roman"/>
      <w:sz w:val="24"/>
    </w:rPr>
  </w:style>
  <w:style w:styleId="Style_9_ch" w:type="character">
    <w:name w:val="Normal (Web)"/>
    <w:basedOn w:val="Style_14_ch"/>
    <w:link w:val="Style_9"/>
    <w:rPr>
      <w:rFonts w:ascii="Times New Roman" w:hAnsi="Times New Roman"/>
      <w:sz w:val="24"/>
    </w:rPr>
  </w:style>
  <w:style w:styleId="Style_13" w:type="paragraph">
    <w:name w:val="heading 3"/>
    <w:basedOn w:val="Style_14"/>
    <w:link w:val="Style_13_ch"/>
    <w:uiPriority w:val="9"/>
    <w:qFormat/>
    <w:pPr>
      <w:spacing w:afterAutospacing="on" w:beforeAutospacing="on" w:line="240" w:lineRule="auto"/>
      <w:ind/>
      <w:outlineLvl w:val="2"/>
    </w:pPr>
    <w:rPr>
      <w:rFonts w:ascii="Times New Roman" w:hAnsi="Times New Roman"/>
      <w:b w:val="1"/>
      <w:sz w:val="27"/>
    </w:rPr>
  </w:style>
  <w:style w:styleId="Style_13_ch" w:type="character">
    <w:name w:val="heading 3"/>
    <w:basedOn w:val="Style_14_ch"/>
    <w:link w:val="Style_13"/>
    <w:rPr>
      <w:rFonts w:ascii="Times New Roman" w:hAnsi="Times New Roman"/>
      <w:b w:val="1"/>
      <w:sz w:val="27"/>
    </w:rPr>
  </w:style>
  <w:style w:styleId="Style_21" w:type="paragraph">
    <w:name w:val="mrel"/>
    <w:basedOn w:val="Style_20"/>
    <w:link w:val="Style_21_ch"/>
  </w:style>
  <w:style w:styleId="Style_21_ch" w:type="character">
    <w:name w:val="mrel"/>
    <w:basedOn w:val="Style_20_ch"/>
    <w:link w:val="Style_21"/>
  </w:style>
  <w:style w:styleId="Style_22" w:type="paragraph">
    <w:name w:val="bz_pyq_fadein"/>
    <w:basedOn w:val="Style_20"/>
    <w:link w:val="Style_22_ch"/>
  </w:style>
  <w:style w:styleId="Style_22_ch" w:type="character">
    <w:name w:val="bz_pyq_fadein"/>
    <w:basedOn w:val="Style_20_ch"/>
    <w:link w:val="Style_22"/>
  </w:style>
  <w:style w:styleId="Style_7" w:type="paragraph">
    <w:name w:val="toc 3"/>
    <w:basedOn w:val="Style_14"/>
    <w:next w:val="Style_14"/>
    <w:link w:val="Style_7_ch"/>
    <w:uiPriority w:val="39"/>
    <w:pPr>
      <w:spacing w:after="100"/>
      <w:ind w:firstLine="0" w:left="440"/>
    </w:pPr>
  </w:style>
  <w:style w:styleId="Style_7_ch" w:type="character">
    <w:name w:val="toc 3"/>
    <w:basedOn w:val="Style_14_ch"/>
    <w:link w:val="Style_7"/>
  </w:style>
  <w:style w:styleId="Style_20" w:type="paragraph">
    <w:name w:val="Default Paragraph Font"/>
    <w:link w:val="Style_20_ch"/>
  </w:style>
  <w:style w:styleId="Style_20_ch" w:type="character">
    <w:name w:val="Default Paragraph Font"/>
    <w:link w:val="Style_20"/>
  </w:style>
  <w:style w:styleId="Style_23" w:type="paragraph">
    <w:name w:val="Balloon Text"/>
    <w:basedOn w:val="Style_14"/>
    <w:link w:val="Style_23_ch"/>
    <w:pPr>
      <w:spacing w:after="0" w:line="240" w:lineRule="auto"/>
      <w:ind/>
    </w:pPr>
    <w:rPr>
      <w:rFonts w:ascii="Segoe UI" w:hAnsi="Segoe UI"/>
      <w:sz w:val="18"/>
    </w:rPr>
  </w:style>
  <w:style w:styleId="Style_23_ch" w:type="character">
    <w:name w:val="Balloon Text"/>
    <w:basedOn w:val="Style_14_ch"/>
    <w:link w:val="Style_23"/>
    <w:rPr>
      <w:rFonts w:ascii="Segoe UI" w:hAnsi="Segoe UI"/>
      <w:sz w:val="18"/>
    </w:rPr>
  </w:style>
  <w:style w:styleId="Style_24" w:type="paragraph">
    <w:name w:val="mpunct"/>
    <w:basedOn w:val="Style_20"/>
    <w:link w:val="Style_24_ch"/>
  </w:style>
  <w:style w:styleId="Style_24_ch" w:type="character">
    <w:name w:val="mpunct"/>
    <w:basedOn w:val="Style_20_ch"/>
    <w:link w:val="Style_24"/>
  </w:style>
  <w:style w:styleId="Style_25" w:type="paragraph">
    <w:name w:val="List Paragraph"/>
    <w:basedOn w:val="Style_14"/>
    <w:link w:val="Style_25_ch"/>
    <w:pPr>
      <w:ind w:firstLine="0" w:left="720"/>
      <w:contextualSpacing w:val="1"/>
    </w:pPr>
  </w:style>
  <w:style w:styleId="Style_25_ch" w:type="character">
    <w:name w:val="List Paragraph"/>
    <w:basedOn w:val="Style_14_ch"/>
    <w:link w:val="Style_25"/>
  </w:style>
  <w:style w:styleId="Style_26" w:type="paragraph">
    <w:name w:val="heading 5"/>
    <w:next w:val="Style_14"/>
    <w:link w:val="Style_26_ch"/>
    <w:uiPriority w:val="9"/>
    <w:qFormat/>
    <w:pPr>
      <w:spacing w:after="120" w:before="120"/>
      <w:ind/>
      <w:jc w:val="both"/>
      <w:outlineLvl w:val="4"/>
    </w:pPr>
    <w:rPr>
      <w:rFonts w:ascii="XO Thames" w:hAnsi="XO Thames"/>
      <w:b w:val="1"/>
      <w:sz w:val="22"/>
    </w:rPr>
  </w:style>
  <w:style w:styleId="Style_26_ch" w:type="character">
    <w:name w:val="heading 5"/>
    <w:link w:val="Style_26"/>
    <w:rPr>
      <w:rFonts w:ascii="XO Thames" w:hAnsi="XO Thames"/>
      <w:b w:val="1"/>
      <w:sz w:val="22"/>
    </w:rPr>
  </w:style>
  <w:style w:styleId="Style_8" w:type="paragraph">
    <w:name w:val="heading 1"/>
    <w:basedOn w:val="Style_14"/>
    <w:next w:val="Style_14"/>
    <w:link w:val="Style_8_ch"/>
    <w:uiPriority w:val="9"/>
    <w:qFormat/>
    <w:pPr>
      <w:keepNext w:val="1"/>
      <w:keepLines w:val="1"/>
      <w:spacing w:after="0" w:before="240"/>
      <w:ind/>
      <w:outlineLvl w:val="0"/>
    </w:pPr>
    <w:rPr>
      <w:rFonts w:asciiTheme="majorAscii" w:hAnsiTheme="majorHAnsi"/>
      <w:color w:themeColor="accent1" w:themeShade="BF" w:val="2F5496"/>
      <w:sz w:val="32"/>
    </w:rPr>
  </w:style>
  <w:style w:styleId="Style_8_ch" w:type="character">
    <w:name w:val="heading 1"/>
    <w:basedOn w:val="Style_14_ch"/>
    <w:link w:val="Style_8"/>
    <w:rPr>
      <w:rFonts w:asciiTheme="majorAscii" w:hAnsiTheme="majorHAnsi"/>
      <w:color w:themeColor="accent1" w:themeShade="BF" w:val="2F5496"/>
      <w:sz w:val="32"/>
    </w:rPr>
  </w:style>
  <w:style w:styleId="Style_27" w:type="paragraph">
    <w:name w:val="Hyperlink"/>
    <w:basedOn w:val="Style_20"/>
    <w:link w:val="Style_27_ch"/>
    <w:rPr>
      <w:color w:themeColor="hyperlink" w:val="0563C1"/>
      <w:u w:val="single"/>
    </w:rPr>
  </w:style>
  <w:style w:styleId="Style_27_ch" w:type="character">
    <w:name w:val="Hyperlink"/>
    <w:basedOn w:val="Style_20_ch"/>
    <w:link w:val="Style_27"/>
    <w:rPr>
      <w:color w:themeColor="hyperlink" w:val="0563C1"/>
      <w:u w:val="single"/>
    </w:rPr>
  </w:style>
  <w:style w:styleId="Style_28" w:type="paragraph">
    <w:name w:val="Footnote"/>
    <w:basedOn w:val="Style_14"/>
    <w:link w:val="Style_28_ch"/>
    <w:pPr>
      <w:spacing w:after="0" w:line="240" w:lineRule="auto"/>
      <w:ind/>
    </w:pPr>
    <w:rPr>
      <w:sz w:val="20"/>
    </w:rPr>
  </w:style>
  <w:style w:styleId="Style_28_ch" w:type="character">
    <w:name w:val="Footnote"/>
    <w:basedOn w:val="Style_14_ch"/>
    <w:link w:val="Style_28"/>
    <w:rPr>
      <w:sz w:val="20"/>
    </w:rPr>
  </w:style>
  <w:style w:styleId="Style_6" w:type="paragraph">
    <w:name w:val="toc 1"/>
    <w:basedOn w:val="Style_14"/>
    <w:next w:val="Style_14"/>
    <w:link w:val="Style_6_ch"/>
    <w:uiPriority w:val="39"/>
    <w:pPr>
      <w:spacing w:after="100"/>
      <w:ind/>
    </w:pPr>
  </w:style>
  <w:style w:styleId="Style_6_ch" w:type="character">
    <w:name w:val="toc 1"/>
    <w:basedOn w:val="Style_14_ch"/>
    <w:link w:val="Style_6"/>
  </w:style>
  <w:style w:styleId="Style_29" w:type="paragraph">
    <w:name w:val="Header and Footer"/>
    <w:link w:val="Style_29_ch"/>
    <w:pPr>
      <w:spacing w:line="240" w:lineRule="auto"/>
      <w:ind/>
      <w:jc w:val="both"/>
    </w:pPr>
    <w:rPr>
      <w:rFonts w:ascii="XO Thames" w:hAnsi="XO Thames"/>
      <w:sz w:val="20"/>
    </w:rPr>
  </w:style>
  <w:style w:styleId="Style_29_ch" w:type="character">
    <w:name w:val="Header and Footer"/>
    <w:link w:val="Style_29"/>
    <w:rPr>
      <w:rFonts w:ascii="XO Thames" w:hAnsi="XO Thames"/>
      <w:sz w:val="20"/>
    </w:rPr>
  </w:style>
  <w:style w:styleId="Style_30" w:type="paragraph">
    <w:name w:val="toc 9"/>
    <w:next w:val="Style_14"/>
    <w:link w:val="Style_30_ch"/>
    <w:uiPriority w:val="39"/>
    <w:pPr>
      <w:ind w:firstLine="0" w:left="1600"/>
      <w:jc w:val="left"/>
    </w:pPr>
    <w:rPr>
      <w:rFonts w:ascii="XO Thames" w:hAnsi="XO Thames"/>
      <w:sz w:val="28"/>
    </w:rPr>
  </w:style>
  <w:style w:styleId="Style_30_ch" w:type="character">
    <w:name w:val="toc 9"/>
    <w:link w:val="Style_30"/>
    <w:rPr>
      <w:rFonts w:ascii="XO Thames" w:hAnsi="XO Thames"/>
      <w:sz w:val="28"/>
    </w:rPr>
  </w:style>
  <w:style w:styleId="Style_31" w:type="paragraph">
    <w:name w:val="mbin"/>
    <w:basedOn w:val="Style_20"/>
    <w:link w:val="Style_31_ch"/>
  </w:style>
  <w:style w:styleId="Style_31_ch" w:type="character">
    <w:name w:val="mbin"/>
    <w:basedOn w:val="Style_20_ch"/>
    <w:link w:val="Style_31"/>
  </w:style>
  <w:style w:styleId="Style_1" w:type="paragraph">
    <w:name w:val="footer"/>
    <w:basedOn w:val="Style_14"/>
    <w:link w:val="Style_1_ch"/>
    <w:pPr>
      <w:tabs>
        <w:tab w:leader="none" w:pos="4677" w:val="center"/>
        <w:tab w:leader="none" w:pos="9355" w:val="right"/>
      </w:tabs>
      <w:spacing w:after="0" w:line="240" w:lineRule="auto"/>
      <w:ind/>
    </w:pPr>
  </w:style>
  <w:style w:styleId="Style_1_ch" w:type="character">
    <w:name w:val="footer"/>
    <w:basedOn w:val="Style_14_ch"/>
    <w:link w:val="Style_1"/>
  </w:style>
  <w:style w:styleId="Style_32" w:type="paragraph">
    <w:name w:val="mord"/>
    <w:basedOn w:val="Style_20"/>
    <w:link w:val="Style_32_ch"/>
  </w:style>
  <w:style w:styleId="Style_32_ch" w:type="character">
    <w:name w:val="mord"/>
    <w:basedOn w:val="Style_20_ch"/>
    <w:link w:val="Style_32"/>
  </w:style>
  <w:style w:styleId="Style_33" w:type="paragraph">
    <w:name w:val="toc 8"/>
    <w:next w:val="Style_14"/>
    <w:link w:val="Style_33_ch"/>
    <w:uiPriority w:val="39"/>
    <w:pPr>
      <w:ind w:firstLine="0" w:left="1400"/>
      <w:jc w:val="left"/>
    </w:pPr>
    <w:rPr>
      <w:rFonts w:ascii="XO Thames" w:hAnsi="XO Thames"/>
      <w:sz w:val="28"/>
    </w:rPr>
  </w:style>
  <w:style w:styleId="Style_33_ch" w:type="character">
    <w:name w:val="toc 8"/>
    <w:link w:val="Style_33"/>
    <w:rPr>
      <w:rFonts w:ascii="XO Thames" w:hAnsi="XO Thames"/>
      <w:sz w:val="28"/>
    </w:rPr>
  </w:style>
  <w:style w:styleId="Style_11" w:type="paragraph">
    <w:name w:val="footnote reference"/>
    <w:basedOn w:val="Style_20"/>
    <w:link w:val="Style_11_ch"/>
    <w:rPr>
      <w:vertAlign w:val="superscript"/>
    </w:rPr>
  </w:style>
  <w:style w:styleId="Style_11_ch" w:type="character">
    <w:name w:val="footnote reference"/>
    <w:basedOn w:val="Style_20_ch"/>
    <w:link w:val="Style_11"/>
    <w:rPr>
      <w:vertAlign w:val="superscript"/>
    </w:rPr>
  </w:style>
  <w:style w:styleId="Style_34" w:type="paragraph">
    <w:name w:val="toc 5"/>
    <w:next w:val="Style_14"/>
    <w:link w:val="Style_34_ch"/>
    <w:uiPriority w:val="39"/>
    <w:pPr>
      <w:ind w:firstLine="0" w:left="800"/>
      <w:jc w:val="left"/>
    </w:pPr>
    <w:rPr>
      <w:rFonts w:ascii="XO Thames" w:hAnsi="XO Thames"/>
      <w:sz w:val="28"/>
    </w:rPr>
  </w:style>
  <w:style w:styleId="Style_34_ch" w:type="character">
    <w:name w:val="toc 5"/>
    <w:link w:val="Style_34"/>
    <w:rPr>
      <w:rFonts w:ascii="XO Thames" w:hAnsi="XO Thames"/>
      <w:sz w:val="28"/>
    </w:rPr>
  </w:style>
  <w:style w:styleId="Style_35" w:type="paragraph">
    <w:name w:val="katex-mathml"/>
    <w:basedOn w:val="Style_20"/>
    <w:link w:val="Style_35_ch"/>
  </w:style>
  <w:style w:styleId="Style_35_ch" w:type="character">
    <w:name w:val="katex-mathml"/>
    <w:basedOn w:val="Style_20_ch"/>
    <w:link w:val="Style_35"/>
  </w:style>
  <w:style w:styleId="Style_10" w:type="paragraph">
    <w:name w:val="Strong"/>
    <w:basedOn w:val="Style_20"/>
    <w:link w:val="Style_10_ch"/>
    <w:rPr>
      <w:b w:val="1"/>
    </w:rPr>
  </w:style>
  <w:style w:styleId="Style_10_ch" w:type="character">
    <w:name w:val="Strong"/>
    <w:basedOn w:val="Style_20_ch"/>
    <w:link w:val="Style_10"/>
    <w:rPr>
      <w:b w:val="1"/>
    </w:rPr>
  </w:style>
  <w:style w:styleId="Style_36" w:type="paragraph">
    <w:name w:val="Subtitle"/>
    <w:next w:val="Style_14"/>
    <w:link w:val="Style_36_ch"/>
    <w:uiPriority w:val="11"/>
    <w:qFormat/>
    <w:pPr>
      <w:ind/>
      <w:jc w:val="both"/>
    </w:pPr>
    <w:rPr>
      <w:rFonts w:ascii="XO Thames" w:hAnsi="XO Thames"/>
      <w:i w:val="1"/>
      <w:sz w:val="24"/>
    </w:rPr>
  </w:style>
  <w:style w:styleId="Style_36_ch" w:type="character">
    <w:name w:val="Subtitle"/>
    <w:link w:val="Style_36"/>
    <w:rPr>
      <w:rFonts w:ascii="XO Thames" w:hAnsi="XO Thames"/>
      <w:i w:val="1"/>
      <w:sz w:val="24"/>
    </w:rPr>
  </w:style>
  <w:style w:styleId="Style_37" w:type="paragraph">
    <w:name w:val="Title"/>
    <w:next w:val="Style_14"/>
    <w:link w:val="Style_37_ch"/>
    <w:uiPriority w:val="10"/>
    <w:qFormat/>
    <w:pPr>
      <w:spacing w:after="567" w:before="567"/>
      <w:ind/>
      <w:jc w:val="center"/>
    </w:pPr>
    <w:rPr>
      <w:rFonts w:ascii="XO Thames" w:hAnsi="XO Thames"/>
      <w:b w:val="1"/>
      <w:caps w:val="1"/>
      <w:sz w:val="40"/>
    </w:rPr>
  </w:style>
  <w:style w:styleId="Style_37_ch" w:type="character">
    <w:name w:val="Title"/>
    <w:link w:val="Style_37"/>
    <w:rPr>
      <w:rFonts w:ascii="XO Thames" w:hAnsi="XO Thames"/>
      <w:b w:val="1"/>
      <w:caps w:val="1"/>
      <w:sz w:val="40"/>
    </w:rPr>
  </w:style>
  <w:style w:styleId="Style_38" w:type="paragraph">
    <w:name w:val="heading 4"/>
    <w:next w:val="Style_14"/>
    <w:link w:val="Style_38_ch"/>
    <w:uiPriority w:val="9"/>
    <w:qFormat/>
    <w:pPr>
      <w:spacing w:after="120" w:before="120"/>
      <w:ind/>
      <w:jc w:val="both"/>
      <w:outlineLvl w:val="3"/>
    </w:pPr>
    <w:rPr>
      <w:rFonts w:ascii="XO Thames" w:hAnsi="XO Thames"/>
      <w:b w:val="1"/>
      <w:sz w:val="24"/>
    </w:rPr>
  </w:style>
  <w:style w:styleId="Style_38_ch" w:type="character">
    <w:name w:val="heading 4"/>
    <w:link w:val="Style_38"/>
    <w:rPr>
      <w:rFonts w:ascii="XO Thames" w:hAnsi="XO Thames"/>
      <w:b w:val="1"/>
      <w:sz w:val="24"/>
    </w:rPr>
  </w:style>
  <w:style w:styleId="Style_12" w:type="paragraph">
    <w:name w:val="heading 2"/>
    <w:basedOn w:val="Style_14"/>
    <w:link w:val="Style_12_ch"/>
    <w:uiPriority w:val="9"/>
    <w:qFormat/>
    <w:pPr>
      <w:spacing w:afterAutospacing="on" w:beforeAutospacing="on" w:line="240" w:lineRule="auto"/>
      <w:ind/>
      <w:outlineLvl w:val="1"/>
    </w:pPr>
    <w:rPr>
      <w:rFonts w:ascii="Times New Roman" w:hAnsi="Times New Roman"/>
      <w:b w:val="1"/>
      <w:sz w:val="36"/>
    </w:rPr>
  </w:style>
  <w:style w:styleId="Style_12_ch" w:type="character">
    <w:name w:val="heading 2"/>
    <w:basedOn w:val="Style_14_ch"/>
    <w:link w:val="Style_12"/>
    <w:rPr>
      <w:rFonts w:ascii="Times New Roman" w:hAnsi="Times New Roman"/>
      <w:b w:val="1"/>
      <w:sz w:val="36"/>
    </w:rPr>
  </w:style>
  <w:style w:styleId="Style_39" w:type="table">
    <w:name w:val="Сетка таблицы9"/>
    <w:basedOn w:val="Style_3"/>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styleId="Style_2" w:type="table">
    <w:name w:val="Table Grid"/>
    <w:basedOn w:val="Style_3"/>
    <w:pPr>
      <w:spacing w:after="0" w:line="240" w:lineRule="auto"/>
      <w:ind/>
    </w:pPr>
    <w:rPr>
      <w:rFonts w:ascii="Calibri" w:hAnsi="Calibri"/>
      <w:sz w:val="20"/>
    </w:rPr>
    <w:tblPr>
      <w:tblBorders>
        <w:top w:color="000000" w:sz="4" w:val="single"/>
        <w:left w:color="000000" w:sz="4" w:val="single"/>
        <w:bottom w:color="000000" w:sz="4" w:val="single"/>
        <w:right w:color="000000" w:sz="4" w:val="single"/>
        <w:insideH w:color="000000" w:sz="4" w:val="single"/>
        <w:insideV w:color="000000" w:sz="4" w:val="single"/>
      </w:tblBorders>
    </w:tblPr>
  </w:style>
  <w:style w:default="1" w:styleId="Style_3" w:type="table">
    <w:name w:val="Normal Table"/>
    <w:tblPr>
      <w:tblInd w:type="dxa" w:w="0"/>
      <w:tblCellMar>
        <w:top w:type="dxa" w:w="0"/>
        <w:left w:type="dxa" w:w="108"/>
        <w:bottom w:type="dxa" w:w="0"/>
        <w:right w:type="dxa" w:w="108"/>
      </w:tblCellMar>
    </w:tblPr>
  </w:style>
</w:styles>
</file>

<file path=word/stylesWithEffects.xml><?xml version="1.0" encoding="utf-8"?>
<w:styles xmlns:w="http://schemas.openxmlformats.org/wordprocessingml/2006/main">
  <w:docDefaults>
    <w:rPrDefault>
      <w:rPr>
        <w:rFonts w:asciiTheme="minorHAnsi" w:cstheme="minorBidi" w:eastAsiaTheme="minorEastAsia" w:hAnsiTheme="minorHAnsi"/>
        <w:sz w:val="24"/>
        <w:szCs w:val="24"/>
        <w:lang w:bidi="ar-SA" w:eastAsia="en-US" w:val="en-US"/>
      </w:rPr>
    </w:rPrDefault>
    <w:pPrDefault/>
  </w:docDefaults>
  <w:latentStyles w:count="276" w:defLockedState="0" w:defQFormat="0" w:defSemiHidden="1" w:defUIPriority="99" w:defUnhideWhenUsed="1">
    <w:lsdException w:name="Normal" w:qFormat="1" w:semiHidden="0" w:uiPriority="0" w:unhideWhenUsed="0"/>
    <w:lsdException w:name="heading 1" w:qFormat="1" w:semiHidden="0" w:uiPriority="9" w:unhideWhenUsed="0"/>
    <w:lsdException w:name="heading 2" w:qFormat="1" w:uiPriority="9"/>
    <w:lsdException w:name="heading 3" w:qFormat="1" w:uiPriority="9"/>
    <w:lsdException w:name="heading 4" w:qFormat="1" w:uiPriority="9"/>
    <w:lsdException w:name="heading 5" w:qFormat="1" w:uiPriority="9"/>
    <w:lsdException w:name="heading 6" w:qFormat="1" w:uiPriority="9"/>
    <w:lsdException w:name="heading 7" w:qFormat="1" w:uiPriority="9"/>
    <w:lsdException w:name="heading 8" w:qFormat="1" w:uiPriority="9"/>
    <w:lsdException w:name="heading 9" w:qFormat="1" w:uiPriority="9"/>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qFormat="1" w:uiPriority="35"/>
    <w:lsdException w:name="Title" w:qFormat="1" w:semiHidden="0" w:uiPriority="10" w:unhideWhenUsed="0"/>
    <w:lsdException w:name="Default Paragraph Font" w:uiPriority="1"/>
    <w:lsdException w:name="Subtitle" w:qFormat="1" w:semiHidden="0" w:uiPriority="11" w:unhideWhenUsed="0"/>
    <w:lsdException w:name="Strong" w:qFormat="1" w:semiHidden="0" w:uiPriority="22" w:unhideWhenUsed="0"/>
    <w:lsdException w:name="Emphasis" w:qFormat="1" w:semiHidden="0" w:uiPriority="20" w:unhideWhenUsed="0"/>
    <w:lsdException w:name="Table Grid" w:semiHidden="0" w:uiPriority="59" w:unhideWhenUsed="0"/>
    <w:lsdException w:name="Placeholder Text" w:unhideWhenUsed="0"/>
    <w:lsdException w:name="No Spacing" w:qFormat="1" w:semiHidden="0" w:uiPriority="1" w:unhideWhenUsed="0"/>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qFormat="1" w:semiHidden="0" w:uiPriority="34" w:unhideWhenUsed="0"/>
    <w:lsdException w:name="Quote" w:qFormat="1" w:semiHidden="0" w:uiPriority="29" w:unhideWhenUsed="0"/>
    <w:lsdException w:name="Intense Quote" w:qFormat="1" w:semiHidden="0" w:uiPriority="30" w:unhideWhenUsed="0"/>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qFormat="1" w:semiHidden="0" w:uiPriority="19" w:unhideWhenUsed="0"/>
    <w:lsdException w:name="Intense Emphasis" w:qFormat="1" w:semiHidden="0" w:uiPriority="21" w:unhideWhenUsed="0"/>
    <w:lsdException w:name="Subtle Reference" w:qFormat="1" w:semiHidden="0" w:uiPriority="31" w:unhideWhenUsed="0"/>
    <w:lsdException w:name="Intense Reference" w:qFormat="1" w:semiHidden="0" w:uiPriority="32" w:unhideWhenUsed="0"/>
    <w:lsdException w:name="Book Title" w:qFormat="1" w:semiHidden="0" w:uiPriority="33" w:unhideWhenUsed="0"/>
    <w:lsdException w:name="Bibliography" w:uiPriority="37"/>
    <w:lsdException w:name="TOC Heading" w:qFormat="1" w:uiPriority="39"/>
  </w:latentStyles>
  <w:style w:default="1" w:styleId="Normal" w:type="paragraph">
    <w:name w:val="Normal"/>
    <w:qFormat/>
  </w:style>
  <w:style w:styleId="Heading1" w:type="paragraph">
    <w:name w:val="heading 1"/>
    <w:basedOn w:val="Normal"/>
    <w:next w:val="Normal"/>
    <w:link w:val="Heading1Char"/>
    <w:uiPriority w:val="9"/>
    <w:qFormat/>
    <w:rsid w:val="00111FAE"/>
    <w:pPr>
      <w:keepNext/>
      <w:keepLines/>
      <w:spacing w:before="480"/>
      <w:outlineLvl w:val="0"/>
    </w:pPr>
    <w:rPr>
      <w:rFonts w:asciiTheme="majorHAnsi" w:cstheme="majorBidi" w:eastAsiaTheme="majorEastAsia" w:hAnsiTheme="majorHAnsi"/>
      <w:b/>
      <w:bCs/>
      <w:color w:themeColor="accent1" w:themeShade="B5" w:val="345A8A"/>
      <w:sz w:val="32"/>
      <w:szCs w:val="32"/>
    </w:rPr>
  </w:style>
  <w:style w:default="1" w:styleId="DefaultParagraphFont" w:type="character">
    <w:name w:val="Default Paragraph Font"/>
    <w:uiPriority w:val="1"/>
    <w:semiHidden/>
    <w:unhideWhenUsed/>
  </w:style>
  <w:style w:default="1" w:styleId="TableNormal" w:type="table">
    <w:name w:val="Normal Table"/>
    <w:uiPriority w:val="99"/>
    <w:semiHidden/>
    <w:unhideWhenUsed/>
    <w:tblPr>
      <w:tblInd w:type="dxa" w:w="0"/>
      <w:tblCellMar>
        <w:top w:type="dxa" w:w="0"/>
        <w:left w:type="dxa" w:w="108"/>
        <w:bottom w:type="dxa" w:w="0"/>
        <w:right w:type="dxa" w:w="108"/>
      </w:tblCellMar>
    </w:tblPr>
  </w:style>
  <w:style w:default="1" w:styleId="NoList" w:type="numbering">
    <w:name w:val="No List"/>
    <w:uiPriority w:val="99"/>
    <w:semiHidden/>
    <w:unhideWhenUsed/>
  </w:style>
  <w:style w:customStyle="1" w:styleId="Heading1Char" w:type="character">
    <w:name w:val="Heading 1 Char"/>
    <w:basedOn w:val="DefaultParagraphFont"/>
    <w:link w:val="Heading1"/>
    <w:uiPriority w:val="9"/>
    <w:rsid w:val="00111FAE"/>
    <w:rPr>
      <w:rFonts w:asciiTheme="majorHAnsi" w:cstheme="majorBidi" w:eastAsiaTheme="majorEastAsia" w:hAnsiTheme="majorHAnsi"/>
      <w:b/>
      <w:bCs/>
      <w:color w:themeColor="accent1" w:themeShade="B5" w:val="345A8A"/>
      <w:sz w:val="32"/>
      <w:szCs w:val="32"/>
    </w:rPr>
  </w:style>
</w:styles>
</file>

<file path=word/webSettings.xml><?xml version="1.0" encoding="utf-8"?>
<w:webSettings xmlns:r="http://schemas.openxmlformats.org/officeDocument/2006/relationships" xmlns:w="http://schemas.openxmlformats.org/wordprocessingml/2006/main">
  <w:allowPNG/>
  <w:doNotSaveAsSingleFile/>
</w:webSettings>
</file>

<file path=word/_rels/document.xml.rels><?xml version="1.0" encoding="UTF-8" standalone="no" ?>
<Relationships xmlns="http://schemas.openxmlformats.org/package/2006/relationships">
  <Relationship Id="rId13" Target="footnotes.xml" Type="http://schemas.openxmlformats.org/officeDocument/2006/relationships/footnotes"/>
  <Relationship Id="rId11" Target="webSettings.xml" Type="http://schemas.openxmlformats.org/officeDocument/2006/relationships/webSettings"/>
  <Relationship Id="rId10" Target="stylesWithEffects.xml" Type="http://schemas.microsoft.com/office/2007/relationships/stylesWithEffects"/>
  <Relationship Id="rId9" Target="styles.xml" Type="http://schemas.openxmlformats.org/officeDocument/2006/relationships/styles"/>
  <Relationship Id="rId8" Target="settings.xml" Type="http://schemas.openxmlformats.org/officeDocument/2006/relationships/settings"/>
  <Relationship Id="rId7" Target="fontTable.xml" Type="http://schemas.openxmlformats.org/officeDocument/2006/relationships/fontTable"/>
  <Relationship Id="rId14" Target="numbering.xml" Type="http://schemas.openxmlformats.org/officeDocument/2006/relationships/numbering"/>
  <Relationship Id="rId6" Target="media/5.png" Type="http://schemas.openxmlformats.org/officeDocument/2006/relationships/image"/>
  <Relationship Id="rId5" Target="media/4.png" Type="http://schemas.openxmlformats.org/officeDocument/2006/relationships/image"/>
  <Relationship Id="rId4" Target="media/3.png" Type="http://schemas.openxmlformats.org/officeDocument/2006/relationships/image"/>
  <Relationship Id="rId12" Target="theme/theme1.xml" Type="http://schemas.openxmlformats.org/officeDocument/2006/relationships/theme"/>
  <Relationship Id="rId3" Target="media/2.jpeg" Type="http://schemas.openxmlformats.org/officeDocument/2006/relationships/image"/>
  <Relationship Id="rId2" Target="media/1.jpeg" Type="http://schemas.openxmlformats.org/officeDocument/2006/relationships/image"/>
  <Relationship Id="rId1" Target="footer1.xml" Type="http://schemas.openxmlformats.org/officeDocument/2006/relationships/footer"/>
</Relationships>

</file>

<file path=word/theme/theme1.xml><?xml version="1.0" encoding="utf-8"?>
<a:theme xmlns:a="http://schemas.openxmlformats.org/drawingml/2006/main" xmlns:a15="http://schemas.microsoft.com/office/drawing/2012/main" xmlns:asvg="http://schemas.microsoft.com/office/drawing/2016/SVG/main" xmlns:c="http://schemas.openxmlformats.org/drawingml/2006/chart" xmlns:co="http://ncloudtech.com" xmlns:co-ooxml="http://ncloudtech.com/ooxml" xmlns:m="http://schemas.openxmlformats.org/officeDocument/2006/math" xmlns:mc="http://schemas.openxmlformats.org/markup-compatibility/2006" xmlns:o="urn:schemas-microsoft-com:office:office" xmlns:p="http://schemas.openxmlformats.org/presentationml/2006/main" xmlns:pic="http://schemas.openxmlformats.org/drawingml/2006/picture" xmlns:r="http://schemas.openxmlformats.org/officeDocument/2006/relationships" xmlns:s="http://schemas.openxmlformats.org/officeDocument/2006/sharedTypes" xmlns:sl="http://schemas.openxmlformats.org/schemaLibrary/2006/main" xmlns:v="urn:schemas-microsoft-com:vml" xmlns:w="http://schemas.openxmlformats.org/wordprocessingml/2006/main" xmlns:w10="urn:schemas-microsoft-com:office:word" xmlns:w14="http://schemas.microsoft.com/office/word/2010/wordml" xmlns:w15="http://schemas.microsoft.com/office/word/2012/wordml" xmlns:wp="http://schemas.openxmlformats.org/drawingml/2006/wordprocessingDrawing" xmlns:wpg="http://schemas.microsoft.com/office/word/2010/wordprocessingGroup" xmlns:wps="http://schemas.microsoft.com/office/word/2010/wordprocessingShape" xmlns:x="urn:schemas-microsoft-com:office:excel" xmlns:x14="http://schemas.microsoft.com/office/spreadsheetml/2009/9/main" xmlns:xdr="http://schemas.openxmlformats.org/drawingml/2006/spreadsheetDrawing" xmlns:xm="http://schemas.microsoft.com/office/excel/2006/main" name="Тема Office">
  <a:themeElements>
    <a:clrScheme name="Стандартная">
      <a:dk1>
        <a:srgbClr val="000000"/>
      </a:dk1>
      <a:lt1>
        <a:srgbClr val="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majorFont>
      <a:minorFont>
        <a:latin typeface="Calibri"/>
        <a:ea typeface=""/>
        <a:cs typeface=""/>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gradFill>
      </a:fillStyleLst>
      <a:lnStyleLst>
        <a:ln w="6350">
          <a:solidFill>
            <a:schemeClr val="phClr"/>
          </a:solidFill>
          <a:prstDash val="solid"/>
        </a:ln>
        <a:ln w="12700">
          <a:solidFill>
            <a:schemeClr val="phClr"/>
          </a:solidFill>
          <a:prstDash val="solid"/>
        </a:ln>
        <a:ln w="19050">
          <a:solidFill>
            <a:schemeClr val="phClr"/>
          </a:solidFill>
          <a:prstDash val="solid"/>
        </a:ln>
      </a:lnStyleLst>
      <a:effectStyleLst>
        <a:effectStyle>
          <a:effectLst>
            <a:outerShdw>
              <a:srgbClr val="000000">
                <a:alpha val="38000"/>
              </a:srgbClr>
            </a:outerShdw>
          </a:effectLst>
        </a:effectStyle>
        <a:effectStyle>
          <a:effectLst>
            <a:outerShdw>
              <a:srgbClr val="000000">
                <a:alpha val="35000"/>
              </a:srgbClr>
            </a:outerShdw>
          </a:effectLst>
        </a:effectStyle>
        <a:effectStyle>
          <a:effectLst>
            <a:outerShdw>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gradFill>
      </a:bgFillStyleLst>
    </a:fmtScheme>
  </a:themeElements>
</a:theme>
</file>

<file path=docProps/app.xml><?xml version="1.0" encoding="utf-8"?>
<Properties xmlns="http://schemas.openxmlformats.org/officeDocument/2006/extended-properties">
  <Template>Normal.dotm</Template>
  <TotalTime>0</TotalTime>
  <DocSecurity>0</DocSecurity>
  <ScaleCrop>false</ScaleCrop>
  <Application>MyOffice-CoreFramework-Windows/29</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modified xsi:type="dcterms:W3CDTF">2026-09-01T07:45:31Z</dcterms:modified>
</cp:coreProperties>
</file>