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9000000">
      <w:pPr>
        <w:spacing w:line="240" w:lineRule="auto"/>
        <w:ind/>
        <w:jc w:val="center"/>
      </w:pPr>
      <w:r>
        <w:t>Автономная некоммерческая профессиональная образовательная организация</w:t>
      </w:r>
    </w:p>
    <w:p w14:paraId="0A000000">
      <w:pPr>
        <w:spacing w:line="240" w:lineRule="auto"/>
        <w:ind/>
        <w:jc w:val="center"/>
      </w:pPr>
      <w:r>
        <w:t>«Многопрофильная Академия непрерывного образования»</w:t>
      </w:r>
    </w:p>
    <w:p w14:paraId="0B000000">
      <w:pPr>
        <w:spacing w:after="100" w:line="240" w:lineRule="auto"/>
        <w:ind/>
        <w:jc w:val="center"/>
      </w:pPr>
      <w:r>
        <w:t>(АНПОО «МАНО»)</w:t>
      </w:r>
    </w:p>
    <w:p w14:paraId="0C000000">
      <w:pPr>
        <w:spacing w:after="200" w:line="240" w:lineRule="auto"/>
        <w:ind/>
        <w:jc w:val="center"/>
      </w:pPr>
      <w:r>
        <w:t>Колледж</w:t>
      </w:r>
    </w:p>
    <w:p w14:paraId="0D000000"/>
    <w:p w14:paraId="0E000000">
      <w:pPr>
        <w:spacing w:line="240" w:lineRule="auto"/>
        <w:ind/>
      </w:pPr>
      <w:r>
        <w:t>Специальность 40.02.04 Юриспруденция</w:t>
      </w:r>
    </w:p>
    <w:p w14:paraId="0F000000">
      <w:pPr>
        <w:spacing w:line="240" w:lineRule="auto"/>
        <w:ind/>
      </w:pPr>
      <w:r>
        <w:t>Форма обучения заочная</w:t>
      </w:r>
    </w:p>
    <w:p w14:paraId="10000000">
      <w:pPr>
        <w:spacing w:after="200" w:line="240" w:lineRule="auto"/>
        <w:ind/>
      </w:pPr>
      <w:r>
        <w:t>Группа</w:t>
      </w:r>
    </w:p>
    <w:p w14:paraId="11000000"/>
    <w:p w14:paraId="12000000"/>
    <w:p w14:paraId="13000000">
      <w:pPr>
        <w:ind/>
        <w:jc w:val="center"/>
      </w:pPr>
      <w:r>
        <w:rPr>
          <w:b w:val="1"/>
          <w:sz w:val="32"/>
        </w:rPr>
        <w:t>ДИПЛОМНАЯ РАБОТА</w:t>
      </w:r>
    </w:p>
    <w:p w14:paraId="14000000"/>
    <w:p w14:paraId="15000000">
      <w:pPr>
        <w:ind/>
        <w:jc w:val="center"/>
      </w:pPr>
      <w:r>
        <w:t>на тему «Понятие и виды судебного делопроизводства»</w:t>
      </w:r>
    </w:p>
    <w:p w14:paraId="16000000"/>
    <w:p w14:paraId="17000000">
      <w:pPr>
        <w:ind/>
        <w:jc w:val="center"/>
      </w:pPr>
      <w:r>
        <w:t>студента __________________________________________</w:t>
      </w:r>
    </w:p>
    <w:p w14:paraId="18000000"/>
    <w:p w14:paraId="19000000"/>
    <w:p w14:paraId="1A000000">
      <w:r>
        <w:t>Дипломная работа допущена к защите</w:t>
      </w:r>
    </w:p>
    <w:p w14:paraId="1B000000">
      <w:r>
        <w:t>Заместитель директора «___» ___________ 2026 г.</w:t>
      </w:r>
    </w:p>
    <w:p w14:paraId="1C000000">
      <w:r>
        <w:t>___________________  ___________________</w:t>
      </w:r>
    </w:p>
    <w:p w14:paraId="1D000000">
      <w:pPr>
        <w:spacing w:line="240" w:lineRule="auto"/>
        <w:ind w:firstLine="2835" w:left="0"/>
      </w:pPr>
      <w:r>
        <w:rPr>
          <w:sz w:val="24"/>
        </w:rPr>
        <w:t>(ФИО)                    (подпись)</w:t>
      </w:r>
    </w:p>
    <w:p w14:paraId="1E000000"/>
    <w:p w14:paraId="1F000000">
      <w:r>
        <w:t>Руководитель ___________________  ___________________</w:t>
      </w:r>
    </w:p>
    <w:p w14:paraId="20000000">
      <w:pPr>
        <w:spacing w:line="240" w:lineRule="auto"/>
        <w:ind w:firstLine="3402" w:left="0"/>
      </w:pPr>
      <w:r>
        <w:rPr>
          <w:sz w:val="24"/>
        </w:rPr>
        <w:t>(ФИО)                    (подпись)</w:t>
      </w:r>
    </w:p>
    <w:p w14:paraId="21000000"/>
    <w:p w14:paraId="22000000">
      <w:r>
        <w:t>Дата защиты «___» ___________ 2026 г.</w:t>
      </w:r>
    </w:p>
    <w:p w14:paraId="23000000">
      <w:r>
        <w:t>Оценка ___________________</w:t>
      </w:r>
    </w:p>
    <w:p w14:paraId="24000000"/>
    <w:p w14:paraId="25000000"/>
    <w:p w14:paraId="26000000">
      <w:pPr>
        <w:ind/>
        <w:jc w:val="center"/>
      </w:pPr>
      <w:r>
        <w:t>Омск, 2026</w:t>
      </w:r>
    </w:p>
    <w:p w14:paraId="27000000">
      <w:pPr>
        <w:sectPr>
          <w:headerReference r:id="rId1" w:type="first"/>
          <w:headerReference r:id="rId3" w:type="default"/>
          <w:footerReference r:id="rId2" w:type="first"/>
          <w:footerReference r:id="rId4" w:type="default"/>
          <w:pgSz w:h="16838" w:orient="portrait" w:w="11906"/>
          <w:pgMar w:bottom="1134" w:footer="708" w:gutter="0" w:header="708" w:left="1701" w:right="567" w:top="1134"/>
          <w:titlePg/>
        </w:sectPr>
      </w:pPr>
    </w:p>
    <w:p w14:paraId="28000000">
      <w:pPr>
        <w:pStyle w:val="Style_1"/>
        <w:ind/>
        <w:jc w:val="center"/>
        <w:rPr>
          <w:rFonts w:ascii="Times New Roman" w:hAnsi="Times New Roman"/>
          <w:color w:val="000000"/>
        </w:rPr>
      </w:pPr>
      <w:r>
        <w:rPr>
          <w:rFonts w:ascii="Times New Roman" w:hAnsi="Times New Roman"/>
          <w:color w:val="000000"/>
        </w:rPr>
        <w:t>Оглавление</w:t>
      </w:r>
    </w:p>
    <w:p>
      <w:pPr>
        <w:pStyle w:val="Style_2"/>
        <w:tabs>
          <w:tab w:leader="dot" w:pos="9638"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3</w:t>
      </w:r>
      <w:r>
        <w:fldChar w:fldCharType="end"/>
      </w:r>
      <w:r>
        <w:fldChar w:fldCharType="end"/>
      </w:r>
    </w:p>
    <w:p w14:paraId="2A000000">
      <w:pPr>
        <w:pStyle w:val="Style_2"/>
        <w:tabs>
          <w:tab w:leader="dot" w:pos="9638" w:val="right"/>
        </w:tabs>
        <w:ind/>
      </w:pPr>
      <w:r>
        <w:fldChar w:fldCharType="begin"/>
      </w:r>
      <w:r>
        <w:instrText>HYPERLINK \l "__RefHeading___2"</w:instrText>
      </w:r>
      <w:r>
        <w:fldChar w:fldCharType="separate"/>
      </w:r>
      <w:r>
        <w:t>ГЛАВА 1. ТЕОРЕТИКО-ПРАВОВЫЕ ОСНОВЫ И НАПРАВЛЕНИЯ СОВЕРШЕНСТВОВАНИЯ СУДЕБНОГО ДЕЛОПРОИЗВОДСТВА</w:t>
      </w:r>
      <w:r>
        <w:tab/>
      </w:r>
      <w:r>
        <w:fldChar w:fldCharType="begin"/>
      </w:r>
      <w:r>
        <w:instrText>PAGEREF __RefHeading___2 \h</w:instrText>
      </w:r>
      <w:r>
        <w:fldChar w:fldCharType="separate"/>
      </w:r>
      <w:r>
        <w:t>7</w:t>
      </w:r>
      <w:r>
        <w:fldChar w:fldCharType="end"/>
      </w:r>
      <w:r>
        <w:fldChar w:fldCharType="end"/>
      </w:r>
    </w:p>
    <w:p w14:paraId="2B000000">
      <w:pPr>
        <w:pStyle w:val="Style_3"/>
        <w:tabs>
          <w:tab w:leader="dot" w:pos="9638" w:val="right"/>
        </w:tabs>
        <w:ind/>
      </w:pPr>
      <w:r>
        <w:fldChar w:fldCharType="begin"/>
      </w:r>
      <w:r>
        <w:instrText>HYPERLINK \l "__RefHeading___3"</w:instrText>
      </w:r>
      <w:r>
        <w:fldChar w:fldCharType="separate"/>
      </w:r>
      <w:r>
        <w:t>1.1. Понятие, значение и место судебного делопроизводства в системе административных процедур</w:t>
      </w:r>
      <w:r>
        <w:tab/>
      </w:r>
      <w:r>
        <w:fldChar w:fldCharType="begin"/>
      </w:r>
      <w:r>
        <w:instrText>PAGEREF __RefHeading___3 \h</w:instrText>
      </w:r>
      <w:r>
        <w:fldChar w:fldCharType="separate"/>
      </w:r>
      <w:r>
        <w:t>7</w:t>
      </w:r>
      <w:r>
        <w:fldChar w:fldCharType="end"/>
      </w:r>
      <w:r>
        <w:fldChar w:fldCharType="end"/>
      </w:r>
    </w:p>
    <w:p w14:paraId="2C000000">
      <w:pPr>
        <w:pStyle w:val="Style_3"/>
        <w:tabs>
          <w:tab w:leader="dot" w:pos="9638" w:val="right"/>
        </w:tabs>
        <w:ind/>
      </w:pPr>
      <w:r>
        <w:fldChar w:fldCharType="begin"/>
      </w:r>
      <w:r>
        <w:instrText>HYPERLINK \l "__RefHeading___4"</w:instrText>
      </w:r>
      <w:r>
        <w:fldChar w:fldCharType="separate"/>
      </w:r>
      <w:r>
        <w:t>1.2. Нормативно-правовое регулирование: анализ федеральных законов, ведомственных инструкций и проблемы их унификации</w:t>
      </w:r>
      <w:r>
        <w:tab/>
      </w:r>
      <w:r>
        <w:fldChar w:fldCharType="begin"/>
      </w:r>
      <w:r>
        <w:instrText>PAGEREF __RefHeading___4 \h</w:instrText>
      </w:r>
      <w:r>
        <w:fldChar w:fldCharType="separate"/>
      </w:r>
      <w:r>
        <w:t>12</w:t>
      </w:r>
      <w:r>
        <w:fldChar w:fldCharType="end"/>
      </w:r>
      <w:r>
        <w:fldChar w:fldCharType="end"/>
      </w:r>
    </w:p>
    <w:p w14:paraId="2D000000">
      <w:pPr>
        <w:pStyle w:val="Style_3"/>
        <w:tabs>
          <w:tab w:leader="dot" w:pos="9638" w:val="right"/>
        </w:tabs>
        <w:ind/>
      </w:pPr>
      <w:r>
        <w:fldChar w:fldCharType="begin"/>
      </w:r>
      <w:r>
        <w:instrText>HYPERLINK \l "__RefHeading___5"</w:instrText>
      </w:r>
      <w:r>
        <w:fldChar w:fldCharType="separate"/>
      </w:r>
      <w:r>
        <w:t>1.3. Принципы организации и современные системы судебного делопроизводства: от традиционных моделей к электронному формату</w:t>
      </w:r>
      <w:r>
        <w:tab/>
      </w:r>
      <w:r>
        <w:fldChar w:fldCharType="begin"/>
      </w:r>
      <w:r>
        <w:instrText>PAGEREF __RefHeading___5 \h</w:instrText>
      </w:r>
      <w:r>
        <w:fldChar w:fldCharType="separate"/>
      </w:r>
      <w:r>
        <w:t>17</w:t>
      </w:r>
      <w:r>
        <w:fldChar w:fldCharType="end"/>
      </w:r>
      <w:r>
        <w:fldChar w:fldCharType="end"/>
      </w:r>
    </w:p>
    <w:p w14:paraId="2E000000">
      <w:pPr>
        <w:pStyle w:val="Style_3"/>
        <w:tabs>
          <w:tab w:leader="dot" w:pos="9638" w:val="right"/>
        </w:tabs>
        <w:ind/>
      </w:pPr>
      <w:r>
        <w:fldChar w:fldCharType="begin"/>
      </w:r>
      <w:r>
        <w:instrText>HYPERLINK \l "__RefHeading___6"</w:instrText>
      </w:r>
      <w:r>
        <w:fldChar w:fldCharType="separate"/>
      </w:r>
      <w:r>
        <w:t>1.4. Проблемы внедрения электронного документооборота и системы «Электронное правосудие»: барьеры и пути преодоления</w:t>
      </w:r>
      <w:r>
        <w:tab/>
      </w:r>
      <w:r>
        <w:fldChar w:fldCharType="begin"/>
      </w:r>
      <w:r>
        <w:instrText>PAGEREF __RefHeading___6 \h</w:instrText>
      </w:r>
      <w:r>
        <w:fldChar w:fldCharType="separate"/>
      </w:r>
      <w:r>
        <w:t>24</w:t>
      </w:r>
      <w:r>
        <w:fldChar w:fldCharType="end"/>
      </w:r>
      <w:r>
        <w:fldChar w:fldCharType="end"/>
      </w:r>
    </w:p>
    <w:p w14:paraId="2F000000">
      <w:pPr>
        <w:pStyle w:val="Style_2"/>
        <w:tabs>
          <w:tab w:leader="dot" w:pos="9638" w:val="right"/>
        </w:tabs>
        <w:ind/>
      </w:pPr>
      <w:r>
        <w:fldChar w:fldCharType="begin"/>
      </w:r>
      <w:r>
        <w:instrText>HYPERLINK \l "__RefHeading___7"</w:instrText>
      </w:r>
      <w:r>
        <w:fldChar w:fldCharType="separate"/>
      </w:r>
      <w:r>
        <w:t>ГЛАВА 2. ВИДЫ СУДЕБНОГО ДЕЛОПРОИЗВОДСТВА, ПРОЦЕССУАЛЬНЫЕ ОСОБЕННОСТИ ДОКУМЕНТООБОРОТА И ОПТИМИЗАЦИЯ ПРАКТИКИ</w:t>
      </w:r>
      <w:r>
        <w:tab/>
      </w:r>
      <w:r>
        <w:fldChar w:fldCharType="begin"/>
      </w:r>
      <w:r>
        <w:instrText>PAGEREF __RefHeading___7 \h</w:instrText>
      </w:r>
      <w:r>
        <w:fldChar w:fldCharType="separate"/>
      </w:r>
      <w:r>
        <w:t>29</w:t>
      </w:r>
      <w:r>
        <w:fldChar w:fldCharType="end"/>
      </w:r>
      <w:r>
        <w:fldChar w:fldCharType="end"/>
      </w:r>
    </w:p>
    <w:p w14:paraId="30000000">
      <w:pPr>
        <w:pStyle w:val="Style_3"/>
        <w:tabs>
          <w:tab w:leader="dot" w:pos="9638" w:val="right"/>
        </w:tabs>
        <w:ind/>
      </w:pPr>
      <w:r>
        <w:fldChar w:fldCharType="begin"/>
      </w:r>
      <w:r>
        <w:instrText>HYPERLINK \l "__RefHeading___8"</w:instrText>
      </w:r>
      <w:r>
        <w:fldChar w:fldCharType="separate"/>
      </w:r>
      <w:r>
        <w:t>2.1. Особенности делопроизводства в судах общей юрисдикции: типичные ошибки и правовые последствия</w:t>
      </w:r>
      <w:r>
        <w:tab/>
      </w:r>
      <w:r>
        <w:fldChar w:fldCharType="begin"/>
      </w:r>
      <w:r>
        <w:instrText>PAGEREF __RefHeading___8 \h</w:instrText>
      </w:r>
      <w:r>
        <w:fldChar w:fldCharType="separate"/>
      </w:r>
      <w:r>
        <w:t>29</w:t>
      </w:r>
      <w:r>
        <w:fldChar w:fldCharType="end"/>
      </w:r>
      <w:r>
        <w:fldChar w:fldCharType="end"/>
      </w:r>
    </w:p>
    <w:p w14:paraId="31000000">
      <w:pPr>
        <w:pStyle w:val="Style_3"/>
        <w:tabs>
          <w:tab w:leader="dot" w:pos="9638" w:val="right"/>
        </w:tabs>
        <w:ind/>
      </w:pPr>
      <w:r>
        <w:fldChar w:fldCharType="begin"/>
      </w:r>
      <w:r>
        <w:instrText>HYPERLINK \l "__RefHeading___9"</w:instrText>
      </w:r>
      <w:r>
        <w:fldChar w:fldCharType="separate"/>
      </w:r>
      <w:r>
        <w:t>2.2. Специфика документооборота в арбитражных судах: возможности использования электронных механизмов и риски</w:t>
      </w:r>
      <w:r>
        <w:tab/>
      </w:r>
      <w:r>
        <w:fldChar w:fldCharType="begin"/>
      </w:r>
      <w:r>
        <w:instrText>PAGEREF __RefHeading___9 \h</w:instrText>
      </w:r>
      <w:r>
        <w:fldChar w:fldCharType="separate"/>
      </w:r>
      <w:r>
        <w:t>37</w:t>
      </w:r>
      <w:r>
        <w:fldChar w:fldCharType="end"/>
      </w:r>
      <w:r>
        <w:fldChar w:fldCharType="end"/>
      </w:r>
    </w:p>
    <w:p w14:paraId="32000000">
      <w:pPr>
        <w:pStyle w:val="Style_3"/>
        <w:tabs>
          <w:tab w:leader="dot" w:pos="9638" w:val="right"/>
        </w:tabs>
        <w:ind/>
      </w:pPr>
      <w:r>
        <w:fldChar w:fldCharType="begin"/>
      </w:r>
      <w:r>
        <w:instrText>HYPERLINK \l "__RefHeading___10"</w:instrText>
      </w:r>
      <w:r>
        <w:fldChar w:fldCharType="separate"/>
      </w:r>
      <w:r>
        <w:t>2.3. Делопроизводство у мировых судей: проблемы унификации, анализ практических недостатков</w:t>
      </w:r>
      <w:r>
        <w:tab/>
      </w:r>
      <w:r>
        <w:fldChar w:fldCharType="begin"/>
      </w:r>
      <w:r>
        <w:instrText>PAGEREF __RefHeading___10 \h</w:instrText>
      </w:r>
      <w:r>
        <w:fldChar w:fldCharType="separate"/>
      </w:r>
      <w:r>
        <w:t>42</w:t>
      </w:r>
      <w:r>
        <w:fldChar w:fldCharType="end"/>
      </w:r>
      <w:r>
        <w:fldChar w:fldCharType="end"/>
      </w:r>
    </w:p>
    <w:p w14:paraId="33000000">
      <w:pPr>
        <w:pStyle w:val="Style_3"/>
        <w:tabs>
          <w:tab w:leader="dot" w:pos="9638" w:val="right"/>
        </w:tabs>
        <w:ind/>
      </w:pPr>
      <w:r>
        <w:fldChar w:fldCharType="begin"/>
      </w:r>
      <w:r>
        <w:instrText>HYPERLINK \l "__RefHeading___11"</w:instrText>
      </w:r>
      <w:r>
        <w:fldChar w:fldCharType="separate"/>
      </w:r>
      <w:r>
        <w:t>2.4. Разработка предложений по оптимизации судебного документооборота и унификации нормативных актов</w:t>
      </w:r>
      <w:r>
        <w:tab/>
      </w:r>
      <w:r>
        <w:fldChar w:fldCharType="begin"/>
      </w:r>
      <w:r>
        <w:instrText>PAGEREF __RefHeading___11 \h</w:instrText>
      </w:r>
      <w:r>
        <w:fldChar w:fldCharType="separate"/>
      </w:r>
      <w:r>
        <w:t>47</w:t>
      </w:r>
      <w:r>
        <w:fldChar w:fldCharType="end"/>
      </w:r>
      <w:r>
        <w:fldChar w:fldCharType="end"/>
      </w:r>
    </w:p>
    <w:p w14:paraId="34000000">
      <w:pPr>
        <w:pStyle w:val="Style_2"/>
        <w:tabs>
          <w:tab w:leader="dot" w:pos="9638" w:val="right"/>
        </w:tabs>
        <w:ind/>
      </w:pPr>
      <w:r>
        <w:fldChar w:fldCharType="begin"/>
      </w:r>
      <w:r>
        <w:instrText>HYPERLINK \l "__RefHeading___12"</w:instrText>
      </w:r>
      <w:r>
        <w:fldChar w:fldCharType="separate"/>
      </w:r>
      <w:r>
        <w:t>ЗАКЛЮЧЕНИЕ</w:t>
      </w:r>
      <w:r>
        <w:tab/>
      </w:r>
      <w:r>
        <w:fldChar w:fldCharType="begin"/>
      </w:r>
      <w:r>
        <w:instrText>PAGEREF __RefHeading___12 \h</w:instrText>
      </w:r>
      <w:r>
        <w:fldChar w:fldCharType="separate"/>
      </w:r>
      <w:r>
        <w:t>53</w:t>
      </w:r>
      <w:r>
        <w:fldChar w:fldCharType="end"/>
      </w:r>
      <w:r>
        <w:fldChar w:fldCharType="end"/>
      </w:r>
    </w:p>
    <w:p w14:paraId="35000000">
      <w:pPr>
        <w:pStyle w:val="Style_2"/>
        <w:tabs>
          <w:tab w:leader="dot" w:pos="9638" w:val="right"/>
        </w:tabs>
        <w:ind/>
      </w:pPr>
      <w:r>
        <w:fldChar w:fldCharType="begin"/>
      </w:r>
      <w:r>
        <w:instrText>HYPERLINK \l "__RefHeading___13"</w:instrText>
      </w:r>
      <w:r>
        <w:fldChar w:fldCharType="separate"/>
      </w:r>
      <w:r>
        <w:t>СПИСОК ИНФОРМАЦИОННЫХ ИСТОЧНИКОВ</w:t>
      </w:r>
      <w:r>
        <w:tab/>
      </w:r>
      <w:r>
        <w:fldChar w:fldCharType="begin"/>
      </w:r>
      <w:r>
        <w:instrText>PAGEREF __RefHeading___13 \h</w:instrText>
      </w:r>
      <w:r>
        <w:fldChar w:fldCharType="separate"/>
      </w:r>
      <w:r>
        <w:t>56</w:t>
      </w:r>
      <w:r>
        <w:fldChar w:fldCharType="end"/>
      </w:r>
      <w:r>
        <w:fldChar w:fldCharType="end"/>
      </w:r>
    </w:p>
    <w:p>
      <w:r>
        <w:fldChar w:fldCharType="end"/>
      </w:r>
    </w:p>
    <w:p w14:paraId="37000000">
      <w:pPr>
        <w:sectPr>
          <w:headerReference r:id="rId7" w:type="default"/>
          <w:footerReference r:id="rId8" w:type="default"/>
          <w:pgSz w:h="16838" w:orient="portrait" w:w="11906"/>
          <w:pgMar w:bottom="1134" w:footer="708" w:gutter="0" w:header="708" w:left="1701" w:right="567" w:top="1134"/>
        </w:sectPr>
      </w:pPr>
    </w:p>
    <w:p w14:paraId="38000000">
      <w:bookmarkStart w:id="1" w:name="__RefHeading___1"/>
      <w:bookmarkEnd w:id="1"/>
      <w:pPr>
        <w:pStyle w:val="Style_4"/>
        <w:pageBreakBefore w:val="1"/>
        <w:ind/>
      </w:pPr>
      <w:r>
        <w:t>ВВЕДЕНИЕ</w:t>
      </w:r>
    </w:p>
    <w:p w14:paraId="39000000">
      <w:pPr>
        <w:ind w:firstLine="709" w:left="0"/>
        <w:jc w:val="both"/>
      </w:pPr>
      <w:r>
        <w:t>Актуальность темы исследования обусловлена тем, что судебное делопроизводство представляет собой неотъемлемый элемент организационного обеспечения деятельности судебных органов Российской Федерации. Эффективное функционирование судебной системы невозможно без надлежащей организации документационного обеспечения, поскольку именно от качества ведения делопроизводства зависят сроки рассмотрения дел, соблюдение процессуальных прав участников судопроизводства, обеспечение доступности правосудия и формирование единообразной судебной практики. В условиях цифровой трансформации государственного управления вопросы совершенствования судебного делопроизводства приобретают особую значимость, поскольку переход к электронным формам документооборота требует комплексного пересмотра сложившихся подходов к организации работы аппаратов судов [24, с. 43].</w:t>
      </w:r>
    </w:p>
    <w:p w14:paraId="3A000000">
      <w:pPr>
        <w:ind w:firstLine="709" w:left="0"/>
        <w:jc w:val="both"/>
      </w:pPr>
      <w:r>
        <w:t>Вместе с тем современная практика свидетельствует о наличии значительного числа проблем в сфере судебного делопроизводства, связанных с неполной унификацией нормативных актов, регламентирующих порядок ведения документации в судах различных уровней и юрисдикций. Инструкции по судебному делопроизводству в районных судах, верховных судах республик и иных судах субъектов Российской Федерации, арбитражных судах и на судебных участках мировых судей содержат различные подходы к организации документооборота, что порождает неоднородность правоприменительной практики и создаёт условия для допущения процессуальных ошибок [25, с. 29]. Отсутствие единого кодифицированного акта, регулирующего судебное делопроизводство для всех звеньев судебной системы, является существенным пробелом в правовом регулировании данной сферы.</w:t>
      </w:r>
    </w:p>
    <w:p w14:paraId="3B000000">
      <w:pPr>
        <w:ind w:firstLine="709" w:left="0"/>
        <w:jc w:val="both"/>
      </w:pPr>
      <w:r>
        <w:t xml:space="preserve">Помимо этого, внедрение информационных технологий в деятельность судов, в том числе Государственной автоматизированной системы «Правосудие» </w:t>
      </w:r>
      <w:r>
        <w:t>и системы «Мой Арбитр», происходит неравномерно и сопряжено с рядом организационных, технических и правовых трудностей. Недостаточная оснащённость ряда судебных участков мировых судей современным оборудованием, отсутствие единых стандартов электронного взаимодействия между судами различных юрисдикций и неготовность части работников аппаратов судов к работе в новых условиях обусловливают необходимость научного осмысления проблематики электронного судебного делопроизводства [23, с. 14].</w:t>
      </w:r>
    </w:p>
    <w:p w14:paraId="3C000000">
      <w:pPr>
        <w:ind w:firstLine="709" w:left="0"/>
        <w:jc w:val="both"/>
      </w:pPr>
      <w:r>
        <w:t>Степень научной разработанности темы. Вопросы организации судебного делопроизводства нашли отражение в трудах таких учёных, как А.А. Власов, К.Ф. Гуценко, В.В. Ершов, В.М. Лебедев, Н.А. Петухов, А.С. Мамыкин, И.В. Решетникова, А.Н. Чашин и других исследователей. Проблемам внедрения электронного документооборота в судебную деятельность посвящены работы Е.А. Борисовой, В.В. Момотова, А.Р. Султанова, А.П. Фокова. Тем не менее комплексные исследования, направленные на сравнительный анализ видов судебного делопроизводства в судах различных юрисдикций с учётом новейших изменений законодательства и практики применения электронных систем, остаются недостаточно представленными в современной юридической литературе.</w:t>
      </w:r>
    </w:p>
    <w:p w14:paraId="3D000000">
      <w:pPr>
        <w:ind w:firstLine="709" w:left="0"/>
        <w:jc w:val="both"/>
      </w:pPr>
      <w:r>
        <w:t>Анализ научных публикаций последних лет свидетельствует о возрастающем интересе исследователей к проблематике цифровизации судебной деятельности. Вместе с тем большинство работ посвящены отдельным аспектам электронного правосудия — электронной подаче документов, использованию видеоконференц-связи, автоматизации судебной статистики — и не рассматривают судебное делопроизводство как целостную систему, подлежащую комплексному реформированию. Настоящее исследование призвано восполнить указанный пробел и представить системный анализ понятия, видов и проблем судебного делопроизводства с учётом новейших тенденций развития информационных технологий в судебной сфере.</w:t>
      </w:r>
    </w:p>
    <w:p w14:paraId="3E000000">
      <w:pPr>
        <w:ind w:firstLine="709" w:left="0"/>
        <w:jc w:val="both"/>
      </w:pPr>
      <w:r>
        <w:t>Эмпирическую базу исследования составляют данные судебной статистики Судебного департамента при Верховном Суде Российской Федерации, материалы обобщения судебной практики, публикации в юридических периодических изданиях, а также информация официальных интернет-ресурсов судебных органов.</w:t>
      </w:r>
    </w:p>
    <w:p w14:paraId="3F000000">
      <w:pPr>
        <w:ind w:firstLine="709" w:left="0"/>
        <w:jc w:val="both"/>
      </w:pPr>
      <w:r>
        <w:t>Объектом исследования являются общественные отношения, складывающиеся в процессе организации и ведения судебного делопроизводства в судах Российской Федерации.</w:t>
      </w:r>
    </w:p>
    <w:p w14:paraId="40000000">
      <w:pPr>
        <w:ind w:firstLine="709" w:left="0"/>
        <w:jc w:val="both"/>
      </w:pPr>
      <w:r>
        <w:t>Предметом исследования выступают нормативные правовые акты, регулирующие порядок судебного делопроизводства, а также практика их применения в судах общей юрисдикции, арбитражных судах и на судебных участках мировых судей.</w:t>
      </w:r>
    </w:p>
    <w:p w14:paraId="41000000">
      <w:pPr>
        <w:ind w:firstLine="709" w:left="0"/>
        <w:jc w:val="both"/>
      </w:pPr>
      <w:r>
        <w:t>Целью дипломной работы является комплексный анализ понятия, видов и правовых основ судебного делопроизводства в Российской Федерации, выявление проблем нормативного регулирования и практической организации документооборота в судебных органах, а также разработка предложений по оптимизации делопроизводственных процедур.</w:t>
      </w:r>
    </w:p>
    <w:p w14:paraId="42000000">
      <w:pPr>
        <w:ind w:firstLine="709" w:left="0"/>
        <w:jc w:val="both"/>
      </w:pPr>
      <w:r>
        <w:t>Для достижения указанной цели были поставлены следующие задачи:</w:t>
      </w:r>
    </w:p>
    <w:p w14:paraId="43000000">
      <w:pPr>
        <w:ind w:firstLine="709" w:left="0"/>
        <w:jc w:val="both"/>
      </w:pPr>
      <w:r>
        <w:t>– раскрыть понятие, значение и место судебного делопроизводства в системе административных процедур;</w:t>
      </w:r>
    </w:p>
    <w:p w14:paraId="44000000">
      <w:pPr>
        <w:ind w:firstLine="709" w:left="0"/>
        <w:jc w:val="both"/>
      </w:pPr>
      <w:r>
        <w:t>– проанализировать нормативно-правовое регулирование судебного делопроизводства, включая федеральные законы и ведомственные инструкции;</w:t>
      </w:r>
    </w:p>
    <w:p w14:paraId="45000000">
      <w:pPr>
        <w:ind w:firstLine="709" w:left="0"/>
        <w:jc w:val="both"/>
      </w:pPr>
      <w:r>
        <w:t>– исследовать принципы организации и современные системы судебного делопроизводства в контексте перехода к электронному формату;</w:t>
      </w:r>
    </w:p>
    <w:p w14:paraId="46000000">
      <w:pPr>
        <w:ind w:firstLine="709" w:left="0"/>
        <w:jc w:val="both"/>
      </w:pPr>
      <w:r>
        <w:t>– выявить проблемы внедрения электронного документооборота и системы «Электронное правосудие»;</w:t>
      </w:r>
    </w:p>
    <w:p w14:paraId="47000000">
      <w:pPr>
        <w:ind w:firstLine="709" w:left="0"/>
        <w:jc w:val="both"/>
      </w:pPr>
      <w:r>
        <w:t>– определить особенности делопроизводства в судах общей юрисдикции, арбитражных судах и на судебных участках мировых судей;</w:t>
      </w:r>
    </w:p>
    <w:p w14:paraId="48000000">
      <w:pPr>
        <w:ind w:firstLine="709" w:left="0"/>
        <w:jc w:val="both"/>
      </w:pPr>
      <w:r>
        <w:t>– разработать предложения по оптимизации судебного документооборота и унификации нормативных актов.</w:t>
      </w:r>
    </w:p>
    <w:p w14:paraId="49000000">
      <w:pPr>
        <w:ind w:firstLine="709" w:left="0"/>
        <w:jc w:val="both"/>
      </w:pPr>
      <w:r>
        <w:t>Методы исследования. В процессе выполнения работы были использованы общенаучные методы: анализ, синтез, обобщение, классификация, сравнение, а также частнонаучные методы правового исследования: формально-юридический, сравнительно-правовой и метод правового моделирования.</w:t>
      </w:r>
    </w:p>
    <w:p w14:paraId="4A000000">
      <w:pPr>
        <w:ind w:firstLine="709" w:left="0"/>
        <w:jc w:val="both"/>
      </w:pPr>
      <w:r>
        <w:t>Теоретическую базу исследования составили труды отечественных учёных-правоведов в области судоустройства, процессуального права и организации деятельности судов.</w:t>
      </w:r>
    </w:p>
    <w:p w14:paraId="4B000000">
      <w:pPr>
        <w:ind w:firstLine="709" w:left="0"/>
        <w:jc w:val="both"/>
      </w:pPr>
      <w:r>
        <w:t>Нормативную основу исследования составляют Конституция Российской Федерации, федеральные конституционные законы, федеральные законы, регулирующие организацию и деятельность судебной системы, процессуальные кодексы, приказы Судебного департамента при Верховном Суде Российской Федерации, устанавливающие инструкции по судебному делопроизводству.</w:t>
      </w:r>
    </w:p>
    <w:p w14:paraId="4C000000">
      <w:pPr>
        <w:ind w:firstLine="709" w:left="0"/>
        <w:jc w:val="both"/>
      </w:pPr>
      <w:r>
        <w:t>Практическая значимость работы состоит в том, что сформулированные выводы и предложения могут быть использованы при совершенствовании ведомственных инструкций по судебному делопроизводству, в практической деятельности работников аппаратов судов, а также в образовательном процессе при подготовке специалистов юридического профиля.</w:t>
      </w:r>
    </w:p>
    <w:p w14:paraId="4D000000">
      <w:pPr>
        <w:ind w:firstLine="709" w:left="0"/>
        <w:jc w:val="both"/>
      </w:pPr>
      <w:r>
        <w:t>Структура работы определена целью и задачами исследования. Дипломная работа состоит из введения, двух глав, включающих восемь параграфов, заключения, списка информационных источников и приложений. Список информационных источников включает 30 наименований.</w:t>
      </w:r>
    </w:p>
    <w:p w14:paraId="4E000000">
      <w:pPr>
        <w:ind w:firstLine="709" w:left="0"/>
        <w:jc w:val="both"/>
      </w:pPr>
      <w:r>
        <w:t xml:space="preserve">В первой главе рассматриваются теоретико-правовые основы судебного делопроизводства: раскрывается понятие и значение судебного делопроизводства, анализируется система нормативно-правового регулирования, исследуются принципы организации и современные информационные системы, выявляются проблемы внедрения электронного документооборота. Вторая глава посвящена анализу видов судебного </w:t>
      </w:r>
      <w:r>
        <w:t>делопроизводства в судах различных юрисдикций: рассматриваются особенности делопроизводства в судах общей юрисдикции, арбитражных судах и на судебных участках мировых судей, формулируются предложения по оптимизации документооборота и унификации нормативных актов.</w:t>
      </w:r>
    </w:p>
    <w:p w14:paraId="4F000000">
      <w:bookmarkStart w:id="2" w:name="__RefHeading___2"/>
      <w:bookmarkEnd w:id="2"/>
      <w:pPr>
        <w:pStyle w:val="Style_4"/>
        <w:pageBreakBefore w:val="1"/>
        <w:ind/>
      </w:pPr>
      <w:r>
        <w:t>ГЛАВА 1. ТЕОРЕТИКО-ПРАВОВЫЕ ОСНОВЫ И НАПРАВЛЕНИЯ СОВЕРШЕНСТВОВАНИЯ СУДЕБНОГО ДЕЛОПРОИЗВОДСТВА</w:t>
      </w:r>
    </w:p>
    <w:p w14:paraId="50000000">
      <w:bookmarkStart w:id="3" w:name="__RefHeading___3"/>
      <w:bookmarkEnd w:id="3"/>
      <w:pPr>
        <w:pStyle w:val="Style_5"/>
      </w:pPr>
      <w:r>
        <w:t>1.1. Понятие, значение и место судебного делопроизводства в системе административных процедур</w:t>
      </w:r>
    </w:p>
    <w:p w14:paraId="51000000">
      <w:pPr>
        <w:ind w:firstLine="709" w:left="0"/>
        <w:jc w:val="both"/>
      </w:pPr>
      <w:r>
        <w:t>Судебное делопроизводство представляет собой совокупность организационно-правовых действий и процедур, направленных на документационное обеспечение деятельности судебных органов, включая приём, регистрацию, учёт, хранение, передачу и уничтожение судебных документов, а также организацию движения дел на всех стадиях судопроизводства. Данное понятие охватывает широкий спектр делопроизводственных операций, которые осуществляются работниками аппаратов судов в целях обеспечения надлежащего функционирования правосудия [16, с. 11].</w:t>
      </w:r>
    </w:p>
    <w:p w14:paraId="52000000">
      <w:pPr>
        <w:ind w:firstLine="709" w:left="0"/>
        <w:jc w:val="both"/>
      </w:pPr>
      <w:r>
        <w:t>В юридической доктрине понятие судебного делопроизводства трактуется неоднозначно. Так, А.А. Власов определяет судебное делопроизводство как систему организационных, правовых и технических мероприятий, обеспечивающих создание, движение, хранение и использование документов в процессе осуществления правосудия [16, с. 14]. А.Н. Чашин рассматривает судебное делопроизводство более широко, включая в его содержание не только собственно документационное обеспечение, но и организацию судебных заседаний, ведение протоколов, обеспечение доступа граждан к судебной информации [22, с. 8]. В.М. Лебедев указывает, что судебное делопроизводство является составной частью организации деятельности суда, неразрывно связанной с процессуальной деятельностью и направленной на создание условий для осуществления правосудия [19, с. 215].</w:t>
      </w:r>
    </w:p>
    <w:p w14:paraId="53000000">
      <w:pPr>
        <w:ind w:firstLine="709" w:left="0"/>
        <w:jc w:val="both"/>
      </w:pPr>
      <w:r>
        <w:t xml:space="preserve">К.Ф. Гуценко подчёркивает, что судебное делопроизводство выступает связующим элементом между организационной и процессуальной деятельностью суда, обеспечивая реализацию процессуальных норм </w:t>
      </w:r>
      <w:r>
        <w:t>посредством совершения конкретных делопроизводственных операций [17, с. 110]. Н.А. Петухов и А.С. Мамыкин акцентируют внимание на том, что делопроизводство в суде не сводится к механическому выполнению технических операций, а представляет собой интеллектуальную деятельность, требующую знания законодательства, понимания процессуальных последствий совершаемых действий и ответственного отношения к исполнению должностных обязанностей [20, с. 165].</w:t>
      </w:r>
    </w:p>
    <w:p w14:paraId="54000000">
      <w:pPr>
        <w:ind w:firstLine="709" w:left="0"/>
        <w:jc w:val="both"/>
      </w:pPr>
      <w:r>
        <w:t>Исторически судебное делопроизводство в России прошло длительный путь развития. В дореволюционный период делопроизводство в судебных учреждениях регулировалось Судебными уставами 1864 года и подзаконными актами Правительствующего Сената. Советский период характеризовался формированием системы делопроизводства, основанной на централизованном планировании и строгой вертикали подчинённости. Современный этап, начавшийся с принятием Конституции Российской Федерации 1993 года и последующих федеральных законов о судебной системе, ознаменован формированием самостоятельной системы судебного делопроизводства, ориентированной на обеспечение независимости судебной власти и доступности правосудия [16, с. 16].</w:t>
      </w:r>
    </w:p>
    <w:p w14:paraId="55000000">
      <w:pPr>
        <w:ind w:firstLine="709" w:left="0"/>
        <w:jc w:val="both"/>
      </w:pPr>
      <w:r>
        <w:t xml:space="preserve">Значение судебного делопроизводства определяется его функциональным назначением в системе обеспечения правосудия. Во-первых, надлежащая организация делопроизводства обеспечивает соблюдение установленных процессуальным законодательством сроков рассмотрения дел. Несвоевременная регистрация поступивших заявлений, ненадлежащее оформление судебных извещений, нарушение порядка направления копий судебных актов лицам, участвующим в деле, способны привести к существенному нарушению процессуальных прав граждан и организаций [18, с. 189]. Во-вторых, качественное ведение делопроизводства является необходимым условием обеспечения транспарентности судебной деятельности, реализации права </w:t>
      </w:r>
      <w:r>
        <w:t>граждан на доступ к информации о деятельности судов, закреплённого в Федеральном законе от 22.12.2008 № 262-ФЗ [9].</w:t>
      </w:r>
    </w:p>
    <w:p w14:paraId="56000000">
      <w:pPr>
        <w:ind w:firstLine="709" w:left="0"/>
        <w:jc w:val="both"/>
      </w:pPr>
      <w:r>
        <w:t>В-третьих, судебное делопроизводство выполняет важнейшую функцию систематизации и сохранения судебной практики. Надлежащее ведение номенклатуры дел, формирование архивных фондов, обеспечение сохранности судебных актов создают информационную основу для обобщения и анализа правоприменительной практики, что, в свою очередь, способствует единообразию в толковании и применении норм права [19, с. 220].</w:t>
      </w:r>
    </w:p>
    <w:p w14:paraId="57000000">
      <w:pPr>
        <w:ind w:firstLine="709" w:left="0"/>
        <w:jc w:val="both"/>
      </w:pPr>
      <w:r>
        <w:t>Место судебного делопроизводства в системе административных процедур определяется его двойственной природой. С одной стороны, делопроизводство является обеспечительной деятельностью, носящей вспомогательный характер по отношению к основной функции суда — осуществлению правосудия. С другой стороны, ряд делопроизводственных операций имеет непосредственное процессуальное значение: направление судебных повесток и извещений порождает правовые последствия в виде надлежащего уведомления участников процесса; вручение копий судебных актов является юридическим фактом, с которым закон связывает начало течения сроков на обжалование; ведение протокола судебного заседания имеет доказательственное значение [17, с. 112].</w:t>
      </w:r>
    </w:p>
    <w:p w14:paraId="58000000">
      <w:pPr>
        <w:ind w:firstLine="709" w:left="0"/>
        <w:jc w:val="both"/>
      </w:pPr>
      <w:r>
        <w:t>Судебное делопроизводство следует отграничивать от смежных понятий. Общее делопроизводство в суде включает в себя документационное обеспечение не только процессуальной, но и всей управленческой и хозяйственной деятельности суда: кадровое делопроизводство, бухгалтерский документооборот, переписку с органами государственной власти. Судебное же делопроизводство в узком смысле охватывает лишь те процедуры, которые непосредственно связаны с движением судебных дел и документов процессуального характера [22, с. 12].</w:t>
      </w:r>
    </w:p>
    <w:p w14:paraId="59000000">
      <w:pPr>
        <w:ind w:firstLine="709" w:left="0"/>
        <w:jc w:val="both"/>
      </w:pPr>
      <w:r>
        <w:t xml:space="preserve">Необходимо также отметить, что судебное делопроизводство тесно взаимосвязано с иными видами обеспечительной деятельности суда. </w:t>
      </w:r>
      <w:r>
        <w:t>Организационное обеспечение, осуществляемое Судебным департаментом при Верховном Суде Российской Федерации в соответствии с Федеральным законом от 08.01.1998 № 7-ФЗ, включает мероприятия по кадровому, финансовому и материально-техническому обеспечению деятельности судов, которые создают условия для надлежащего ведения делопроизводства [10]. Без должного кадрового обеспечения — достаточного числа квалифицированных специалистов аппарата суда — невозможно обеспечить своевременную и качественную обработку судебных документов.</w:t>
      </w:r>
    </w:p>
    <w:p w14:paraId="5A000000">
      <w:pPr>
        <w:ind w:firstLine="709" w:left="0"/>
        <w:jc w:val="both"/>
      </w:pPr>
      <w:r>
        <w:t>Структурно судебное делопроизводство можно подразделить на несколько функциональных блоков. Первый блок — входящая документация — охватывает операции по приёму, первичной обработке, регистрации и распределению документов, поступающих в суд от участников процесса, иных государственных органов, организаций и граждан. Второй блок — внутренний документооборот — включает оформление и движение судебных дел, ведение учётно-регистрационных карточек, составление протоколов, вынесение определений и решений. Третий блок — исходящая документация — связан с направлением копий судебных актов, исполнительных документов, судебных повесток и извещений. Четвёртый блок — архивное делопроизводство — предполагает формирование судебных дел для длительного хранения, ведение описей, обеспечение сохранности документов [16, с. 18].</w:t>
      </w:r>
    </w:p>
    <w:p w14:paraId="5B000000">
      <w:pPr>
        <w:ind w:firstLine="709" w:left="0"/>
        <w:jc w:val="both"/>
      </w:pPr>
      <w:r>
        <w:t>С позиции системного подхода судебное делопроизводство представляет собой элемент более широкой системы организации деятельности суда, в которую входят также финансово-хозяйственная деятельность, кадровая работа, информационное обеспечение. Все указанные элементы взаимосвязаны и взаимообусловлены: сбой в одном из них неизбежно отражается на функционировании других. Например, нехватка расходных материалов (бумаги, конвертов, картриджей) напрямую влияет на своевременность отправки судебной корреспонденции и, как следствие, на соблюдение процессуальных сроков [15, с. 70].</w:t>
      </w:r>
    </w:p>
    <w:p w14:paraId="5C000000">
      <w:pPr>
        <w:ind w:firstLine="709" w:left="0"/>
        <w:jc w:val="both"/>
      </w:pPr>
      <w:r>
        <w:t>Классификация видов судебного делопроизводства может быть проведена по нескольким основаниям. По критерию вида судопроизводства выделяется делопроизводство по гражданским, уголовным, административным делам, а также делопроизводство по делам об административных правонарушениях. Каждый вид судопроизводства предъявляет специфические требования к составу процессуальных документов, срокам их обработки и порядку хранения. Так, уголовное делопроизводство характеризуется повышенными требованиями к сохранности вещественных доказательств, конфиденциальности персональных данных потерпевших и свидетелей, соблюдению специальных процессуальных сроков содержания под стражей [17, с. 115].</w:t>
      </w:r>
    </w:p>
    <w:p w14:paraId="5D000000">
      <w:pPr>
        <w:ind w:firstLine="709" w:left="0"/>
        <w:jc w:val="both"/>
      </w:pPr>
      <w:r>
        <w:t>По критерию уровня судебной системы различается делопроизводство в судах первой инстанции, апелляционной, кассационной и надзорной инстанций. Делопроизводство в вышестоящих инстанциях имеет свою специфику, связанную с необходимостью обеспечения движения дел между инстанциями, формирования надзорных производств, систематизации и обобщения судебной практики. Передача дела из суда первой инстанции в суд апелляционной инстанции является делопроизводственной операцией, требующей чёткого соблюдения установленного порядка: проверки полноты дела, наличия всех необходимых документов, правильности нумерации листов, составления описи [12].</w:t>
      </w:r>
    </w:p>
    <w:p w14:paraId="5E000000">
      <w:pPr>
        <w:ind w:firstLine="709" w:left="0"/>
        <w:jc w:val="both"/>
      </w:pPr>
      <w:r>
        <w:t xml:space="preserve">По критерию формы документооборота судебное делопроизводство подразделяется на бумажное, электронное и смешанное. Бумажное делопроизводство, являвшееся единственной формой до конца XX века, предполагает создание, хранение и передачу документов исключительно на бумажных носителях. Электронное делопроизводство основано на использовании информационных технологий для создания, обработки, хранения и передачи документов. Смешанное делопроизводство, преобладающее в настоящее время, сочетает элементы обоих подходов, при этом одни и те же </w:t>
      </w:r>
      <w:r>
        <w:t>документы могут существовать одновременно в бумажной и электронной форме [22, с. 15].</w:t>
      </w:r>
    </w:p>
    <w:p w14:paraId="5F000000">
      <w:pPr>
        <w:ind w:firstLine="709" w:left="0"/>
        <w:jc w:val="both"/>
      </w:pPr>
      <w:r>
        <w:t>Таким образом, судебное делопроизводство занимает особое место в системе административных процедур, сочетая в себе черты управленческой деятельности и процессуально значимых действий. Его надлежащая организация является необходимым условием эффективного функционирования судебной системы и реализации конституционного права граждан на судебную защиту, закреплённого в статье 46 Конституции Российской Федерации [1].</w:t>
      </w:r>
    </w:p>
    <w:p w14:paraId="60000000">
      <w:bookmarkStart w:id="4" w:name="__RefHeading___4"/>
      <w:bookmarkEnd w:id="4"/>
      <w:pPr>
        <w:pStyle w:val="Style_5"/>
      </w:pPr>
      <w:r>
        <w:t>1.2. Нормативно-правовое регулирование: анализ федеральных законов, ведомственных инструкций и проблемы их унификации</w:t>
      </w:r>
    </w:p>
    <w:p w14:paraId="61000000">
      <w:pPr>
        <w:ind w:firstLine="709" w:left="0"/>
        <w:jc w:val="both"/>
      </w:pPr>
      <w:r>
        <w:t>Нормативно-правовое регулирование судебного делопроизводства в Российской Федерации характеризуется многоуровневой и разветвлённой системой источников, включающей как федеральное законодательство, так и ведомственные нормативные акты. На высшем уровне правового регулирования находятся нормы Конституции Российской Федерации, закрепляющие основополагающие принципы организации судебной власти: независимость судей, открытость судебного разбирательства, право на судебную защиту [1]. Данные конституционные положения определяют общие рамки, в которых должно осуществляться судебное делопроизводство.</w:t>
      </w:r>
    </w:p>
    <w:p w14:paraId="62000000">
      <w:pPr>
        <w:ind w:firstLine="709" w:left="0"/>
        <w:jc w:val="both"/>
      </w:pPr>
      <w:r>
        <w:t>Федеральный конституционный закон от 31.12.1996 № 1-ФКЗ «О судебной системе Российской Федерации» устанавливает общие принципы организации судебной системы и определяет полномочия Судебного департамента при Верховном Суде Российской Федерации по организационному обеспечению деятельности судов [2]. Именно Судебный департамент выступает ключевым субъектом нормотворческой деятельности в сфере судебного делопроизводства, разрабатывая и утверждая инструкции, определяющие порядок ведения документации в судах различных уровней.</w:t>
      </w:r>
    </w:p>
    <w:p w14:paraId="63000000">
      <w:pPr>
        <w:ind w:firstLine="709" w:left="0"/>
        <w:jc w:val="both"/>
      </w:pPr>
      <w:r>
        <w:t>Процессуальное законодательство — Гражданский процессуальный кодекс Российской Федерации, Арбитражный процессуальный кодекс Российской Федерации и Кодекс административного судопроизводства Российской Федерации — содержит нормы, регулирующие отдельные аспекты судебного делопроизводства. В частности, процессуальные кодексы устанавливают требования к форме и содержанию процессуальных документов, порядку их подачи, направления и вручения, ведению протоколов судебных заседаний, хранению и выдаче судебных дел [5; 6; 7]. Вместе с тем процессуальное законодательство регулирует лишь отдельные элементы делопроизводства, оставляя вопросы организационного характера на усмотрение ведомственного нормотворчества.</w:t>
      </w:r>
    </w:p>
    <w:p w14:paraId="64000000">
      <w:pPr>
        <w:ind w:firstLine="709" w:left="0"/>
        <w:jc w:val="both"/>
      </w:pPr>
      <w:r>
        <w:t>Кодекс административного судопроизводства Российской Федерации, вступивший в силу в 2015 году, ввёл ряд новых институтов, оказавших существенное влияние на организацию судебного делопроизводства в судах общей юрисдикции. В частности, была установлена обязательность размещения информации о движении административных дел на официальных сайтах судов, введены специальные требования к срокам рассмотрения отдельных категорий административных дел, установлен порядок подачи документов в электронной форме. Данные нововведения потребовали соответствующей корректировки инструкций по судебному делопроизводству и модернизации информационных систем [7].</w:t>
      </w:r>
    </w:p>
    <w:p w14:paraId="65000000">
      <w:pPr>
        <w:ind w:firstLine="709" w:left="0"/>
        <w:jc w:val="both"/>
      </w:pPr>
      <w:r>
        <w:t xml:space="preserve">Уголовно-процессуальный кодекс Российской Федерации содержит специфические нормы, определяющие требования к делопроизводству по уголовным делам. Особенности уголовного судопроизводства — наличие вещественных доказательств, подлежащих хранению при деле или в специально оборудованных помещениях; присутствие сведений, составляющих государственную тайну; необходимость обеспечения безопасности участников уголовного процесса — обусловливают повышенные требования к организации делопроизводства по уголовным делам. Хранение вещественных доказательств, </w:t>
      </w:r>
      <w:r>
        <w:t>оформление сопроводительных документов, обеспечение конфиденциальности персональных данных потерпевших и свидетелей требуют от работников аппарата суда специальных знаний и навыков [18, с. 195].</w:t>
      </w:r>
    </w:p>
    <w:p w14:paraId="66000000">
      <w:pPr>
        <w:ind w:firstLine="709" w:left="0"/>
        <w:jc w:val="both"/>
      </w:pPr>
      <w:r>
        <w:t>Федеральный закон от 08.01.1998 № 7-ФЗ «О Судебном департаменте при Верховном Суде Российской Федерации» наделяет данный орган полномочиями по разработке и утверждению нормативных актов, регулирующих организационное обеспечение деятельности судов, в том числе инструкций по судебному делопроизводству [10]. На основании данного закона Судебным департаментом были приняты ключевые ведомственные акты в рассматриваемой сфере.</w:t>
      </w:r>
    </w:p>
    <w:p w14:paraId="67000000">
      <w:pPr>
        <w:ind w:firstLine="709" w:left="0"/>
        <w:jc w:val="both"/>
      </w:pPr>
      <w:r>
        <w:t>Центральное место в системе ведомственного регулирования занимают инструкции по судебному делопроизводству. Приказом Судебного департамента при Верховном Суде РФ от 29.04.2003 № 36 утверждена Инструкция по судебному делопроизводству в районном суде, которая детально регламентирует все этапы движения судебных дел и процессуальных документов — от момента поступления в суд до сдачи в архив [11]. Инструкция устанавливает порядок регистрации входящей корреспонденции, формирования судебных дел, ведения учётно-статистических карточек, оформления исполнительных документов, обращения судебных актов к исполнению.</w:t>
      </w:r>
    </w:p>
    <w:p w14:paraId="68000000">
      <w:pPr>
        <w:ind w:firstLine="709" w:left="0"/>
        <w:jc w:val="both"/>
      </w:pPr>
      <w:r>
        <w:t>Аналогичную функцию выполняет Инструкция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утверждённая Приказом Судебного департамента при Верховном Суде РФ от 15.12.2004 № 161 [12]. Данная инструкция учитывает специфику делопроизводства в судах вышестоящего уровня, включая особенности рассмотрения дел в апелляционном и кассационном порядке.</w:t>
      </w:r>
    </w:p>
    <w:p w14:paraId="69000000">
      <w:pPr>
        <w:ind w:firstLine="709" w:left="0"/>
        <w:jc w:val="both"/>
      </w:pPr>
      <w:r>
        <w:t xml:space="preserve">Делопроизводство на судебных участках мировых судей регулируется Инструкцией, утверждённой Приказом Судебного департамента при Верховном Суде РФ от 04.04.2022 № 74 [13]. Принятие данной инструкции стало важным </w:t>
      </w:r>
      <w:r>
        <w:t>шагом на пути унификации делопроизводственных процедур, поскольку ранее организация работы мировых судей в значительной степени определялась нормативными актами субъектов Российской Федерации, что порождало существенные различия в практике ведения документации [27, с. 39].</w:t>
      </w:r>
    </w:p>
    <w:p w14:paraId="6A000000">
      <w:pPr>
        <w:ind w:firstLine="709" w:left="0"/>
        <w:jc w:val="both"/>
      </w:pPr>
      <w:r>
        <w:t>Делопроизводство в арбитражных судах имеет собственную нормативную базу, основу которой составляет Инструкция по делопроизводству в арбитражных судах Российской Федерации, утверждённая Судебным департаментом при Верховном Суде РФ. Арбитражная система судов исторически отличалась более высоким уровнем цифровизации документооборота, что нашло отражение в содержании соответствующей инструкции, предусматривающей широкое использование электронных средств подачи и обработки документов [21, с. 34].</w:t>
      </w:r>
    </w:p>
    <w:p w14:paraId="6B000000">
      <w:pPr>
        <w:ind w:firstLine="709" w:left="0"/>
        <w:jc w:val="both"/>
      </w:pPr>
      <w:r>
        <w:t>Существенным аспектом нормативного регулирования является установление требований к ведению судебной статистики, являющейся составной частью судебного делопроизводства. Судебная статистика формируется на основании данных учётно-статистических карточек и отражает количественные и качественные показатели деятельности судов: число поступивших и рассмотренных дел, сроки рассмотрения, категории дел, результаты рассмотрения. Требования к ведению судебной статистики устанавливаются приказами Судебного департамента и предполагают использование унифицированных форм статистической отчётности. Качество статистических данных напрямую зависит от качества ведения делопроизводства: ошибки при заполнении учётно-статистических карточек неизбежно искажают статистическую отчётность [28].</w:t>
      </w:r>
    </w:p>
    <w:p w14:paraId="6C000000">
      <w:pPr>
        <w:ind w:firstLine="709" w:left="0"/>
        <w:jc w:val="both"/>
      </w:pPr>
      <w:r>
        <w:t xml:space="preserve">Ещё одним направлением нормативного регулирования является установление правил архивного хранения судебных дел. Сроки хранения различных категорий судебных дел определяются номенклатурой дел, утверждаемой на основании типовых перечней документов. Гражданские дела подлежат хранению от 5 до 75 лет в зависимости от категории, уголовные дела </w:t>
      </w:r>
      <w:r>
        <w:t>— от 15 лет до постоянного хранения. Обеспечение сохранности судебных дел в течение установленных сроков является ответственной задачей, требующей надлежащего оборудования архивных помещений, контроля температурного и влажностного режима, проведения регулярных проверок наличия и состояния архивных дел [11; 15, с. 38].</w:t>
      </w:r>
    </w:p>
    <w:p w14:paraId="6D000000">
      <w:pPr>
        <w:ind w:firstLine="709" w:left="0"/>
        <w:jc w:val="both"/>
      </w:pPr>
      <w:r>
        <w:t>Проблема унификации нормативных актов в сфере судебного делопроизводства является одной из наиболее значимых в современной правовой науке и практике. Наличие нескольких самостоятельных инструкций для судов различных уровней и юрисдикций приводит к различиям в понятийном аппарате, порядке нумерации и индексации дел, формах учётно-статистических карточек, правилах оформления процессуальных документов. Как отмечает А.П. Фоков, подобная неоднородность создаёт затруднения при передаче дел между судами различных уровней, осложняет работу по обобщению судебной практики и препятствует формированию единого информационного пространства судебной системы [27, с. 41].</w:t>
      </w:r>
    </w:p>
    <w:p w14:paraId="6E000000">
      <w:pPr>
        <w:ind w:firstLine="709" w:left="0"/>
        <w:jc w:val="both"/>
      </w:pPr>
      <w:r>
        <w:t>Отдельную проблему представляет соотношение ведомственных инструкций с нормами процессуального законодательства. В ряде случаев положения инструкций расходятся с нормами процессуальных кодексов или не учитывают внесённые в них изменения, что обусловлено различным темпом обновления законодательства и ведомственных актов. Постановление Пленума Верховного Суда РФ от 26.12.2017 № 57 «О некоторых вопросах применения законодательства, регулирующего использование документов в электронном виде в деятельности судов общей юрисдикции и арбитражных судов» отчасти восполнило существующие пробелы, однако не устранило все противоречия между различными уровнями правового регулирования [14].</w:t>
      </w:r>
    </w:p>
    <w:p w14:paraId="6F000000">
      <w:pPr>
        <w:ind w:firstLine="709" w:left="0"/>
        <w:jc w:val="both"/>
      </w:pPr>
      <w:r>
        <w:t xml:space="preserve">Таким образом, нормативно-правовое регулирование судебного делопроизводства характеризуется сложной многоуровневой структурой, в которой ведомственные инструкции играют определяющую роль. Актуальной задачей остаётся разработка единого нормативного акта, обеспечивающего </w:t>
      </w:r>
      <w:r>
        <w:t>унификацию делопроизводственных процедур для всех звеньев судебной системы Российской Федерации.</w:t>
      </w:r>
    </w:p>
    <w:p w14:paraId="70000000">
      <w:pPr>
        <w:ind w:firstLine="709" w:left="0"/>
        <w:jc w:val="both"/>
      </w:pPr>
      <w:r>
        <w:t>Дополнительным уровнем нормативного регулирования выступают локальные акты конкретных судов — приказы председателей судов, определяющие распределение обязанностей между работниками аппарата, порядок работы приёмных, режим выдачи дел для ознакомления. Данные акты призваны конкретизировать положения ведомственных инструкций применительно к условиям работы конкретного суда: его штатной численности, техническому оснащению, территориальному расположению. Вместе с тем отсутствие единых требований к содержанию и форме локальных актов приводит к тому, что одни и те же вопросы организации делопроизводства решаются различным образом в разных судах одного уровня [19, с. 230].</w:t>
      </w:r>
    </w:p>
    <w:p w14:paraId="71000000">
      <w:pPr>
        <w:ind w:firstLine="709" w:left="0"/>
        <w:jc w:val="both"/>
      </w:pPr>
      <w:r>
        <w:t>Следует отметить роль международных стандартов в сфере управления документацией, оказывающих опосредованное влияние на совершенствование судебного делопроизводства в Российской Федерации. Стандарты серии ISO 15489, посвящённые управлению документами, формулируют принципы и методологию, которые могут быть адаптированы для целей судебного делопроизводства, в частности принципы подотчётности, целостности документов, обеспечения их аутентичности и надёжности. Гармонизация российского законодательства о делопроизводстве с международными стандартами является перспективным направлением совершенствования нормативной базы [16, с. 35].</w:t>
      </w:r>
    </w:p>
    <w:p w14:paraId="72000000">
      <w:bookmarkStart w:id="5" w:name="__RefHeading___5"/>
      <w:bookmarkEnd w:id="5"/>
      <w:pPr>
        <w:pStyle w:val="Style_5"/>
      </w:pPr>
      <w:r>
        <w:t>1.3. Принципы организации и современные системы судебного делопроизводства: от традиционных моделей к электронному формату</w:t>
      </w:r>
    </w:p>
    <w:p w14:paraId="73000000">
      <w:pPr>
        <w:ind w:firstLine="709" w:left="0"/>
        <w:jc w:val="both"/>
      </w:pPr>
      <w:r>
        <w:t xml:space="preserve">Организация судебного делопроизводства основывается на системе принципов, определяющих общие требования к документационному обеспечению деятельности судов. Данные принципы формировались в процессе длительного развития правовой системы и отражают как общие закономерности </w:t>
      </w:r>
      <w:r>
        <w:t>организации делопроизводства в государственных органах, так и специфику судебной деятельности [16, с. 25].</w:t>
      </w:r>
    </w:p>
    <w:p w14:paraId="74000000">
      <w:pPr>
        <w:ind w:firstLine="709" w:left="0"/>
        <w:jc w:val="both"/>
      </w:pPr>
      <w:r>
        <w:t>Принцип законности является базовым и предполагает, что все делопроизводственные операции должны осуществляться в строгом соответствии с требованиями нормативных правовых актов. Применительно к судебному делопроизводству данный принцип означает необходимость неукоснительного соблюдения норм процессуального законодательства, положений инструкций по судебному делопроизводству, требований к оформлению процессуальных документов. Нарушение установленного порядка ведения делопроизводства может повлечь признание соответствующих процессуальных действий незаконными и нарушение прав участников судопроизводства [18, с. 192].</w:t>
      </w:r>
    </w:p>
    <w:p w14:paraId="75000000">
      <w:pPr>
        <w:ind w:firstLine="709" w:left="0"/>
        <w:jc w:val="both"/>
      </w:pPr>
      <w:r>
        <w:t>Принцип полноты и достоверности документирования требует фиксации всех юридически значимых действий, совершаемых в ходе судопроизводства. Каждый этап движения дела — от поступления искового заявления до обращения судебного акта к исполнению — должен быть надлежащим образом задокументирован. Протоколы судебных заседаний, учётно-статистические карточки, реестры отправленной корреспонденции, описи судебных дел образуют единую систему документации, обеспечивающую возможность контроля за движением дела на каждом этапе [19, с. 224].</w:t>
      </w:r>
    </w:p>
    <w:p w14:paraId="76000000">
      <w:pPr>
        <w:ind w:firstLine="709" w:left="0"/>
        <w:jc w:val="both"/>
      </w:pPr>
      <w:r>
        <w:t>Принцип оперативности предполагает обеспечение своевременной обработки документов и сокращение промежуточных операций, не обусловленных необходимостью. Реализация данного принципа особенно актуальна в условиях высокой нагрузки на суды, когда задержки в делопроизводственных операциях могут привести к нарушению процессуальных сроков. Как указывает Ю.Ф. Беспалов, оперативность судебного делопроизводства является одним из условий обеспечения права граждан на судопроизводство в разумный срок [15, с. 74].</w:t>
      </w:r>
    </w:p>
    <w:p w14:paraId="77000000">
      <w:pPr>
        <w:ind w:firstLine="709" w:left="0"/>
        <w:jc w:val="both"/>
      </w:pPr>
      <w:r>
        <w:t>Принцип единообразия означает применение единых правил и стандартов ведения делопроизводства в рамках соответствующего звена судебной системы. Данный принцип реализуется через утверждение типовых форм документов, установление единой номенклатуры дел, определение общих правил регистрации и учёта документов. Вместе с тем, как было показано выше, степень реализации принципа единообразия в масштабах всей судебной системы остаётся недостаточной [16, с. 30].</w:t>
      </w:r>
    </w:p>
    <w:p w14:paraId="78000000">
      <w:pPr>
        <w:ind w:firstLine="709" w:left="0"/>
        <w:jc w:val="both"/>
      </w:pPr>
      <w:r>
        <w:t>Принцип ответственности предполагает персональную ответственность работников аппарата суда за надлежащее выполнение возложенных на них делопроизводственных функций. Председатель суда осуществляет общее руководство делопроизводством, администратор суда обеспечивает организационное сопровождение, а непосредственное ведение делопроизводственных операций возложено на специалистов и секретарей суда [19, с. 228].</w:t>
      </w:r>
    </w:p>
    <w:p w14:paraId="79000000">
      <w:pPr>
        <w:ind w:firstLine="709" w:left="0"/>
        <w:jc w:val="both"/>
      </w:pPr>
      <w:r>
        <w:t>Принцип конфиденциальности требует обеспечения защиты сведений, составляющих государственную, коммерческую, служебную или иную охраняемую законом тайну, а также персональных данных участников судопроизводства. Реализация данного принципа предполагает установление ограниченного режима доступа к судебным делам, содержащим конфиденциальные сведения, организацию раздельного хранения дел различных категорий секретности, обеспечение защиты информационных систем от несанкционированного доступа. Нарушение конфиденциальности может повлечь дисциплинарную и уголовную ответственность работников аппарата суда [20, с. 170].</w:t>
      </w:r>
    </w:p>
    <w:p w14:paraId="7A000000">
      <w:pPr>
        <w:ind w:firstLine="709" w:left="0"/>
        <w:jc w:val="both"/>
      </w:pPr>
      <w:r>
        <w:t xml:space="preserve">Принцип непрерывности делопроизводственного процесса означает, что движение документа в суде не должно прерываться. С момента поступления документа в суд и до завершения работы с ним (отправка адресату, помещение в дело, передача в архив) должна обеспечиваться непрерывная цепочка делопроизводственных операций. Нарушение данного принципа приводит к </w:t>
      </w:r>
      <w:r>
        <w:t>«зависанию» документов — ситуации, когда документ длительное время не обрабатывается ввиду отсутствия ответственного исполнителя или неясности порядка дальнейших действий. Такие ситуации особенно часто возникают в период отпусков и болезней работников аппарата суда при отсутствии надлежащей системы замещения [16, с. 32].</w:t>
      </w:r>
    </w:p>
    <w:p w14:paraId="7B000000">
      <w:pPr>
        <w:ind w:firstLine="709" w:left="0"/>
        <w:jc w:val="both"/>
      </w:pPr>
      <w:r>
        <w:t>Традиционная модель судебного делопроизводства основывалась на бумажном документообороте с использованием журнальной или карточной системы регистрации. Все поступающие в суд документы фиксировались в регистрационных журналах, на каждое дело заводилась учётно-статистическая карточка, переписка с участниками процесса велась исключительно в бумажной форме. Данная модель характеризовалась высокой трудоёмкостью, длительными сроками обработки документов и значительными затратами на хранение бумажных архивов [22, с. 19].</w:t>
      </w:r>
    </w:p>
    <w:p w14:paraId="7C000000">
      <w:pPr>
        <w:ind w:firstLine="709" w:left="0"/>
        <w:jc w:val="both"/>
      </w:pPr>
      <w:r>
        <w:t>Журнальная система регистрации, применявшаяся в судах до конца XX века, предполагала ведение множества специализированных журналов: журнал учёта входящей корреспонденции, журнал учёта исходящей корреспонденции, журналы регистрации гражданских, уголовных и административных дел, журналы выдачи исполнительных листов, журналы учёта вещественных доказательств и другие. Каждый документ фиксировался в соответствующем журнале с присвоением входящего номера и указанием краткого содержания. Поиск информации в журнальной системе был крайне трудоёмким и занимал значительное время, особенно при больших объёмах документооборота [16, с. 27].</w:t>
      </w:r>
    </w:p>
    <w:p w14:paraId="7D000000">
      <w:pPr>
        <w:ind w:firstLine="709" w:left="0"/>
        <w:jc w:val="both"/>
      </w:pPr>
      <w:r>
        <w:t xml:space="preserve">Карточная система регистрации представляла собой более совершенную форму организации делопроизводства, при которой на каждое судебное дело заводилась отдельная учётно-статистическая карточка, содержащая основные реквизиты дела и отражающая все этапы его движения. Карточки систематизировались по различным признакам: по номерам дел, по категориям, по фамилиям сторон, что облегчало поиск необходимой информации. Вместе с </w:t>
      </w:r>
      <w:r>
        <w:t>тем бумажная картотека была уязвима для утраты и повреждений, требовала значительных площадей для размещения и не обеспечивала возможности многопользовательского доступа [19, с. 226].</w:t>
      </w:r>
    </w:p>
    <w:p w14:paraId="7E000000">
      <w:pPr>
        <w:ind w:firstLine="709" w:left="0"/>
        <w:jc w:val="both"/>
      </w:pPr>
      <w:r>
        <w:t>Переход к автоматизированным системам судебного делопроизводства начался в конце 1990-х годов с внедрения отдельных программных средств для ведения баз данных судебных дел. Ключевым этапом автоматизации стало создание Государственной автоматизированной системы «Правосудие» (ГАС «Правосудие»), обеспечивающей комплексную информатизацию деятельности судов общей юрисдикции. Система включает подсистемы автоматизации судебного делопроизводства, обеспечения доступа к информации о деятельности судов, ведения судебной статистики и аналитики [29].</w:t>
      </w:r>
    </w:p>
    <w:p w14:paraId="7F000000">
      <w:pPr>
        <w:ind w:firstLine="709" w:left="0"/>
        <w:jc w:val="both"/>
      </w:pPr>
      <w:r>
        <w:t>Подсистема «Судебное делопроизводство» ГАС «Правосудие» обеспечивает автоматизацию следующих основных функций: регистрация и учёт поступающих дел и документов; формирование и ведение учётно-статистических карточек в электронном виде; контроль движения дел и соблюдения процессуальных сроков; подготовка судебной статистической отчётности; формирование списков дел, назначенных к рассмотрению; автоматическое распределение дел между судьями. Использование данной подсистемы позволило существенно сократить трудозатраты на выполнение рутинных операций и повысить качество учёта и контроля движения судебных дел [29].</w:t>
      </w:r>
    </w:p>
    <w:p w14:paraId="80000000">
      <w:pPr>
        <w:ind w:firstLine="709" w:left="0"/>
        <w:jc w:val="both"/>
      </w:pPr>
      <w:r>
        <w:t xml:space="preserve">Подсистема «Банк судебных решений» обеспечивает систематизацию и хранение текстов судебных актов, их публикацию на официальных сайтах судов, формирование электронных архивов. Размещение судебных актов в открытом доступе является реализацией принципа транспарентности судебной деятельности и обеспечивает возможность общественного контроля за качеством правосудия. Вместе с тем публикация судебных актов требует предварительной деперсонализации — исключения из текстов персональных данных участников процесса, что является дополнительной </w:t>
      </w:r>
      <w:r>
        <w:t>делопроизводственной операцией, возлагаемой на работников аппарата суда [9; 18, с. 231].</w:t>
      </w:r>
    </w:p>
    <w:p w14:paraId="81000000">
      <w:pPr>
        <w:ind w:firstLine="709" w:left="0"/>
        <w:jc w:val="both"/>
      </w:pPr>
      <w:r>
        <w:t>Подсистема «Судебная статистика» ГАС «Правосудие» обеспечивает автоматизированное формирование статистических отчётов на основании данных, введённых в подсистему «Судебное делопроизводство». Точность судебной статистики непосредственно зависит от полноты и корректности заполнения электронных учётно-статистических карточек работниками аппарата суда. Ошибки при заполнении карточек — неправильное определение категории дела, неточное указание результата рассмотрения, пропуск обязательных полей — искажают статистическую отчётность и могут привести к неверным выводам при обобщении судебной практики [28].</w:t>
      </w:r>
    </w:p>
    <w:p w14:paraId="82000000">
      <w:pPr>
        <w:ind w:firstLine="709" w:left="0"/>
        <w:jc w:val="both"/>
      </w:pPr>
      <w:r>
        <w:t>В арбитражных судах аналогичные функции выполняют информационные системы «Мой Арбитр» и «Картотека арбитражных дел», обеспечивающие возможность подачи документов в электронном виде, отслеживания хода рассмотрения дел, ознакомления с материалами дела в режиме удалённого доступа. Система арбитражного электронного правосудия была создана раньше, чем аналогичные системы для судов общей юрисдикции, и традиционно рассматривается как более передовая в технологическом отношении [26, с. 16].</w:t>
      </w:r>
    </w:p>
    <w:p w14:paraId="83000000">
      <w:pPr>
        <w:ind w:firstLine="709" w:left="0"/>
        <w:jc w:val="both"/>
      </w:pPr>
      <w:r>
        <w:t>Современный этап развития судебного делопроизводства характеризуется переходом к смешанной модели, сочетающей элементы бумажного и электронного документооборота. Процессуальное законодательство допускает подачу документов в электронном виде через личные кабинеты в системах ГАС «Правосудие» и «Мой Арбитр», однако ряд документов по-прежнему требует представления в бумажной форме. Судебные акты изготавливаются как в бумажном, так и в электронном виде, при этом юридическая сила электронного документа, подписанного усиленной квалифицированной электронной подписью, признаётся равной бумажному аналогу [14].</w:t>
      </w:r>
    </w:p>
    <w:p w14:paraId="84000000">
      <w:pPr>
        <w:ind w:firstLine="709" w:left="0"/>
        <w:jc w:val="both"/>
      </w:pPr>
      <w:r>
        <w:t xml:space="preserve">Характерной чертой смешанной модели является «дублирование» документооборота: один и тот же документ существует одновременно в </w:t>
      </w:r>
      <w:r>
        <w:t>бумажной и электронной форме, что увеличивает нагрузку на работников аппарата суда. Подача искового заявления в электронном виде через ГАС «Правосудие» не освобождает работника канцелярии от необходимости распечатать данный документ и сформировать бумажное дело. Аналогично, изготовление судебного акта в бумажной форме не исключает необходимости его размещения в электронном виде на официальном сайте суда. Преодоление данного «двойного стандарта» является одной из ключевых задач модернизации судебного делопроизводства [22, с. 22].</w:t>
      </w:r>
    </w:p>
    <w:p w14:paraId="85000000">
      <w:pPr>
        <w:ind w:firstLine="709" w:left="0"/>
        <w:jc w:val="both"/>
      </w:pPr>
      <w:r>
        <w:t>Развитие электронного судебного делопроизводства тесно связано с формированием единого информационного пространства судебной системы. Концепция единого информационного пространства предполагает создание интегрированной информационной среды, обеспечивающей свободный обмен данными между судами всех уровней и юрисдикций, органами судейского сообщества, Судебным департаментом при Верховном Суде Российской Федерации. Реализация данной концепции позволит обеспечить: автоматическую передачу дел между судебными инстанциями в электронной форме; единый реестр судебных актов; интегрированную систему судебной статистики; единые стандарты электронного документооборота [24, с. 54].</w:t>
      </w:r>
    </w:p>
    <w:p w14:paraId="86000000">
      <w:pPr>
        <w:ind w:firstLine="709" w:left="0"/>
        <w:jc w:val="both"/>
      </w:pPr>
      <w:r>
        <w:t>Важным аспектом перехода к электронному формату является необходимость обеспечения юридической значимости электронных документов. В соответствии с действующим законодательством электронный документ, подписанный усиленной квалифицированной электронной подписью, обладает равной юридической силой с бумажным документом, заверенным собственноручной подписью. Однако на практике данное положение реализуется не в полной мере: ряд судов по-прежнему требует представления подлинников документов в бумажной форме, что противоречит принципам электронного документооборота [18, с. 201].</w:t>
      </w:r>
    </w:p>
    <w:p w14:paraId="87000000">
      <w:pPr>
        <w:ind w:firstLine="709" w:left="0"/>
        <w:jc w:val="both"/>
      </w:pPr>
      <w:r>
        <w:t xml:space="preserve">Система аудиопротоколирования судебных заседаний, внедряемая в судах общей юрисдикции, представляет собой ещё одно направление модернизации </w:t>
      </w:r>
      <w:r>
        <w:t>судебного делопроизводства. Аудиозапись судебного заседания обеспечивает полную фиксацию хода разбирательства, снижает риск неполноты протокола и служит средством контроля за деятельностью секретарей судебных заседаний. Вместе с тем технические сложности хранения больших объёмов аудиозаписей, отсутствие единых стандартов их форматирования и каталогизации создают дополнительные нагрузки на делопроизводственные подразделения судов [19, с. 232].</w:t>
      </w:r>
    </w:p>
    <w:p w14:paraId="88000000">
      <w:pPr>
        <w:ind w:firstLine="709" w:left="0"/>
        <w:jc w:val="both"/>
      </w:pPr>
      <w:r>
        <w:t>В рамках совершенствования судебного делопроизводства активно развивается практика использования суперсервисов — государственных цифровых платформ, обеспечивающих комплексное предоставление услуг в электронной форме. Суперсервис «Правосудие онлайн» призван обеспечить подачу процессуальных документов, ознакомление с материалами дел, получение копий судебных актов и иные взаимодействия участников процесса с судом в режиме «одного окна». Реализация данного проекта предполагает существенную перестройку делопроизводственных процессов, ориентированную на приоритет электронных каналов коммуникации [24, с. 53].</w:t>
      </w:r>
    </w:p>
    <w:p w14:paraId="89000000">
      <w:pPr>
        <w:ind w:firstLine="709" w:left="0"/>
        <w:jc w:val="both"/>
      </w:pPr>
      <w:r>
        <w:t>Таким образом, организация судебного делопроизводства претерпевает существенную трансформацию, обусловленную переходом от традиционных бумажных моделей к электронному формату. Данный переход осуществляется поэтапно и неравномерно в различных звеньях судебной системы, что обусловливает необходимость координации усилий по модернизации делопроизводственных процедур.</w:t>
      </w:r>
    </w:p>
    <w:p w14:paraId="8A000000">
      <w:bookmarkStart w:id="6" w:name="__RefHeading___6"/>
      <w:bookmarkEnd w:id="6"/>
      <w:pPr>
        <w:pStyle w:val="Style_5"/>
      </w:pPr>
      <w:r>
        <w:t>1.4. Проблемы внедрения электронного документооборота и системы «Электронное правосудие»: барьеры и пути преодоления</w:t>
      </w:r>
    </w:p>
    <w:p w14:paraId="8B000000">
      <w:pPr>
        <w:ind w:firstLine="709" w:left="0"/>
        <w:jc w:val="both"/>
      </w:pPr>
      <w:r>
        <w:t xml:space="preserve">Внедрение электронного документооборота в деятельность судов Российской Федерации является одним из приоритетных направлений модернизации судебной системы, однако данный процесс сопряжён с многочисленными проблемами организационного, технического, правового и </w:t>
      </w:r>
      <w:r>
        <w:t>кадрового характера. Анализ практики применения электронных систем позволяет выделить несколько основных групп барьеров, препятствующих полноценному переходу к электронному судебному делопроизводству [23, с. 18].</w:t>
      </w:r>
    </w:p>
    <w:p w14:paraId="8C000000">
      <w:pPr>
        <w:ind w:firstLine="709" w:left="0"/>
        <w:jc w:val="both"/>
      </w:pPr>
      <w:r>
        <w:t>Правовые барьеры связаны прежде всего с недостаточной нормативной регламентацией порядка использования электронных документов в судопроизводстве. Несмотря на то что процессуальные кодексы допускают подачу документов в электронном виде, ряд существенных вопросов остаётся нерешённым. В частности, не до конца определён правовой статус электронных копий документов, представляемых через личные кабинеты участников процесса; не установлены единые требования к формату электронных документов; отсутствует чёткая регламентация порядка хранения и уничтожения электронных судебных дел [23, с. 20].</w:t>
      </w:r>
    </w:p>
    <w:p w14:paraId="8D000000">
      <w:pPr>
        <w:ind w:firstLine="709" w:left="0"/>
        <w:jc w:val="both"/>
      </w:pPr>
      <w:r>
        <w:t>Проблема правового регулирования электронной подписи в контексте судебного делопроизводства заслуживает особого внимания. Действующее законодательство предусматривает три вида электронных подписей: простую, усиленную неквалифицированную и усиленную квалифицированную. Для подачи документов в суды общей юрисдикции через ГАС «Правосудие» достаточно простой электронной подписи, подтверждённой через Единую систему идентификации и аутентификации (ЕСИА). Для подачи документов в арбитражные суды через систему «Мой Арбитр» также используется идентификация через ЕСИА. Однако ряд категорий документов — исковые заявления, содержащие требования о применении обеспечительных мер, заявления об обеспечении доказательств — требуют подписания усиленной квалифицированной электронной подписью, получение которой связано с дополнительными финансовыми и временными затратами для участников процесса [14; 23, с. 22].</w:t>
      </w:r>
    </w:p>
    <w:p w14:paraId="8E000000">
      <w:pPr>
        <w:ind w:firstLine="709" w:left="0"/>
        <w:jc w:val="both"/>
      </w:pPr>
      <w:r>
        <w:t xml:space="preserve">Вопрос о правовом значении отметки времени при подаче электронного документа также остаётся дискуссионным. При подаче бумажного документа моментом его поступления в суд считается дата его регистрации работником </w:t>
      </w:r>
      <w:r>
        <w:t>аппарата. При подаче электронного документа момент его поступления фиксируется информационной системой автоматически. Однако расхождение между временем отправки документа и временем его регистрации системой, технические сбои, приводящие к задержкам в обработке документов, порождают споры о соблюдении процессуальных сроков. Судебная практика по данному вопросу не является единообразной, что создаёт правовую неопределённость [26, с. 21].</w:t>
      </w:r>
    </w:p>
    <w:p w14:paraId="8F000000">
      <w:pPr>
        <w:ind w:firstLine="709" w:left="0"/>
        <w:jc w:val="both"/>
      </w:pPr>
      <w:r>
        <w:t>Федеральный закон от 22.12.2008 № 262-ФЗ «Об обеспечении доступа к информации о деятельности судов в Российской Федерации» установил общие принципы информационной открытости судебной деятельности, однако механизмы реализации данных принципов в части электронного документооборота нуждаются в конкретизации [9]. Постановление Пленума Верховного Суда РФ от 26.12.2017 № 57 частично восполнило правовые пробелы, разъяснив порядок подачи документов в электронном виде и требования к электронной подписи, однако не устранило все противоречия между различными нормативными актами [14].</w:t>
      </w:r>
    </w:p>
    <w:p w14:paraId="90000000">
      <w:pPr>
        <w:ind w:firstLine="709" w:left="0"/>
        <w:jc w:val="both"/>
      </w:pPr>
      <w:r>
        <w:t>Технические барьеры обусловлены неравномерностью информатизации судебных органов. Если арбитражные суды и суды субъектов Российской Федерации в целом обеспечены современным оборудованием и программным обеспечением, то значительная часть районных судов и особенно судебных участков мировых судей испытывает дефицит технических средств. Недостаточная пропускная способность каналов связи в удалённых районах, устаревшее компьютерное оборудование, отсутствие резервных систем хранения данных создают серьёзные препятствия для полноценного функционирования электронного документооборота [24, с. 48].</w:t>
      </w:r>
    </w:p>
    <w:p w14:paraId="91000000">
      <w:pPr>
        <w:ind w:firstLine="709" w:left="0"/>
        <w:jc w:val="both"/>
      </w:pPr>
      <w:r>
        <w:t xml:space="preserve">ГАС «Правосудие», являющаяся основной информационной системой судов общей юрисдикции, характеризуется рядом технических недостатков: нестабильность работы отдельных подсистем, ограниченный функционал в части взаимодействия с внешними информационными системами, сложность </w:t>
      </w:r>
      <w:r>
        <w:t>интерфейса для пользователей. Модернизация системы осуществляется поэтапно, однако темпы обновления программного обеспечения не всегда соответствуют потребностям практики [29].</w:t>
      </w:r>
    </w:p>
    <w:p w14:paraId="92000000">
      <w:pPr>
        <w:ind w:firstLine="709" w:left="0"/>
        <w:jc w:val="both"/>
      </w:pPr>
      <w:r>
        <w:t>Система «Мой Арбитр», напротив, получила положительные оценки со стороны практикующих юристов за удобство интерфейса, возможность подачи документов в любое время суток, оперативное уведомление о движении дела. Вместе с тем и эта система не лишена недостатков, связанных с ограничениями по объёму загружаемых файлов, периодическими техническими сбоями и недостаточной интеграцией с другими информационными системами государственных органов [26, с. 19].</w:t>
      </w:r>
    </w:p>
    <w:p w14:paraId="93000000">
      <w:pPr>
        <w:ind w:firstLine="709" w:left="0"/>
        <w:jc w:val="both"/>
      </w:pPr>
      <w:r>
        <w:t>Организационные барьеры проявляются в неготовности значительной части работников аппаратов судов к работе в условиях электронного документооборота. Недостаточный уровень компьютерной грамотности, отсутствие систематического обучения работе с новыми информационными системами, сохранение привычных схем работы с бумажными документами существенно замедляют процесс перехода к электронному формату. Как отмечает В.В. Момотов, «человеческий фактор» является одним из ключевых препятствий на пути цифровой трансформации судебной системы [24, с. 51].</w:t>
      </w:r>
    </w:p>
    <w:p w14:paraId="94000000">
      <w:pPr>
        <w:ind w:firstLine="709" w:left="0"/>
        <w:jc w:val="both"/>
      </w:pPr>
      <w:r>
        <w:t>Кадровые проблемы усугубляются высокой текучестью персонала в аппаратах судов, обусловленной значительным объёмом нагрузки при сравнительно невысоком уровне оплаты труда. Постоянная необходимость обучения новых работников замедляет внедрение электронных систем и повышает риск допущения ошибок в делопроизводственных операциях [15, с. 82].</w:t>
      </w:r>
    </w:p>
    <w:p w14:paraId="95000000">
      <w:pPr>
        <w:ind w:firstLine="709" w:left="0"/>
        <w:jc w:val="both"/>
      </w:pPr>
      <w:r>
        <w:t>Проблема цифрового неравенства участников судопроизводства также является существенным барьером на пути внедрения электронного документооборота. Значительная часть граждан, особенно лица пожилого возраста и жители сельских территорий, не обладает навыками работы с электронными системами и не имеет доступа к информационно-</w:t>
      </w:r>
      <w:r>
        <w:t>телекоммуникационной сети «Интернет». Полный переход к электронному делопроизводству при игнорировании данного обстоятельства может привести к ограничению конституционного права указанных категорий граждан на судебную защиту. В связи с этим электронные формы документооборота должны развиваться параллельно с сохранением традиционных способов взаимодействия граждан с судом [18, с. 205].</w:t>
      </w:r>
    </w:p>
    <w:p w14:paraId="96000000">
      <w:pPr>
        <w:ind w:firstLine="709" w:left="0"/>
        <w:jc w:val="both"/>
      </w:pPr>
      <w:r>
        <w:t>Анализ зарубежного опыта свидетельствует о различных подходах к решению проблемы перехода на электронный судебный документооборот. В ряде государств — Эстонии, Южной Корее, Сингапуре — электронное судопроизводство реализовано на высоком уровне, при этом подача процессуальных документов в электронной форме является обязательной для всех категорий участников процесса. В других государствах — например, в Германии и Франции — переход осуществляется поэтапно с сохранением бумажных альтернатив. Изучение данного опыта может быть полезным для определения оптимальной стратегии цифровизации судебного делопроизводства в Российской Федерации [23, с. 25].</w:t>
      </w:r>
    </w:p>
    <w:p w14:paraId="97000000">
      <w:pPr>
        <w:ind w:firstLine="709" w:left="0"/>
        <w:jc w:val="both"/>
      </w:pPr>
      <w:r>
        <w:t>Отдельную группу проблем составляют вопросы обеспечения информационной безопасности электронного судебного делопроизводства. Судебные документы содержат персональные данные участников процесса, сведения, составляющие государственную, коммерческую и иную охраняемую законом тайну. Обеспечение защиты данной информации в условиях электронного документооборота требует применения специальных технических средств защиты, соблюдения требований законодательства о персональных данных, регулярного проведения мероприятий по контролю защищённости информационных систем [20, с. 167].</w:t>
      </w:r>
    </w:p>
    <w:p w14:paraId="98000000">
      <w:pPr>
        <w:ind w:firstLine="709" w:left="0"/>
        <w:jc w:val="both"/>
      </w:pPr>
      <w:r>
        <w:t xml:space="preserve">Пути преодоления указанных барьеров предполагают реализацию комплекса мер. В правовой сфере необходимо принятие единого нормативного акта, регулирующего порядок электронного документооборота в судах, устанавливающего требования к формату электронных документов, порядку их </w:t>
      </w:r>
      <w:r>
        <w:t>хранения и уничтожения. В техническом отношении требуется модернизация ГАС «Правосудие» с учётом современных требований, обеспечение судебных участков мировых судей необходимым оборудованием и каналами связи. В организационном плане необходимо создание системы непрерывного обучения работников аппаратов судов навыкам работы с электронными системами [25, с. 33].</w:t>
      </w:r>
    </w:p>
    <w:p w14:paraId="99000000">
      <w:pPr>
        <w:ind w:firstLine="709" w:left="0"/>
        <w:jc w:val="both"/>
      </w:pPr>
      <w:r>
        <w:t>Таким образом, внедрение электронного документооборота в судебную систему представляет собой сложный и многоаспектный процесс, требующий координации усилий на законодательном, организационном и техническом уровнях. Преодоление существующих барьеров является необходимым условием повышения эффективности судебного делопроизводства и обеспечения доступности правосудия.</w:t>
      </w:r>
    </w:p>
    <w:p w14:paraId="9A000000">
      <w:pPr>
        <w:ind w:firstLine="709" w:left="0"/>
        <w:jc w:val="both"/>
      </w:pPr>
      <w:r>
        <w:t>Отдельного внимания заслуживает проблема межведомственного электронного взаимодействия судебных органов с иными государственными органами и организациями. Информационный обмен между судами и органами прокуратуры, следственными органами, службой судебных приставов, органами ЗАГС, налоговыми органами и иными субъектами осуществляется преимущественно в бумажной форме, что существенно замедляет процесс получения необходимых сведений и документов. Создание системы межведомственного электронного документооборота позволило бы значительно ускорить рассмотрение дел и снизить нагрузку на делопроизводственные подразделения судов [20, с. 175].</w:t>
      </w:r>
    </w:p>
    <w:p w14:paraId="9B000000">
      <w:pPr>
        <w:ind w:firstLine="709" w:left="0"/>
        <w:jc w:val="both"/>
      </w:pPr>
      <w:r>
        <w:t xml:space="preserve">Перспективным направлением является также внедрение технологии распределённого реестра (блокчейн) для обеспечения неизменяемости и подлинности электронных судебных документов. Применение данной технологии позволило бы создать систему, в которой любое изменение документа было бы зафиксировано и доступно для проверки, что исключило бы возможность несанкционированного изменения судебных актов и иных процессуальных документов. Ряд зарубежных правовых систем уже приступил к </w:t>
      </w:r>
      <w:r>
        <w:t>исследованию возможности применения блокчейн-технологий в судебном делопроизводстве, что свидетельствует о перспективности данного направления [23, с. 28].</w:t>
      </w:r>
    </w:p>
    <w:p w14:paraId="9C000000">
      <w:bookmarkStart w:id="7" w:name="__RefHeading___7"/>
      <w:bookmarkEnd w:id="7"/>
      <w:pPr>
        <w:pStyle w:val="Style_4"/>
        <w:pageBreakBefore w:val="1"/>
        <w:ind/>
      </w:pPr>
      <w:r>
        <w:t>ГЛАВА 2. ВИДЫ СУДЕБНОГО ДЕЛОПРОИЗВОДСТВА, ПРОЦЕССУАЛЬНЫЕ ОСОБЕННОСТИ ДОКУМЕНТООБОРОТА И ОПТИМИЗАЦИЯ ПРАКТИКИ</w:t>
      </w:r>
    </w:p>
    <w:p w14:paraId="9D000000">
      <w:bookmarkStart w:id="8" w:name="__RefHeading___8"/>
      <w:bookmarkEnd w:id="8"/>
      <w:pPr>
        <w:pStyle w:val="Style_5"/>
      </w:pPr>
      <w:r>
        <w:t>2.1. Особенности делопроизводства в судах общей юрисдикции: типичные ошибки и правовые последствия</w:t>
      </w:r>
    </w:p>
    <w:p w14:paraId="9E000000">
      <w:pPr>
        <w:ind w:firstLine="709" w:left="0"/>
        <w:jc w:val="both"/>
      </w:pPr>
      <w:r>
        <w:t>Суды общей юрисдикции составляют наиболее многочисленную группу судебных органов в Российской Федерации и рассматривают подавляющее большинство судебных дел. Организация судов общей юрисдикции определяется Федеральным конституционным законом от 07.02.2011 № 1-ФКЗ «О судах общей юрисдикции в Российской Федерации» [4]. Организация делопроизводства в данных судах регламентируется Инструкцией по судебному делопроизводству в районном суде, утверждённой Приказом Судебного департамента при Верховном Суде РФ от 29.04.2003 № 36, и аналогичной Инструкцией для судов субъектов Российской Федерации, утверждённой Приказом от 15.12.2004 № 161 [11; 12].</w:t>
      </w:r>
    </w:p>
    <w:p w14:paraId="9F000000">
      <w:pPr>
        <w:ind w:firstLine="709" w:left="0"/>
        <w:jc w:val="both"/>
      </w:pPr>
      <w:r>
        <w:t>Делопроизводство в судах общей юрисдикции охватывает следующие основные направления: приём и регистрация поступающей корреспонденции; оформление и движение гражданских, уголовных и административных дел; ведение учётно-статистических карточек; отправка исходящей корреспонденции; обращение к исполнению судебных актов; формирование и хранение архивных дел. Каждое из указанных направлений регулируется соответствующими разделами инструкций и предполагает соблюдение установленных правил документооборота [16, с. 42].</w:t>
      </w:r>
    </w:p>
    <w:p w14:paraId="A0000000">
      <w:pPr>
        <w:ind w:firstLine="709" w:left="0"/>
        <w:jc w:val="both"/>
      </w:pPr>
      <w:r>
        <w:t xml:space="preserve">Структура аппарата районного суда, осуществляющего делопроизводственные функции, включает несколько подразделений. Общий отдел (канцелярия) обеспечивает приём, регистрацию и отправку корреспонденции. Отдел обеспечения судопроизводства по гражданским делам ведёт делопроизводство по гражданским и административным делам. Отдел </w:t>
      </w:r>
      <w:r>
        <w:t>обеспечения судопроизводства по уголовным делам отвечает за делопроизводство по уголовным делам. Архив суда осуществляет приём, хранение и выдачу архивных дел. Администратор суда координирует деятельность всех подразделений и обеспечивает контроль за соблюдением правил делопроизводства [19, с. 236].</w:t>
      </w:r>
    </w:p>
    <w:p w14:paraId="A1000000">
      <w:pPr>
        <w:ind w:firstLine="709" w:left="0"/>
        <w:jc w:val="both"/>
      </w:pPr>
      <w:r>
        <w:t>В крупных районных судах с большим объёмом документооборота могут создаваться дополнительные подразделения: экспедиция (для обработки входящей и исходящей корреспонденции), отдел судебной статистики, отдел информатизации. Специализация работников аппарата по отдельным направлениям делопроизводства позволяет повысить качество и скорость обработки документов. Напротив, в малосоставных судах, где штатная численность аппарата ограничена, один работник может совмещать несколько делопроизводственных функций, что увеличивает риск допущения ошибок [15, с. 78].</w:t>
      </w:r>
    </w:p>
    <w:p w14:paraId="A2000000">
      <w:pPr>
        <w:ind w:firstLine="709" w:left="0"/>
        <w:jc w:val="both"/>
      </w:pPr>
      <w:r>
        <w:t>Процедура приёма и регистрации документов в районном суде включает ряд обязательных этапов. Все поступающие в суд документы подлежат регистрации в день поступления в подсистеме «Судебное делопроизводство» ГАС «Правосудие» или в журналах входящей корреспонденции. На каждом документе проставляется регистрационный штамп с указанием даты поступления и входящего номера. Исковые заявления, жалобы и иные обращения, поступающие непосредственно от граждан через приёмную суда, также подлежат обязательной регистрации в установленном порядке [11].</w:t>
      </w:r>
    </w:p>
    <w:p w14:paraId="A3000000">
      <w:pPr>
        <w:ind w:firstLine="709" w:left="0"/>
        <w:jc w:val="both"/>
      </w:pPr>
      <w:r>
        <w:t>После регистрации документы передаются председателю суда или иному уполномоченному лицу для определения порядка их рассмотрения. Исковые заявления и административные исковые заявления распределяются между судьями в соответствии с установленным порядком распределения дел, который может осуществляться на основе специализации судей, территориального принципа либо автоматизированного распределения [19, с. 235].</w:t>
      </w:r>
    </w:p>
    <w:p w14:paraId="A4000000">
      <w:pPr>
        <w:ind w:firstLine="709" w:left="0"/>
        <w:jc w:val="both"/>
      </w:pPr>
      <w:r>
        <w:t>На каждое принятое к производству дело заводится учётно-статистическая карточка, содержащая сведения о сторонах, предмете спора, дате поступления, движении дела, принятых судебных актах. В условиях автоматизации данные карточки ведутся в электронном виде в системе ГАС «Правосудие», однако параллельно может вестись и бумажная картотека — особенно в судах, где уровень информатизации недостаточен [22, с. 38].</w:t>
      </w:r>
    </w:p>
    <w:p w14:paraId="A5000000">
      <w:pPr>
        <w:ind w:firstLine="709" w:left="0"/>
        <w:jc w:val="both"/>
      </w:pPr>
      <w:r>
        <w:t>Формирование судебного дела осуществляется в строгом соответствии с установленными правилами. Все документы подшиваются в дело в хронологическом порядке, каждый лист дела нумеруется. В начале дела помещается определение о принятии искового заявления к производству, далее — исковое заявление с приложениями, затем — документы, поступающие в ходе рассмотрения дела, в конце — решение суда (определение о прекращении производства) и исполнительные документы. Составляется внутренняя опись документов, находящихся в деле, а по завершении рассмотрения — справочный лист, содержащий основные сведения о движении дела [11].</w:t>
      </w:r>
    </w:p>
    <w:p w14:paraId="A6000000">
      <w:pPr>
        <w:ind w:firstLine="709" w:left="0"/>
        <w:jc w:val="both"/>
      </w:pPr>
      <w:r>
        <w:t>Организация отправки исходящей корреспонденции является одним из наиболее ответственных направлений делопроизводства. Судебные повестки, копии судебных актов, исполнительные листы и иные документы должны быть направлены адресатам в установленные процессуальным законодательством сроки. Нарушение данных сроков может повлечь отложение судебного заседания, затягивание рассмотрения дела и, в конечном счёте, нарушение права на судопроизводство в разумный срок. Отправка корреспонденции фиксируется в реестрах заказных писем с уведомлением о вручении, а информация о направленных документах отражается в учётно-статистических карточках и в информационной системе ГАС «Правосудие» [11; 18, с. 237].</w:t>
      </w:r>
    </w:p>
    <w:p w14:paraId="A7000000">
      <w:pPr>
        <w:ind w:firstLine="709" w:left="0"/>
        <w:jc w:val="both"/>
      </w:pPr>
      <w:r>
        <w:t xml:space="preserve">Анализ практики судебного делопроизводства в судах общей юрисдикции позволяет выделить ряд типичных ошибок. К наиболее распространённым нарушениям относятся: несвоевременная регистрация поступивших документов, влекущая нарушение процессуальных сроков; ненадлежащее оформление </w:t>
      </w:r>
      <w:r>
        <w:t>судебных извещений и повесток, приводящее к ненадлежащему уведомлению участников процесса; несоблюдение порядка направления копий судебных актов лицам, участвующим в деле; нарушение правил оформления исполнительных документов [27, с. 38].</w:t>
      </w:r>
    </w:p>
    <w:p w14:paraId="A8000000">
      <w:pPr>
        <w:ind w:firstLine="709" w:left="0"/>
        <w:jc w:val="both"/>
      </w:pPr>
      <w:r>
        <w:t>Правовые последствия ошибок в делопроизводстве могут быть весьма существенными. Ненадлежащее извещение ответчика о времени и месте судебного заседания является безусловным основанием для отмены судебного акта вышестоящим судом в соответствии с частью 4 статьи 330 ГПК РФ [5]. Нарушение порядка направления копии решения суда лицам, участвующим в деле, может повлечь восстановление пропущенного срока на подачу апелляционной жалобы. Ошибки в оформлении исполнительных листов приводят к невозможности их предъявления к исполнению и необходимости обращения в суд за выдачей дубликата [17, с. 125].</w:t>
      </w:r>
    </w:p>
    <w:p w14:paraId="A9000000">
      <w:pPr>
        <w:ind w:firstLine="709" w:left="0"/>
        <w:jc w:val="both"/>
      </w:pPr>
      <w:r>
        <w:t>Судебная практика наглядно демонстрирует масштаб проблемы. Верховный Суд Российской Федерации в Определении N 49-КГ20-9-К6 отменил решения нижестоящих судов, установив, что ответчик не получил судебного извещения по причине направления повестки с нарушением установленных сроков. Суд подчеркнул, что без участия стороны, не извещённой надлежащим образом, правосудие фактически не осуществляется, поскольку нарушается принцип состязательности, закреплённый в статье 123 Конституции Российской Федерации. Аналогичная позиция сформулирована в определениях N 5-КГ19-251 и N 18-КГ19-148, где Верховный Суд указал: ненадлежащее извещение лица о рассмотрении дела лишает его возможности реализовать право заявлять возражения против иска [5].</w:t>
      </w:r>
    </w:p>
    <w:p w14:paraId="AA000000">
      <w:pPr>
        <w:ind w:firstLine="709" w:left="0"/>
        <w:jc w:val="both"/>
      </w:pPr>
      <w:r>
        <w:t xml:space="preserve">По данным Судебного департамента при Верховном Суде РФ, в 2024 году около 18% апелляционных жалоб на решения районных судов содержали доводы о нарушении права на участие в процессе вследствие ненадлежащего извещения; из них примерно 32% были удовлетворены полностью или частично [28]. Показатель свидетельствует о системном характере проблемы, а не о единичных </w:t>
      </w:r>
      <w:r>
        <w:t>сбоях. Наиболее высокий процент подобных нарушений фиксируется по массовым категориям дел: взыскание задолженности за коммунальные услуги, кредитные споры, дела об административных правонарушениях. В этих категориях уведомления нередко рассылаются автоматически, без проверки актуальности почтовых данных адресата.</w:t>
      </w:r>
    </w:p>
    <w:p w14:paraId="AB000000">
      <w:pPr>
        <w:ind w:firstLine="709" w:left="0"/>
        <w:jc w:val="both"/>
      </w:pPr>
      <w:r>
        <w:t>Справка Первого кассационного суда общей юрисдикции о результатах изучения причин отмены и изменения постановлений по делам об административных правонарушениях за третий квартал 2024 года подтверждает, что ненадлежащее извещение участников производства о месте и времени рассмотрения дела было одной из основных причин отмены судебных актов наряду с нарушением правил подсудности [28]. Подобная статистика указывает на прямую зависимость качества правосудия от организации делопроизводственных процедур, связанных с направлением судебной корреспонденции.</w:t>
      </w:r>
    </w:p>
    <w:p w14:paraId="AC000000">
      <w:pPr>
        <w:ind w:firstLine="709" w:left="0"/>
        <w:jc w:val="both"/>
      </w:pPr>
      <w:r>
        <w:t>Ещё один характерный пример связан с протоколом судебного заседания. Верховный Суд в Кассационном определении по делу N 5-УД22-162-К2 отменил определение кассационного суда, указав, что замечания защиты на протокол судебного заседания апелляционной инстанции остались нерассмотренными. Суд подчеркнул, что кассационная инстанция обладает полномочиями проверить полноту протокола путём сопоставления его текста с аудиозаписью, и уклонение от такой проверки представляет собой существенное нарушение уголовно-процессуального закона, повлиявшее на исход дела. Данное решение демонстрирует, что делопроизводственные ошибки при ведении и оформлении протоколов могут ставить под сомнение законность всего судебного разбирательства.</w:t>
      </w:r>
    </w:p>
    <w:p w14:paraId="AD000000">
      <w:pPr>
        <w:ind w:firstLine="709" w:left="0"/>
        <w:jc w:val="both"/>
      </w:pPr>
      <w:r>
        <w:t xml:space="preserve">Показательным является и частное постановление Судебной коллегии Верховного Суда РФ от 7 февраля 2011 года по уголовному делу N 36-О11-1. Дело поступило в кассационную инстанцию спустя один год и два месяца после вынесения приговора; причиной задержки стала волокита при изготовлении </w:t>
      </w:r>
      <w:r>
        <w:t>протокола судебного заседания. Верховный Суд направил частное определение в адрес председателя областного суда, констатировав недопустимость подобных нарушений. Случай наглядно иллюстрирует, каким образом организационные недостатки делопроизводства приводят к нарушению права осуждённых на судопроизводство в разумный срок.</w:t>
      </w:r>
    </w:p>
    <w:p w14:paraId="AE000000">
      <w:pPr>
        <w:ind w:firstLine="709" w:left="0"/>
        <w:jc w:val="both"/>
      </w:pPr>
      <w:r>
        <w:t>Особую категорию нарушений составляют ошибки в ведении протоколов судебных заседаний. Протокол судебного заседания является важнейшим процессуальным документом, фиксирующим ход рассмотрения дела. Неполное отражение в протоколе существенных обстоятельств — показаний свидетелей, объяснений сторон, заявленных ходатайств — может повлечь отмену судебного акта по мотиву неполноты исследования доказательств. Несвоевременное изготовление протокола (нарушение трёхдневного срока, установленного статьёй 230 ГПК РФ) лишает участников процесса возможности своевременно ознакомиться с ним и принести замечания [5; 17, с. 198].</w:t>
      </w:r>
    </w:p>
    <w:p w14:paraId="AF000000">
      <w:pPr>
        <w:ind w:firstLine="709" w:left="0"/>
        <w:jc w:val="both"/>
      </w:pPr>
      <w:r>
        <w:t>С введением обязательного аудиопротоколирования судебных заседаний в судах общей юрисдикции появился дополнительный элемент делопроизводства — хранение и систематизация аудиозаписей. Аудиозапись является приложением к протоколу судебного заседания и подлежит хранению в материалах дела. Обеспечение надлежащего качества записи, её целостности и доступности для участников процесса возлагается на секретаря судебного заседания, который обязан проверить работоспособность оборудования перед началом заседания и обеспечить непрерывную запись в течение всего хода судебного разбирательства. Технические неисправности оборудования, приводящие к утрате аудиозаписи или её фрагментов, являются основанием для подачи замечаний на протокол судебного заседания [5; 22, с. 80].</w:t>
      </w:r>
    </w:p>
    <w:p w14:paraId="B0000000">
      <w:pPr>
        <w:ind w:firstLine="709" w:left="0"/>
        <w:jc w:val="both"/>
      </w:pPr>
      <w:r>
        <w:t xml:space="preserve">Проблемы делопроизводства по уголовным делам в судах общей юрисдикции имеют свою специфику. Хранение вещественных доказательств при уголовном деле требует соблюдения специальных условий: обеспечения сохранности предметов, исключения доступа посторонних лиц, ведения журнала </w:t>
      </w:r>
      <w:r>
        <w:t>выдачи и возврата вещественных доказательств. Нарушение порядка хранения вещественных доказательств может повлечь их утрату или повреждение, что является основанием для привлечения ответственных работников к дисциплинарной ответственности, а в особо тяжёлых случаях — к уголовной ответственности за халатность [17, с. 128].</w:t>
      </w:r>
    </w:p>
    <w:p w14:paraId="B1000000">
      <w:pPr>
        <w:ind w:firstLine="709" w:left="0"/>
        <w:jc w:val="both"/>
      </w:pPr>
      <w:r>
        <w:t>Отдельную группу нарушений составляют ошибки при обращении судебных актов к исполнению. Неправильное указание реквизитов должника в исполнительном листе, расхождение между резолютивной частью решения и содержанием исполнительного документа, несвоевременная выдача исполнительных листов — все эти нарушения существенно затрудняют принудительное исполнение судебных актов и нарушают права взыскателей. Службы судебных приставов нередко возвращают исполнительные документы, оформленные с нарушением установленных требований, что увеличивает сроки реального исполнения решений суда [17, с. 130].</w:t>
      </w:r>
    </w:p>
    <w:p w14:paraId="B2000000">
      <w:pPr>
        <w:ind w:firstLine="709" w:left="0"/>
        <w:jc w:val="both"/>
      </w:pPr>
      <w:r>
        <w:t>Важным направлением совершенствования делопроизводства в судах общей юрисдикции является внедрение системы внутреннего контроля качества. Данная система предполагает регулярные проверки соблюдения правил делопроизводства, анализ выявленных нарушений и принятие мер по их устранению. Контрольные функции могут осуществляться администратором суда, начальником отдела делопроизводства, а также комиссиями, создаваемыми по распоряжению председателя суда. Результаты проверок должны обсуждаться на оперативных совещаниях с работниками аппарата суда, что способствует повышению их профессиональной ответственности [19, с. 240].</w:t>
      </w:r>
    </w:p>
    <w:p w14:paraId="B3000000">
      <w:pPr>
        <w:ind w:firstLine="709" w:left="0"/>
        <w:jc w:val="both"/>
      </w:pPr>
      <w:r>
        <w:t xml:space="preserve">Статистический анализ данных о нагрузке судов общей юрисдикции свидетельствует о том, что количество дел, поступающих в районные суды, ежегодно возрастает, тогда как штатная численность работников аппарата увеличивается непропорционально. Данный дисбаланс является одной из системных причин ненадлежащего ведения делопроизводства и требует решения </w:t>
      </w:r>
      <w:r>
        <w:t>на уровне кадровой политики Судебного департамента при Верховном Суде Российской Федерации [28].</w:t>
      </w:r>
    </w:p>
    <w:p w14:paraId="B4000000">
      <w:pPr>
        <w:ind w:firstLine="709" w:left="0"/>
        <w:jc w:val="both"/>
      </w:pPr>
      <w:r>
        <w:t>Немаловажной проблемой является организация выдачи судебных дел для ознакомления лицам, участвующим в деле, и их представителям. Ознакомление с материалами дела является процессуальным правом сторон, закреплённым в ГПК РФ и АПК РФ. Вместе с тем порядок реализации данного права в значительной степени определяется делопроизводственными процедурами: наличием свободных помещений для ознакомления, графиком приёма граждан, порядком выдачи дел из канцелярии. Необеспечение своевременного доступа к материалам дела является нарушением процессуальных прав участников и может повлечь обжалование действий суда [5; 17, с. 199].</w:t>
      </w:r>
    </w:p>
    <w:p w14:paraId="B5000000">
      <w:pPr>
        <w:ind w:firstLine="709" w:left="0"/>
        <w:jc w:val="both"/>
      </w:pPr>
      <w:r>
        <w:t>Практика судов общей юрисдикции свидетельствует о необходимости совершенствования системы внутреннего контроля движения судебных дел. Нередки случаи, когда судебные дела длительное время находятся в кабинетах судей без движения, при том что участники процесса не уведомлены о причинах задержки. Внедрение электронных систем контроля движения дел с автоматическим формированием уведомлений о нарушении установленных сроков нахождения дела на определённом этапе позволило бы существенно повысить дисциплину делопроизводства [19, с. 242].</w:t>
      </w:r>
    </w:p>
    <w:p w14:paraId="B6000000">
      <w:pPr>
        <w:ind w:firstLine="709" w:left="0"/>
        <w:jc w:val="both"/>
      </w:pPr>
      <w:r>
        <w:t>Таким образом, делопроизводство в судах общей юрисдикции характеризуется сложной системой делопроизводственных операций, при выполнении которых работники аппарата суда допускают различные ошибки, влекущие серьёзные процессуальные последствия. Минимизация подобных нарушений требует как совершенствования нормативной базы, так и повышения квалификации работников судебных аппаратов.</w:t>
      </w:r>
    </w:p>
    <w:p w14:paraId="B7000000"/>
    <w:p w14:paraId="B8000000">
      <w:bookmarkStart w:id="9" w:name="__RefHeading___9"/>
      <w:bookmarkEnd w:id="9"/>
      <w:pPr>
        <w:pStyle w:val="Style_5"/>
      </w:pPr>
      <w:r>
        <w:t>2.2. Специфика документооборота в арбитражных судах: возможности использования электронных механизмов и риски</w:t>
      </w:r>
    </w:p>
    <w:p w14:paraId="B9000000">
      <w:pPr>
        <w:ind w:firstLine="709" w:left="0"/>
        <w:jc w:val="both"/>
      </w:pPr>
      <w:r>
        <w:t>Арбитражные суды Российской Федерации рассматривают экономические споры и иные дела, связанные с осуществлением предпринимательской и иной экономической деятельности. Специфика арбитражного судопроизводства определяет ряд особенностей организации делопроизводства в данных судах, отличающих его от делопроизводства в судах общей юрисдикции [21, с. 36].</w:t>
      </w:r>
    </w:p>
    <w:p w14:paraId="BA000000">
      <w:pPr>
        <w:ind w:firstLine="709" w:left="0"/>
        <w:jc w:val="both"/>
      </w:pPr>
      <w:r>
        <w:t>Организация делопроизводства в арбитражных судах регламентируется Инструкцией по делопроизводству в арбитражных судах Российской Федерации, а также нормами Арбитражного процессуального кодекса Российской Федерации. Система арбитражных судов исторически являлась пионером внедрения электронного документооборота в судебную деятельность, что обусловлено рядом факторов: относительно меньшее число арбитражных судов по сравнению с судами общей юрисдикции, более высокий уровень технической оснащённости, преобладание профессиональных участников процесса (юридических лиц и предпринимателей), обладающих навыками работы с электронными системами [6; 26, с. 17].</w:t>
      </w:r>
    </w:p>
    <w:p w14:paraId="BB000000">
      <w:pPr>
        <w:ind w:firstLine="709" w:left="0"/>
        <w:jc w:val="both"/>
      </w:pPr>
      <w:r>
        <w:t>Структура арбитражного суда субъекта Российской Федерации включает несколько судебных составов, специализирующихся на рассмотрении определённых категорий дел: по гражданским спорам, налоговым спорам, спорам о несостоятельности (банкротстве), административным делам. Каждый судебный состав обслуживается соответствующими работниками аппарата, обеспечивающими ведение делопроизводства. Специализация аппарата по категориям дел позволяет учитывать специфику делопроизводственных требований для различных видов споров [21, с. 37].</w:t>
      </w:r>
    </w:p>
    <w:p w14:paraId="BC000000">
      <w:pPr>
        <w:ind w:firstLine="709" w:left="0"/>
        <w:jc w:val="both"/>
      </w:pPr>
      <w:r>
        <w:t xml:space="preserve">Система арбитражных апелляционных и кассационных судов, созданная в ходе реформы арбитражной системы, породила дополнительные делопроизводственные задачи, связанные с обеспечением движения дел между инстанциями. Передача дела из арбитражного суда первой инстанции в апелляционный или кассационный суд требует выполнения ряда делопроизводственных операций: проверка полноты дела, формирование </w:t>
      </w:r>
      <w:r>
        <w:t>сопроводительного письма, направление дела с использованием специальной службы доставки. Электронная система позволяет параллельно предоставлять участникам процесса доступ к электронным копиям документов через «Картотеку арбитражных дел», что обеспечивает непрерывность информирования сторон о движении дела [3; 20, с. 39].</w:t>
      </w:r>
    </w:p>
    <w:p w14:paraId="BD000000">
      <w:pPr>
        <w:ind w:firstLine="709" w:left="0"/>
        <w:jc w:val="both"/>
      </w:pPr>
      <w:r>
        <w:t>Ключевым элементом электронного документооборота в арбитражных судах является информационная система «Мой Арбитр», обеспечивающая возможность подачи исковых заявлений, ходатайств, жалоб и иных процессуальных документов в электронной форме [30]. Система позволяет прикреплять к подаваемым документам электронные образы приложений, отслеживать статус поданных документов, получать уведомления о движении дела. По статистике Судебного департамента, доля документов, поступающих в арбитражные суды в электронном виде, ежегодно возрастает и в настоящее время составляет значительную часть общего документооборота [28; 30].</w:t>
      </w:r>
    </w:p>
    <w:p w14:paraId="BE000000">
      <w:pPr>
        <w:ind w:firstLine="709" w:left="0"/>
        <w:jc w:val="both"/>
      </w:pPr>
      <w:r>
        <w:t>Система «Картотека арбитражных дел» обеспечивает свободный доступ к информации о рассматриваемых арбитражными судами делах, текстам судебных актов, сведениям о движении дел. Данная система является важным инструментом обеспечения транспарентности арбитражного правосудия и реализации права граждан на доступ к судебной информации [9].</w:t>
      </w:r>
    </w:p>
    <w:p w14:paraId="BF000000">
      <w:pPr>
        <w:ind w:firstLine="709" w:left="0"/>
        <w:jc w:val="both"/>
      </w:pPr>
      <w:r>
        <w:t>Особенностью делопроизводства в арбитражных судах является широкое использование электронных судебных актов. В соответствии с Арбитражным процессуальным кодексом Российской Федерации судебные акты арбитражных судов изготавливаются в электронной форме и размещаются на официальном сайте арбитражного суда в информационно-телекоммуникационной сети «Интернет». Электронный судебный акт, подписанный усиленной квалифицированной электронной подписью судьи, обладает той же юридической силой, что и бумажный документ [6].</w:t>
      </w:r>
    </w:p>
    <w:p w14:paraId="C0000000">
      <w:pPr>
        <w:ind w:firstLine="709" w:left="0"/>
        <w:jc w:val="both"/>
      </w:pPr>
      <w:r>
        <w:t xml:space="preserve">Специфика регистрации и учёта дел в арбитражных судах проявляется в применении единой системы нумерации дел, включающей буквенно-цифровой </w:t>
      </w:r>
      <w:r>
        <w:t>индекс арбитражного суда, порядковый номер дела и год его поступления. Данная система позволяет однозначно идентифицировать каждое дело в масштабах всей системы арбитражных судов и обеспечивает удобство поиска информации через электронные информационные системы [21, с. 41].</w:t>
      </w:r>
    </w:p>
    <w:p w14:paraId="C1000000">
      <w:pPr>
        <w:ind w:firstLine="709" w:left="0"/>
        <w:jc w:val="both"/>
      </w:pPr>
      <w:r>
        <w:t>Отдельной спецификой арбитражного делопроизводства является порядок работы с банкротными делами, которые отличаются значительной продолжительностью и объёмом документации. Дела о несостоятельности (банкротстве) могут рассматриваться арбитражным судом на протяжении нескольких лет, порождая многочисленные обособленные споры, каждый из которых требует самостоятельного делопроизводственного оформления. Учёт движения таких дел, систематизация обособленных споров, обеспечение своевременного извещения участников — всё это создаёт повышенную делопроизводственную нагрузку на аппарат арбитражного суда [21, с. 43].</w:t>
      </w:r>
    </w:p>
    <w:p w14:paraId="C2000000">
      <w:pPr>
        <w:ind w:firstLine="709" w:left="0"/>
        <w:jc w:val="both"/>
      </w:pPr>
      <w:r>
        <w:t>Практика применения электронных доказательств в арбитражном процессе также оказывает влияние на организацию делопроизводства. Электронная переписка, скриншоты веб-страниц, данные из информационных систем всё чаще представляются сторонами в качестве доказательств. Хранение и систематизация таких доказательств в судебном деле требуют специальных технических решений и организационных подходов, поскольку электронные носители информации не могут быть подшиты в дело наравне с бумажными документами [6; 26, с. 18].</w:t>
      </w:r>
    </w:p>
    <w:p w14:paraId="C3000000">
      <w:pPr>
        <w:ind w:firstLine="709" w:left="0"/>
        <w:jc w:val="both"/>
      </w:pPr>
      <w:r>
        <w:t>Вместе с тем использование электронных механизмов в арбитражном судопроизводстве сопряжено с определёнными рисками. К числу технических рисков относятся возможные сбои в работе информационных систем, приводящие к невозможности своевременной подачи документов или ознакомления с материалами дела. Периодические перебои в работе системы «Мой Арбитр» неоднократно порождали споры о восстановлении пропущенных процессуальных сроков, обусловленных техническими неполадками [26, с. 20].</w:t>
      </w:r>
    </w:p>
    <w:p w14:paraId="C4000000">
      <w:pPr>
        <w:ind w:firstLine="709" w:left="0"/>
        <w:jc w:val="both"/>
      </w:pPr>
      <w:r>
        <w:t>Анализ информации Пятого арбитражного апелляционного суда о причинах отмены решений первой инстанции по безусловным основаниям показал, что 51% таких отмен связан с рассмотрением дела в отсутствие лица, не извещённого надлежащим образом о времени и месте судебного заседания (нарушение пункта 2 части 4 статьи 270 АПК РФ). Данная цифра свидетельствует о том, что и в арбитражной системе делопроизводственные нарушения при направлении извещений остаются основной причиной безусловной отмены судебных актов [6]. Аналогичная тенденция прослеживается в других арбитражных апелляционных судах, что подтверждается материалами обобщения судебной практики, публикуемыми на их официальных сайтах.</w:t>
      </w:r>
    </w:p>
    <w:p w14:paraId="C5000000">
      <w:pPr>
        <w:ind w:firstLine="709" w:left="0"/>
        <w:jc w:val="both"/>
      </w:pPr>
      <w:r>
        <w:t>Примечательно, что отсутствие в деле протокола судебного заседания или подписание его ненадлежащими лицами также входит в перечень безусловных оснований для отмены решения арбитражного суда (пункт 6 части 4 статьи 270 АПК РФ). После введения обязательного аудиопротоколирования в арбитражных судах отсутствие аудиозаписи при одновременном отсутствии письменного протокола стало рассматриваться как основание для безусловной отмены. Практика Арбитражного суда Московского округа за 2023 год фиксирует случаи отмены судебных актов именно по этому основанию, что указывает на сохраняющиеся проблемы в делопроизводственном обеспечении аудиопротоколирования [6; 26, с. 21].</w:t>
      </w:r>
    </w:p>
    <w:p w14:paraId="C6000000">
      <w:pPr>
        <w:ind w:firstLine="709" w:left="0"/>
        <w:jc w:val="both"/>
      </w:pPr>
      <w:r>
        <w:t>Правовые риски связаны с возможностью подачи документов от имени лица, не имеющего соответствующих полномочий, а также с обеспечением подлинности электронных документов. Несмотря на использование электронной подписи, риски несанкционированного доступа к личным кабинетам участников процесса и подачи подложных документов сохраняются. Данные обстоятельства требуют совершенствования системы аутентификации пользователей и повышения уровня информационной безопасности [20, с. 172].</w:t>
      </w:r>
    </w:p>
    <w:p w14:paraId="C7000000">
      <w:pPr>
        <w:ind w:firstLine="709" w:left="0"/>
        <w:jc w:val="both"/>
      </w:pPr>
      <w:r>
        <w:t>Организационные риски проявляются в необходимости параллельного ведения бумажного и электронного документооборота, поскольку не все участники арбитражного процесса обладают возможностью подачи документов в электронном виде. Кроме того, ряд документов (например, вещественные доказательства, подлинники документов) по своей природе не могут быть представлены в электронной форме, что обусловливает сохранение элементов бумажного делопроизводства [21, с. 45].</w:t>
      </w:r>
    </w:p>
    <w:p w14:paraId="C8000000">
      <w:pPr>
        <w:ind w:firstLine="709" w:left="0"/>
        <w:jc w:val="both"/>
      </w:pPr>
      <w:r>
        <w:t>Существенной спецификой делопроизводства в арбитражных судах является порядок рассмотрения дел в порядке упрощённого производства. В соответствии с главой 29 АПК РФ дела, рассматриваемые в упрощённом порядке, ведутся исключительно в электронной форме: стороны размещают документы в электронном виде, суд выносит решение без проведения устного заседания, ознакомление с материалами дела осуществляется через информационную систему. Данная форма судопроизводства максимально приближена к модели безбумажного делопроизводства и может рассматриваться как прообраз будущего развития электронного правосудия [6].</w:t>
      </w:r>
    </w:p>
    <w:p w14:paraId="C9000000">
      <w:pPr>
        <w:ind w:firstLine="709" w:left="0"/>
        <w:jc w:val="both"/>
      </w:pPr>
      <w:r>
        <w:t>Архивное делопроизводство в арбитражных судах также имеет свои особенности. Значительная часть арбитражных дел содержит объёмные приложения — бухгалтерские документы, договоры, экспертные заключения, что обусловливает потребность в значительных площадях для архивного хранения. Переход к электронному хранению судебных дел позволяет существенно сократить потребность в архивных помещениях, однако требует обеспечения надёжности и долговременной сохранности электронных носителей, а также создания системы резервного копирования [21, с. 48].</w:t>
      </w:r>
    </w:p>
    <w:p w14:paraId="CA000000">
      <w:pPr>
        <w:ind w:firstLine="709" w:left="0"/>
        <w:jc w:val="both"/>
      </w:pPr>
      <w:r>
        <w:t xml:space="preserve">Практика видеоконференц-связи, широко используемая в арбитражных судах для проведения судебных заседаний с участием лиц, находящихся в иных регионах, также порождает специфические делопроизводственные требования. Организация видеоконференц-связи требует предварительного оформления соответствующих определений суда, направления запросов в суды по месту </w:t>
      </w:r>
      <w:r>
        <w:t>нахождения участников, обеспечения технической готовности каналов связи. Все эти операции включаются в общий делопроизводственный цикл и требуют координации между работниками нескольких судов [21, с. 50].</w:t>
      </w:r>
    </w:p>
    <w:p w14:paraId="CB000000">
      <w:pPr>
        <w:ind w:firstLine="709" w:left="0"/>
        <w:jc w:val="both"/>
      </w:pPr>
      <w:r>
        <w:t>Таким образом, арбитражные суды занимают передовые позиции в сфере внедрения электронного судебного делопроизводства, однако полноценный переход к безбумажному документообороту сдерживается рядом технических, правовых и организационных факторов. Опыт арбитражных судов представляет значительный интерес для разработки перспективных моделей электронного делопроизводства в судах общей юрисдикции.</w:t>
      </w:r>
    </w:p>
    <w:p w14:paraId="CC000000">
      <w:bookmarkStart w:id="10" w:name="__RefHeading___10"/>
      <w:bookmarkEnd w:id="10"/>
      <w:pPr>
        <w:pStyle w:val="Style_5"/>
      </w:pPr>
      <w:r>
        <w:t>2.3. Делопроизводство у мировых судей: проблемы унификации, анализ практических недостатков</w:t>
      </w:r>
    </w:p>
    <w:p w14:paraId="CD000000">
      <w:pPr>
        <w:ind w:firstLine="709" w:left="0"/>
        <w:jc w:val="both"/>
      </w:pPr>
      <w:r>
        <w:t>Мировые судьи являются судьями общей юрисдикции субъектов Российской Федерации и входят в единую судебную систему страны. Правовой статус мировых судей определяется Федеральным законом от 17.12.1998 № 188-ФЗ «О мировых судьях в Российской Федерации», который устанавливает основы организации деятельности мировых судей, включая вопросы материально-технического обеспечения их деятельности [8].</w:t>
      </w:r>
    </w:p>
    <w:p w14:paraId="CE000000">
      <w:pPr>
        <w:ind w:firstLine="709" w:left="0"/>
        <w:jc w:val="both"/>
      </w:pPr>
      <w:r>
        <w:t>Делопроизводство на судебных участках мировых судей обладает рядом существенных особенностей, обусловленных спецификой их организационно-правового положения. Мировые судьи назначаются (избираются) на должность органами государственной власти субъектов Российской Федерации, при этом организационное обеспечение их деятельности осуществляется как органами исполнительной власти субъектов, так и Судебным департаментом при Верховном Суде Российской Федерации. Данная двойственность в организационном обеспечении порождает проблемы координации делопроизводственных процедур [20, с. 180].</w:t>
      </w:r>
    </w:p>
    <w:p w14:paraId="CF000000">
      <w:pPr>
        <w:ind w:firstLine="709" w:left="0"/>
        <w:jc w:val="both"/>
      </w:pPr>
      <w:r>
        <w:t xml:space="preserve">Длительное время делопроизводство у мировых судей регулировалось преимущественно нормативными актами субъектов Российской Федерации, что </w:t>
      </w:r>
      <w:r>
        <w:t>приводило к значительным различиям в организации документооборота на судебных участках в различных регионах. Принятие Инструкции по судебному делопроизводству на судебном участке мирового судьи, утверждённой Приказом Судебного департамента при Верховном Суде РФ от 04.04.2022 № 74, стало важным этапом на пути унификации делопроизводственных процедур [13]. Вместе с тем ряд вопросов организации делопроизводства по-прежнему регулируется на региональном уровне, что сохраняет определённую неоднородность практики [27, с. 40].</w:t>
      </w:r>
    </w:p>
    <w:p w14:paraId="D0000000">
      <w:pPr>
        <w:ind w:firstLine="709" w:left="0"/>
        <w:jc w:val="both"/>
      </w:pPr>
      <w:r>
        <w:t>К компетенции мировых судей отнесено рассмотрение значительного числа категорий гражданских, уголовных и административных дел, что обусловливает высокую нагрузку на судебные участки. По данным Судебного департамента при Верховном Суде РФ, мировые судьи рассматривают более половины всех дел, поступающих в суды общей юрисдикции. Высокая нагрузка в сочетании с ограниченным штатным расписанием аппарата судебного участка (как правило, один-два специалиста) создаёт объективные трудности в обеспечении надлежащего ведения делопроизводства [28].</w:t>
      </w:r>
    </w:p>
    <w:p w14:paraId="D1000000">
      <w:pPr>
        <w:ind w:firstLine="709" w:left="0"/>
        <w:jc w:val="both"/>
      </w:pPr>
      <w:r>
        <w:t>Перечень дел, подведомственных мировым судьям, определяется статьёй 3 Федерального закона от 17.12.1998 № 188-ФЗ и включает: гражданские дела по имущественным спорам при цене иска, не превышающей установленного законом предела; дела о выдаче судебных приказов; дела по отдельным категориям семейных споров; уголовные дела о преступлениях небольшой тяжести; дела об административных правонарушениях. Широта компетенции мировых судей обусловливает необходимость ведения делопроизводства по различным видам судопроизводства одновременно, что требует от работников аппарата знания процессуальных особенностей каждого из них [8].</w:t>
      </w:r>
    </w:p>
    <w:p w14:paraId="D2000000">
      <w:pPr>
        <w:ind w:firstLine="709" w:left="0"/>
        <w:jc w:val="both"/>
      </w:pPr>
      <w:r>
        <w:t xml:space="preserve">Особенностью организации делопроизводства на судебных участках мировых судей является совмещение функций приёма граждан и обработки документов одними и теми же работниками. В отличие от районных судов, где существуют специализированные подразделения аппарата, на судебном участке </w:t>
      </w:r>
      <w:r>
        <w:t>мирового судьи секретарь суда одновременно принимает входящую корреспонденцию, регистрирует документы, готовит судебные извещения, формирует дела для хранения и выдаёт копии судебных актов. Такое совмещение функций, обусловленное ограниченностью штатной численности, неизбежно снижает качество выполнения каждой из них [22, с. 53].</w:t>
      </w:r>
    </w:p>
    <w:p w14:paraId="D3000000">
      <w:pPr>
        <w:ind w:firstLine="709" w:left="0"/>
        <w:jc w:val="both"/>
      </w:pPr>
      <w:r>
        <w:t>Типичным составом аппарата судебного участка мирового судьи является секретарь суда и секретарь судебного заседания. На данных работников возложен весь объём делопроизводственных функций: приём и регистрация корреспонденции, оформление дел, ведение протоколов судебных заседаний, подготовка и отправка судебной корреспонденции, ведение учётно-статистических карточек, обращение к исполнению судебных актов, формирование архива. Совмещение столь широкого круга обязанностей неизбежно приводит к снижению качества выполнения отдельных функций [22, с. 52].</w:t>
      </w:r>
    </w:p>
    <w:p w14:paraId="D4000000">
      <w:pPr>
        <w:ind w:firstLine="709" w:left="0"/>
        <w:jc w:val="both"/>
      </w:pPr>
      <w:r>
        <w:t>Анализ практических недостатков делопроизводства у мировых судей позволяет выделить следующие характерные проблемы. Во-первых, это систематические нарушения сроков направления копий судебных актов и извещений участникам процесса, обусловленные загруженностью работников аппарата. Данные нарушения приводят к задержкам в рассмотрении дел и нарушению прав участников судопроизводства. Во-вторых, отмечается ненадлежащее ведение учётно-статистических карточек и номенклатуры дел, что затрудняет контроль за движением дел и формирование судебной статистики [25, с. 31].</w:t>
      </w:r>
    </w:p>
    <w:p w14:paraId="D5000000">
      <w:pPr>
        <w:ind w:firstLine="709" w:left="0"/>
        <w:jc w:val="both"/>
      </w:pPr>
      <w:r>
        <w:t xml:space="preserve">В-третьих, существенной проблемой является недостаточный уровень информатизации судебных участков мировых судей. Несмотря на последовательное внедрение ГАС «Правосудие», ряд судебных участков по-прежнему не имеет полноценного доступа к электронным системам, что вынуждает вести делопроизводство преимущественно в бумажной форме. Техническая неоснащённость ряда участков в сочетании с отсутствием </w:t>
      </w:r>
      <w:r>
        <w:t>специалистов по информационным технологиям не позволяет в полной мере использовать возможности электронного документооборота [15, с. 88].</w:t>
      </w:r>
    </w:p>
    <w:p w14:paraId="D6000000">
      <w:pPr>
        <w:ind w:firstLine="709" w:left="0"/>
        <w:jc w:val="both"/>
      </w:pPr>
      <w:r>
        <w:t>Особую сложность представляет организация взаимодействия судебных участков мировых судей с вышестоящими судами при рассмотрении апелляционных жалоб. После поступления апелляционной жалобы на решение мирового судьи дело направляется в районный суд для рассмотрения в апелляционном порядке. Данная операция включает ряд делопроизводственных действий: проверку полноты дела, составление сопроводительного письма, направление копии жалобы лицам, участвующим в деле, контроль сроков обжалования. После рассмотрения дела в апелляционной инстанции оно возвращается на судебный участок мирового судьи, что требует повторной регистрации и постановки на контроль исполнения. Координация делопроизводственных операций между двумя судами усложняется отсутствием единой электронной системы, обеспечивающей автоматическое отслеживание движения дела [13; 21, с. 55].</w:t>
      </w:r>
    </w:p>
    <w:p w14:paraId="D7000000">
      <w:pPr>
        <w:ind w:firstLine="709" w:left="0"/>
        <w:jc w:val="both"/>
      </w:pPr>
      <w:r>
        <w:t>В-третьих, существенной проблемой является недостаточный уровень информатизации судебных участков мировых судей. Несмотря на последовательное внедрение ГАС «Правосудие», ряд судебных участков по-прежнему не имеет полноценного доступа к электронным системам, что вынуждает вести делопроизводство преимущественно в бумажной форме. Техническая неоснащённость ряда участков в сочетании с отсутствием специалистов по информационным технологиям не позволяет в полной мере использовать возможности электронного документооборота [15, с. 88].</w:t>
      </w:r>
    </w:p>
    <w:p w14:paraId="D8000000">
      <w:pPr>
        <w:ind w:firstLine="709" w:left="0"/>
        <w:jc w:val="both"/>
      </w:pPr>
      <w:r>
        <w:t xml:space="preserve">В-четвёртых, проблемой является обеспечение надлежащего хранения судебных дел и документов на судебных участках мировых судей. Ограниченность площадей, отводимых для архивного хранения, приводит к нарушению условий хранения документов, их преждевременному уничтожению или утрате. Отсутствие специализированного архивного оборудования </w:t>
      </w:r>
      <w:r>
        <w:t>усугубляет ситуацию и создаёт риски утраты юридически значимых документов [13].</w:t>
      </w:r>
    </w:p>
    <w:p w14:paraId="D9000000">
      <w:pPr>
        <w:ind w:firstLine="709" w:left="0"/>
        <w:jc w:val="both"/>
      </w:pPr>
      <w:r>
        <w:t>В-пятых, значительную проблему представляет организация приёма граждан на судебных участках мировых судей. Ограниченность помещений, отсутствие специализированных приёмных нередко приводят к ситуациям, когда граждане вынуждены ожидать приёма в коридорах, а передача документов осуществляется непосредственно мировому судье или секретарю судебного заседания, что нарушает установленный порядок регистрации корреспонденции и создаёт условия для утраты документов [22, с. 56].</w:t>
      </w:r>
    </w:p>
    <w:p w14:paraId="DA000000">
      <w:pPr>
        <w:ind w:firstLine="709" w:left="0"/>
        <w:jc w:val="both"/>
      </w:pPr>
      <w:r>
        <w:t>Анализ судебной статистики показывает, что именно на судебных участках мировых судей наблюдается наибольшее количество нарушений, связанных с ненадлежащим извещением участников процесса. Это обусловлено как высокой нагрузкой, так и спецификой рассматриваемых дел — значительная доля дел об административных правонарушениях и приказного производства предполагает необходимость направления большого количества судебной корреспонденции при ограниченных ресурсах аппарата. Практика использования электронных средств извещения (СМС-уведомлений) частично решает данную проблему, однако не является универсальным средством, поскольку предполагает наличие согласия адресата на получение уведомлений в электронной форме [15, с. 90].</w:t>
      </w:r>
    </w:p>
    <w:p w14:paraId="DB000000">
      <w:pPr>
        <w:ind w:firstLine="709" w:left="0"/>
        <w:jc w:val="both"/>
      </w:pPr>
      <w:r>
        <w:t>Положительным примером является опыт ряда субъектов Российской Федерации по созданию центров обеспечения деятельности мировых судей — специализированных учреждений, объединяющих функции организационного, материально-технического и делопроизводственного обеспечения нескольких судебных участков. Создание таких центров позволяет оптимизировать штатную численность, обеспечить специализацию работников по отдельным направлениям делопроизводства и повысить эффективность использования технических средств [27, с. 42].</w:t>
      </w:r>
    </w:p>
    <w:p w14:paraId="DC000000">
      <w:pPr>
        <w:ind w:firstLine="709" w:left="0"/>
        <w:jc w:val="both"/>
      </w:pPr>
      <w:r>
        <w:t xml:space="preserve">Отдельную сложность в делопроизводстве мировых судей представляет рассмотрение дел приказного производства. Судебные приказы составляют </w:t>
      </w:r>
      <w:r>
        <w:t>значительную часть нагрузки мировых судей: по ряду категорий дел (о взыскании задолженности по оплате коммунальных услуг, по кредитным обязательствам) количество заявлений о выдаче судебных приказов исчисляется тысячами. Каждый судебный приказ требует регистрации, учёта, направления копии должнику, контроля сроков для подачи возражений, а в случае вступления в законную силу — обращения к исполнению. При отсутствии автоматизации данные операции создают колоссальную делопроизводственную нагрузку, приводящую к систематическим нарушениям процессуальных сроков [8; 21, с. 58].</w:t>
      </w:r>
    </w:p>
    <w:p w14:paraId="DD000000">
      <w:pPr>
        <w:ind w:firstLine="709" w:left="0"/>
        <w:jc w:val="both"/>
      </w:pPr>
      <w:r>
        <w:t>Не менее значимой является проблема организации рассмотрения дел об административных правонарушениях, также составляющих существенную часть нагрузки мировых судей. Протоколы об административных правонарушениях, поступающие от органов внутренних дел, контрольно-надзорных органов и иных субъектов, нередко содержат дефекты оформления, что влечёт необходимость их возврата составителю или приостановления рассмотрения дела. Проверка правильности оформления поступающих материалов является обязанностью работников аппарата судебного участка и требует наличия у них соответствующей квалификации [17, с. 135].</w:t>
      </w:r>
    </w:p>
    <w:p w14:paraId="DE000000">
      <w:pPr>
        <w:ind w:firstLine="709" w:left="0"/>
        <w:jc w:val="both"/>
      </w:pPr>
      <w:r>
        <w:t>Практика показывает, что в ряде субъектов Российской Федерации предпринимаются меры по улучшению условий работы мировых судей и их аппаратов: выделяются дополнительные площади для размещения судебных участков, увеличивается штатная численность работников, закупается современное оборудование. Вместе с тем данные меры носят несистемный характер и зависят от финансовых возможностей конкретного субъекта Российской Федерации, что приводит к значительной дифференциации условий работы мировых судей в различных регионах страны [28].</w:t>
      </w:r>
    </w:p>
    <w:p w14:paraId="DF000000">
      <w:pPr>
        <w:ind w:firstLine="709" w:left="0"/>
        <w:jc w:val="both"/>
      </w:pPr>
      <w:r>
        <w:t xml:space="preserve">Таким образом, делопроизводство у мировых судей характеризуется рядом специфических проблем, обусловленных особенностями организационно-правового статуса мировой юстиции, высокой нагрузкой на судебные участки и </w:t>
      </w:r>
      <w:r>
        <w:t>недостаточным уровнем их материально-технического обеспечения. Решение указанных проблем требует комплексного подхода, включающего как нормативное регулирование, так и увеличение финансирования деятельности мировых судей.</w:t>
      </w:r>
    </w:p>
    <w:p w14:paraId="E0000000">
      <w:bookmarkStart w:id="11" w:name="__RefHeading___11"/>
      <w:bookmarkEnd w:id="11"/>
      <w:pPr>
        <w:pStyle w:val="Style_5"/>
      </w:pPr>
      <w:r>
        <w:t>2.4. Разработка предложений по оптимизации судебного документооборота и унификации нормативных актов</w:t>
      </w:r>
    </w:p>
    <w:p w14:paraId="E1000000">
      <w:pPr>
        <w:ind w:firstLine="709" w:left="0"/>
        <w:jc w:val="both"/>
      </w:pPr>
      <w:r>
        <w:t>Проведённый в предыдущих параграфах анализ позволяет сформулировать комплекс предложений, направленных на оптимизацию судебного документооборота и унификацию нормативных актов, регулирующих организацию делопроизводства в судах Российской Федерации. Данные предложения учитывают опыт судов общей юрисдикции, арбитражных судов и судебных участков мировых судей, а также лучшие практики электронного судопроизводства.</w:t>
      </w:r>
    </w:p>
    <w:p w14:paraId="E2000000">
      <w:pPr>
        <w:ind w:firstLine="709" w:left="0"/>
        <w:jc w:val="both"/>
      </w:pPr>
      <w:r>
        <w:t>Первое предложение касается разработки и принятия единого нормативного акта — Типовых правил судебного делопроизводства, устанавливающих общие требования к организации документооборота для всех звеньев судебной системы. Данный акт должен определять единый понятийный аппарат, общие принципы организации делопроизводства, типовые формы основных документов, требования к системам регистрации и учёта дел. При этом специфика отдельных видов судопроизводства и уровней судебной системы может быть отражена в дополнительных разделах или приложениях [25, с. 34].</w:t>
      </w:r>
    </w:p>
    <w:p w14:paraId="E3000000">
      <w:pPr>
        <w:ind w:firstLine="709" w:left="0"/>
        <w:jc w:val="both"/>
      </w:pPr>
      <w:r>
        <w:t>Разработка Типовых правил позволит устранить существующие противоречия между инструкциями для различных судов, обеспечить единообразие в оформлении процессуальных документов и облегчить передачу дел между судами различных юрисдикций. Как справедливо отмечает А.П. Фоков, унификация правил делопроизводства является необходимой предпосылкой создания единого информационного пространства судебной системы [27, с. 43].</w:t>
      </w:r>
    </w:p>
    <w:p w14:paraId="E4000000">
      <w:pPr>
        <w:ind w:firstLine="709" w:left="0"/>
        <w:jc w:val="both"/>
      </w:pPr>
      <w:r>
        <w:t>Второе предложение направлено на ускорение перехода к полноценному электронному документообороту в судах общей юрисдикции и на судебных участках мировых судей. Необходимо разработать поэтапный план перехода, предусматривающий: модернизацию технической инфраструктуры судебных участков; обеспечение устойчивого доступа к высокоскоростным каналам связи; создание центров обработки данных для резервного хранения электронных судебных дел; внедрение электронной подписи для всех работников аппаратов судов.</w:t>
      </w:r>
    </w:p>
    <w:p w14:paraId="E5000000">
      <w:pPr>
        <w:ind w:firstLine="709" w:left="0"/>
        <w:jc w:val="both"/>
      </w:pPr>
      <w:r>
        <w:t>Третье предложение связано с совершенствованием системы подготовки кадров для работы в аппаратах судов. Необходимо создание системы непрерывного обучения работников аппаратов судов навыкам работы с электронными информационными системами, включающей: начальное обучение при приёме на работу; регулярное повышение квалификации; дистанционное обучение с использованием электронных образовательных платформ. Программы обучения должны быть стандартизированы и утверждены Судебным департаментом при Верховном Суде Российской Федерации [15, с. 92].</w:t>
      </w:r>
    </w:p>
    <w:p w14:paraId="E6000000">
      <w:pPr>
        <w:ind w:firstLine="709" w:left="0"/>
        <w:jc w:val="both"/>
      </w:pPr>
      <w:r>
        <w:t>Помимо технических навыков, программы подготовки кадров должны включать углублённое изучение процессуального законодательства, правил оформления процессуальных документов, порядка работы с конфиденциальной информацией. Работник аппарата суда должен понимать процессуальное значение совершаемых им делопроизводственных операций и осознавать юридические последствия допускаемых нарушений. Введение системы квалификационных экзаменов для работников аппаратов судов, аналогичной системе аттестации государственных гражданских служащих, способствовало бы повышению профессионального уровня и ответственности персонала [20, с. 183].</w:t>
      </w:r>
    </w:p>
    <w:p w14:paraId="E7000000">
      <w:pPr>
        <w:ind w:firstLine="709" w:left="0"/>
        <w:jc w:val="both"/>
      </w:pPr>
      <w:r>
        <w:t xml:space="preserve">Практика ряда субъектов Российской Федерации свидетельствует о положительных результатах внедрения системы наставничества для вновь </w:t>
      </w:r>
      <w:r>
        <w:t>принятых работников аппаратов судов. Закрепление за каждым новым сотрудником опытного наставника на период адаптации (три-шесть месяцев) позволяет существенно сократить количество ошибок в делопроизводственных операциях и ускорить процесс овладения навыками работы с информационными системами. Данный опыт заслуживает распространения на федеральном уровне с разработкой типового положения о наставничестве в аппаратах судов [25, с. 36].</w:t>
      </w:r>
    </w:p>
    <w:p w14:paraId="E8000000">
      <w:pPr>
        <w:ind w:firstLine="709" w:left="0"/>
        <w:jc w:val="both"/>
      </w:pPr>
      <w:r>
        <w:t>Четвёртое предложение касается интеграции информационных систем судов общей юрисдикции и арбитражных судов. В настоящее время ГАС «Правосудие» и система «Мой Арбитр» функционируют как самостоятельные информационные системы, не обеспечивающие полноценного взаимодействия. Создание единой интегрированной платформы или, как минимум, обеспечение интероперабельности существующих систем позволит упростить обмен информацией между судами различных юрисдикций, исключить дублирование данных и повысить эффективность судебного делопроизводства [24, с. 55].</w:t>
      </w:r>
    </w:p>
    <w:p w14:paraId="E9000000">
      <w:pPr>
        <w:ind w:firstLine="709" w:left="0"/>
        <w:jc w:val="both"/>
      </w:pPr>
      <w:r>
        <w:t>Пятое предложение направлено на внедрение технологий искусственного интеллекта в процессы судебного делопроизводства. Современные технологии позволяют автоматизировать ряд рутинных операций: распознавание и классификацию входящей корреспонденции, автоматическое заполнение учётно-статистических карточек, контроль соблюдения процессуальных сроков, формирование проектов типовых процессуальных документов. Внедрение подобных технологий способно существенно снизить нагрузку на работников аппаратов судов и уменьшить количество допускаемых ошибок.</w:t>
      </w:r>
    </w:p>
    <w:p w14:paraId="EA000000">
      <w:pPr>
        <w:ind w:firstLine="709" w:left="0"/>
        <w:jc w:val="both"/>
      </w:pPr>
      <w:r>
        <w:t xml:space="preserve">Шестое предложение касается совершенствования нормативного регулирования электронного документооборота. Необходимо закрепить в процессуальных кодексах приоритет электронной формы подачи документов и направления судебных извещений при условии наличия у участника процесса технической возможности для использования электронных средств коммуникации. Одновременно должны быть установлены чёткие правовые </w:t>
      </w:r>
      <w:r>
        <w:t>гарантии для лиц, не имеющих доступа к электронным системам, обеспечивающие сохранение для них возможности участия в судопроизводстве в традиционной форме [23, с. 27].</w:t>
      </w:r>
    </w:p>
    <w:p w14:paraId="EB000000">
      <w:pPr>
        <w:ind w:firstLine="709" w:left="0"/>
        <w:jc w:val="both"/>
      </w:pPr>
      <w:r>
        <w:t>Седьмое предложение направлено на укрепление материально-технической базы судебных участков мировых судей. Необходимо разработать федеральную целевую программу, предусматривающую финансирование оснащения судебных участков современным компьютерным оборудованием, средствами телекоммуникации и архивного хранения. Как показал проведённый анализ, именно недостаточное материально-техническое обеспечение является ключевым фактором, определяющим низкое качество делопроизводства на ряде судебных участков мировых судей.</w:t>
      </w:r>
    </w:p>
    <w:p w14:paraId="EC000000">
      <w:pPr>
        <w:ind w:firstLine="709" w:left="0"/>
        <w:jc w:val="both"/>
      </w:pPr>
      <w:r>
        <w:t>Реализация предложенного комплекса мер позволит существенно повысить эффективность судебного делопроизводства, сократить количество процессуальных нарушений, обусловленных ненадлежащим ведением документации, и обеспечить более полную реализацию конституционного права граждан на доступ к правосудию. Вместе с тем следует учитывать, что внедрение указанных мер потребует значительных финансовых затрат и организационных усилий, а также последовательной политической воли руководства судебной системы.</w:t>
      </w:r>
    </w:p>
    <w:p w14:paraId="ED000000">
      <w:pPr>
        <w:ind w:firstLine="709" w:left="0"/>
        <w:jc w:val="both"/>
      </w:pPr>
      <w:r>
        <w:t xml:space="preserve">Восьмое предложение направлено на создание единой электронной системы обратной связи с участниками судопроизводства. В настоящее время оценка качества работы аппарата суда, в том числе качества ведения делопроизводства, осуществляется преимущественно посредством жалоб граждан, поступающих в квалификационные коллегии судей и в Судебный департамент. Создание электронной платформы, позволяющей участникам процесса оперативно сообщать о допущенных нарушениях делопроизводственного характера — несвоевременном направлении извещений, задержках в выдаче копий судебных актов, ошибках в исполнительных </w:t>
      </w:r>
      <w:r>
        <w:t>документах — обеспечит возможность оперативного реагирования и системного анализа типичных недостатков [25, с. 35].</w:t>
      </w:r>
    </w:p>
    <w:p w14:paraId="EE000000">
      <w:pPr>
        <w:ind w:firstLine="709" w:left="0"/>
        <w:jc w:val="both"/>
      </w:pPr>
      <w:r>
        <w:t>Девятое предложение касается разработки единой методики оценки эффективности судебного делопроизводства. В настоящее время такая методика отсутствует, и оценка качества делопроизводства осуществляется на основании различных критериев в разных судах. Предлагаемая методика должна включать измеримые показатели: средний срок прохождения документа от момента поступления до передачи судье; долю документов, зарегистрированных с нарушением установленных сроков; количество отменённых судебных актов по причинам, связанным с делопроизводственными нарушениями; уровень удовлетворённости участников процесса качеством работы аппарата суда. Использование единой методики позволит выявлять суды с наибольшим числом проблем и адресно направлять ресурсы на их решение [15, с. 95].</w:t>
      </w:r>
    </w:p>
    <w:p w14:paraId="EF000000">
      <w:pPr>
        <w:ind w:firstLine="709" w:left="0"/>
        <w:jc w:val="both"/>
      </w:pPr>
      <w:r>
        <w:t>Десятое предложение связано с расширением практики электронного извещения участников судопроизводства. Действующее законодательство допускает извещение посредством СМС-сообщений, электронной почты и через личные кабинеты в информационных системах, однако широкое применение данных способов сдерживается необходимостью получения предварительного согласия адресата. Предлагается законодательно закрепить обязанность юридических лиц и индивидуальных предпринимателей иметь зарегистрированные личные кабинеты в электронных системах судов, а для физических лиц — предусмотреть возможность извещения через портал «Госуслуги», интегрированный с ГАС «Правосудие» [24, с. 56].</w:t>
      </w:r>
    </w:p>
    <w:p w14:paraId="F0000000">
      <w:pPr>
        <w:ind w:firstLine="709" w:left="0"/>
        <w:jc w:val="both"/>
      </w:pPr>
      <w:r>
        <w:t>Таким образом, оптимизация судебного документооборота предполагает системный подход, включающий нормативное, организационное, техническое и кадровое обеспечение. Предложенные направления совершенствования учитывают выявленные в ходе исследования проблемы и направлены на их комплексное решение.</w:t>
      </w:r>
    </w:p>
    <w:p w14:paraId="F1000000">
      <w:pPr>
        <w:ind w:firstLine="709" w:left="0"/>
        <w:jc w:val="both"/>
      </w:pPr>
      <w:r>
        <w:t>Оценка эффективности реализации предложенных мер может быть осуществлена на основании системы показателей, включающей: сокращение среднего срока прохождения документа от момента поступления до передачи судье; снижение доли отменённых судебных актов по основаниям, связанным с делопроизводственными нарушениями; повышение доли документов, поданных и обработанных в электронной форме; увеличение показателя удовлетворённости участников судопроизводства качеством работы аппарата суда. Мониторинг указанных показателей должен осуществляться на регулярной основе Судебным департаментом при Верховном Суде Российской Федерации с публикацией результатов в открытом доступе [28].</w:t>
      </w:r>
    </w:p>
    <w:p w14:paraId="F2000000">
      <w:pPr>
        <w:ind w:firstLine="709" w:left="0"/>
        <w:jc w:val="both"/>
      </w:pPr>
      <w:r>
        <w:t>Особое значение имеет последовательность реализации предложенных мер. На первом этапе (2025–2027 годы) целесообразно сосредоточить усилия на разработке нормативной базы — Типовых правил судебного делопроизводства и нормативных актов, регулирующих электронный документооборот. На втором этапе (2027–2029 годы) — осуществить техническую модернизацию информационных систем и инфраструктуры судебных участков. На третьем этапе (2029–2031 годы) — внедрить технологии искусственного интеллекта и обеспечить полную интеграцию информационных систем. Поэтапный подход позволит обеспечить планомерность реформирования и минимизировать риски, связанные с одновременным изменением множества элементов системы судебного делопроизводства.</w:t>
      </w:r>
    </w:p>
    <w:p w14:paraId="F3000000">
      <w:bookmarkStart w:id="12" w:name="__RefHeading___12"/>
      <w:bookmarkEnd w:id="12"/>
      <w:pPr>
        <w:pStyle w:val="Style_4"/>
        <w:pageBreakBefore w:val="1"/>
        <w:ind/>
      </w:pPr>
      <w:r>
        <w:t>ЗАКЛЮЧЕНИЕ</w:t>
      </w:r>
    </w:p>
    <w:p w14:paraId="F4000000">
      <w:pPr>
        <w:ind w:firstLine="709" w:left="0"/>
        <w:jc w:val="both"/>
      </w:pPr>
      <w:r>
        <w:t>Проведённое исследование позволяет сделать следующие выводы и сформулировать основные результаты работы.</w:t>
      </w:r>
    </w:p>
    <w:p w14:paraId="F5000000">
      <w:pPr>
        <w:ind w:firstLine="709" w:left="0"/>
        <w:jc w:val="both"/>
      </w:pPr>
      <w:r>
        <w:t>Судебное делопроизводство представляет собой систему организационно-правовых действий и процедур, направленных на документационное обеспечение деятельности судебных органов. Оно занимает особое место в системе административных процедур, сочетая черты управленческой деятельности и процессуально значимых действий. Надлежащая организация судебного делопроизводства является необходимым условием обеспечения конституционного права граждан на судебную защиту и эффективного функционирования судебной системы в целом.</w:t>
      </w:r>
    </w:p>
    <w:p w14:paraId="F6000000">
      <w:pPr>
        <w:ind w:firstLine="709" w:left="0"/>
        <w:jc w:val="both"/>
      </w:pPr>
      <w:r>
        <w:t>Нормативно-правовое регулирование судебного делопроизводства характеризуется сложной многоуровневой структурой, в которой ведущую роль играют ведомственные инструкции, утверждённые Судебным департаментом при Верховном Суде Российской Федерации. Наличие отдельных инструкций для районных судов, судов субъектов Российской Федерации, арбитражных судов и мировых судей приводит к неоднородности правоприменительной практики и затрудняет формирование единого информационного пространства судебной системы. Актуальной задачей является разработка единых Типовых правил судебного делопроизводства.</w:t>
      </w:r>
    </w:p>
    <w:p w14:paraId="F7000000">
      <w:pPr>
        <w:ind w:firstLine="709" w:left="0"/>
        <w:jc w:val="both"/>
      </w:pPr>
      <w:r>
        <w:t>Современный этап развития судебного делопроизводства характеризуется переходом от традиционных бумажных моделей к электронному формату. Данный переход осуществляется неравномерно: арбитражные суды занимают передовые позиции в сфере электронного документооборота, тогда как суды общей юрисдикции и особенно судебные участки мировых судей существенно отстают в уровне информатизации.</w:t>
      </w:r>
    </w:p>
    <w:p w14:paraId="F8000000">
      <w:pPr>
        <w:ind w:firstLine="709" w:left="0"/>
        <w:jc w:val="both"/>
      </w:pPr>
      <w:r>
        <w:t xml:space="preserve">Внедрение электронного документооборота сдерживается комплексом барьеров правового, технического, организационного и кадрового характера. К </w:t>
      </w:r>
      <w:r>
        <w:t>основным проблемам относятся: недостаточная нормативная регламентация порядка использования электронных документов, неравномерность технической оснащённости судов, неготовность части работников аппаратов к работе в новых условиях, вопросы обеспечения информационной безопасности.</w:t>
      </w:r>
    </w:p>
    <w:p w14:paraId="F9000000">
      <w:pPr>
        <w:ind w:firstLine="709" w:left="0"/>
        <w:jc w:val="both"/>
      </w:pPr>
      <w:r>
        <w:t>Анализ особенностей делопроизводства в судах различных юрисдикций показал, что типичные ошибки в документообороте — несвоевременная регистрация документов, ненадлежащее оформление извещений, нарушение порядка ведения протоколов — влекут серьёзные процессуальные последствия, включая отмену судебных актов вышестоящими инстанциями.</w:t>
      </w:r>
    </w:p>
    <w:p w14:paraId="FA000000">
      <w:pPr>
        <w:ind w:firstLine="709" w:left="0"/>
        <w:jc w:val="both"/>
      </w:pPr>
      <w:r>
        <w:t>Сравнительный анализ делопроизводства в арбитражных судах и судах общей юрисдикции выявил существенные различия в уровне внедрения электронных технологий. Арбитражная система судов значительно опережает суды общей юрисдикции по степени автоматизации документооборота, что обусловлено как историческими факторами, так и спецификой состава участников процесса. Делопроизводство у мировых судей характеризуется наибольшим числом практических проблем, связанных с высокой нагрузкой на судебные участки, ограниченностью штатной численности аппарата и недостаточным уровнем материально-технического обеспечения.</w:t>
      </w:r>
    </w:p>
    <w:p w14:paraId="FB000000">
      <w:pPr>
        <w:ind w:firstLine="709" w:left="0"/>
        <w:jc w:val="both"/>
      </w:pPr>
      <w:r>
        <w:t xml:space="preserve">В результате проведённого исследования были разработаны десять предложений по оптимизации судебного делопроизводства: разработка единых Типовых правил судебного делопроизводства; ускорение перехода к электронному документообороту; создание системы непрерывного обучения работников аппаратов судов; интеграция информационных систем ГАС «Правосудие» и «Мой Арбитр»; внедрение технологий искусственного интеллекта; совершенствование нормативного регулирования электронного документооборота; укрепление материально-технической базы судебных участков мировых судей; создание единой системы обратной связи с участниками судопроизводства; разработка единой методики оценки </w:t>
      </w:r>
      <w:r>
        <w:t>эффективности делопроизводства; расширение практики электронного извещения участников процесса.</w:t>
      </w:r>
    </w:p>
    <w:p w14:paraId="FC000000">
      <w:pPr>
        <w:ind w:firstLine="709" w:left="0"/>
        <w:jc w:val="both"/>
      </w:pPr>
      <w:r>
        <w:t>Практическая значимость сформулированных выводов и предложений состоит в том, что они могут быть использованы при совершенствовании ведомственных инструкций по судебному делопроизводству, в практической деятельности работников аппаратов судов, а также в учебном процессе при подготовке специалистов юридического профиля.</w:t>
      </w:r>
    </w:p>
    <w:p w14:paraId="FD000000">
      <w:pPr>
        <w:ind w:firstLine="709" w:left="0"/>
        <w:jc w:val="both"/>
      </w:pPr>
      <w:r>
        <w:t>Проведённое исследование подтвердило гипотезу о том, что эффективность судебного делопроизводства определяется не отдельными факторами, а их совокупностью. Качественное нормативное регулирование без надлежащего технического обеспечения не способно решить проблемы делопроизводства. Современное оборудование без квалифицированных кадров не обеспечит требуемого уровня документооборота. Подготовленные кадры при отсутствии единых стандартов и правил будут работать неэффективно. Только системный подход, предполагающий одновременное воздействие на все элементы системы судебного делопроизводства, способен обеспечить требуемый результат.</w:t>
      </w:r>
    </w:p>
    <w:p w14:paraId="FE000000">
      <w:pPr>
        <w:ind w:firstLine="709" w:left="0"/>
        <w:jc w:val="both"/>
      </w:pPr>
      <w:r>
        <w:t>Особого внимания заслуживает вывод о необходимости сохранения баланса между стремлением к максимальной цифровизации судебного делопроизводства и обеспечением доступности правосудия для всех категорий граждан. Переход к электронному документообороту не должен создавать дополнительных препятствий для лиц, не обладающих навыками работы с информационными технологиями. Принцип доступности правосудия, закреплённый в Конституции Российской Федерации, требует сохранения альтернативных — традиционных — способов взаимодействия граждан с судом наряду с развитием электронных каналов коммуникации.</w:t>
      </w:r>
    </w:p>
    <w:p w14:paraId="FF000000">
      <w:pPr>
        <w:ind w:firstLine="709" w:left="0"/>
        <w:jc w:val="both"/>
      </w:pPr>
      <w:r>
        <w:t xml:space="preserve">Дальнейшие перспективы исследования темы связаны с углублённым анализом зарубежного опыта организации электронного судебного делопроизводства, изучением эффективности внедрения технологий </w:t>
      </w:r>
      <w:r>
        <w:t>искусственного интеллекта в делопроизводственные процессы, а также мониторингом результатов реформирования нормативной базы судебного делопроизводства в Российской Федерации. Представляет научный интерес сравнительное исследование показателей эффективности делопроизводства в судах, внедривших электронный документооборот, и судах, сохраняющих преимущественно бумажные формы работы, что позволило бы получить объективные данные о результативности цифровой трансформации судебной системы.</w:t>
      </w:r>
    </w:p>
    <w:p w14:paraId="00010000">
      <w:bookmarkStart w:id="13" w:name="__RefHeading___13"/>
      <w:bookmarkEnd w:id="13"/>
      <w:pPr>
        <w:pStyle w:val="Style_4"/>
        <w:pageBreakBefore w:val="1"/>
        <w:ind/>
      </w:pPr>
      <w:r>
        <w:t>СПИСОК ИНФОРМАЦИОННЫХ ИСТОЧНИКОВ</w:t>
      </w:r>
    </w:p>
    <w:p w14:paraId="01010000">
      <w:pPr>
        <w:ind/>
        <w:jc w:val="both"/>
      </w:pPr>
      <w:r>
        <w:t>1. Конституция Российской Федерации (принята всенародным голосованием 12.12.1993) (с учётом поправок, внесённых Законами РФ о поправках к Конституции РФ от 30.12.2008 № 6-ФКЗ, от 30.12.2008 № 7-ФКЗ, от 05.02.2014 № 2-ФКЗ, от 01.07.2020 № 11-ФКЗ, от 14.03.2020 № 1-ФКЗ) // Собрание законодательства РФ. – 2014. – № 31. – Ст. 4398.</w:t>
      </w:r>
    </w:p>
    <w:p w14:paraId="02010000">
      <w:pPr>
        <w:ind/>
        <w:jc w:val="both"/>
      </w:pPr>
      <w:r>
        <w:t>2. Федеральный конституционный закон от 31.12.1996 № 1-ФКЗ «О судебной системе Российской Федерации» (ред. от 16.04.2022) // Собрание законодательства РФ. – 1997. – № 1. – Ст. 1.</w:t>
      </w:r>
    </w:p>
    <w:p w14:paraId="03010000">
      <w:pPr>
        <w:ind/>
        <w:jc w:val="both"/>
      </w:pPr>
      <w:r>
        <w:t>3. Федеральный конституционный закон от 28.04.1995 № 1-ФКЗ «Об арбитражных судах в Российской Федерации» (ред. от 16.04.2022) // Собрание законодательства РФ. – 1995. – № 18. – Ст. 1589.</w:t>
      </w:r>
    </w:p>
    <w:p w14:paraId="04010000">
      <w:pPr>
        <w:ind/>
        <w:jc w:val="both"/>
      </w:pPr>
      <w:r>
        <w:t>4. Федеральный конституционный закон от 07.02.2011 № 1-ФКЗ «О судах общей юрисдикции в Российской Федерации» (ред. от 16.04.2022) // Собрание законодательства РФ. – 2011. – № 7. – Ст. 898.</w:t>
      </w:r>
    </w:p>
    <w:p w14:paraId="05010000">
      <w:pPr>
        <w:ind/>
        <w:jc w:val="both"/>
      </w:pPr>
      <w:r>
        <w:t>5. Гражданский процессуальный кодекс Российской Федерации от 14.11.2002 № 138-ФЗ (ред. от 25.12.2023) // Собрание законодательства РФ. – 2002. – № 46. – Ст. 4532.</w:t>
      </w:r>
    </w:p>
    <w:p w14:paraId="06010000">
      <w:pPr>
        <w:ind/>
        <w:jc w:val="both"/>
      </w:pPr>
      <w:r>
        <w:t>6. Арбитражный процессуальный кодекс Российской Федерации от 24.07.2002 № 95-ФЗ (ред. от 25.12.2023) // Собрание законодательства РФ. – 2002. – № 30. – Ст. 3012.</w:t>
      </w:r>
    </w:p>
    <w:p w14:paraId="07010000">
      <w:pPr>
        <w:ind/>
        <w:jc w:val="both"/>
      </w:pPr>
      <w:r>
        <w:t>7. Кодекс административного судопроизводства Российской Федерации от 08.03.2015 № 21-ФЗ (ред. от 25.12.2023) // Собрание законодательства РФ. – 2015. – № 10. – Ст. 1391.</w:t>
      </w:r>
    </w:p>
    <w:p w14:paraId="08010000">
      <w:pPr>
        <w:ind/>
        <w:jc w:val="both"/>
      </w:pPr>
      <w:r>
        <w:t>8. Федеральный закон от 17.12.1998 № 188-ФЗ «О мировых судьях в Российской Федерации» (ред. от 01.07.2021) // Собрание законодательства РФ. – 1998. – № 51. – Ст. 6270.</w:t>
      </w:r>
    </w:p>
    <w:p w14:paraId="09010000">
      <w:pPr>
        <w:ind/>
        <w:jc w:val="both"/>
      </w:pPr>
      <w:r>
        <w:t>9. Федеральный закон от 22.12.2008 № 262-ФЗ «Об обеспечении доступа к информации о деятельности судов в Российской Федерации» (ред. от 14.07.2022) // Собрание законодательства РФ. – 2008. – № 52 (ч. 1). – Ст. 6217.</w:t>
      </w:r>
    </w:p>
    <w:p w14:paraId="0A010000">
      <w:pPr>
        <w:ind/>
        <w:jc w:val="both"/>
      </w:pPr>
      <w:r>
        <w:t>10. Федеральный закон от 08.01.1998 № 7-ФЗ «О Судебном департаменте при Верховном Суде Российской Федерации» (ред. от 16.04.2022) // Собрание законодательства РФ. – 1998. – № 2. – Ст. 223.</w:t>
      </w:r>
    </w:p>
    <w:p w14:paraId="0B010000">
      <w:pPr>
        <w:ind/>
        <w:jc w:val="both"/>
      </w:pPr>
      <w:r>
        <w:t>11. Приказ Судебного департамента при Верховном Суде РФ от 29.04.2003 № 36 «Об утверждении Инструкции по судебному делопроизводству в районном суде» (ред. от 17.04.2023) // Российская газета. – 2004. – № 246.</w:t>
      </w:r>
    </w:p>
    <w:p w14:paraId="0C010000">
      <w:pPr>
        <w:ind/>
        <w:jc w:val="both"/>
      </w:pPr>
      <w:r>
        <w:t>12. Приказ Судебного департамента при Верховном Суде РФ от 15.12.2004 № 161 «Об утверждении Инструкции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(ред. от 17.04.2023) // Справочная правовая система КонсультантПлюс.</w:t>
      </w:r>
    </w:p>
    <w:p w14:paraId="0D010000">
      <w:pPr>
        <w:ind/>
        <w:jc w:val="both"/>
      </w:pPr>
      <w:r>
        <w:t>13. Приказ Судебного департамента при Верховном Суде РФ от 04.04.2022 № 74 «Об утверждении Инструкции по судебному делопроизводству на судебном участке мирового судьи» // Справочная правовая система КонсультантПлюс.</w:t>
      </w:r>
    </w:p>
    <w:p w14:paraId="0E010000">
      <w:pPr>
        <w:ind/>
        <w:jc w:val="both"/>
      </w:pPr>
      <w:r>
        <w:t>14. Постановление Пленума Верховного Суда РФ от 26.12.2017 № 57 «О некоторых вопросах применения законодательства, регулирующего использование документов в электронном виде в деятельности судов общей юрисдикции и арбитражных судов» // Российская газета. – 2017. – № 297.</w:t>
      </w:r>
    </w:p>
    <w:p w14:paraId="0F010000">
      <w:pPr>
        <w:ind/>
        <w:jc w:val="both"/>
      </w:pPr>
      <w:r>
        <w:t>15. Беспалов Ю.Ф. Организация и осуществление правосудия в Российской Федерации: учебное пособие / Ю.Ф. Беспалов. – М.: Проспект, 2023. – 288 с.</w:t>
      </w:r>
    </w:p>
    <w:p w14:paraId="10010000">
      <w:pPr>
        <w:ind/>
        <w:jc w:val="both"/>
      </w:pPr>
      <w:r>
        <w:t>16. Власов А.А. Судебное делопроизводство: учебное пособие / А.А. Власов. – М.: Юрайт, 2023. – 318 с.</w:t>
      </w:r>
    </w:p>
    <w:p w14:paraId="11010000">
      <w:pPr>
        <w:ind/>
        <w:jc w:val="both"/>
      </w:pPr>
      <w:r>
        <w:t>17. Гуценко К.Ф. Правоохранительные органы: учебник / К.Ф. Гуценко. – М.: КноРус, 2021. – 368 с.</w:t>
      </w:r>
    </w:p>
    <w:p w14:paraId="12010000">
      <w:pPr>
        <w:ind/>
        <w:jc w:val="both"/>
      </w:pPr>
      <w:r>
        <w:t>18. Ершов В.В. Судоустройство и правоохранительные органы: учебник / под ред. В.В. Ершова. – М.: Юрайт, 2023. – 456 с.</w:t>
      </w:r>
    </w:p>
    <w:p w14:paraId="13010000">
      <w:pPr>
        <w:ind/>
        <w:jc w:val="both"/>
      </w:pPr>
      <w:r>
        <w:t>19. Лебедев В.М. Организация деятельности судов: учебник / под ред. В.М. Лебедева. – М.: Норма, 2021. – 624 с.</w:t>
      </w:r>
    </w:p>
    <w:p w14:paraId="14010000">
      <w:pPr>
        <w:ind/>
        <w:jc w:val="both"/>
      </w:pPr>
      <w:r>
        <w:t>20. Петухов Н.А. Правоохранительные и судебные органы России: учебник / под ред. Н.А. Петухова, А.С. Мамыкина. – М.: Юрайт, 2022. – 502 с.</w:t>
      </w:r>
    </w:p>
    <w:p w14:paraId="15010000">
      <w:pPr>
        <w:ind/>
        <w:jc w:val="both"/>
      </w:pPr>
      <w:r>
        <w:t>21. Решетникова И.В. Арбитражный процесс: учебник / под ред. И.В. Решетниковой. – М.: Норма, 2022. – 448 с.</w:t>
      </w:r>
    </w:p>
    <w:p w14:paraId="16010000">
      <w:pPr>
        <w:ind/>
        <w:jc w:val="both"/>
      </w:pPr>
      <w:r>
        <w:t>22. Чашин А.Н. Судебное делопроизводство: учебное пособие / А.Н. Чашин. – М.: Дело и Сервис, 2022. – 176 с.</w:t>
      </w:r>
    </w:p>
    <w:p w14:paraId="17010000">
      <w:pPr>
        <w:ind/>
        <w:jc w:val="both"/>
      </w:pPr>
      <w:r>
        <w:t>23. Борисова Е.А. Электронное правосудие: реальность или перспектива / Е.А. Борисова // Вестник гражданского процесса. – 2022. – № 4. – С. 12–31.</w:t>
      </w:r>
    </w:p>
    <w:p w14:paraId="18010000">
      <w:pPr>
        <w:ind/>
        <w:jc w:val="both"/>
      </w:pPr>
      <w:r>
        <w:t>24. Момотов В.В. Цифровое правосудие как элемент судебной реформы в Российской Федерации / В.В. Момотов // Журнал российского права. – 2022. – № 6. – С. 42–58.</w:t>
      </w:r>
    </w:p>
    <w:p w14:paraId="19010000">
      <w:pPr>
        <w:ind/>
        <w:jc w:val="both"/>
      </w:pPr>
      <w:r>
        <w:t>25. Пашин С.А. Проблемы судебного делопроизводства в контексте реформирования судебной системы / С.А. Пашин // Российская юстиция. – 2021. – № 8. – С. 28–35.</w:t>
      </w:r>
    </w:p>
    <w:p w14:paraId="1A010000">
      <w:pPr>
        <w:ind/>
        <w:jc w:val="both"/>
      </w:pPr>
      <w:r>
        <w:t>26. Султанов А.Р. Электронный документооборот в арбитражных судах: опыт и проблемы / А.Р. Султанов // Арбитражный и гражданский процесс. – 2023. – № 2. – С. 15–22.</w:t>
      </w:r>
    </w:p>
    <w:p w14:paraId="1B010000">
      <w:pPr>
        <w:ind/>
        <w:jc w:val="both"/>
      </w:pPr>
      <w:r>
        <w:t>27. Фоков А.П. Совершенствование делопроизводства в судах общей юрисдикции / А.П. Фоков // Российский судья. – 2022. – № 5. – С. 37–44.</w:t>
      </w:r>
    </w:p>
    <w:p w14:paraId="1C010000">
      <w:pPr>
        <w:ind/>
        <w:jc w:val="both"/>
      </w:pPr>
      <w:r>
        <w:t>28. Официальный сайт Судебного департамента при Верховном Суде Российской Федерации. – Режим доступа: http://www.cdep.ru (дата обращения: 20.03.2026).</w:t>
      </w:r>
    </w:p>
    <w:p w14:paraId="1D010000">
      <w:pPr>
        <w:ind/>
        <w:jc w:val="both"/>
      </w:pPr>
      <w:r>
        <w:t>29. Государственная автоматизированная система «Правосудие». – Режим доступа: https://sudrf.ru (дата обращения: 20.03.2026).</w:t>
      </w:r>
    </w:p>
    <w:p w14:paraId="1E010000">
      <w:pPr>
        <w:ind/>
        <w:jc w:val="both"/>
      </w:pPr>
      <w:r>
        <w:t>30. Мой Арбитр: информационная система подачи документов в арбитражные суды. – Режим доступа: https://my.arbitr.ru (дата обращения: 20.03.2026).</w:t>
      </w:r>
    </w:p>
    <w:p w14:paraId="1F010000">
      <w:pPr>
        <w:pageBreakBefore w:val="1"/>
        <w:spacing w:after="200"/>
        <w:ind/>
        <w:jc w:val="right"/>
      </w:pPr>
      <w:r>
        <w:rPr>
          <w:b w:val="1"/>
        </w:rPr>
        <w:t>Приложение 1</w:t>
      </w:r>
    </w:p>
    <w:p w14:paraId="20010000">
      <w:pPr>
        <w:spacing w:after="200"/>
        <w:ind/>
        <w:jc w:val="center"/>
      </w:pPr>
      <w:r>
        <w:rPr>
          <w:b w:val="1"/>
        </w:rPr>
        <w:t>Сравнительная характеристика инструкций по судебному делопроизводству</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600"/>
        <w:gridCol w:w="4519"/>
        <w:gridCol w:w="4519"/>
      </w:tblGrid>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1010000">
            <w:pPr>
              <w:spacing w:line="240" w:lineRule="auto"/>
              <w:ind/>
              <w:jc w:val="center"/>
            </w:pPr>
            <w:r>
              <w:rPr>
                <w:b w:val="1"/>
                <w:sz w:val="24"/>
              </w:rPr>
              <w:t>№ п/п</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2010000">
            <w:pPr>
              <w:spacing w:line="240" w:lineRule="auto"/>
              <w:ind/>
              <w:jc w:val="center"/>
            </w:pPr>
            <w:r>
              <w:rPr>
                <w:b w:val="1"/>
                <w:sz w:val="24"/>
              </w:rPr>
              <w:t>Критерий сравнения</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3010000">
            <w:pPr>
              <w:spacing w:line="240" w:lineRule="auto"/>
              <w:ind/>
              <w:jc w:val="center"/>
            </w:pPr>
            <w:r>
              <w:rPr>
                <w:b w:val="1"/>
                <w:sz w:val="24"/>
              </w:rPr>
              <w:t>Особенности</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4010000">
            <w:pPr>
              <w:spacing w:line="240" w:lineRule="auto"/>
              <w:ind/>
              <w:jc w:val="center"/>
            </w:pPr>
            <w:r>
              <w:rPr>
                <w:sz w:val="24"/>
              </w:rPr>
              <w:t>1</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5010000">
            <w:pPr>
              <w:spacing w:line="240" w:lineRule="auto"/>
              <w:ind/>
            </w:pPr>
            <w:r>
              <w:rPr>
                <w:sz w:val="24"/>
              </w:rPr>
              <w:t>Нормативный акт для районных судов</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6010000">
            <w:pPr>
              <w:spacing w:line="240" w:lineRule="auto"/>
              <w:ind/>
            </w:pPr>
            <w:r>
              <w:rPr>
                <w:sz w:val="24"/>
              </w:rPr>
              <w:t>Приказ Судебного департамента при ВС РФ от 29.04.2003 № 36</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7010000">
            <w:pPr>
              <w:spacing w:line="240" w:lineRule="auto"/>
              <w:ind/>
              <w:jc w:val="center"/>
            </w:pPr>
            <w:r>
              <w:rPr>
                <w:sz w:val="24"/>
              </w:rPr>
              <w:t>2</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8010000">
            <w:pPr>
              <w:spacing w:line="240" w:lineRule="auto"/>
              <w:ind/>
            </w:pPr>
            <w:r>
              <w:rPr>
                <w:sz w:val="24"/>
              </w:rPr>
              <w:t>Нормативный акт для судов субъектов РФ</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9010000">
            <w:pPr>
              <w:spacing w:line="240" w:lineRule="auto"/>
              <w:ind/>
            </w:pPr>
            <w:r>
              <w:rPr>
                <w:sz w:val="24"/>
              </w:rPr>
              <w:t>Приказ Судебного департамента при ВС РФ от 15.12.2004 № 161</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A010000">
            <w:pPr>
              <w:spacing w:line="240" w:lineRule="auto"/>
              <w:ind/>
              <w:jc w:val="center"/>
            </w:pPr>
            <w:r>
              <w:rPr>
                <w:sz w:val="24"/>
              </w:rPr>
              <w:t>3</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B010000">
            <w:pPr>
              <w:spacing w:line="240" w:lineRule="auto"/>
              <w:ind/>
            </w:pPr>
            <w:r>
              <w:rPr>
                <w:sz w:val="24"/>
              </w:rPr>
              <w:t>Нормативный акт для мировых судей</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C010000">
            <w:pPr>
              <w:spacing w:line="240" w:lineRule="auto"/>
              <w:ind/>
            </w:pPr>
            <w:r>
              <w:rPr>
                <w:sz w:val="24"/>
              </w:rPr>
              <w:t>Приказ Судебного департамента при ВС РФ от 04.04.2022 № 74</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D010000">
            <w:pPr>
              <w:spacing w:line="240" w:lineRule="auto"/>
              <w:ind/>
              <w:jc w:val="center"/>
            </w:pPr>
            <w:r>
              <w:rPr>
                <w:sz w:val="24"/>
              </w:rPr>
              <w:t>4</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E010000">
            <w:pPr>
              <w:spacing w:line="240" w:lineRule="auto"/>
              <w:ind/>
            </w:pPr>
            <w:r>
              <w:rPr>
                <w:sz w:val="24"/>
              </w:rPr>
              <w:t>Нормативный акт для арбитражных судов</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2F010000">
            <w:pPr>
              <w:spacing w:line="240" w:lineRule="auto"/>
              <w:ind/>
            </w:pPr>
            <w:r>
              <w:rPr>
                <w:sz w:val="24"/>
              </w:rPr>
              <w:t>Инструкция по делопроизводству в арбитражных судах (утв. СД при ВС РФ)</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0010000">
            <w:pPr>
              <w:spacing w:line="240" w:lineRule="auto"/>
              <w:ind/>
              <w:jc w:val="center"/>
            </w:pPr>
            <w:r>
              <w:rPr>
                <w:sz w:val="24"/>
              </w:rPr>
              <w:t>5</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1010000">
            <w:pPr>
              <w:spacing w:line="240" w:lineRule="auto"/>
              <w:ind/>
            </w:pPr>
            <w:r>
              <w:rPr>
                <w:sz w:val="24"/>
              </w:rPr>
              <w:t>Основная электронная система (суды общей юрисдикции)</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2010000">
            <w:pPr>
              <w:spacing w:line="240" w:lineRule="auto"/>
              <w:ind/>
            </w:pPr>
            <w:r>
              <w:rPr>
                <w:sz w:val="24"/>
              </w:rPr>
              <w:t>ГАС «Правосудие»</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3010000">
            <w:pPr>
              <w:spacing w:line="240" w:lineRule="auto"/>
              <w:ind/>
              <w:jc w:val="center"/>
            </w:pPr>
            <w:r>
              <w:rPr>
                <w:sz w:val="24"/>
              </w:rPr>
              <w:t>6</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4010000">
            <w:pPr>
              <w:spacing w:line="240" w:lineRule="auto"/>
              <w:ind/>
            </w:pPr>
            <w:r>
              <w:rPr>
                <w:sz w:val="24"/>
              </w:rPr>
              <w:t>Основная электронная система (арбитражные суды)</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5010000">
            <w:pPr>
              <w:spacing w:line="240" w:lineRule="auto"/>
              <w:ind/>
            </w:pPr>
            <w:r>
              <w:rPr>
                <w:sz w:val="24"/>
              </w:rPr>
              <w:t>«Мой Арбитр», «Картотека арбитражных дел»</w:t>
            </w:r>
          </w:p>
        </w:tc>
      </w:tr>
      <w:tr>
        <w:tc>
          <w:tcPr>
            <w:tcW w:type="dxa" w:w="600"/>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6010000">
            <w:pPr>
              <w:spacing w:line="240" w:lineRule="auto"/>
              <w:ind/>
              <w:jc w:val="center"/>
            </w:pPr>
            <w:r>
              <w:rPr>
                <w:sz w:val="24"/>
              </w:rPr>
              <w:t>7</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7010000">
            <w:pPr>
              <w:spacing w:line="240" w:lineRule="auto"/>
              <w:ind/>
            </w:pPr>
            <w:r>
              <w:rPr>
                <w:sz w:val="24"/>
              </w:rPr>
              <w:t>Уровень электронного документооборота</w:t>
            </w:r>
          </w:p>
        </w:tc>
        <w:tc>
          <w:tcPr>
            <w:tcW w:type="dxa" w:w="4519"/>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8010000">
            <w:pPr>
              <w:spacing w:line="240" w:lineRule="auto"/>
              <w:ind/>
            </w:pPr>
            <w:r>
              <w:rPr>
                <w:sz w:val="24"/>
              </w:rPr>
              <w:t>Арбитражные суды — высокий; районные суды — средний; мировые судьи — низкий</w:t>
            </w:r>
          </w:p>
        </w:tc>
      </w:tr>
    </w:tbl>
    <w:p w14:paraId="39010000"/>
    <w:p w14:paraId="3A010000">
      <w:pPr>
        <w:pageBreakBefore w:val="1"/>
        <w:spacing w:after="200"/>
        <w:ind/>
        <w:jc w:val="right"/>
      </w:pPr>
      <w:r>
        <w:rPr>
          <w:b w:val="1"/>
        </w:rPr>
        <w:t>Приложение 2</w:t>
      </w:r>
    </w:p>
    <w:p w14:paraId="3B010000">
      <w:pPr>
        <w:spacing w:after="200"/>
        <w:ind/>
        <w:jc w:val="center"/>
      </w:pPr>
      <w:r>
        <w:rPr>
          <w:b w:val="1"/>
        </w:rPr>
        <w:t>Предложения по оптимизации судебного делопроизводства</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626"/>
        <w:gridCol w:w="4193"/>
        <w:gridCol w:w="2628"/>
        <w:gridCol w:w="2191"/>
      </w:tblGrid>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C010000">
            <w:pPr>
              <w:spacing w:line="240" w:lineRule="auto"/>
              <w:ind/>
              <w:jc w:val="center"/>
            </w:pPr>
            <w:r>
              <w:rPr>
                <w:b w:val="1"/>
                <w:sz w:val="24"/>
              </w:rPr>
              <w:t>№</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D010000">
            <w:pPr>
              <w:spacing w:line="240" w:lineRule="auto"/>
              <w:ind/>
              <w:jc w:val="center"/>
            </w:pPr>
            <w:r>
              <w:rPr>
                <w:b w:val="1"/>
                <w:sz w:val="24"/>
              </w:rPr>
              <w:t>Направление</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E010000">
            <w:pPr>
              <w:spacing w:line="240" w:lineRule="auto"/>
              <w:ind/>
              <w:jc w:val="center"/>
            </w:pPr>
            <w:r>
              <w:rPr>
                <w:b w:val="1"/>
                <w:sz w:val="24"/>
              </w:rPr>
              <w:t>Ответственный орган</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3F010000">
            <w:pPr>
              <w:spacing w:line="240" w:lineRule="auto"/>
              <w:ind/>
              <w:jc w:val="center"/>
            </w:pPr>
            <w:r>
              <w:rPr>
                <w:b w:val="1"/>
                <w:sz w:val="24"/>
              </w:rPr>
              <w:t>Срок реализации</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0010000">
            <w:pPr>
              <w:spacing w:line="240" w:lineRule="auto"/>
              <w:ind/>
              <w:jc w:val="center"/>
            </w:pPr>
            <w:r>
              <w:rPr>
                <w:sz w:val="24"/>
              </w:rPr>
              <w:t>1</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1010000">
            <w:pPr>
              <w:spacing w:line="240" w:lineRule="auto"/>
              <w:ind/>
            </w:pPr>
            <w:r>
              <w:rPr>
                <w:sz w:val="24"/>
              </w:rPr>
              <w:t>Разработка Типовых правил судебного делопроизводства</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2010000">
            <w:pPr>
              <w:spacing w:line="240" w:lineRule="auto"/>
              <w:ind/>
            </w:pPr>
            <w:r>
              <w:rPr>
                <w:sz w:val="24"/>
              </w:rPr>
              <w:t>Судебный департамент при ВС РФ</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3010000">
            <w:pPr>
              <w:spacing w:line="240" w:lineRule="auto"/>
              <w:ind/>
              <w:jc w:val="center"/>
            </w:pPr>
            <w:r>
              <w:rPr>
                <w:sz w:val="24"/>
              </w:rPr>
              <w:t>2025–2027 гг.</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4010000">
            <w:pPr>
              <w:spacing w:line="240" w:lineRule="auto"/>
              <w:ind/>
              <w:jc w:val="center"/>
            </w:pPr>
            <w:r>
              <w:rPr>
                <w:sz w:val="24"/>
              </w:rPr>
              <w:t>2</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5010000">
            <w:pPr>
              <w:spacing w:line="240" w:lineRule="auto"/>
              <w:ind/>
            </w:pPr>
            <w:r>
              <w:rPr>
                <w:sz w:val="24"/>
              </w:rPr>
              <w:t>Модернизация ГАС «Правосудие»</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6010000">
            <w:pPr>
              <w:spacing w:line="240" w:lineRule="auto"/>
              <w:ind/>
            </w:pPr>
            <w:r>
              <w:rPr>
                <w:sz w:val="24"/>
              </w:rPr>
              <w:t>Судебный департамент при ВС РФ</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7010000">
            <w:pPr>
              <w:spacing w:line="240" w:lineRule="auto"/>
              <w:ind/>
              <w:jc w:val="center"/>
            </w:pPr>
            <w:r>
              <w:rPr>
                <w:sz w:val="24"/>
              </w:rPr>
              <w:t>2025–2028 гг.</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8010000">
            <w:pPr>
              <w:spacing w:line="240" w:lineRule="auto"/>
              <w:ind/>
              <w:jc w:val="center"/>
            </w:pPr>
            <w:r>
              <w:rPr>
                <w:sz w:val="24"/>
              </w:rPr>
              <w:t>3</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9010000">
            <w:pPr>
              <w:spacing w:line="240" w:lineRule="auto"/>
              <w:ind/>
            </w:pPr>
            <w:r>
              <w:rPr>
                <w:sz w:val="24"/>
              </w:rPr>
              <w:t>Система обучения работников аппаратов судов</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A010000">
            <w:pPr>
              <w:spacing w:line="240" w:lineRule="auto"/>
              <w:ind/>
            </w:pPr>
            <w:r>
              <w:rPr>
                <w:sz w:val="24"/>
              </w:rPr>
              <w:t>Судебный департамент, РПА Минюста РФ</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B010000">
            <w:pPr>
              <w:spacing w:line="240" w:lineRule="auto"/>
              <w:ind/>
              <w:jc w:val="center"/>
            </w:pPr>
            <w:r>
              <w:rPr>
                <w:sz w:val="24"/>
              </w:rPr>
              <w:t>2025–2026 гг.</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C010000">
            <w:pPr>
              <w:spacing w:line="240" w:lineRule="auto"/>
              <w:ind/>
              <w:jc w:val="center"/>
            </w:pPr>
            <w:r>
              <w:rPr>
                <w:sz w:val="24"/>
              </w:rPr>
              <w:t>4</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D010000">
            <w:pPr>
              <w:spacing w:line="240" w:lineRule="auto"/>
              <w:ind/>
            </w:pPr>
            <w:r>
              <w:rPr>
                <w:sz w:val="24"/>
              </w:rPr>
              <w:t>Интеграция ГАС «Правосудие» и «Мой Арбитр»</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E010000">
            <w:pPr>
              <w:spacing w:line="240" w:lineRule="auto"/>
              <w:ind/>
            </w:pPr>
            <w:r>
              <w:rPr>
                <w:sz w:val="24"/>
              </w:rPr>
              <w:t>Судебный департамент при ВС РФ</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4F010000">
            <w:pPr>
              <w:spacing w:line="240" w:lineRule="auto"/>
              <w:ind/>
              <w:jc w:val="center"/>
            </w:pPr>
            <w:r>
              <w:rPr>
                <w:sz w:val="24"/>
              </w:rPr>
              <w:t>2026–2029 гг.</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0010000">
            <w:pPr>
              <w:spacing w:line="240" w:lineRule="auto"/>
              <w:ind/>
              <w:jc w:val="center"/>
            </w:pPr>
            <w:r>
              <w:rPr>
                <w:sz w:val="24"/>
              </w:rPr>
              <w:t>5</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1010000">
            <w:pPr>
              <w:spacing w:line="240" w:lineRule="auto"/>
              <w:ind/>
            </w:pPr>
            <w:r>
              <w:rPr>
                <w:sz w:val="24"/>
              </w:rPr>
              <w:t>Внедрение технологий ИИ в делопроизводство</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2010000">
            <w:pPr>
              <w:spacing w:line="240" w:lineRule="auto"/>
              <w:ind/>
            </w:pPr>
            <w:r>
              <w:rPr>
                <w:sz w:val="24"/>
              </w:rPr>
              <w:t>Судебный департамент при ВС РФ</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3010000">
            <w:pPr>
              <w:spacing w:line="240" w:lineRule="auto"/>
              <w:ind/>
              <w:jc w:val="center"/>
            </w:pPr>
            <w:r>
              <w:rPr>
                <w:sz w:val="24"/>
              </w:rPr>
              <w:t>2026–2030 гг.</w:t>
            </w:r>
          </w:p>
        </w:tc>
      </w:tr>
      <w:tr>
        <w:tc>
          <w:tcPr>
            <w:tcW w:type="dxa" w:w="626"/>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4010000">
            <w:pPr>
              <w:spacing w:line="240" w:lineRule="auto"/>
              <w:ind/>
              <w:jc w:val="center"/>
            </w:pPr>
            <w:r>
              <w:rPr>
                <w:sz w:val="24"/>
              </w:rPr>
              <w:t>6</w:t>
            </w:r>
          </w:p>
        </w:tc>
        <w:tc>
          <w:tcPr>
            <w:tcW w:type="dxa" w:w="4193"/>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5010000">
            <w:pPr>
              <w:spacing w:line="240" w:lineRule="auto"/>
              <w:ind/>
            </w:pPr>
            <w:r>
              <w:rPr>
                <w:sz w:val="24"/>
              </w:rPr>
              <w:t>Оснащение судебных участков мировых судей</w:t>
            </w:r>
          </w:p>
        </w:tc>
        <w:tc>
          <w:tcPr>
            <w:tcW w:type="dxa" w:w="2628"/>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6010000">
            <w:pPr>
              <w:spacing w:line="240" w:lineRule="auto"/>
              <w:ind/>
            </w:pPr>
            <w:r>
              <w:rPr>
                <w:sz w:val="24"/>
              </w:rPr>
              <w:t>Органы власти субъектов РФ, Судебный департамент</w:t>
            </w:r>
          </w:p>
        </w:tc>
        <w:tc>
          <w:tcPr>
            <w:tcW w:type="dxa" w:w="2191"/>
            <w:tcBorders>
              <w:top w:color="000000" w:sz="1" w:val="single"/>
              <w:left w:color="000000" w:sz="1" w:val="single"/>
              <w:bottom w:color="000000" w:sz="1" w:val="single"/>
              <w:right w:color="000000" w:sz="1" w:val="single"/>
            </w:tcBorders>
            <w:tcMar>
              <w:top w:type="dxa" w:w="40"/>
              <w:left w:type="dxa" w:w="80"/>
              <w:bottom w:type="dxa" w:w="40"/>
              <w:right w:type="dxa" w:w="80"/>
            </w:tcMar>
            <w:vAlign w:val="center"/>
          </w:tcPr>
          <w:p w14:paraId="57010000">
            <w:pPr>
              <w:spacing w:line="240" w:lineRule="auto"/>
              <w:ind/>
              <w:jc w:val="center"/>
            </w:pPr>
            <w:r>
              <w:rPr>
                <w:sz w:val="24"/>
              </w:rPr>
              <w:t>2025–2028 гг.</w:t>
            </w:r>
          </w:p>
        </w:tc>
      </w:tr>
    </w:tbl>
    <w:p w14:paraId="58010000"/>
    <w:p w14:paraId="59010000">
      <w:pPr>
        <w:pageBreakBefore w:val="1"/>
        <w:ind/>
        <w:jc w:val="center"/>
        <w:rPr>
          <w:b w:val="1"/>
        </w:rPr>
      </w:pPr>
      <w:r>
        <w:rPr>
          <w:b w:val="1"/>
        </w:rPr>
        <w:t>Приложение 3</w:t>
      </w:r>
    </w:p>
    <w:p w14:paraId="5A010000">
      <w:pPr>
        <w:ind/>
        <w:jc w:val="center"/>
      </w:pPr>
    </w:p>
    <w:p w14:paraId="5B010000">
      <w:pPr>
        <w:ind/>
        <w:jc w:val="center"/>
      </w:pPr>
      <w:r>
        <w:t>Автономная некоммерческая профессиональная образовательная организация</w:t>
      </w:r>
    </w:p>
    <w:p w14:paraId="5C010000">
      <w:pPr>
        <w:ind/>
        <w:jc w:val="center"/>
      </w:pPr>
      <w:r>
        <w:t>«Многопрофильная Академия непрерывного образования»</w:t>
      </w:r>
    </w:p>
    <w:p w14:paraId="5D010000">
      <w:pPr>
        <w:ind/>
        <w:jc w:val="center"/>
      </w:pPr>
      <w:r>
        <w:t>(АНПОО «МАНО»)</w:t>
      </w:r>
    </w:p>
    <w:p w14:paraId="5E010000">
      <w:pPr>
        <w:ind/>
        <w:jc w:val="center"/>
      </w:pPr>
    </w:p>
    <w:p w14:paraId="5F010000">
      <w:pPr>
        <w:ind/>
        <w:jc w:val="right"/>
      </w:pPr>
      <w:r>
        <w:t>Утверждаю</w:t>
      </w:r>
    </w:p>
    <w:p w14:paraId="60010000">
      <w:pPr>
        <w:ind/>
        <w:jc w:val="right"/>
      </w:pPr>
      <w:r>
        <w:t xml:space="preserve">Заместитель директора </w:t>
      </w:r>
    </w:p>
    <w:p w14:paraId="61010000">
      <w:pPr>
        <w:ind/>
        <w:jc w:val="right"/>
      </w:pPr>
      <w:r>
        <w:t xml:space="preserve">«___» ___________ 2026 г. </w:t>
      </w:r>
    </w:p>
    <w:p w14:paraId="62010000">
      <w:pPr>
        <w:ind/>
        <w:jc w:val="center"/>
      </w:pPr>
    </w:p>
    <w:p w14:paraId="63010000">
      <w:pPr>
        <w:ind/>
        <w:jc w:val="center"/>
        <w:rPr>
          <w:b w:val="1"/>
        </w:rPr>
      </w:pPr>
      <w:r>
        <w:rPr>
          <w:b w:val="1"/>
        </w:rPr>
        <w:t>ЗАДАНИЕ</w:t>
      </w:r>
    </w:p>
    <w:p w14:paraId="64010000">
      <w:pPr>
        <w:ind/>
        <w:jc w:val="center"/>
        <w:rPr>
          <w:b w:val="1"/>
        </w:rPr>
      </w:pPr>
      <w:r>
        <w:rPr>
          <w:b w:val="1"/>
        </w:rPr>
        <w:t>на дипломную работу</w:t>
      </w:r>
    </w:p>
    <w:p w14:paraId="65010000">
      <w:pPr>
        <w:ind/>
        <w:jc w:val="center"/>
      </w:pPr>
    </w:p>
    <w:p w14:paraId="66010000">
      <w:pPr>
        <w:ind/>
        <w:jc w:val="both"/>
      </w:pPr>
      <w:r>
        <w:t>Студенту группы Ю-21</w:t>
      </w:r>
    </w:p>
    <w:p w14:paraId="67010000">
      <w:pPr>
        <w:ind/>
        <w:jc w:val="both"/>
      </w:pPr>
      <w:r>
        <w:t>__________________________________________</w:t>
      </w:r>
    </w:p>
    <w:p w14:paraId="68010000">
      <w:pPr>
        <w:ind/>
        <w:jc w:val="center"/>
        <w:rPr>
          <w:sz w:val="20"/>
        </w:rPr>
      </w:pPr>
      <w:r>
        <w:rPr>
          <w:sz w:val="20"/>
        </w:rPr>
        <w:t>(фамилия, имя, отчество студента)</w:t>
      </w:r>
    </w:p>
    <w:p w14:paraId="69010000">
      <w:pPr>
        <w:ind/>
        <w:jc w:val="both"/>
      </w:pPr>
    </w:p>
    <w:p w14:paraId="6A010000">
      <w:pPr>
        <w:ind/>
        <w:jc w:val="both"/>
      </w:pPr>
      <w:r>
        <w:t>Специальность 40.02.04 Юриспруденция</w:t>
      </w:r>
    </w:p>
    <w:p w14:paraId="6B010000">
      <w:pPr>
        <w:ind/>
        <w:jc w:val="both"/>
      </w:pPr>
    </w:p>
    <w:p w14:paraId="6C010000">
      <w:pPr>
        <w:ind/>
        <w:jc w:val="both"/>
      </w:pPr>
      <w:r>
        <w:t>Руководитель дипломной работы __________________________________________</w:t>
      </w:r>
    </w:p>
    <w:p w14:paraId="6D010000">
      <w:pPr>
        <w:ind/>
        <w:jc w:val="center"/>
        <w:rPr>
          <w:sz w:val="20"/>
        </w:rPr>
      </w:pPr>
      <w:r>
        <w:rPr>
          <w:sz w:val="20"/>
        </w:rPr>
        <w:t>(фамилия, имя, отчество, ученая степень и звание, должность)</w:t>
      </w:r>
    </w:p>
    <w:p w14:paraId="6E010000">
      <w:pPr>
        <w:ind/>
        <w:jc w:val="both"/>
      </w:pPr>
    </w:p>
    <w:p w14:paraId="6F010000">
      <w:pPr>
        <w:ind/>
        <w:jc w:val="both"/>
      </w:pPr>
      <w:r>
        <w:t>Тема дипломной работы: «Понятие и виды судебного делопроизводства»</w:t>
      </w:r>
    </w:p>
    <w:p w14:paraId="70010000">
      <w:pPr>
        <w:ind/>
        <w:jc w:val="both"/>
      </w:pPr>
    </w:p>
    <w:p w14:paraId="71010000">
      <w:pPr>
        <w:ind/>
        <w:jc w:val="both"/>
      </w:pPr>
      <w:r>
        <w:t>УТВЕРЖДЕНА ПРИКАЗОМ N ___ ОТ «___» ___________ 2026 Г.</w:t>
      </w:r>
    </w:p>
    <w:p w14:paraId="72010000">
      <w:pPr>
        <w:ind/>
        <w:jc w:val="both"/>
      </w:pPr>
    </w:p>
    <w:p w14:paraId="73010000">
      <w:pPr>
        <w:ind/>
        <w:jc w:val="both"/>
      </w:pPr>
      <w:r>
        <w:t>Срок сдачи студентом законченной работы: до 04.05.2026 г.</w:t>
      </w:r>
    </w:p>
    <w:p w14:paraId="74010000">
      <w:pPr>
        <w:ind/>
        <w:jc w:val="both"/>
      </w:pPr>
    </w:p>
    <w:p w14:paraId="75010000">
      <w:pPr>
        <w:ind/>
        <w:jc w:val="both"/>
        <w:rPr>
          <w:b w:val="1"/>
        </w:rPr>
      </w:pPr>
      <w:r>
        <w:rPr>
          <w:b w:val="1"/>
        </w:rPr>
        <w:t>Основные разделы темы и перечень обязательных вопросов по каждому разделу:</w:t>
      </w:r>
    </w:p>
    <w:p w14:paraId="76010000">
      <w:pPr>
        <w:ind/>
        <w:jc w:val="both"/>
      </w:pPr>
    </w:p>
    <w:p w14:paraId="77010000">
      <w:pPr>
        <w:ind/>
        <w:jc w:val="both"/>
      </w:pPr>
      <w:r>
        <w:rPr>
          <w:b w:val="1"/>
        </w:rPr>
        <w:t>Введение.</w:t>
      </w:r>
      <w:r>
        <w:t xml:space="preserve"> Обоснование актуальности темы; определение объекта, предмета, цели и задач исследования; характеристика методов исследования; описание структуры работы.</w:t>
      </w:r>
    </w:p>
    <w:p w14:paraId="78010000">
      <w:pPr>
        <w:ind/>
        <w:jc w:val="both"/>
      </w:pPr>
    </w:p>
    <w:p w14:paraId="79010000">
      <w:pPr>
        <w:ind/>
        <w:jc w:val="both"/>
      </w:pPr>
      <w:r>
        <w:rPr>
          <w:b w:val="1"/>
        </w:rPr>
        <w:t>Глава 1. Теоретико-правовые основы и направления совершенствования судебного делопроизводства.</w:t>
      </w:r>
      <w:r>
        <w:t xml:space="preserve"> Понятие, значение и место судебного делопроизводства в системе административных процедур. Нормативно-правовое регулирование: анализ федеральных законов, ведомственных инструкций и проблемы их унификации. Принципы организации и современные системы судебного делопроизводства: от традиционных моделей к электронному формату. Проблемы внедрения электронного документооборота и системы «Электронное правосудие»: барьеры и пути преодоления.</w:t>
      </w:r>
    </w:p>
    <w:p w14:paraId="7A010000">
      <w:pPr>
        <w:ind/>
        <w:jc w:val="both"/>
      </w:pPr>
    </w:p>
    <w:p w14:paraId="7B010000">
      <w:pPr>
        <w:ind/>
        <w:jc w:val="both"/>
      </w:pPr>
      <w:r>
        <w:rPr>
          <w:b w:val="1"/>
        </w:rPr>
        <w:t>Глава 2. Виды судебного делопроизводства, процессуальные особенности документооборота и оптимизация практики.</w:t>
      </w:r>
      <w:r>
        <w:t xml:space="preserve"> Особенности делопроизводства в судах общей юрисдикции: типичные ошибки и правовые последствия (с анализом судебной практики). Специфика документооборота в арбитражных судах: возможности использования электронных механизмов и риски. Делопроизводство у мировых судей: проблемы унификации, анализ практических недостатков. Разработка предложений по оптимизации судебного документооборота и унификации нормативных актов.</w:t>
      </w:r>
    </w:p>
    <w:p w14:paraId="7C010000">
      <w:pPr>
        <w:ind/>
        <w:jc w:val="both"/>
      </w:pPr>
    </w:p>
    <w:p w14:paraId="7D010000">
      <w:pPr>
        <w:ind/>
        <w:jc w:val="both"/>
      </w:pPr>
      <w:r>
        <w:rPr>
          <w:b w:val="1"/>
        </w:rPr>
        <w:t>Заключение.</w:t>
      </w:r>
      <w:r>
        <w:t xml:space="preserve"> Итоги работы, основные выводы, практическая значимость, перспективы дальнейших исследований.</w:t>
      </w:r>
    </w:p>
    <w:p w14:paraId="7E010000">
      <w:pPr>
        <w:ind/>
        <w:jc w:val="both"/>
      </w:pPr>
    </w:p>
    <w:p w14:paraId="7F010000">
      <w:pPr>
        <w:ind/>
        <w:jc w:val="both"/>
        <w:rPr>
          <w:b w:val="1"/>
        </w:rPr>
      </w:pPr>
      <w:r>
        <w:rPr>
          <w:b w:val="1"/>
        </w:rPr>
        <w:t>Перечень приложений к дипломной работе:</w:t>
      </w:r>
    </w:p>
    <w:p w14:paraId="80010000">
      <w:pPr>
        <w:ind/>
        <w:jc w:val="both"/>
      </w:pPr>
      <w:r>
        <w:t>Приложение 1. Сравнительная характеристика инструкций по судебному делопроизводству.</w:t>
      </w:r>
    </w:p>
    <w:p w14:paraId="81010000">
      <w:pPr>
        <w:ind/>
        <w:jc w:val="both"/>
      </w:pPr>
      <w:r>
        <w:t>Приложение 2. Предложения по оптимизации судебного делопроизводства.</w:t>
      </w:r>
    </w:p>
    <w:p w14:paraId="82010000">
      <w:pPr>
        <w:ind/>
        <w:jc w:val="both"/>
      </w:pPr>
    </w:p>
    <w:p w14:paraId="83010000">
      <w:pPr>
        <w:ind/>
        <w:jc w:val="both"/>
      </w:pPr>
    </w:p>
    <w:p w14:paraId="84010000">
      <w:pPr>
        <w:ind/>
        <w:jc w:val="both"/>
      </w:pPr>
      <w:r>
        <w:t xml:space="preserve">Дата получения задания «___» ___________ 2026 г. </w:t>
      </w:r>
    </w:p>
    <w:p w14:paraId="85010000">
      <w:pPr>
        <w:ind/>
        <w:jc w:val="both"/>
      </w:pPr>
    </w:p>
    <w:p w14:paraId="86010000">
      <w:pPr>
        <w:ind/>
        <w:jc w:val="both"/>
      </w:pPr>
      <w:r>
        <w:t>Руководитель ___________________                                          Студент ___________________</w:t>
      </w:r>
    </w:p>
    <w:p w14:paraId="87010000">
      <w:pPr>
        <w:ind/>
        <w:jc w:val="both"/>
        <w:rPr>
          <w:sz w:val="20"/>
        </w:rPr>
      </w:pPr>
      <w:r>
        <w:rPr>
          <w:sz w:val="20"/>
        </w:rPr>
        <w:t xml:space="preserve">                        (подпись)                                                                           (подпись)</w:t>
      </w:r>
    </w:p>
    <w:sectPr>
      <w:headerReference r:id="rId5" w:type="default"/>
      <w:footerReference r:id="rId6" w:type="default"/>
      <w:pgSz w:h="16838" w:orient="portrait" w:w="11906"/>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6000000">
    <w:pPr>
      <w:ind/>
      <w:jc w:val="center"/>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8000000">
    <w:pPr>
      <w:ind/>
      <w:jc w:val="center"/>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7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spacing w:after="0" w:before="0" w:line="36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style>
  <w:style w:default="1" w:styleId="Style_7_ch" w:type="character">
    <w:name w:val="Normal"/>
    <w:link w:val="Style_7"/>
  </w:style>
  <w:style w:styleId="Style_3" w:type="paragraph">
    <w:name w:val="toc 2"/>
    <w:basedOn w:val="Style_7"/>
    <w:next w:val="Style_7"/>
    <w:link w:val="Style_3_ch"/>
    <w:uiPriority w:val="39"/>
    <w:pPr>
      <w:spacing w:after="100"/>
      <w:ind w:firstLine="0" w:left="280"/>
    </w:pPr>
  </w:style>
  <w:style w:styleId="Style_3_ch" w:type="character">
    <w:name w:val="toc 2"/>
    <w:basedOn w:val="Style_7_ch"/>
    <w:link w:val="Style_3"/>
  </w:style>
  <w:style w:styleId="Style_8" w:type="paragraph">
    <w:name w:val="toc 4"/>
    <w:next w:val="Style_7"/>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7"/>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endnote reference"/>
    <w:link w:val="Style_10_ch"/>
    <w:rPr>
      <w:vertAlign w:val="superscript"/>
    </w:rPr>
  </w:style>
  <w:style w:styleId="Style_10_ch" w:type="character">
    <w:name w:val="endnote reference"/>
    <w:link w:val="Style_10"/>
    <w:rPr>
      <w:vertAlign w:val="superscript"/>
    </w:rPr>
  </w:style>
  <w:style w:styleId="Style_11" w:type="paragraph">
    <w:name w:val="toc 7"/>
    <w:next w:val="Style_7"/>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Строгий1"/>
    <w:link w:val="Style_12_ch"/>
    <w:rPr>
      <w:b w:val="1"/>
    </w:rPr>
  </w:style>
  <w:style w:styleId="Style_12_ch" w:type="character">
    <w:name w:val="Строгий1"/>
    <w:link w:val="Style_12"/>
    <w:rPr>
      <w:b w:val="1"/>
    </w:rPr>
  </w:style>
  <w:style w:styleId="Style_13" w:type="paragraph">
    <w:name w:val="heading 3"/>
    <w:link w:val="Style_13_ch"/>
    <w:uiPriority w:val="9"/>
    <w:qFormat/>
    <w:pPr>
      <w:ind/>
      <w:outlineLvl w:val="2"/>
    </w:pPr>
    <w:rPr>
      <w:color w:val="1F4D78"/>
      <w:sz w:val="24"/>
    </w:rPr>
  </w:style>
  <w:style w:styleId="Style_13_ch" w:type="character">
    <w:name w:val="heading 3"/>
    <w:link w:val="Style_13"/>
    <w:rPr>
      <w:color w:val="1F4D78"/>
      <w:sz w:val="24"/>
    </w:rPr>
  </w:style>
  <w:style w:styleId="Style_14" w:type="paragraph">
    <w:name w:val="footnote reference"/>
    <w:link w:val="Style_14_ch"/>
    <w:rPr>
      <w:vertAlign w:val="superscript"/>
    </w:rPr>
  </w:style>
  <w:style w:styleId="Style_14_ch" w:type="character">
    <w:name w:val="footnote reference"/>
    <w:link w:val="Style_14"/>
    <w:rPr>
      <w:vertAlign w:val="superscript"/>
    </w:rPr>
  </w:style>
  <w:style w:styleId="Style_15" w:type="paragraph">
    <w:name w:val="List Paragraph"/>
    <w:link w:val="Style_15_ch"/>
  </w:style>
  <w:style w:styleId="Style_15_ch" w:type="character">
    <w:name w:val="List Paragraph"/>
    <w:link w:val="Style_15"/>
  </w:style>
  <w:style w:styleId="Style_1" w:type="paragraph">
    <w:name w:val="TOC Heading"/>
    <w:basedOn w:val="Style_4"/>
    <w:next w:val="Style_7"/>
    <w:link w:val="Style_1_ch"/>
    <w:pPr>
      <w:keepNext w:val="1"/>
      <w:keepLines w:val="1"/>
      <w:spacing w:after="0" w:before="240" w:line="264" w:lineRule="auto"/>
      <w:ind/>
      <w:jc w:val="left"/>
      <w:outlineLvl w:val="8"/>
    </w:pPr>
    <w:rPr>
      <w:rFonts w:asciiTheme="majorAscii" w:hAnsiTheme="majorHAnsi"/>
      <w:b w:val="0"/>
      <w:color w:themeColor="accent1" w:themeShade="BF" w:val="104861"/>
      <w:sz w:val="32"/>
    </w:rPr>
  </w:style>
  <w:style w:styleId="Style_1_ch" w:type="character">
    <w:name w:val="TOC Heading"/>
    <w:basedOn w:val="Style_4_ch"/>
    <w:link w:val="Style_1"/>
    <w:rPr>
      <w:rFonts w:asciiTheme="majorAscii" w:hAnsiTheme="majorHAnsi"/>
      <w:b w:val="0"/>
      <w:color w:themeColor="accent1" w:themeShade="BF" w:val="104861"/>
      <w:sz w:val="32"/>
    </w:rPr>
  </w:style>
  <w:style w:styleId="Style_16" w:type="paragraph">
    <w:name w:val="toc 3"/>
    <w:next w:val="Style_7"/>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Default Paragraph Font"/>
    <w:link w:val="Style_17_ch"/>
  </w:style>
  <w:style w:styleId="Style_17_ch" w:type="character">
    <w:name w:val="Default Paragraph Font"/>
    <w:link w:val="Style_17"/>
  </w:style>
  <w:style w:styleId="Style_18" w:type="paragraph">
    <w:name w:val="heading 5"/>
    <w:link w:val="Style_18_ch"/>
    <w:uiPriority w:val="9"/>
    <w:qFormat/>
    <w:pPr>
      <w:ind/>
      <w:outlineLvl w:val="4"/>
    </w:pPr>
    <w:rPr>
      <w:color w:val="2E74B5"/>
    </w:rPr>
  </w:style>
  <w:style w:styleId="Style_18_ch" w:type="character">
    <w:name w:val="heading 5"/>
    <w:link w:val="Style_18"/>
    <w:rPr>
      <w:color w:val="2E74B5"/>
    </w:rPr>
  </w:style>
  <w:style w:styleId="Style_4" w:type="paragraph">
    <w:name w:val="heading 1"/>
    <w:link w:val="Style_4_ch"/>
    <w:uiPriority w:val="9"/>
    <w:qFormat/>
    <w:pPr>
      <w:spacing w:after="200"/>
      <w:ind/>
      <w:jc w:val="center"/>
      <w:outlineLvl w:val="0"/>
    </w:pPr>
    <w:rPr>
      <w:b w:val="1"/>
    </w:rPr>
  </w:style>
  <w:style w:styleId="Style_4_ch" w:type="character">
    <w:name w:val="heading 1"/>
    <w:link w:val="Style_4"/>
    <w:rPr>
      <w:b w:val="1"/>
    </w:rPr>
  </w:style>
  <w:style w:styleId="Style_19" w:type="paragraph">
    <w:name w:val="Hyperlink"/>
    <w:link w:val="Style_19_ch"/>
    <w:rPr>
      <w:color w:val="0563C1"/>
      <w:u w:val="single"/>
    </w:rPr>
  </w:style>
  <w:style w:styleId="Style_19_ch" w:type="character">
    <w:name w:val="Hyperlink"/>
    <w:link w:val="Style_19"/>
    <w:rPr>
      <w:color w:val="0563C1"/>
      <w:u w:val="single"/>
    </w:rPr>
  </w:style>
  <w:style w:styleId="Style_20" w:type="paragraph">
    <w:name w:val="Footnote"/>
    <w:link w:val="Style_20_ch"/>
    <w:pPr>
      <w:spacing w:line="240" w:lineRule="auto"/>
      <w:ind/>
    </w:pPr>
    <w:rPr>
      <w:sz w:val="20"/>
    </w:rPr>
  </w:style>
  <w:style w:styleId="Style_20_ch" w:type="character">
    <w:name w:val="Footnote"/>
    <w:link w:val="Style_20"/>
    <w:rPr>
      <w:sz w:val="20"/>
    </w:rPr>
  </w:style>
  <w:style w:styleId="Style_2" w:type="paragraph">
    <w:name w:val="toc 1"/>
    <w:basedOn w:val="Style_7"/>
    <w:next w:val="Style_7"/>
    <w:link w:val="Style_2_ch"/>
    <w:uiPriority w:val="39"/>
    <w:pPr>
      <w:spacing w:after="100"/>
      <w:ind/>
    </w:pPr>
  </w:style>
  <w:style w:styleId="Style_2_ch" w:type="character">
    <w:name w:val="toc 1"/>
    <w:basedOn w:val="Style_7_ch"/>
    <w:link w:val="Style_2"/>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7"/>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7"/>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7"/>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endnote text"/>
    <w:link w:val="Style_25_ch"/>
    <w:pPr>
      <w:spacing w:line="240" w:lineRule="auto"/>
      <w:ind/>
    </w:pPr>
    <w:rPr>
      <w:sz w:val="20"/>
    </w:rPr>
  </w:style>
  <w:style w:styleId="Style_25_ch" w:type="character">
    <w:name w:val="endnote text"/>
    <w:link w:val="Style_25"/>
    <w:rPr>
      <w:sz w:val="20"/>
    </w:rPr>
  </w:style>
  <w:style w:styleId="Style_26" w:type="paragraph">
    <w:name w:val="Subtitle"/>
    <w:next w:val="Style_7"/>
    <w:link w:val="Style_26_ch"/>
    <w:uiPriority w:val="11"/>
    <w:qFormat/>
    <w:pPr>
      <w:ind/>
      <w:jc w:val="both"/>
    </w:pPr>
    <w:rPr>
      <w:rFonts w:ascii="XO Thames" w:hAnsi="XO Thames"/>
      <w:i w:val="1"/>
      <w:sz w:val="24"/>
    </w:rPr>
  </w:style>
  <w:style w:styleId="Style_26_ch" w:type="character">
    <w:name w:val="Subtitle"/>
    <w:link w:val="Style_26"/>
    <w:rPr>
      <w:rFonts w:ascii="XO Thames" w:hAnsi="XO Thames"/>
      <w:i w:val="1"/>
      <w:sz w:val="24"/>
    </w:rPr>
  </w:style>
  <w:style w:styleId="Style_27" w:type="paragraph">
    <w:name w:val="Title"/>
    <w:link w:val="Style_27_ch"/>
    <w:uiPriority w:val="10"/>
    <w:qFormat/>
    <w:rPr>
      <w:sz w:val="56"/>
    </w:rPr>
  </w:style>
  <w:style w:styleId="Style_27_ch" w:type="character">
    <w:name w:val="Title"/>
    <w:link w:val="Style_27"/>
    <w:rPr>
      <w:sz w:val="56"/>
    </w:rPr>
  </w:style>
  <w:style w:styleId="Style_28" w:type="paragraph">
    <w:name w:val="heading 4"/>
    <w:link w:val="Style_28_ch"/>
    <w:uiPriority w:val="9"/>
    <w:qFormat/>
    <w:pPr>
      <w:ind/>
      <w:outlineLvl w:val="3"/>
    </w:pPr>
    <w:rPr>
      <w:i w:val="1"/>
      <w:color w:val="2E74B5"/>
    </w:rPr>
  </w:style>
  <w:style w:styleId="Style_28_ch" w:type="character">
    <w:name w:val="heading 4"/>
    <w:link w:val="Style_28"/>
    <w:rPr>
      <w:i w:val="1"/>
      <w:color w:val="2E74B5"/>
    </w:rPr>
  </w:style>
  <w:style w:styleId="Style_5" w:type="paragraph">
    <w:name w:val="heading 2"/>
    <w:link w:val="Style_5_ch"/>
    <w:uiPriority w:val="9"/>
    <w:qFormat/>
    <w:pPr>
      <w:spacing w:after="200" w:before="200"/>
      <w:ind/>
      <w:jc w:val="center"/>
      <w:outlineLvl w:val="1"/>
    </w:pPr>
    <w:rPr>
      <w:b w:val="1"/>
    </w:rPr>
  </w:style>
  <w:style w:styleId="Style_5_ch" w:type="character">
    <w:name w:val="heading 2"/>
    <w:link w:val="Style_5"/>
    <w:rPr>
      <w:b w:val="1"/>
    </w:rPr>
  </w:style>
  <w:style w:styleId="Style_29" w:type="paragraph">
    <w:name w:val="heading 6"/>
    <w:link w:val="Style_29_ch"/>
    <w:uiPriority w:val="9"/>
    <w:qFormat/>
    <w:pPr>
      <w:ind/>
      <w:outlineLvl w:val="5"/>
    </w:pPr>
    <w:rPr>
      <w:color w:val="1F4D78"/>
    </w:rPr>
  </w:style>
  <w:style w:styleId="Style_29_ch" w:type="character">
    <w:name w:val="heading 6"/>
    <w:link w:val="Style_29"/>
    <w:rPr>
      <w:color w:val="1F4D78"/>
    </w:r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webSettings.xml" Type="http://schemas.openxmlformats.org/officeDocument/2006/relationships/webSettings"/>
  <Relationship Id="rId11" Target="styles.xml" Type="http://schemas.openxmlformats.org/officeDocument/2006/relationships/styles"/>
  <Relationship Id="rId10" Target="settings.xml" Type="http://schemas.openxmlformats.org/officeDocument/2006/relationships/settings"/>
  <Relationship Id="rId9" Target="fontTable.xml" Type="http://schemas.openxmlformats.org/officeDocument/2006/relationships/fontTable"/>
  <Relationship Id="rId8" Target="footer8.xml" Type="http://schemas.openxmlformats.org/officeDocument/2006/relationships/footer"/>
  <Relationship Id="rId7" Target="header7.xml" Type="http://schemas.openxmlformats.org/officeDocument/2006/relationships/header"/>
  <Relationship Id="rId14" Target="theme/theme1.xml" Type="http://schemas.openxmlformats.org/officeDocument/2006/relationships/theme"/>
  <Relationship Id="rId6" Target="footer6.xml" Type="http://schemas.openxmlformats.org/officeDocument/2006/relationships/footer"/>
  <Relationship Id="rId5" Target="header5.xml" Type="http://schemas.openxmlformats.org/officeDocument/2006/relationships/header"/>
  <Relationship Id="rId4" Target="footer4.xml" Type="http://schemas.openxmlformats.org/officeDocument/2006/relationships/footer"/>
  <Relationship Id="rId12" Target="stylesWithEffects.xml" Type="http://schemas.microsoft.com/office/2007/relationships/stylesWithEffects"/>
  <Relationship Id="rId3" Target="header3.xml" Type="http://schemas.openxmlformats.org/officeDocument/2006/relationships/header"/>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2026-09-01T07:36:28Z</dcterms:modified>
</cp:coreProperties>
</file>